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ABA2" w14:textId="77777777" w:rsidR="00C76BB9" w:rsidRDefault="00C76BB9" w:rsidP="00C76BB9">
      <w:pPr>
        <w:rPr>
          <w:b/>
        </w:rPr>
      </w:pPr>
    </w:p>
    <w:p w14:paraId="22D5878A" w14:textId="77777777" w:rsidR="00C76BB9" w:rsidRDefault="00C76BB9" w:rsidP="00C76BB9">
      <w:pPr>
        <w:rPr>
          <w:b/>
        </w:rPr>
      </w:pPr>
    </w:p>
    <w:p w14:paraId="2307C252" w14:textId="77777777" w:rsidR="00C76BB9" w:rsidRDefault="00C76BB9" w:rsidP="00C76BB9">
      <w:pPr>
        <w:rPr>
          <w:b/>
        </w:rPr>
      </w:pPr>
    </w:p>
    <w:p w14:paraId="4526AD11" w14:textId="74BD7393" w:rsidR="00F70507" w:rsidRPr="00426DE4" w:rsidRDefault="00F70507" w:rsidP="00C76BB9">
      <w:pPr>
        <w:jc w:val="center"/>
        <w:rPr>
          <w:b/>
        </w:rPr>
      </w:pPr>
      <w:r w:rsidRPr="00426DE4">
        <w:rPr>
          <w:b/>
        </w:rPr>
        <w:t xml:space="preserve">Mandate of the </w:t>
      </w:r>
      <w:r w:rsidR="00135815" w:rsidRPr="00426DE4">
        <w:rPr>
          <w:b/>
        </w:rPr>
        <w:t>Special Rapporteur on the right to education</w:t>
      </w:r>
    </w:p>
    <w:p w14:paraId="3E1ED40F" w14:textId="3FBA199E" w:rsidR="00A87FB5" w:rsidRPr="00426DE4" w:rsidRDefault="00A87FB5" w:rsidP="00F70507">
      <w:pPr>
        <w:jc w:val="center"/>
        <w:rPr>
          <w:b/>
        </w:rPr>
      </w:pPr>
    </w:p>
    <w:p w14:paraId="0A3D9E5D" w14:textId="77777777" w:rsidR="00C76BB9" w:rsidRPr="00426DE4" w:rsidRDefault="00C76BB9" w:rsidP="00935254">
      <w:pPr>
        <w:ind w:firstLine="720"/>
        <w:jc w:val="right"/>
        <w:rPr>
          <w:rStyle w:val="CommentReference"/>
          <w:caps/>
          <w:sz w:val="24"/>
          <w:szCs w:val="24"/>
        </w:rPr>
      </w:pPr>
    </w:p>
    <w:p w14:paraId="19B65CE6" w14:textId="77777777" w:rsidR="00935254" w:rsidRPr="00426DE4" w:rsidRDefault="00935254" w:rsidP="00935254">
      <w:pPr>
        <w:ind w:firstLine="720"/>
        <w:rPr>
          <w:rStyle w:val="CommentReference"/>
          <w:sz w:val="24"/>
          <w:szCs w:val="24"/>
        </w:rPr>
      </w:pPr>
    </w:p>
    <w:p w14:paraId="59C82DF8" w14:textId="51B0AA3E" w:rsidR="00135815" w:rsidRPr="00426DE4" w:rsidRDefault="00135815" w:rsidP="00135815">
      <w:pPr>
        <w:ind w:firstLine="720"/>
        <w:jc w:val="center"/>
        <w:rPr>
          <w:rStyle w:val="CommentReference"/>
          <w:b/>
          <w:caps/>
          <w:sz w:val="24"/>
          <w:szCs w:val="24"/>
        </w:rPr>
      </w:pPr>
      <w:r w:rsidRPr="00426DE4">
        <w:rPr>
          <w:rStyle w:val="CommentReference"/>
          <w:b/>
          <w:caps/>
          <w:sz w:val="24"/>
          <w:szCs w:val="24"/>
        </w:rPr>
        <w:t xml:space="preserve">Call for CONTRIBUTIONS: </w:t>
      </w:r>
    </w:p>
    <w:p w14:paraId="6F986014" w14:textId="77777777" w:rsidR="00135815" w:rsidRPr="00426DE4" w:rsidRDefault="00135815" w:rsidP="00135815">
      <w:pPr>
        <w:ind w:firstLine="720"/>
        <w:jc w:val="center"/>
        <w:rPr>
          <w:rStyle w:val="CommentReference"/>
          <w:b/>
          <w:caps/>
          <w:sz w:val="24"/>
          <w:szCs w:val="24"/>
        </w:rPr>
      </w:pPr>
      <w:r w:rsidRPr="00426DE4">
        <w:rPr>
          <w:rStyle w:val="CommentReference"/>
          <w:b/>
          <w:caps/>
          <w:sz w:val="24"/>
          <w:szCs w:val="24"/>
        </w:rPr>
        <w:t>THE RIGHT TO EDUCATION, ADVANCES AND CHALLENGES</w:t>
      </w:r>
    </w:p>
    <w:p w14:paraId="6443ECC8" w14:textId="77777777" w:rsidR="00135815" w:rsidRPr="00426DE4" w:rsidRDefault="00135815" w:rsidP="00135815"/>
    <w:p w14:paraId="6E9AAF56" w14:textId="77777777" w:rsidR="00C76BB9" w:rsidRPr="00426DE4" w:rsidRDefault="00C76BB9" w:rsidP="00135815">
      <w:pPr>
        <w:spacing w:after="160" w:line="259" w:lineRule="auto"/>
        <w:ind w:firstLine="720"/>
        <w:jc w:val="both"/>
      </w:pPr>
    </w:p>
    <w:p w14:paraId="152FECC9" w14:textId="77777777" w:rsidR="00135815" w:rsidRPr="00426DE4" w:rsidRDefault="00135815" w:rsidP="00135815">
      <w:pPr>
        <w:pStyle w:val="ListParagraph"/>
        <w:numPr>
          <w:ilvl w:val="0"/>
          <w:numId w:val="32"/>
        </w:numPr>
        <w:pBdr>
          <w:bottom w:val="single" w:sz="4" w:space="1" w:color="auto"/>
        </w:pBdr>
        <w:jc w:val="both"/>
        <w:rPr>
          <w:b/>
        </w:rPr>
      </w:pPr>
      <w:r w:rsidRPr="00426DE4">
        <w:rPr>
          <w:b/>
        </w:rPr>
        <w:t>Assessing the achievements made by the mandate of the Special Rapporteur on the right to education over the last 25 years</w:t>
      </w:r>
    </w:p>
    <w:p w14:paraId="6A9B923D" w14:textId="77777777" w:rsidR="00135815" w:rsidRPr="00426DE4" w:rsidRDefault="00135815" w:rsidP="00135815">
      <w:pPr>
        <w:jc w:val="both"/>
      </w:pPr>
    </w:p>
    <w:p w14:paraId="6D462957" w14:textId="087D6705" w:rsidR="00135815" w:rsidRPr="00426DE4" w:rsidRDefault="00135815" w:rsidP="00135815">
      <w:pPr>
        <w:pStyle w:val="ListParagraph"/>
        <w:numPr>
          <w:ilvl w:val="3"/>
          <w:numId w:val="32"/>
        </w:numPr>
        <w:ind w:left="426"/>
        <w:jc w:val="both"/>
      </w:pPr>
      <w:r w:rsidRPr="00426DE4">
        <w:t>In your country, are education issues approached through the lens of the human right to education, and if so, with what challenges and results? In your view, what is the added value of such an approach in your work?</w:t>
      </w:r>
    </w:p>
    <w:p w14:paraId="1C9F9297" w14:textId="3278DC88" w:rsidR="009D79E6" w:rsidRPr="00426DE4" w:rsidRDefault="009D79E6" w:rsidP="00690AF3">
      <w:pPr>
        <w:jc w:val="both"/>
      </w:pPr>
    </w:p>
    <w:p w14:paraId="47D1D8E7" w14:textId="2A0C0B55" w:rsidR="00C76822" w:rsidRPr="0087079D" w:rsidRDefault="00F52D0C" w:rsidP="00690AF3">
      <w:pPr>
        <w:jc w:val="both"/>
        <w:rPr>
          <w:rFonts w:ascii="Arial" w:hAnsi="Arial" w:cs="Arial"/>
          <w:color w:val="2E74B5" w:themeColor="accent1" w:themeShade="BF"/>
          <w:sz w:val="22"/>
          <w:szCs w:val="22"/>
        </w:rPr>
      </w:pPr>
      <w:r w:rsidRPr="0087079D">
        <w:rPr>
          <w:rFonts w:ascii="Arial" w:hAnsi="Arial" w:cs="Arial"/>
          <w:b/>
          <w:color w:val="2E74B5" w:themeColor="accent1" w:themeShade="BF"/>
          <w:sz w:val="22"/>
          <w:szCs w:val="22"/>
        </w:rPr>
        <w:t>I</w:t>
      </w:r>
      <w:r w:rsidR="00690AF3" w:rsidRPr="0087079D">
        <w:rPr>
          <w:rFonts w:ascii="Arial" w:hAnsi="Arial" w:cs="Arial"/>
          <w:b/>
          <w:color w:val="2E74B5" w:themeColor="accent1" w:themeShade="BF"/>
          <w:sz w:val="22"/>
          <w:szCs w:val="22"/>
        </w:rPr>
        <w:t xml:space="preserve">mplementing the right to education and its principles </w:t>
      </w:r>
      <w:r w:rsidR="003D2A54" w:rsidRPr="0087079D">
        <w:rPr>
          <w:rFonts w:ascii="Arial" w:hAnsi="Arial" w:cs="Arial"/>
          <w:b/>
          <w:color w:val="2E74B5" w:themeColor="accent1" w:themeShade="BF"/>
          <w:sz w:val="22"/>
          <w:szCs w:val="22"/>
        </w:rPr>
        <w:t>is linked with engaging</w:t>
      </w:r>
      <w:r w:rsidR="009B5B41" w:rsidRPr="0087079D">
        <w:rPr>
          <w:rFonts w:ascii="Arial" w:hAnsi="Arial" w:cs="Arial"/>
          <w:b/>
          <w:color w:val="2E74B5" w:themeColor="accent1" w:themeShade="BF"/>
          <w:sz w:val="22"/>
          <w:szCs w:val="22"/>
        </w:rPr>
        <w:t xml:space="preserve"> culture to </w:t>
      </w:r>
      <w:r w:rsidR="00690AF3" w:rsidRPr="0087079D">
        <w:rPr>
          <w:rFonts w:ascii="Arial" w:hAnsi="Arial" w:cs="Arial"/>
          <w:b/>
          <w:color w:val="2E74B5" w:themeColor="accent1" w:themeShade="BF"/>
          <w:sz w:val="22"/>
          <w:szCs w:val="22"/>
        </w:rPr>
        <w:t>ensur</w:t>
      </w:r>
      <w:r w:rsidR="009B5B41" w:rsidRPr="0087079D">
        <w:rPr>
          <w:rFonts w:ascii="Arial" w:hAnsi="Arial" w:cs="Arial"/>
          <w:b/>
          <w:color w:val="2E74B5" w:themeColor="accent1" w:themeShade="BF"/>
          <w:sz w:val="22"/>
          <w:szCs w:val="22"/>
        </w:rPr>
        <w:t>e</w:t>
      </w:r>
      <w:r w:rsidR="00690AF3" w:rsidRPr="0087079D">
        <w:rPr>
          <w:rFonts w:ascii="Arial" w:hAnsi="Arial" w:cs="Arial"/>
          <w:b/>
          <w:color w:val="2E74B5" w:themeColor="accent1" w:themeShade="BF"/>
          <w:sz w:val="22"/>
          <w:szCs w:val="22"/>
        </w:rPr>
        <w:t xml:space="preserve"> equal access to an education of good quality, on a non-discrimination basis, and equality of opportunities and chances to </w:t>
      </w:r>
      <w:r w:rsidR="009B5B41" w:rsidRPr="0087079D">
        <w:rPr>
          <w:rFonts w:ascii="Arial" w:hAnsi="Arial" w:cs="Arial"/>
          <w:b/>
          <w:color w:val="2E74B5" w:themeColor="accent1" w:themeShade="BF"/>
          <w:sz w:val="22"/>
          <w:szCs w:val="22"/>
        </w:rPr>
        <w:t>thrive</w:t>
      </w:r>
      <w:r w:rsidR="00690AF3" w:rsidRPr="0087079D">
        <w:rPr>
          <w:rFonts w:ascii="Arial" w:hAnsi="Arial" w:cs="Arial"/>
          <w:b/>
          <w:color w:val="2E74B5" w:themeColor="accent1" w:themeShade="BF"/>
          <w:sz w:val="22"/>
          <w:szCs w:val="22"/>
          <w:shd w:val="clear" w:color="auto" w:fill="FFFFFF"/>
        </w:rPr>
        <w:t>.</w:t>
      </w:r>
      <w:r w:rsidR="00690AF3" w:rsidRPr="0087079D">
        <w:rPr>
          <w:rFonts w:ascii="Arial" w:hAnsi="Arial" w:cs="Arial"/>
          <w:color w:val="2E74B5" w:themeColor="accent1" w:themeShade="BF"/>
          <w:sz w:val="22"/>
          <w:szCs w:val="22"/>
          <w:shd w:val="clear" w:color="auto" w:fill="FFFFFF"/>
        </w:rPr>
        <w:t xml:space="preserve"> </w:t>
      </w:r>
      <w:r w:rsidR="00C76822" w:rsidRPr="0087079D">
        <w:rPr>
          <w:rFonts w:ascii="Arial" w:hAnsi="Arial" w:cs="Arial"/>
          <w:color w:val="2E74B5" w:themeColor="accent1" w:themeShade="BF"/>
          <w:sz w:val="22"/>
          <w:szCs w:val="22"/>
        </w:rPr>
        <w:t xml:space="preserve">Grounded on a human rights-based approach, UNESCO’s Culture </w:t>
      </w:r>
      <w:proofErr w:type="spellStart"/>
      <w:r w:rsidR="00C76822" w:rsidRPr="0087079D">
        <w:rPr>
          <w:rFonts w:ascii="Arial" w:hAnsi="Arial" w:cs="Arial"/>
          <w:color w:val="2E74B5" w:themeColor="accent1" w:themeShade="BF"/>
          <w:sz w:val="22"/>
          <w:szCs w:val="22"/>
        </w:rPr>
        <w:t>programmes</w:t>
      </w:r>
      <w:proofErr w:type="spellEnd"/>
      <w:r w:rsidR="00C76822" w:rsidRPr="0087079D">
        <w:rPr>
          <w:rFonts w:ascii="Arial" w:hAnsi="Arial" w:cs="Arial"/>
          <w:color w:val="2E74B5" w:themeColor="accent1" w:themeShade="BF"/>
          <w:sz w:val="22"/>
          <w:szCs w:val="22"/>
        </w:rPr>
        <w:t xml:space="preserve"> uphold the right of everyone to access, participate in and enjoy culture, including cultural heritage and cultural expressions. Safeguarding heritage, strengthening the cultural and creative industries, and encouraging cultural pluralism, are all cultural mandates driven by a human-</w:t>
      </w:r>
      <w:proofErr w:type="spellStart"/>
      <w:r w:rsidR="00C76822" w:rsidRPr="0087079D">
        <w:rPr>
          <w:rFonts w:ascii="Arial" w:hAnsi="Arial" w:cs="Arial"/>
          <w:color w:val="2E74B5" w:themeColor="accent1" w:themeShade="BF"/>
          <w:sz w:val="22"/>
          <w:szCs w:val="22"/>
        </w:rPr>
        <w:t>centred</w:t>
      </w:r>
      <w:proofErr w:type="spellEnd"/>
      <w:r w:rsidR="00C76822" w:rsidRPr="0087079D">
        <w:rPr>
          <w:rFonts w:ascii="Arial" w:hAnsi="Arial" w:cs="Arial"/>
          <w:color w:val="2E74B5" w:themeColor="accent1" w:themeShade="BF"/>
          <w:sz w:val="22"/>
          <w:szCs w:val="22"/>
        </w:rPr>
        <w:t xml:space="preserve"> approach to development based on mutual respect and open dialogue among cultures. </w:t>
      </w:r>
      <w:r w:rsidR="00B30AF4" w:rsidRPr="0087079D">
        <w:rPr>
          <w:rFonts w:ascii="Arial" w:hAnsi="Arial" w:cs="Arial"/>
          <w:color w:val="2E74B5" w:themeColor="accent1" w:themeShade="BF"/>
          <w:sz w:val="22"/>
          <w:szCs w:val="22"/>
        </w:rPr>
        <w:t>The right to e</w:t>
      </w:r>
      <w:r w:rsidR="00C76822" w:rsidRPr="0087079D">
        <w:rPr>
          <w:rFonts w:ascii="Arial" w:hAnsi="Arial" w:cs="Arial"/>
          <w:color w:val="2E74B5" w:themeColor="accent1" w:themeShade="BF"/>
          <w:sz w:val="22"/>
          <w:szCs w:val="22"/>
        </w:rPr>
        <w:t xml:space="preserve">ducation </w:t>
      </w:r>
      <w:r w:rsidR="002F4F00" w:rsidRPr="0087079D">
        <w:rPr>
          <w:rFonts w:ascii="Arial" w:hAnsi="Arial" w:cs="Arial"/>
          <w:color w:val="2E74B5" w:themeColor="accent1" w:themeShade="BF"/>
          <w:sz w:val="22"/>
          <w:szCs w:val="22"/>
        </w:rPr>
        <w:t xml:space="preserve">– </w:t>
      </w:r>
      <w:r w:rsidR="00291696" w:rsidRPr="0087079D">
        <w:rPr>
          <w:rFonts w:ascii="Arial" w:hAnsi="Arial" w:cs="Arial"/>
          <w:color w:val="2E74B5" w:themeColor="accent1" w:themeShade="BF"/>
          <w:sz w:val="22"/>
          <w:szCs w:val="22"/>
        </w:rPr>
        <w:t>through</w:t>
      </w:r>
      <w:r w:rsidR="002F4F00" w:rsidRPr="0087079D">
        <w:rPr>
          <w:rFonts w:ascii="Arial" w:hAnsi="Arial" w:cs="Arial"/>
          <w:color w:val="2E74B5" w:themeColor="accent1" w:themeShade="BF"/>
          <w:sz w:val="22"/>
          <w:szCs w:val="22"/>
        </w:rPr>
        <w:t xml:space="preserve"> formal to non-formal, </w:t>
      </w:r>
      <w:proofErr w:type="gramStart"/>
      <w:r w:rsidR="002F4F00" w:rsidRPr="0087079D">
        <w:rPr>
          <w:rFonts w:ascii="Arial" w:hAnsi="Arial" w:cs="Arial"/>
          <w:color w:val="2E74B5" w:themeColor="accent1" w:themeShade="BF"/>
          <w:sz w:val="22"/>
          <w:szCs w:val="22"/>
        </w:rPr>
        <w:t>informal</w:t>
      </w:r>
      <w:proofErr w:type="gramEnd"/>
      <w:r w:rsidR="002F4F00" w:rsidRPr="0087079D">
        <w:rPr>
          <w:rFonts w:ascii="Arial" w:hAnsi="Arial" w:cs="Arial"/>
          <w:color w:val="2E74B5" w:themeColor="accent1" w:themeShade="BF"/>
          <w:sz w:val="22"/>
          <w:szCs w:val="22"/>
        </w:rPr>
        <w:t xml:space="preserve"> and lifelong learning – </w:t>
      </w:r>
      <w:r w:rsidR="00C76822" w:rsidRPr="0087079D">
        <w:rPr>
          <w:rFonts w:ascii="Arial" w:hAnsi="Arial" w:cs="Arial"/>
          <w:color w:val="2E74B5" w:themeColor="accent1" w:themeShade="BF"/>
          <w:sz w:val="22"/>
          <w:szCs w:val="22"/>
        </w:rPr>
        <w:t>is an im</w:t>
      </w:r>
      <w:r w:rsidR="002F4F00" w:rsidRPr="0087079D">
        <w:rPr>
          <w:rFonts w:ascii="Arial" w:hAnsi="Arial" w:cs="Arial"/>
          <w:color w:val="2E74B5" w:themeColor="accent1" w:themeShade="BF"/>
          <w:sz w:val="22"/>
          <w:szCs w:val="22"/>
        </w:rPr>
        <w:t xml:space="preserve">portant component for realizing these objectives. </w:t>
      </w:r>
    </w:p>
    <w:p w14:paraId="254FB026" w14:textId="7355ADF6" w:rsidR="00C76822" w:rsidRPr="0087079D" w:rsidRDefault="00C76822" w:rsidP="00690AF3">
      <w:pPr>
        <w:jc w:val="both"/>
        <w:rPr>
          <w:rFonts w:ascii="Arial" w:hAnsi="Arial" w:cs="Arial"/>
          <w:color w:val="2E74B5" w:themeColor="accent1" w:themeShade="BF"/>
          <w:sz w:val="22"/>
          <w:szCs w:val="22"/>
        </w:rPr>
      </w:pPr>
    </w:p>
    <w:p w14:paraId="528D616D" w14:textId="6716076F" w:rsidR="007D63C4" w:rsidRPr="0087079D" w:rsidRDefault="002F4F00" w:rsidP="007D63C4">
      <w:pPr>
        <w:pStyle w:val="paragraph"/>
        <w:spacing w:before="0" w:beforeAutospacing="0" w:after="0" w:afterAutospacing="0"/>
        <w:jc w:val="both"/>
        <w:textAlignment w:val="baseline"/>
        <w:rPr>
          <w:rFonts w:ascii="Arial" w:hAnsi="Arial" w:cs="Arial"/>
          <w:color w:val="2E74B5" w:themeColor="accent1" w:themeShade="BF"/>
          <w:sz w:val="22"/>
          <w:szCs w:val="22"/>
        </w:rPr>
      </w:pPr>
      <w:r w:rsidRPr="0087079D">
        <w:rPr>
          <w:rFonts w:ascii="Arial" w:hAnsi="Arial" w:cs="Arial"/>
          <w:b/>
          <w:color w:val="2E74B5" w:themeColor="accent1" w:themeShade="BF"/>
          <w:sz w:val="22"/>
          <w:szCs w:val="22"/>
        </w:rPr>
        <w:t xml:space="preserve">While the </w:t>
      </w:r>
      <w:proofErr w:type="gramStart"/>
      <w:r w:rsidRPr="0087079D">
        <w:rPr>
          <w:rFonts w:ascii="Arial" w:hAnsi="Arial" w:cs="Arial"/>
          <w:b/>
          <w:color w:val="2E74B5" w:themeColor="accent1" w:themeShade="BF"/>
          <w:sz w:val="22"/>
          <w:szCs w:val="22"/>
        </w:rPr>
        <w:t>mutually-beneficial</w:t>
      </w:r>
      <w:proofErr w:type="gramEnd"/>
      <w:r w:rsidRPr="0087079D">
        <w:rPr>
          <w:rFonts w:ascii="Arial" w:hAnsi="Arial" w:cs="Arial"/>
          <w:b/>
          <w:color w:val="2E74B5" w:themeColor="accent1" w:themeShade="BF"/>
          <w:sz w:val="22"/>
          <w:szCs w:val="22"/>
        </w:rPr>
        <w:t xml:space="preserve"> links between culture and education have long been recognized in a range of decisions and instruments, </w:t>
      </w:r>
      <w:r w:rsidR="004C5FAD" w:rsidRPr="0087079D">
        <w:rPr>
          <w:rFonts w:ascii="Arial" w:hAnsi="Arial" w:cs="Arial"/>
          <w:b/>
          <w:color w:val="2E74B5" w:themeColor="accent1" w:themeShade="BF"/>
          <w:sz w:val="22"/>
          <w:szCs w:val="22"/>
        </w:rPr>
        <w:t>it is not without challenges.</w:t>
      </w:r>
      <w:r w:rsidR="004C5FAD" w:rsidRPr="0087079D">
        <w:rPr>
          <w:rFonts w:ascii="Arial" w:hAnsi="Arial" w:cs="Arial"/>
          <w:color w:val="2E74B5" w:themeColor="accent1" w:themeShade="BF"/>
          <w:sz w:val="22"/>
          <w:szCs w:val="22"/>
        </w:rPr>
        <w:t xml:space="preserve"> Over time, t</w:t>
      </w:r>
      <w:r w:rsidRPr="0087079D">
        <w:rPr>
          <w:rFonts w:ascii="Arial" w:hAnsi="Arial" w:cs="Arial"/>
          <w:color w:val="2E74B5" w:themeColor="accent1" w:themeShade="BF"/>
          <w:sz w:val="22"/>
          <w:szCs w:val="22"/>
        </w:rPr>
        <w:t xml:space="preserve">he two areas have become separated and at times conflicted thereby hindering their potential to generate meaningful and transformative change. </w:t>
      </w:r>
      <w:r w:rsidR="00AA1CBC" w:rsidRPr="0087079D">
        <w:rPr>
          <w:rFonts w:ascii="Arial" w:hAnsi="Arial" w:cs="Arial"/>
          <w:color w:val="2E74B5" w:themeColor="accent1" w:themeShade="BF"/>
          <w:sz w:val="22"/>
          <w:szCs w:val="22"/>
        </w:rPr>
        <w:t xml:space="preserve">Learners may lack access to arts and cultural education due to geographic, gender or social barriers, affecting their access to skills </w:t>
      </w:r>
      <w:r w:rsidR="00711CA4" w:rsidRPr="0087079D">
        <w:rPr>
          <w:rFonts w:ascii="Arial" w:hAnsi="Arial" w:cs="Arial"/>
          <w:color w:val="2E74B5" w:themeColor="accent1" w:themeShade="BF"/>
          <w:sz w:val="22"/>
          <w:szCs w:val="22"/>
        </w:rPr>
        <w:t xml:space="preserve">and knowledge </w:t>
      </w:r>
      <w:r w:rsidR="00AA1CBC" w:rsidRPr="0087079D">
        <w:rPr>
          <w:rFonts w:ascii="Arial" w:hAnsi="Arial" w:cs="Arial"/>
          <w:color w:val="2E74B5" w:themeColor="accent1" w:themeShade="BF"/>
          <w:sz w:val="22"/>
          <w:szCs w:val="22"/>
        </w:rPr>
        <w:t xml:space="preserve">acquisition, digital technologies, or they may remain at the margins of formal education systems that don’t take into consideration cultural diversity. </w:t>
      </w:r>
      <w:r w:rsidR="00711CA4" w:rsidRPr="0087079D">
        <w:rPr>
          <w:rFonts w:ascii="Arial" w:hAnsi="Arial" w:cs="Arial"/>
          <w:color w:val="2E74B5" w:themeColor="accent1" w:themeShade="BF"/>
          <w:sz w:val="22"/>
          <w:szCs w:val="22"/>
        </w:rPr>
        <w:t>In some countries, culture and arts education isn’t considered a priority in education systems or socie</w:t>
      </w:r>
      <w:r w:rsidR="00EC4736" w:rsidRPr="0087079D">
        <w:rPr>
          <w:rFonts w:ascii="Arial" w:hAnsi="Arial" w:cs="Arial"/>
          <w:color w:val="2E74B5" w:themeColor="accent1" w:themeShade="BF"/>
          <w:sz w:val="22"/>
          <w:szCs w:val="22"/>
        </w:rPr>
        <w:t xml:space="preserve">ties at large, </w:t>
      </w:r>
      <w:r w:rsidR="00711CA4" w:rsidRPr="0087079D">
        <w:rPr>
          <w:rFonts w:ascii="Arial" w:hAnsi="Arial" w:cs="Arial"/>
          <w:color w:val="2E74B5" w:themeColor="accent1" w:themeShade="BF"/>
          <w:sz w:val="22"/>
          <w:szCs w:val="22"/>
        </w:rPr>
        <w:t xml:space="preserve">or </w:t>
      </w:r>
      <w:r w:rsidR="00EC4736" w:rsidRPr="0087079D">
        <w:rPr>
          <w:rFonts w:ascii="Arial" w:hAnsi="Arial" w:cs="Arial"/>
          <w:color w:val="2E74B5" w:themeColor="accent1" w:themeShade="BF"/>
          <w:sz w:val="22"/>
          <w:szCs w:val="22"/>
        </w:rPr>
        <w:t xml:space="preserve">it </w:t>
      </w:r>
      <w:r w:rsidR="00711CA4" w:rsidRPr="0087079D">
        <w:rPr>
          <w:rFonts w:ascii="Arial" w:hAnsi="Arial" w:cs="Arial"/>
          <w:color w:val="2E74B5" w:themeColor="accent1" w:themeShade="BF"/>
          <w:sz w:val="22"/>
          <w:szCs w:val="22"/>
        </w:rPr>
        <w:t xml:space="preserve">can be seen as a luxury addition to education and may not be able to be accessed by persons of low economic status. </w:t>
      </w:r>
      <w:r w:rsidR="00AA1CBC" w:rsidRPr="0087079D">
        <w:rPr>
          <w:rStyle w:val="normaltextrun"/>
          <w:rFonts w:ascii="Arial" w:hAnsi="Arial" w:cs="Arial"/>
          <w:color w:val="2E74B5" w:themeColor="accent1" w:themeShade="BF"/>
          <w:sz w:val="22"/>
          <w:szCs w:val="22"/>
        </w:rPr>
        <w:t>E</w:t>
      </w:r>
      <w:r w:rsidR="00F52D0C" w:rsidRPr="0087079D">
        <w:rPr>
          <w:rStyle w:val="normaltextrun"/>
          <w:rFonts w:ascii="Arial" w:hAnsi="Arial" w:cs="Arial"/>
          <w:color w:val="2E74B5" w:themeColor="accent1" w:themeShade="BF"/>
          <w:sz w:val="22"/>
          <w:szCs w:val="22"/>
        </w:rPr>
        <w:t xml:space="preserve">ducation systems </w:t>
      </w:r>
      <w:r w:rsidR="00AA1CBC" w:rsidRPr="0087079D">
        <w:rPr>
          <w:rStyle w:val="normaltextrun"/>
          <w:rFonts w:ascii="Arial" w:hAnsi="Arial" w:cs="Arial"/>
          <w:color w:val="2E74B5" w:themeColor="accent1" w:themeShade="BF"/>
          <w:sz w:val="22"/>
          <w:szCs w:val="22"/>
        </w:rPr>
        <w:t xml:space="preserve">often </w:t>
      </w:r>
      <w:r w:rsidR="00F52D0C" w:rsidRPr="0087079D">
        <w:rPr>
          <w:rStyle w:val="normaltextrun"/>
          <w:rFonts w:ascii="Arial" w:hAnsi="Arial" w:cs="Arial"/>
          <w:color w:val="2E74B5" w:themeColor="accent1" w:themeShade="BF"/>
          <w:sz w:val="22"/>
          <w:szCs w:val="22"/>
        </w:rPr>
        <w:t xml:space="preserve">don’t give due consideration to the important role they can play </w:t>
      </w:r>
      <w:r w:rsidR="007D63C4" w:rsidRPr="0087079D">
        <w:rPr>
          <w:rStyle w:val="normaltextrun"/>
          <w:rFonts w:ascii="Arial" w:hAnsi="Arial" w:cs="Arial"/>
          <w:color w:val="2E74B5" w:themeColor="accent1" w:themeShade="BF"/>
          <w:sz w:val="22"/>
          <w:szCs w:val="22"/>
        </w:rPr>
        <w:t>in</w:t>
      </w:r>
      <w:r w:rsidR="00711CA4" w:rsidRPr="0087079D">
        <w:rPr>
          <w:rStyle w:val="normaltextrun"/>
          <w:rFonts w:ascii="Arial" w:hAnsi="Arial" w:cs="Arial"/>
          <w:color w:val="2E74B5" w:themeColor="accent1" w:themeShade="BF"/>
          <w:sz w:val="22"/>
          <w:szCs w:val="22"/>
        </w:rPr>
        <w:t xml:space="preserve"> strengthening culture, such as </w:t>
      </w:r>
      <w:r w:rsidR="00F52D0C" w:rsidRPr="0087079D">
        <w:rPr>
          <w:rStyle w:val="normaltextrun"/>
          <w:rFonts w:ascii="Arial" w:hAnsi="Arial" w:cs="Arial"/>
          <w:color w:val="2E74B5" w:themeColor="accent1" w:themeShade="BF"/>
          <w:sz w:val="22"/>
          <w:szCs w:val="22"/>
        </w:rPr>
        <w:t>heritage safeguarding processes</w:t>
      </w:r>
      <w:r w:rsidR="00711CA4" w:rsidRPr="0087079D">
        <w:rPr>
          <w:rStyle w:val="normaltextrun"/>
          <w:rFonts w:ascii="Arial" w:hAnsi="Arial" w:cs="Arial"/>
          <w:color w:val="2E74B5" w:themeColor="accent1" w:themeShade="BF"/>
          <w:sz w:val="22"/>
          <w:szCs w:val="22"/>
        </w:rPr>
        <w:t>,</w:t>
      </w:r>
      <w:r w:rsidR="00F52D0C" w:rsidRPr="0087079D">
        <w:rPr>
          <w:rStyle w:val="normaltextrun"/>
          <w:rFonts w:ascii="Arial" w:hAnsi="Arial" w:cs="Arial"/>
          <w:color w:val="2E74B5" w:themeColor="accent1" w:themeShade="BF"/>
          <w:sz w:val="22"/>
          <w:szCs w:val="22"/>
        </w:rPr>
        <w:t xml:space="preserve"> nor are they harnessing its potential to improve education quality and relevance. While some progress has been achieved through projects, it tends to be sporadic</w:t>
      </w:r>
      <w:r w:rsidR="00426DE4" w:rsidRPr="0087079D">
        <w:rPr>
          <w:rStyle w:val="normaltextrun"/>
          <w:rFonts w:ascii="Arial" w:hAnsi="Arial" w:cs="Arial"/>
          <w:color w:val="2E74B5" w:themeColor="accent1" w:themeShade="BF"/>
          <w:sz w:val="22"/>
          <w:szCs w:val="22"/>
        </w:rPr>
        <w:t xml:space="preserve"> and may not be maintained due to issues of funding and political will</w:t>
      </w:r>
      <w:r w:rsidR="00F52D0C" w:rsidRPr="0087079D">
        <w:rPr>
          <w:rStyle w:val="normaltextrun"/>
          <w:rFonts w:ascii="Arial" w:hAnsi="Arial" w:cs="Arial"/>
          <w:color w:val="2E74B5" w:themeColor="accent1" w:themeShade="BF"/>
          <w:sz w:val="22"/>
          <w:szCs w:val="22"/>
        </w:rPr>
        <w:t>. </w:t>
      </w:r>
      <w:r w:rsidR="00AA1CBC" w:rsidRPr="0087079D">
        <w:rPr>
          <w:rStyle w:val="normaltextrun"/>
          <w:rFonts w:ascii="Arial" w:hAnsi="Arial" w:cs="Arial"/>
          <w:color w:val="2E74B5" w:themeColor="accent1" w:themeShade="BF"/>
          <w:sz w:val="22"/>
          <w:szCs w:val="22"/>
        </w:rPr>
        <w:t>In crisis situations culture and the arts are not usually prioritized, and quite often even neglected</w:t>
      </w:r>
      <w:r w:rsidR="00AA1CBC" w:rsidRPr="0087079D">
        <w:rPr>
          <w:rStyle w:val="eop"/>
          <w:rFonts w:ascii="Arial" w:hAnsi="Arial" w:cs="Arial"/>
          <w:color w:val="2E74B5" w:themeColor="accent1" w:themeShade="BF"/>
          <w:sz w:val="22"/>
          <w:szCs w:val="22"/>
        </w:rPr>
        <w:t xml:space="preserve">. </w:t>
      </w:r>
      <w:r w:rsidR="007D63C4" w:rsidRPr="0087079D">
        <w:rPr>
          <w:rFonts w:ascii="Arial" w:hAnsi="Arial" w:cs="Arial"/>
          <w:color w:val="2E74B5" w:themeColor="accent1" w:themeShade="BF"/>
          <w:sz w:val="22"/>
          <w:szCs w:val="22"/>
          <w:lang w:val="en-GB"/>
        </w:rPr>
        <w:t xml:space="preserve">In </w:t>
      </w:r>
      <w:r w:rsidR="007D63C4" w:rsidRPr="0087079D">
        <w:rPr>
          <w:rStyle w:val="normaltextrun"/>
          <w:rFonts w:ascii="Arial" w:hAnsi="Arial" w:cs="Arial"/>
          <w:color w:val="2E74B5" w:themeColor="accent1" w:themeShade="BF"/>
          <w:sz w:val="22"/>
          <w:szCs w:val="22"/>
          <w:shd w:val="clear" w:color="auto" w:fill="FFFFFF"/>
        </w:rPr>
        <w:t xml:space="preserve">the cultural and creative industries, education and training are fundamental for each stage of the value chain: creation, production, distribution/dissemination, and access, and professional </w:t>
      </w:r>
      <w:r w:rsidR="007D63C4" w:rsidRPr="0087079D">
        <w:rPr>
          <w:rStyle w:val="normaltextrun"/>
          <w:rFonts w:ascii="Arial" w:hAnsi="Arial" w:cs="Arial"/>
          <w:color w:val="2E74B5" w:themeColor="accent1" w:themeShade="BF"/>
          <w:sz w:val="22"/>
          <w:szCs w:val="22"/>
          <w:shd w:val="clear" w:color="auto" w:fill="FFFFFF"/>
        </w:rPr>
        <w:lastRenderedPageBreak/>
        <w:t xml:space="preserve">training remain indispensable to professionalize the CCIs, particularly in developing countries. </w:t>
      </w:r>
      <w:r w:rsidR="00A2085D" w:rsidRPr="0087079D">
        <w:rPr>
          <w:rFonts w:ascii="Arial" w:hAnsi="Arial" w:cs="Arial"/>
          <w:color w:val="2E74B5" w:themeColor="accent1" w:themeShade="BF"/>
          <w:sz w:val="22"/>
          <w:szCs w:val="22"/>
          <w:lang w:val="en-GB"/>
        </w:rPr>
        <w:t>Moreover</w:t>
      </w:r>
      <w:r w:rsidR="00426DE4" w:rsidRPr="0087079D">
        <w:rPr>
          <w:rFonts w:ascii="Arial" w:hAnsi="Arial" w:cs="Arial"/>
          <w:color w:val="2E74B5" w:themeColor="accent1" w:themeShade="BF"/>
          <w:sz w:val="22"/>
          <w:szCs w:val="22"/>
          <w:lang w:val="en-GB"/>
        </w:rPr>
        <w:t>, at the outset t</w:t>
      </w:r>
      <w:r w:rsidR="007D63C4" w:rsidRPr="0087079D">
        <w:rPr>
          <w:rFonts w:ascii="Arial" w:hAnsi="Arial" w:cs="Arial"/>
          <w:color w:val="2E74B5" w:themeColor="accent1" w:themeShade="BF"/>
          <w:sz w:val="22"/>
          <w:szCs w:val="22"/>
          <w:lang w:val="en-GB"/>
        </w:rPr>
        <w:t xml:space="preserve">he precarious nature of artist employment and reduced access to training can also be a deterrent to pursuing cultural practice. </w:t>
      </w:r>
      <w:r w:rsidR="007D63C4" w:rsidRPr="0087079D">
        <w:rPr>
          <w:rStyle w:val="normaltextrun"/>
          <w:rFonts w:ascii="Arial" w:hAnsi="Arial" w:cs="Arial"/>
          <w:color w:val="2E74B5" w:themeColor="accent1" w:themeShade="BF"/>
          <w:sz w:val="22"/>
          <w:szCs w:val="22"/>
          <w:shd w:val="clear" w:color="auto" w:fill="FFFFFF"/>
        </w:rPr>
        <w:t>Education in terms of audience development is also important so that there is a public that requests and appreciates arts and culture.</w:t>
      </w:r>
    </w:p>
    <w:p w14:paraId="2FCDADC9" w14:textId="77777777" w:rsidR="00F52D0C" w:rsidRPr="0087079D" w:rsidRDefault="00F52D0C" w:rsidP="002F4F00">
      <w:pPr>
        <w:jc w:val="both"/>
        <w:rPr>
          <w:rFonts w:ascii="Arial" w:hAnsi="Arial" w:cs="Arial"/>
          <w:color w:val="2E74B5" w:themeColor="accent1" w:themeShade="BF"/>
          <w:sz w:val="22"/>
          <w:szCs w:val="22"/>
        </w:rPr>
      </w:pPr>
    </w:p>
    <w:p w14:paraId="30AE3F83" w14:textId="77777777" w:rsidR="00567968" w:rsidRPr="00567968" w:rsidRDefault="00920D3C" w:rsidP="00567968">
      <w:pPr>
        <w:jc w:val="both"/>
        <w:rPr>
          <w:rFonts w:ascii="Arial" w:hAnsi="Arial" w:cs="Arial"/>
          <w:color w:val="002060"/>
          <w:sz w:val="22"/>
          <w:szCs w:val="22"/>
        </w:rPr>
      </w:pPr>
      <w:r w:rsidRPr="0087079D">
        <w:rPr>
          <w:rFonts w:ascii="Arial" w:hAnsi="Arial" w:cs="Arial"/>
          <w:b/>
          <w:color w:val="2E74B5" w:themeColor="accent1" w:themeShade="BF"/>
          <w:sz w:val="22"/>
          <w:szCs w:val="22"/>
          <w:lang w:val="en-GB"/>
        </w:rPr>
        <w:t>The international community has become more cognizant of the need for integrated responses to addressing increasingly interconnected and interdependent issues.</w:t>
      </w:r>
      <w:r w:rsidRPr="0087079D">
        <w:rPr>
          <w:rFonts w:ascii="Arial" w:hAnsi="Arial" w:cs="Arial"/>
          <w:color w:val="2E74B5" w:themeColor="accent1" w:themeShade="BF"/>
          <w:sz w:val="22"/>
          <w:szCs w:val="22"/>
        </w:rPr>
        <w:t xml:space="preserve"> </w:t>
      </w:r>
      <w:r w:rsidR="002F4F00" w:rsidRPr="0087079D">
        <w:rPr>
          <w:rFonts w:ascii="Arial" w:hAnsi="Arial" w:cs="Arial"/>
          <w:color w:val="2E74B5" w:themeColor="accent1" w:themeShade="BF"/>
          <w:sz w:val="22"/>
          <w:szCs w:val="22"/>
        </w:rPr>
        <w:t xml:space="preserve">As the 2021 report </w:t>
      </w:r>
      <w:hyperlink r:id="rId11" w:history="1">
        <w:r w:rsidR="002F4F00" w:rsidRPr="0087079D">
          <w:rPr>
            <w:rStyle w:val="Hyperlink"/>
            <w:rFonts w:ascii="Arial" w:hAnsi="Arial" w:cs="Arial"/>
            <w:color w:val="2E74B5" w:themeColor="accent1" w:themeShade="BF"/>
            <w:sz w:val="22"/>
            <w:szCs w:val="22"/>
          </w:rPr>
          <w:t>Reimagining our futures together: a new social contract for education</w:t>
        </w:r>
      </w:hyperlink>
      <w:r w:rsidR="002F4F00" w:rsidRPr="0087079D">
        <w:rPr>
          <w:rFonts w:ascii="Arial" w:hAnsi="Arial" w:cs="Arial"/>
          <w:color w:val="2E74B5" w:themeColor="accent1" w:themeShade="BF"/>
          <w:sz w:val="22"/>
          <w:szCs w:val="22"/>
        </w:rPr>
        <w:t xml:space="preserve"> by the International Commission on the Futures of Education states, education operates in siloes and has come to be structured in narrow, limiting and homogenized ways. It calls for education to be enriched by a greater diversity of cultural experiences and ways of knowing and being, affirming that “a new social contract must be grounded in human rights and based on principles of non-discrimination, social justice, respect for life, human dignity and cultural diversity.”</w:t>
      </w:r>
      <w:r w:rsidR="00567968">
        <w:rPr>
          <w:rFonts w:ascii="Arial" w:hAnsi="Arial" w:cs="Arial"/>
          <w:color w:val="002060"/>
          <w:sz w:val="22"/>
          <w:szCs w:val="22"/>
        </w:rPr>
        <w:t xml:space="preserve"> </w:t>
      </w:r>
      <w:r w:rsidR="00567968" w:rsidRPr="00567968">
        <w:rPr>
          <w:rFonts w:ascii="Arial" w:hAnsi="Arial" w:cs="Arial"/>
          <w:color w:val="002060"/>
          <w:sz w:val="22"/>
          <w:szCs w:val="22"/>
        </w:rPr>
        <w:t>calls for a new social contract in education, calls for valuing  of  different  cultures and epistemologies, different ways of living and seeing the world in order to build a pedagogy of solidarity. It also asserts that “</w:t>
      </w:r>
      <w:proofErr w:type="gramStart"/>
      <w:r w:rsidR="00567968" w:rsidRPr="00567968">
        <w:rPr>
          <w:rFonts w:ascii="Arial" w:hAnsi="Arial" w:cs="Arial"/>
          <w:color w:val="002060"/>
          <w:sz w:val="22"/>
          <w:szCs w:val="22"/>
        </w:rPr>
        <w:t>Knowledge  and</w:t>
      </w:r>
      <w:proofErr w:type="gramEnd"/>
      <w:r w:rsidR="00567968" w:rsidRPr="00567968">
        <w:rPr>
          <w:rFonts w:ascii="Arial" w:hAnsi="Arial" w:cs="Arial"/>
          <w:color w:val="002060"/>
          <w:sz w:val="22"/>
          <w:szCs w:val="22"/>
        </w:rPr>
        <w:t xml:space="preserve">  study  of  human  society  and  culture  are  essential  to  helping  students  to  learn  a  wide range of approaches to the problems that face them.” Furthermore, the work of the Global Citizenship Education Team</w:t>
      </w:r>
      <w:proofErr w:type="gramStart"/>
      <w:r w:rsidR="00567968" w:rsidRPr="00567968">
        <w:rPr>
          <w:rFonts w:ascii="Arial" w:hAnsi="Arial" w:cs="Arial"/>
          <w:color w:val="002060"/>
          <w:sz w:val="22"/>
          <w:szCs w:val="22"/>
        </w:rPr>
        <w:t>, in particular, aims</w:t>
      </w:r>
      <w:proofErr w:type="gramEnd"/>
      <w:r w:rsidR="00567968" w:rsidRPr="00567968">
        <w:rPr>
          <w:rFonts w:ascii="Arial" w:hAnsi="Arial" w:cs="Arial"/>
          <w:color w:val="002060"/>
          <w:sz w:val="22"/>
          <w:szCs w:val="22"/>
        </w:rPr>
        <w:t xml:space="preserve"> to expand knowledge on how local knowledge systems contribute to adapted pedagogies, for example, Global Citizenship Education: taking it local.</w:t>
      </w:r>
      <w:r w:rsidR="00567968" w:rsidRPr="00567968">
        <w:rPr>
          <w:rFonts w:ascii="Arial" w:hAnsi="Arial" w:cs="Arial"/>
          <w:color w:val="002060"/>
          <w:sz w:val="22"/>
          <w:szCs w:val="22"/>
          <w:vertAlign w:val="superscript"/>
        </w:rPr>
        <w:footnoteReference w:id="2"/>
      </w:r>
      <w:r w:rsidR="00567968" w:rsidRPr="00567968">
        <w:rPr>
          <w:rFonts w:ascii="Arial" w:hAnsi="Arial" w:cs="Arial"/>
          <w:color w:val="002060"/>
          <w:sz w:val="22"/>
          <w:szCs w:val="22"/>
        </w:rPr>
        <w:t xml:space="preserve"> </w:t>
      </w:r>
    </w:p>
    <w:p w14:paraId="216946BB" w14:textId="27C75823" w:rsidR="002F4F00" w:rsidRPr="00426DE4" w:rsidRDefault="002F4F00" w:rsidP="00F52D0C">
      <w:pPr>
        <w:jc w:val="both"/>
        <w:rPr>
          <w:rFonts w:ascii="Arial" w:hAnsi="Arial" w:cs="Arial"/>
          <w:b/>
          <w:color w:val="002060"/>
          <w:sz w:val="22"/>
          <w:szCs w:val="22"/>
          <w:lang w:val="en-GB"/>
        </w:rPr>
      </w:pPr>
      <w:r w:rsidRPr="00426DE4">
        <w:rPr>
          <w:rFonts w:ascii="Arial" w:hAnsi="Arial" w:cs="Arial"/>
          <w:color w:val="002060"/>
          <w:sz w:val="22"/>
          <w:szCs w:val="22"/>
        </w:rPr>
        <w:t xml:space="preserve"> </w:t>
      </w:r>
      <w:r w:rsidRPr="0087079D">
        <w:rPr>
          <w:rFonts w:ascii="Arial" w:hAnsi="Arial" w:cs="Arial"/>
          <w:color w:val="2E74B5" w:themeColor="accent1" w:themeShade="BF"/>
          <w:sz w:val="22"/>
          <w:szCs w:val="22"/>
          <w:lang w:val="en-GB"/>
        </w:rPr>
        <w:t xml:space="preserve">In the same year, the report </w:t>
      </w:r>
      <w:hyperlink r:id="rId12" w:history="1">
        <w:r w:rsidRPr="0087079D">
          <w:rPr>
            <w:rStyle w:val="Hyperlink"/>
            <w:rFonts w:ascii="Arial" w:hAnsi="Arial" w:cs="Arial"/>
            <w:color w:val="2E74B5" w:themeColor="accent1" w:themeShade="BF"/>
            <w:sz w:val="22"/>
            <w:szCs w:val="22"/>
          </w:rPr>
          <w:t>Right to Education: the cultural dimensions of the right to education, or the right to education as a cultural right</w:t>
        </w:r>
      </w:hyperlink>
      <w:r w:rsidRPr="0087079D">
        <w:rPr>
          <w:rStyle w:val="Hyperlink"/>
          <w:rFonts w:ascii="Arial" w:hAnsi="Arial" w:cs="Arial"/>
          <w:color w:val="2E74B5" w:themeColor="accent1" w:themeShade="BF"/>
          <w:sz w:val="22"/>
          <w:szCs w:val="22"/>
        </w:rPr>
        <w:t xml:space="preserve"> </w:t>
      </w:r>
      <w:r w:rsidRPr="0087079D">
        <w:rPr>
          <w:rFonts w:ascii="Arial" w:hAnsi="Arial" w:cs="Arial"/>
          <w:color w:val="2E74B5" w:themeColor="accent1" w:themeShade="BF"/>
          <w:sz w:val="22"/>
          <w:szCs w:val="22"/>
          <w:lang w:val="en-GB"/>
        </w:rPr>
        <w:t xml:space="preserve">by </w:t>
      </w:r>
      <w:r w:rsidRPr="0087079D">
        <w:rPr>
          <w:rFonts w:ascii="Arial" w:hAnsi="Arial" w:cs="Arial"/>
          <w:color w:val="2E74B5" w:themeColor="accent1" w:themeShade="BF"/>
          <w:sz w:val="22"/>
          <w:szCs w:val="22"/>
        </w:rPr>
        <w:t>the former UN Special Rapporteur on the right to education, also highlights how culture contributes to the realization of universal right to inclusive and quality education.</w:t>
      </w:r>
      <w:r w:rsidRPr="0087079D">
        <w:rPr>
          <w:rFonts w:ascii="Arial" w:hAnsi="Arial" w:cs="Arial"/>
          <w:b/>
          <w:color w:val="2E74B5" w:themeColor="accent1" w:themeShade="BF"/>
          <w:sz w:val="22"/>
          <w:szCs w:val="22"/>
          <w:lang w:val="en-GB"/>
        </w:rPr>
        <w:t xml:space="preserve"> </w:t>
      </w:r>
      <w:proofErr w:type="gramStart"/>
      <w:r w:rsidRPr="0087079D">
        <w:rPr>
          <w:rFonts w:ascii="Arial" w:hAnsi="Arial" w:cs="Arial"/>
          <w:color w:val="2E74B5" w:themeColor="accent1" w:themeShade="BF"/>
          <w:sz w:val="22"/>
          <w:szCs w:val="22"/>
        </w:rPr>
        <w:t>Culturally-embedded</w:t>
      </w:r>
      <w:proofErr w:type="gramEnd"/>
      <w:r w:rsidRPr="0087079D">
        <w:rPr>
          <w:rFonts w:ascii="Arial" w:hAnsi="Arial" w:cs="Arial"/>
          <w:color w:val="2E74B5" w:themeColor="accent1" w:themeShade="BF"/>
          <w:sz w:val="22"/>
          <w:szCs w:val="22"/>
        </w:rPr>
        <w:t xml:space="preserve"> education also enhances, in a cross-cutting manner, the achievement of the Sustainable Development Goals (SDGs), particularly SDG 4 on quality education, SDG 5 on gender equality, SDG 8 on enhancing opportunities for decent work and employment through culture and creativity, and conflict mitigation and peace-building, in the spirit of SDG 16.</w:t>
      </w:r>
      <w:r w:rsidRPr="0087079D">
        <w:rPr>
          <w:rFonts w:ascii="Arial" w:hAnsi="Arial" w:cs="Arial"/>
          <w:color w:val="2E74B5" w:themeColor="accent1" w:themeShade="BF"/>
          <w:sz w:val="22"/>
          <w:szCs w:val="22"/>
          <w:lang w:eastAsia="en-GB"/>
        </w:rPr>
        <w:t xml:space="preserve"> </w:t>
      </w:r>
      <w:r w:rsidRPr="0087079D">
        <w:rPr>
          <w:rFonts w:ascii="Arial" w:hAnsi="Arial" w:cs="Arial"/>
          <w:bCs/>
          <w:color w:val="2E74B5" w:themeColor="accent1" w:themeShade="BF"/>
          <w:sz w:val="22"/>
          <w:szCs w:val="22"/>
        </w:rPr>
        <w:t>Culture’s contribution to education is notably inscribed within the implementation of SDG 4.7 for the promotion of cultural diversity and culture’s contribution to sustainable development.</w:t>
      </w:r>
      <w:r w:rsidRPr="0087079D">
        <w:rPr>
          <w:rStyle w:val="FootnoteReference"/>
          <w:rFonts w:ascii="Arial" w:hAnsi="Arial" w:cs="Arial"/>
          <w:bCs/>
          <w:color w:val="2E74B5" w:themeColor="accent1" w:themeShade="BF"/>
          <w:sz w:val="22"/>
          <w:szCs w:val="22"/>
        </w:rPr>
        <w:footnoteReference w:id="3"/>
      </w:r>
    </w:p>
    <w:p w14:paraId="376542C2" w14:textId="77777777" w:rsidR="002F4F00" w:rsidRPr="00426DE4" w:rsidRDefault="002F4F00" w:rsidP="00690AF3">
      <w:pPr>
        <w:jc w:val="both"/>
        <w:rPr>
          <w:rFonts w:ascii="Arial" w:hAnsi="Arial" w:cs="Arial"/>
          <w:color w:val="002060"/>
          <w:sz w:val="22"/>
          <w:szCs w:val="22"/>
        </w:rPr>
      </w:pPr>
    </w:p>
    <w:p w14:paraId="5D745C6E" w14:textId="00FDC85E" w:rsidR="002F4F00" w:rsidRDefault="002F4F00" w:rsidP="00F25310">
      <w:pPr>
        <w:jc w:val="both"/>
        <w:rPr>
          <w:rFonts w:ascii="Arial" w:hAnsi="Arial" w:cs="Arial"/>
          <w:color w:val="002060"/>
          <w:sz w:val="22"/>
          <w:szCs w:val="22"/>
        </w:rPr>
      </w:pPr>
      <w:r w:rsidRPr="0087079D">
        <w:rPr>
          <w:rFonts w:ascii="Arial" w:hAnsi="Arial" w:cs="Arial"/>
          <w:b/>
          <w:color w:val="2E74B5" w:themeColor="accent1" w:themeShade="BF"/>
          <w:sz w:val="22"/>
          <w:szCs w:val="22"/>
          <w:lang w:val="en-GB"/>
        </w:rPr>
        <w:t>In recent years, UNESCO Member States have called on leveraging UNESCO’s multidisciplinary and multisectoral mandate, particularly in the field of culture and education, to support more integrated actions.</w:t>
      </w:r>
      <w:r w:rsidRPr="0087079D">
        <w:rPr>
          <w:rFonts w:ascii="Arial" w:hAnsi="Arial" w:cs="Arial"/>
          <w:color w:val="2E74B5" w:themeColor="accent1" w:themeShade="BF"/>
          <w:sz w:val="22"/>
          <w:szCs w:val="22"/>
          <w:lang w:val="en-GB"/>
        </w:rPr>
        <w:t xml:space="preserve"> Closer synergies and cooperation between the fields of culture and education, two pillars of UNESCO’s mandate, have been pursued as a means of addressing today’s interconnected challenges and enabling learners to adapt to fast-evolving contexts, </w:t>
      </w:r>
      <w:proofErr w:type="gramStart"/>
      <w:r w:rsidRPr="0087079D">
        <w:rPr>
          <w:rFonts w:ascii="Arial" w:hAnsi="Arial" w:cs="Arial"/>
          <w:color w:val="2E74B5" w:themeColor="accent1" w:themeShade="BF"/>
          <w:sz w:val="22"/>
          <w:szCs w:val="22"/>
          <w:lang w:val="en-GB"/>
        </w:rPr>
        <w:t>opportunities</w:t>
      </w:r>
      <w:proofErr w:type="gramEnd"/>
      <w:r w:rsidRPr="0087079D">
        <w:rPr>
          <w:rFonts w:ascii="Arial" w:hAnsi="Arial" w:cs="Arial"/>
          <w:color w:val="2E74B5" w:themeColor="accent1" w:themeShade="BF"/>
          <w:sz w:val="22"/>
          <w:szCs w:val="22"/>
          <w:lang w:val="en-GB"/>
        </w:rPr>
        <w:t xml:space="preserve"> and challenges. </w:t>
      </w:r>
      <w:r w:rsidR="004C5FAD" w:rsidRPr="0087079D">
        <w:rPr>
          <w:rFonts w:ascii="Arial" w:hAnsi="Arial" w:cs="Arial"/>
          <w:b/>
          <w:color w:val="2E74B5" w:themeColor="accent1" w:themeShade="BF"/>
          <w:sz w:val="22"/>
          <w:szCs w:val="22"/>
          <w:lang w:val="en-GB"/>
        </w:rPr>
        <w:t xml:space="preserve">Notably, UNESCO </w:t>
      </w:r>
      <w:r w:rsidRPr="0087079D">
        <w:rPr>
          <w:rFonts w:ascii="Arial" w:hAnsi="Arial" w:cs="Arial"/>
          <w:b/>
          <w:color w:val="2E74B5" w:themeColor="accent1" w:themeShade="BF"/>
          <w:sz w:val="22"/>
          <w:szCs w:val="22"/>
          <w:lang w:val="en-GB"/>
        </w:rPr>
        <w:t>Member States requested</w:t>
      </w:r>
      <w:r w:rsidR="004C5FAD" w:rsidRPr="0087079D">
        <w:rPr>
          <w:rFonts w:ascii="Arial" w:hAnsi="Arial" w:cs="Arial"/>
          <w:b/>
          <w:color w:val="2E74B5" w:themeColor="accent1" w:themeShade="BF"/>
          <w:sz w:val="22"/>
          <w:szCs w:val="22"/>
          <w:lang w:val="en-GB"/>
        </w:rPr>
        <w:t xml:space="preserve"> in April 2021 </w:t>
      </w:r>
      <w:r w:rsidRPr="0087079D">
        <w:rPr>
          <w:rFonts w:ascii="Arial" w:hAnsi="Arial" w:cs="Arial"/>
          <w:b/>
          <w:color w:val="2E74B5" w:themeColor="accent1" w:themeShade="BF"/>
          <w:sz w:val="22"/>
          <w:szCs w:val="22"/>
          <w:lang w:val="en-GB"/>
        </w:rPr>
        <w:t>the development of a new Framework for Culture and Arts Education</w:t>
      </w:r>
      <w:r w:rsidRPr="0087079D">
        <w:rPr>
          <w:rFonts w:ascii="Arial" w:hAnsi="Arial" w:cs="Arial"/>
          <w:color w:val="2E74B5" w:themeColor="accent1" w:themeShade="BF"/>
          <w:sz w:val="22"/>
          <w:szCs w:val="22"/>
          <w:lang w:val="en-GB"/>
        </w:rPr>
        <w:t xml:space="preserve"> to take into consideration a broadened understanding of culture, and emerging challenges and opportunities, including those of the digital transformation. The process prioritizes a holistic point of departure that encompasses the different forms of cultural and artistic education (formal, non-formal and informal learning), as well as their contribution to economic, </w:t>
      </w:r>
      <w:proofErr w:type="gramStart"/>
      <w:r w:rsidRPr="0087079D">
        <w:rPr>
          <w:rFonts w:ascii="Arial" w:hAnsi="Arial" w:cs="Arial"/>
          <w:color w:val="2E74B5" w:themeColor="accent1" w:themeShade="BF"/>
          <w:sz w:val="22"/>
          <w:szCs w:val="22"/>
          <w:lang w:val="en-GB"/>
        </w:rPr>
        <w:t>social</w:t>
      </w:r>
      <w:proofErr w:type="gramEnd"/>
      <w:r w:rsidRPr="0087079D">
        <w:rPr>
          <w:rFonts w:ascii="Arial" w:hAnsi="Arial" w:cs="Arial"/>
          <w:color w:val="2E74B5" w:themeColor="accent1" w:themeShade="BF"/>
          <w:sz w:val="22"/>
          <w:szCs w:val="22"/>
          <w:lang w:val="en-GB"/>
        </w:rPr>
        <w:t xml:space="preserve"> and environmental development. </w:t>
      </w:r>
      <w:r w:rsidRPr="0087079D">
        <w:rPr>
          <w:rFonts w:ascii="Arial" w:hAnsi="Arial" w:cs="Arial"/>
          <w:color w:val="2E74B5" w:themeColor="accent1" w:themeShade="BF"/>
          <w:sz w:val="22"/>
          <w:szCs w:val="22"/>
          <w:lang w:eastAsia="en-GB"/>
        </w:rPr>
        <w:t xml:space="preserve">In increasingly </w:t>
      </w:r>
      <w:proofErr w:type="gramStart"/>
      <w:r w:rsidRPr="0087079D">
        <w:rPr>
          <w:rFonts w:ascii="Arial" w:hAnsi="Arial" w:cs="Arial"/>
          <w:color w:val="2E74B5" w:themeColor="accent1" w:themeShade="BF"/>
          <w:sz w:val="22"/>
          <w:szCs w:val="22"/>
          <w:lang w:eastAsia="en-GB"/>
        </w:rPr>
        <w:t>culturally-diverse</w:t>
      </w:r>
      <w:proofErr w:type="gramEnd"/>
      <w:r w:rsidRPr="0087079D">
        <w:rPr>
          <w:rFonts w:ascii="Arial" w:hAnsi="Arial" w:cs="Arial"/>
          <w:color w:val="2E74B5" w:themeColor="accent1" w:themeShade="BF"/>
          <w:sz w:val="22"/>
          <w:szCs w:val="22"/>
          <w:lang w:eastAsia="en-GB"/>
        </w:rPr>
        <w:t xml:space="preserve"> societies, having the intercultural competences and knowledge of different cultures also nurtures tolerance and respect, and thus lays the ground for conflict prevention. </w:t>
      </w:r>
      <w:r w:rsidRPr="0087079D">
        <w:rPr>
          <w:rFonts w:ascii="Arial" w:hAnsi="Arial" w:cs="Arial"/>
          <w:color w:val="2E74B5" w:themeColor="accent1" w:themeShade="BF"/>
          <w:sz w:val="22"/>
          <w:szCs w:val="22"/>
        </w:rPr>
        <w:t xml:space="preserve">This can help </w:t>
      </w:r>
      <w:r w:rsidRPr="0087079D">
        <w:rPr>
          <w:rFonts w:ascii="Arial" w:hAnsi="Arial" w:cs="Arial"/>
          <w:bCs/>
          <w:color w:val="2E74B5" w:themeColor="accent1" w:themeShade="BF"/>
          <w:sz w:val="22"/>
          <w:szCs w:val="22"/>
        </w:rPr>
        <w:t xml:space="preserve">young people </w:t>
      </w:r>
      <w:r w:rsidRPr="0087079D">
        <w:rPr>
          <w:rFonts w:ascii="Arial" w:hAnsi="Arial" w:cs="Arial"/>
          <w:bCs/>
          <w:color w:val="2E74B5" w:themeColor="accent1" w:themeShade="BF"/>
          <w:sz w:val="22"/>
          <w:szCs w:val="22"/>
        </w:rPr>
        <w:lastRenderedPageBreak/>
        <w:t xml:space="preserve">become more aware of the processes </w:t>
      </w:r>
      <w:r w:rsidR="004C5FAD" w:rsidRPr="0087079D">
        <w:rPr>
          <w:rFonts w:ascii="Arial" w:hAnsi="Arial" w:cs="Arial"/>
          <w:bCs/>
          <w:color w:val="2E74B5" w:themeColor="accent1" w:themeShade="BF"/>
          <w:sz w:val="22"/>
          <w:szCs w:val="22"/>
        </w:rPr>
        <w:t xml:space="preserve">and conditions </w:t>
      </w:r>
      <w:r w:rsidRPr="0087079D">
        <w:rPr>
          <w:rFonts w:ascii="Arial" w:hAnsi="Arial" w:cs="Arial"/>
          <w:bCs/>
          <w:color w:val="2E74B5" w:themeColor="accent1" w:themeShade="BF"/>
          <w:sz w:val="22"/>
          <w:szCs w:val="22"/>
        </w:rPr>
        <w:t xml:space="preserve">that </w:t>
      </w:r>
      <w:r w:rsidR="004C5FAD" w:rsidRPr="0087079D">
        <w:rPr>
          <w:rFonts w:ascii="Arial" w:hAnsi="Arial" w:cs="Arial"/>
          <w:bCs/>
          <w:color w:val="2E74B5" w:themeColor="accent1" w:themeShade="BF"/>
          <w:sz w:val="22"/>
          <w:szCs w:val="22"/>
        </w:rPr>
        <w:t>may</w:t>
      </w:r>
      <w:r w:rsidRPr="0087079D">
        <w:rPr>
          <w:rFonts w:ascii="Arial" w:hAnsi="Arial" w:cs="Arial"/>
          <w:bCs/>
          <w:color w:val="2E74B5" w:themeColor="accent1" w:themeShade="BF"/>
          <w:sz w:val="22"/>
          <w:szCs w:val="22"/>
        </w:rPr>
        <w:t xml:space="preserve"> lead societies to violence.</w:t>
      </w:r>
      <w:r w:rsidRPr="0087079D">
        <w:rPr>
          <w:rFonts w:ascii="Arial" w:hAnsi="Arial" w:cs="Arial"/>
          <w:color w:val="2E74B5" w:themeColor="accent1" w:themeShade="BF"/>
          <w:sz w:val="22"/>
          <w:szCs w:val="22"/>
        </w:rPr>
        <w:t xml:space="preserve"> </w:t>
      </w:r>
      <w:r w:rsidRPr="004B1005">
        <w:rPr>
          <w:rFonts w:ascii="Arial" w:hAnsi="Arial" w:cs="Arial"/>
          <w:color w:val="002060"/>
          <w:sz w:val="22"/>
          <w:szCs w:val="22"/>
        </w:rPr>
        <w:t xml:space="preserve">UNESCO assists countries in delivering culture and education </w:t>
      </w:r>
      <w:proofErr w:type="spellStart"/>
      <w:r w:rsidRPr="004B1005">
        <w:rPr>
          <w:rFonts w:ascii="Arial" w:hAnsi="Arial" w:cs="Arial"/>
          <w:color w:val="002060"/>
          <w:sz w:val="22"/>
          <w:szCs w:val="22"/>
        </w:rPr>
        <w:t>programmes</w:t>
      </w:r>
      <w:proofErr w:type="spellEnd"/>
      <w:r w:rsidRPr="004B1005">
        <w:rPr>
          <w:rFonts w:ascii="Arial" w:hAnsi="Arial" w:cs="Arial"/>
          <w:color w:val="002060"/>
          <w:sz w:val="22"/>
          <w:szCs w:val="22"/>
        </w:rPr>
        <w:t xml:space="preserve"> that help build learners' resilience to violent extremism and mitigate the drivers of the phenomena. </w:t>
      </w:r>
      <w:r w:rsidR="00426DE4" w:rsidRPr="004B1005">
        <w:rPr>
          <w:rFonts w:ascii="Arial" w:hAnsi="Arial" w:cs="Arial"/>
          <w:color w:val="002060"/>
          <w:sz w:val="22"/>
          <w:szCs w:val="22"/>
          <w:lang w:val="en-GB"/>
        </w:rPr>
        <w:t xml:space="preserve">Based on a global questionnaire on culture and arts education distributed to all Member States in 2022, </w:t>
      </w:r>
      <w:r w:rsidR="00F25310" w:rsidRPr="004B1005">
        <w:rPr>
          <w:rFonts w:ascii="Arial" w:hAnsi="Arial" w:cs="Arial"/>
          <w:color w:val="002060"/>
          <w:sz w:val="22"/>
          <w:szCs w:val="22"/>
          <w:lang w:val="en-GB"/>
        </w:rPr>
        <w:t>a key</w:t>
      </w:r>
      <w:r w:rsidR="00426DE4" w:rsidRPr="004B1005">
        <w:rPr>
          <w:rFonts w:ascii="Arial" w:hAnsi="Arial" w:cs="Arial"/>
          <w:color w:val="002060"/>
          <w:sz w:val="22"/>
          <w:szCs w:val="22"/>
          <w:lang w:val="en-GB"/>
        </w:rPr>
        <w:t xml:space="preserve"> </w:t>
      </w:r>
      <w:r w:rsidR="00F25310" w:rsidRPr="004B1005">
        <w:rPr>
          <w:rFonts w:ascii="Arial" w:hAnsi="Arial" w:cs="Arial"/>
          <w:color w:val="002060"/>
          <w:sz w:val="22"/>
          <w:szCs w:val="22"/>
          <w:lang w:val="en-GB"/>
        </w:rPr>
        <w:t>evolution in culture and arts education</w:t>
      </w:r>
      <w:r w:rsidR="00426DE4" w:rsidRPr="004B1005">
        <w:rPr>
          <w:rFonts w:ascii="Arial" w:hAnsi="Arial" w:cs="Arial"/>
          <w:color w:val="002060"/>
          <w:sz w:val="22"/>
          <w:szCs w:val="22"/>
          <w:lang w:val="en-GB"/>
        </w:rPr>
        <w:t xml:space="preserve"> </w:t>
      </w:r>
      <w:r w:rsidR="00F25310" w:rsidRPr="004B1005">
        <w:rPr>
          <w:rFonts w:ascii="Arial" w:hAnsi="Arial" w:cs="Arial"/>
          <w:color w:val="002060"/>
          <w:sz w:val="22"/>
          <w:szCs w:val="22"/>
          <w:lang w:val="en-GB"/>
        </w:rPr>
        <w:t>over the past decade</w:t>
      </w:r>
      <w:r w:rsidR="004B1005">
        <w:rPr>
          <w:rFonts w:ascii="Arial" w:hAnsi="Arial" w:cs="Arial"/>
          <w:color w:val="002060"/>
          <w:sz w:val="22"/>
          <w:szCs w:val="22"/>
          <w:lang w:val="en-GB"/>
        </w:rPr>
        <w:t xml:space="preserve"> has been</w:t>
      </w:r>
      <w:r w:rsidR="00426DE4" w:rsidRPr="004B1005">
        <w:rPr>
          <w:rFonts w:ascii="Arial" w:hAnsi="Arial" w:cs="Arial"/>
          <w:color w:val="002060"/>
          <w:sz w:val="22"/>
          <w:szCs w:val="22"/>
          <w:lang w:val="en-GB"/>
        </w:rPr>
        <w:t xml:space="preserve"> </w:t>
      </w:r>
      <w:r w:rsidR="00F25310" w:rsidRPr="004B1005">
        <w:rPr>
          <w:rFonts w:ascii="Arial" w:hAnsi="Arial" w:cs="Arial"/>
          <w:color w:val="002060"/>
          <w:sz w:val="22"/>
          <w:szCs w:val="22"/>
          <w:lang w:val="en-GB"/>
        </w:rPr>
        <w:t>the increased</w:t>
      </w:r>
      <w:r w:rsidR="00426DE4" w:rsidRPr="004B1005">
        <w:rPr>
          <w:rFonts w:ascii="Arial" w:hAnsi="Arial" w:cs="Arial"/>
          <w:color w:val="002060"/>
          <w:sz w:val="22"/>
          <w:szCs w:val="22"/>
          <w:lang w:val="en-GB"/>
        </w:rPr>
        <w:t xml:space="preserve"> </w:t>
      </w:r>
      <w:r w:rsidR="004B1005" w:rsidRPr="004B1005">
        <w:rPr>
          <w:rFonts w:ascii="Arial" w:hAnsi="Arial" w:cs="Arial"/>
          <w:color w:val="002060"/>
          <w:sz w:val="22"/>
          <w:szCs w:val="22"/>
          <w:lang w:val="en-GB"/>
        </w:rPr>
        <w:t xml:space="preserve">awareness of </w:t>
      </w:r>
      <w:r w:rsidR="00426DE4" w:rsidRPr="004B1005">
        <w:rPr>
          <w:rFonts w:ascii="Arial" w:hAnsi="Arial" w:cs="Arial"/>
          <w:color w:val="002060"/>
          <w:sz w:val="22"/>
          <w:szCs w:val="22"/>
          <w:lang w:val="en-GB"/>
        </w:rPr>
        <w:t>cultural diversity of societies</w:t>
      </w:r>
      <w:r w:rsidR="004B1005">
        <w:rPr>
          <w:rFonts w:ascii="Arial" w:hAnsi="Arial" w:cs="Arial"/>
          <w:color w:val="002060"/>
          <w:sz w:val="22"/>
          <w:szCs w:val="22"/>
          <w:lang w:val="en-GB"/>
        </w:rPr>
        <w:t>,</w:t>
      </w:r>
      <w:r w:rsidR="00F25310" w:rsidRPr="004B1005">
        <w:rPr>
          <w:rFonts w:ascii="Arial" w:hAnsi="Arial" w:cs="Arial"/>
          <w:color w:val="002060"/>
          <w:sz w:val="22"/>
          <w:szCs w:val="22"/>
          <w:lang w:val="en-GB"/>
        </w:rPr>
        <w:t xml:space="preserve"> </w:t>
      </w:r>
      <w:r w:rsidR="00F25310" w:rsidRPr="004B1005">
        <w:rPr>
          <w:rFonts w:ascii="Arial" w:hAnsi="Arial" w:cs="Arial"/>
          <w:color w:val="002060"/>
          <w:sz w:val="22"/>
          <w:szCs w:val="22"/>
        </w:rPr>
        <w:t>prompted by migration and digital technologies and media.</w:t>
      </w:r>
      <w:r w:rsidR="004B1005" w:rsidRPr="004B1005">
        <w:rPr>
          <w:rFonts w:ascii="Arial" w:hAnsi="Arial" w:cs="Arial"/>
          <w:color w:val="002060"/>
          <w:sz w:val="22"/>
          <w:szCs w:val="22"/>
        </w:rPr>
        <w:t xml:space="preserve"> </w:t>
      </w:r>
      <w:r w:rsidR="004B1005">
        <w:rPr>
          <w:rFonts w:ascii="Arial" w:hAnsi="Arial" w:cs="Arial"/>
          <w:color w:val="002060"/>
          <w:sz w:val="22"/>
          <w:szCs w:val="22"/>
        </w:rPr>
        <w:t>This has also placed</w:t>
      </w:r>
      <w:r w:rsidR="004B1005" w:rsidRPr="004B1005">
        <w:rPr>
          <w:rFonts w:ascii="Arial" w:hAnsi="Arial" w:cs="Arial"/>
          <w:color w:val="002060"/>
          <w:sz w:val="22"/>
          <w:szCs w:val="22"/>
        </w:rPr>
        <w:t xml:space="preserve"> high</w:t>
      </w:r>
      <w:r w:rsidR="004B1005">
        <w:rPr>
          <w:rFonts w:ascii="Arial" w:hAnsi="Arial" w:cs="Arial"/>
          <w:color w:val="002060"/>
          <w:sz w:val="22"/>
          <w:szCs w:val="22"/>
        </w:rPr>
        <w:t>er</w:t>
      </w:r>
      <w:r w:rsidR="004B1005" w:rsidRPr="004B1005">
        <w:rPr>
          <w:rFonts w:ascii="Arial" w:hAnsi="Arial" w:cs="Arial"/>
          <w:color w:val="002060"/>
          <w:sz w:val="22"/>
          <w:szCs w:val="22"/>
        </w:rPr>
        <w:t xml:space="preserve"> demands on the ability of people to live with and appreciate the values inherent in cultural diversity.</w:t>
      </w:r>
    </w:p>
    <w:p w14:paraId="49C19C0D" w14:textId="77777777" w:rsidR="00586C62" w:rsidRDefault="00586C62" w:rsidP="00F25310">
      <w:pPr>
        <w:jc w:val="both"/>
        <w:rPr>
          <w:rFonts w:ascii="Arial" w:hAnsi="Arial" w:cs="Arial"/>
          <w:color w:val="002060"/>
          <w:sz w:val="22"/>
          <w:szCs w:val="22"/>
        </w:rPr>
      </w:pPr>
    </w:p>
    <w:p w14:paraId="6A1E2C6D" w14:textId="490A12C4" w:rsidR="00586C62" w:rsidRPr="00426DE4" w:rsidRDefault="00586C62" w:rsidP="00594247">
      <w:pPr>
        <w:jc w:val="both"/>
        <w:rPr>
          <w:rFonts w:ascii="Arial" w:hAnsi="Arial" w:cs="Arial"/>
          <w:color w:val="002060"/>
          <w:sz w:val="22"/>
          <w:szCs w:val="22"/>
        </w:rPr>
      </w:pPr>
      <w:r w:rsidRPr="00594247">
        <w:rPr>
          <w:rFonts w:ascii="Arial" w:hAnsi="Arial" w:cs="Arial"/>
          <w:b/>
          <w:bCs/>
          <w:color w:val="002060"/>
          <w:sz w:val="22"/>
          <w:szCs w:val="22"/>
        </w:rPr>
        <w:t>UNESCO is also engaged in updating its 1974</w:t>
      </w:r>
      <w:r w:rsidR="00594247" w:rsidRPr="00594247" w:rsidDel="00594247">
        <w:rPr>
          <w:rFonts w:ascii="Arial" w:hAnsi="Arial" w:cs="Arial"/>
          <w:b/>
          <w:bCs/>
          <w:color w:val="002060"/>
          <w:sz w:val="22"/>
          <w:szCs w:val="22"/>
        </w:rPr>
        <w:t xml:space="preserve"> </w:t>
      </w:r>
      <w:hyperlink r:id="rId13" w:history="1">
        <w:r w:rsidRPr="00594247">
          <w:rPr>
            <w:rStyle w:val="Hyperlink"/>
            <w:rFonts w:ascii="Arial" w:hAnsi="Arial" w:cs="Arial"/>
            <w:b/>
            <w:bCs/>
            <w:sz w:val="22"/>
            <w:szCs w:val="22"/>
          </w:rPr>
          <w:t>Recommendation concerning education for international understanding, co-operation and peace and education relating to human rights and fundamental freedoms</w:t>
        </w:r>
      </w:hyperlink>
      <w:r w:rsidRPr="00594247">
        <w:rPr>
          <w:rFonts w:ascii="Arial" w:hAnsi="Arial" w:cs="Arial"/>
          <w:b/>
          <w:bCs/>
          <w:color w:val="002060"/>
          <w:sz w:val="22"/>
          <w:szCs w:val="22"/>
        </w:rPr>
        <w:t> is considered a landmark legal instrument that brings together for the first time peace, international understanding, human rights, fundamental freedoms and education.</w:t>
      </w:r>
      <w:r w:rsidR="00FB498D">
        <w:rPr>
          <w:rStyle w:val="FootnoteReference"/>
          <w:rFonts w:ascii="Arial" w:hAnsi="Arial"/>
          <w:b/>
          <w:bCs/>
          <w:color w:val="002060"/>
          <w:sz w:val="22"/>
          <w:szCs w:val="22"/>
        </w:rPr>
        <w:footnoteReference w:id="4"/>
      </w:r>
      <w:r w:rsidR="00594247" w:rsidRPr="00594247">
        <w:rPr>
          <w:rFonts w:ascii="Arial" w:hAnsi="Arial" w:cs="Arial"/>
          <w:b/>
          <w:bCs/>
          <w:color w:val="002060"/>
          <w:sz w:val="22"/>
          <w:szCs w:val="22"/>
        </w:rPr>
        <w:t xml:space="preserve"> </w:t>
      </w:r>
      <w:r w:rsidR="00594247" w:rsidRPr="00594247">
        <w:rPr>
          <w:rFonts w:ascii="Arial" w:hAnsi="Arial" w:cs="Arial"/>
          <w:color w:val="002060"/>
          <w:sz w:val="22"/>
          <w:szCs w:val="22"/>
        </w:rPr>
        <w:t>Since 1974, new threats endanger peace and human survival. These include climate change, infectious diseases, pandemics and other challenges to health, the rapid spread of hateful and violent ideologies, unsustainable consumption and production patterns, systemic racism, lingering inequalities.</w:t>
      </w:r>
      <w:r w:rsidR="00594247">
        <w:rPr>
          <w:rFonts w:ascii="Arial" w:hAnsi="Arial" w:cs="Arial"/>
          <w:color w:val="002060"/>
          <w:sz w:val="22"/>
          <w:szCs w:val="22"/>
        </w:rPr>
        <w:t xml:space="preserve"> </w:t>
      </w:r>
      <w:r w:rsidR="00594247" w:rsidRPr="00594247">
        <w:rPr>
          <w:rFonts w:ascii="Arial" w:hAnsi="Arial" w:cs="Arial"/>
          <w:color w:val="002060"/>
          <w:sz w:val="22"/>
          <w:szCs w:val="22"/>
        </w:rPr>
        <w:t xml:space="preserve">The revision of the Recommendation constitutes a unique opportunity to revive and update the global consensus around the role of education - in all its forms - to prepare learners of all ages, and future generations, to face future shocks and shape more just, sustainable, </w:t>
      </w:r>
      <w:proofErr w:type="gramStart"/>
      <w:r w:rsidR="00594247" w:rsidRPr="00594247">
        <w:rPr>
          <w:rFonts w:ascii="Arial" w:hAnsi="Arial" w:cs="Arial"/>
          <w:color w:val="002060"/>
          <w:sz w:val="22"/>
          <w:szCs w:val="22"/>
        </w:rPr>
        <w:t>healthy</w:t>
      </w:r>
      <w:proofErr w:type="gramEnd"/>
      <w:r w:rsidR="00594247" w:rsidRPr="00594247">
        <w:rPr>
          <w:rFonts w:ascii="Arial" w:hAnsi="Arial" w:cs="Arial"/>
          <w:color w:val="002060"/>
          <w:sz w:val="22"/>
          <w:szCs w:val="22"/>
        </w:rPr>
        <w:t xml:space="preserve"> and peaceful futures.</w:t>
      </w:r>
    </w:p>
    <w:p w14:paraId="730A1B30" w14:textId="77777777" w:rsidR="00784BC2" w:rsidRPr="00426DE4" w:rsidRDefault="00784BC2" w:rsidP="00711CA4">
      <w:pPr>
        <w:jc w:val="both"/>
      </w:pPr>
    </w:p>
    <w:p w14:paraId="0275ADB5" w14:textId="383672DE" w:rsidR="00135815" w:rsidRPr="00426DE4" w:rsidRDefault="00135815" w:rsidP="00423AB1">
      <w:pPr>
        <w:pStyle w:val="ListParagraph"/>
        <w:numPr>
          <w:ilvl w:val="3"/>
          <w:numId w:val="32"/>
        </w:numPr>
        <w:ind w:left="426"/>
        <w:jc w:val="both"/>
      </w:pPr>
      <w:r w:rsidRPr="00426DE4">
        <w:t xml:space="preserve">How do you assess the 4 A’s framework of availability, accessibility, </w:t>
      </w:r>
      <w:proofErr w:type="gramStart"/>
      <w:r w:rsidRPr="00426DE4">
        <w:t>acceptability</w:t>
      </w:r>
      <w:proofErr w:type="gramEnd"/>
      <w:r w:rsidRPr="00426DE4">
        <w:t xml:space="preserve">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04562851" w14:textId="5F14268F" w:rsidR="00CB2F0E" w:rsidRPr="00426DE4" w:rsidRDefault="00CB2F0E" w:rsidP="007A75AA">
      <w:pPr>
        <w:jc w:val="both"/>
      </w:pPr>
    </w:p>
    <w:p w14:paraId="1CFA730C" w14:textId="24C4A0C1" w:rsidR="003143E1" w:rsidRPr="0087079D" w:rsidRDefault="00A7010F" w:rsidP="003143E1">
      <w:pPr>
        <w:jc w:val="both"/>
        <w:rPr>
          <w:rFonts w:ascii="Arial" w:hAnsi="Arial" w:cs="Arial"/>
          <w:color w:val="2E74B5" w:themeColor="accent1" w:themeShade="BF"/>
          <w:sz w:val="22"/>
          <w:szCs w:val="22"/>
        </w:rPr>
      </w:pPr>
      <w:r w:rsidRPr="0087079D">
        <w:rPr>
          <w:rFonts w:ascii="Arial" w:hAnsi="Arial" w:cs="Arial"/>
          <w:b/>
          <w:color w:val="2E74B5" w:themeColor="accent1" w:themeShade="BF"/>
          <w:sz w:val="22"/>
          <w:szCs w:val="22"/>
        </w:rPr>
        <w:t>The outcome documents of two World Conferences on Arts Education in 2006 and 2010</w:t>
      </w:r>
      <w:r w:rsidRPr="0087079D">
        <w:rPr>
          <w:rFonts w:ascii="Arial" w:hAnsi="Arial" w:cs="Arial"/>
          <w:color w:val="2E74B5" w:themeColor="accent1" w:themeShade="BF"/>
          <w:sz w:val="22"/>
          <w:szCs w:val="22"/>
        </w:rPr>
        <w:t xml:space="preserve">, </w:t>
      </w:r>
      <w:r w:rsidR="00F007D8" w:rsidRPr="0087079D">
        <w:rPr>
          <w:rFonts w:ascii="Arial" w:hAnsi="Arial" w:cs="Arial"/>
          <w:color w:val="2E74B5" w:themeColor="accent1" w:themeShade="BF"/>
          <w:sz w:val="22"/>
          <w:szCs w:val="22"/>
        </w:rPr>
        <w:t xml:space="preserve">the </w:t>
      </w:r>
      <w:hyperlink r:id="rId14" w:history="1">
        <w:r w:rsidRPr="0087079D">
          <w:rPr>
            <w:rStyle w:val="Hyperlink"/>
            <w:rFonts w:ascii="Arial" w:hAnsi="Arial" w:cs="Arial"/>
            <w:color w:val="2E74B5" w:themeColor="accent1" w:themeShade="BF"/>
            <w:sz w:val="22"/>
            <w:szCs w:val="22"/>
          </w:rPr>
          <w:t>Road Map for Arts Education</w:t>
        </w:r>
      </w:hyperlink>
      <w:r w:rsidRPr="0087079D">
        <w:rPr>
          <w:rFonts w:ascii="Arial" w:hAnsi="Arial" w:cs="Arial"/>
          <w:color w:val="2E74B5" w:themeColor="accent1" w:themeShade="BF"/>
          <w:sz w:val="22"/>
          <w:szCs w:val="22"/>
        </w:rPr>
        <w:t xml:space="preserve"> and</w:t>
      </w:r>
      <w:r w:rsidR="00F007D8" w:rsidRPr="0087079D">
        <w:rPr>
          <w:rFonts w:ascii="Arial" w:hAnsi="Arial" w:cs="Arial"/>
          <w:color w:val="2E74B5" w:themeColor="accent1" w:themeShade="BF"/>
          <w:sz w:val="22"/>
          <w:szCs w:val="22"/>
        </w:rPr>
        <w:t xml:space="preserve"> the</w:t>
      </w:r>
      <w:r w:rsidRPr="0087079D">
        <w:rPr>
          <w:rFonts w:ascii="Arial" w:hAnsi="Arial" w:cs="Arial"/>
          <w:color w:val="2E74B5" w:themeColor="accent1" w:themeShade="BF"/>
          <w:sz w:val="22"/>
          <w:szCs w:val="22"/>
        </w:rPr>
        <w:t xml:space="preserve"> </w:t>
      </w:r>
      <w:hyperlink r:id="rId15" w:history="1">
        <w:r w:rsidRPr="0087079D">
          <w:rPr>
            <w:rStyle w:val="Hyperlink"/>
            <w:rFonts w:ascii="Arial" w:hAnsi="Arial" w:cs="Arial"/>
            <w:color w:val="2E74B5" w:themeColor="accent1" w:themeShade="BF"/>
            <w:sz w:val="22"/>
            <w:szCs w:val="22"/>
          </w:rPr>
          <w:t>Seoul Agenda: Goals for the Development of Arts education</w:t>
        </w:r>
      </w:hyperlink>
      <w:r w:rsidR="00F007D8" w:rsidRPr="0087079D">
        <w:rPr>
          <w:rFonts w:ascii="Arial" w:hAnsi="Arial" w:cs="Arial"/>
          <w:color w:val="2E74B5" w:themeColor="accent1" w:themeShade="BF"/>
          <w:sz w:val="22"/>
          <w:szCs w:val="22"/>
        </w:rPr>
        <w:t xml:space="preserve">, </w:t>
      </w:r>
      <w:r w:rsidRPr="0087079D">
        <w:rPr>
          <w:rFonts w:ascii="Arial" w:hAnsi="Arial" w:cs="Arial"/>
          <w:color w:val="2E74B5" w:themeColor="accent1" w:themeShade="BF"/>
          <w:sz w:val="22"/>
          <w:szCs w:val="22"/>
        </w:rPr>
        <w:t xml:space="preserve">respectively, </w:t>
      </w:r>
      <w:r w:rsidR="003143E1" w:rsidRPr="0087079D">
        <w:rPr>
          <w:rFonts w:ascii="Arial" w:hAnsi="Arial" w:cs="Arial"/>
          <w:color w:val="2E74B5" w:themeColor="accent1" w:themeShade="BF"/>
          <w:sz w:val="22"/>
          <w:szCs w:val="22"/>
        </w:rPr>
        <w:t>reflect the principles of</w:t>
      </w:r>
      <w:r w:rsidRPr="0087079D">
        <w:rPr>
          <w:rFonts w:ascii="Arial" w:hAnsi="Arial" w:cs="Arial"/>
          <w:color w:val="2E74B5" w:themeColor="accent1" w:themeShade="BF"/>
          <w:sz w:val="22"/>
          <w:szCs w:val="22"/>
        </w:rPr>
        <w:t xml:space="preserve"> the 4-A scheme of the right to education. More specifically, </w:t>
      </w:r>
      <w:r w:rsidR="00F007D8" w:rsidRPr="0087079D">
        <w:rPr>
          <w:rFonts w:ascii="Arial" w:hAnsi="Arial" w:cs="Arial"/>
          <w:color w:val="2E74B5" w:themeColor="accent1" w:themeShade="BF"/>
          <w:sz w:val="22"/>
          <w:szCs w:val="22"/>
        </w:rPr>
        <w:t xml:space="preserve">the </w:t>
      </w:r>
      <w:r w:rsidRPr="0087079D">
        <w:rPr>
          <w:rFonts w:ascii="Arial" w:hAnsi="Arial" w:cs="Arial"/>
          <w:color w:val="2E74B5" w:themeColor="accent1" w:themeShade="BF"/>
          <w:sz w:val="22"/>
          <w:szCs w:val="22"/>
        </w:rPr>
        <w:t xml:space="preserve">Seoul Agenda </w:t>
      </w:r>
      <w:r w:rsidR="00F007D8" w:rsidRPr="0087079D">
        <w:rPr>
          <w:rFonts w:ascii="Arial" w:hAnsi="Arial" w:cs="Arial"/>
          <w:color w:val="2E74B5" w:themeColor="accent1" w:themeShade="BF"/>
          <w:sz w:val="22"/>
          <w:szCs w:val="22"/>
        </w:rPr>
        <w:t>places</w:t>
      </w:r>
      <w:r w:rsidRPr="0087079D">
        <w:rPr>
          <w:rFonts w:ascii="Arial" w:hAnsi="Arial" w:cs="Arial"/>
          <w:color w:val="2E74B5" w:themeColor="accent1" w:themeShade="BF"/>
          <w:sz w:val="22"/>
          <w:szCs w:val="22"/>
        </w:rPr>
        <w:t xml:space="preserve"> particular emphasis on the availability of quality arts education, the accessibility of arts education to learners of all ages and groups and the adaptability of arts education to respond to the changes and challenges of society, including socio-economic aspect</w:t>
      </w:r>
      <w:r w:rsidR="003143E1" w:rsidRPr="0087079D">
        <w:rPr>
          <w:rFonts w:ascii="Arial" w:hAnsi="Arial" w:cs="Arial"/>
          <w:color w:val="2E74B5" w:themeColor="accent1" w:themeShade="BF"/>
          <w:sz w:val="22"/>
          <w:szCs w:val="22"/>
        </w:rPr>
        <w:t>s</w:t>
      </w:r>
      <w:r w:rsidRPr="0087079D">
        <w:rPr>
          <w:rFonts w:ascii="Arial" w:hAnsi="Arial" w:cs="Arial"/>
          <w:color w:val="2E74B5" w:themeColor="accent1" w:themeShade="BF"/>
          <w:sz w:val="22"/>
          <w:szCs w:val="22"/>
        </w:rPr>
        <w:t xml:space="preserve">, social cohesion and intercultural dialogue, </w:t>
      </w:r>
      <w:proofErr w:type="gramStart"/>
      <w:r w:rsidRPr="0087079D">
        <w:rPr>
          <w:rFonts w:ascii="Arial" w:hAnsi="Arial" w:cs="Arial"/>
          <w:color w:val="2E74B5" w:themeColor="accent1" w:themeShade="BF"/>
          <w:sz w:val="22"/>
          <w:szCs w:val="22"/>
        </w:rPr>
        <w:t>environment</w:t>
      </w:r>
      <w:proofErr w:type="gramEnd"/>
      <w:r w:rsidRPr="0087079D">
        <w:rPr>
          <w:rFonts w:ascii="Arial" w:hAnsi="Arial" w:cs="Arial"/>
          <w:color w:val="2E74B5" w:themeColor="accent1" w:themeShade="BF"/>
          <w:sz w:val="22"/>
          <w:szCs w:val="22"/>
        </w:rPr>
        <w:t xml:space="preserve"> and peace. </w:t>
      </w:r>
      <w:r w:rsidR="003143E1" w:rsidRPr="0087079D">
        <w:rPr>
          <w:rFonts w:ascii="Arial" w:hAnsi="Arial" w:cs="Arial"/>
          <w:color w:val="2E74B5" w:themeColor="accent1" w:themeShade="BF"/>
          <w:sz w:val="22"/>
          <w:szCs w:val="22"/>
        </w:rPr>
        <w:t xml:space="preserve">More recently, </w:t>
      </w:r>
      <w:hyperlink r:id="rId16" w:history="1">
        <w:r w:rsidR="003143E1" w:rsidRPr="0087079D">
          <w:rPr>
            <w:rStyle w:val="Hyperlink"/>
            <w:rFonts w:ascii="Arial" w:hAnsi="Arial" w:cs="Arial"/>
            <w:color w:val="2E74B5" w:themeColor="accent1" w:themeShade="BF"/>
            <w:sz w:val="22"/>
            <w:szCs w:val="22"/>
          </w:rPr>
          <w:t>the final Declaration of the UNESCO World Conference on Cultural Policies and Sustainable Development – MONDIACULT 2022</w:t>
        </w:r>
      </w:hyperlink>
      <w:r w:rsidR="003143E1" w:rsidRPr="0087079D">
        <w:rPr>
          <w:rFonts w:ascii="Arial" w:hAnsi="Arial" w:cs="Arial"/>
          <w:color w:val="2E74B5" w:themeColor="accent1" w:themeShade="BF"/>
          <w:sz w:val="22"/>
          <w:szCs w:val="22"/>
        </w:rPr>
        <w:t>, convened by UNESCO forty years after the first edition, emphasizes the importance of synergies between culture and education in improving learning outcomes and transmitting knowledge.</w:t>
      </w:r>
    </w:p>
    <w:p w14:paraId="4577F7DE" w14:textId="0C51A4F3" w:rsidR="005B321B" w:rsidRPr="00426DE4" w:rsidRDefault="005B321B" w:rsidP="007A75AA">
      <w:pPr>
        <w:jc w:val="both"/>
      </w:pPr>
    </w:p>
    <w:p w14:paraId="3331B80C" w14:textId="77777777" w:rsidR="00B23D97" w:rsidRPr="00426DE4" w:rsidRDefault="00B23D97" w:rsidP="007A75AA">
      <w:pPr>
        <w:jc w:val="both"/>
      </w:pPr>
    </w:p>
    <w:p w14:paraId="77959FF0" w14:textId="77777777" w:rsidR="00135815" w:rsidRPr="00426DE4" w:rsidRDefault="00135815" w:rsidP="00135815">
      <w:pPr>
        <w:pStyle w:val="ListParagraph"/>
        <w:numPr>
          <w:ilvl w:val="3"/>
          <w:numId w:val="32"/>
        </w:numPr>
        <w:ind w:left="426"/>
        <w:jc w:val="both"/>
      </w:pPr>
      <w:r w:rsidRPr="00426DE4">
        <w:t xml:space="preserve">The human right to education entails States’ obligations to respect, protect and fulfil the right to education in international human rights law. To what extent are these obligations clearly identified in your country’s legislation and in practice? </w:t>
      </w:r>
    </w:p>
    <w:p w14:paraId="4225BA51" w14:textId="63421B2E" w:rsidR="00135815" w:rsidRPr="00426DE4" w:rsidRDefault="00135815" w:rsidP="007A75AA"/>
    <w:p w14:paraId="5F9F8653" w14:textId="22FC74C6" w:rsidR="004C5FAD" w:rsidRPr="0087079D" w:rsidRDefault="004C5FAD" w:rsidP="004C5FAD">
      <w:pPr>
        <w:jc w:val="both"/>
        <w:rPr>
          <w:rFonts w:ascii="Arial" w:hAnsi="Arial" w:cs="Arial"/>
          <w:color w:val="2E74B5" w:themeColor="accent1" w:themeShade="BF"/>
          <w:sz w:val="22"/>
          <w:szCs w:val="22"/>
          <w:lang w:eastAsia="en-GB"/>
        </w:rPr>
      </w:pPr>
      <w:r w:rsidRPr="0087079D">
        <w:rPr>
          <w:rFonts w:ascii="Arial" w:hAnsi="Arial" w:cs="Arial"/>
          <w:b/>
          <w:color w:val="2E74B5" w:themeColor="accent1" w:themeShade="BF"/>
          <w:sz w:val="22"/>
          <w:szCs w:val="22"/>
        </w:rPr>
        <w:t>From a normative perspective, education is imbued in the provisions and operational guidelines of UNESCO’s key standard-setting instruments in the field of culture spanning heritage protection and creativity</w:t>
      </w:r>
      <w:r w:rsidRPr="0087079D">
        <w:rPr>
          <w:rFonts w:ascii="Arial" w:hAnsi="Arial" w:cs="Arial"/>
          <w:color w:val="2E74B5" w:themeColor="accent1" w:themeShade="BF"/>
          <w:sz w:val="22"/>
          <w:szCs w:val="22"/>
        </w:rPr>
        <w:t>,</w:t>
      </w:r>
      <w:r w:rsidRPr="0087079D">
        <w:rPr>
          <w:rStyle w:val="FootnoteReference"/>
          <w:rFonts w:ascii="Arial" w:hAnsi="Arial" w:cs="Arial"/>
          <w:color w:val="2E74B5" w:themeColor="accent1" w:themeShade="BF"/>
          <w:sz w:val="22"/>
          <w:szCs w:val="22"/>
        </w:rPr>
        <w:footnoteReference w:id="5"/>
      </w:r>
      <w:r w:rsidRPr="0087079D">
        <w:rPr>
          <w:rFonts w:ascii="Arial" w:hAnsi="Arial" w:cs="Arial"/>
          <w:color w:val="2E74B5" w:themeColor="accent1" w:themeShade="BF"/>
          <w:sz w:val="22"/>
          <w:szCs w:val="22"/>
        </w:rPr>
        <w:t xml:space="preserve"> in the form of formal and non-</w:t>
      </w:r>
      <w:r w:rsidRPr="0087079D">
        <w:rPr>
          <w:rFonts w:ascii="Arial" w:hAnsi="Arial" w:cs="Arial"/>
          <w:color w:val="2E74B5" w:themeColor="accent1" w:themeShade="BF"/>
          <w:sz w:val="22"/>
          <w:szCs w:val="22"/>
        </w:rPr>
        <w:lastRenderedPageBreak/>
        <w:t xml:space="preserve">formal pedagogies, as well as public awareness activities. As such, they form a legal basis committing Member States to implement these obligations in practice. Human rights principles have emerged more prominently in the provisions of UNESCO’s culture standard-setting instruments adopted over the past 25 years, notably </w:t>
      </w:r>
      <w:r w:rsidRPr="0087079D">
        <w:rPr>
          <w:rFonts w:ascii="Arial" w:hAnsi="Arial" w:cs="Arial"/>
          <w:color w:val="2E74B5" w:themeColor="accent1" w:themeShade="BF"/>
          <w:sz w:val="22"/>
          <w:szCs w:val="22"/>
          <w:lang w:eastAsia="en-GB"/>
        </w:rPr>
        <w:t xml:space="preserve">the </w:t>
      </w:r>
      <w:r w:rsidRPr="0087079D">
        <w:rPr>
          <w:rFonts w:ascii="Arial" w:hAnsi="Arial" w:cs="Arial"/>
          <w:i/>
          <w:iCs/>
          <w:color w:val="2E74B5" w:themeColor="accent1" w:themeShade="BF"/>
          <w:sz w:val="22"/>
          <w:szCs w:val="22"/>
          <w:lang w:eastAsia="en-GB"/>
        </w:rPr>
        <w:t>Universal Declaration of Cultural Diversity</w:t>
      </w:r>
      <w:r w:rsidRPr="0087079D">
        <w:rPr>
          <w:rFonts w:ascii="Arial" w:hAnsi="Arial" w:cs="Arial"/>
          <w:iCs/>
          <w:color w:val="2E74B5" w:themeColor="accent1" w:themeShade="BF"/>
          <w:sz w:val="22"/>
          <w:szCs w:val="22"/>
          <w:lang w:eastAsia="en-GB"/>
        </w:rPr>
        <w:t xml:space="preserve"> </w:t>
      </w:r>
      <w:r w:rsidRPr="0087079D">
        <w:rPr>
          <w:rFonts w:ascii="Arial" w:hAnsi="Arial" w:cs="Arial"/>
          <w:color w:val="2E74B5" w:themeColor="accent1" w:themeShade="BF"/>
          <w:sz w:val="22"/>
          <w:szCs w:val="22"/>
          <w:lang w:eastAsia="en-GB"/>
        </w:rPr>
        <w:t>(2001), th</w:t>
      </w:r>
      <w:r w:rsidRPr="0087079D">
        <w:rPr>
          <w:rFonts w:ascii="Arial" w:hAnsi="Arial" w:cs="Arial"/>
          <w:iCs/>
          <w:color w:val="2E74B5" w:themeColor="accent1" w:themeShade="BF"/>
          <w:sz w:val="22"/>
          <w:szCs w:val="22"/>
        </w:rPr>
        <w:t xml:space="preserve">e </w:t>
      </w:r>
      <w:r w:rsidRPr="0087079D">
        <w:rPr>
          <w:rFonts w:ascii="Arial" w:hAnsi="Arial" w:cs="Arial"/>
          <w:i/>
          <w:color w:val="2E74B5" w:themeColor="accent1" w:themeShade="BF"/>
          <w:sz w:val="22"/>
          <w:szCs w:val="22"/>
        </w:rPr>
        <w:t xml:space="preserve">Convention for the Safeguarding of the Intangible Cultural Heritage </w:t>
      </w:r>
      <w:r w:rsidRPr="0087079D">
        <w:rPr>
          <w:rFonts w:ascii="Arial" w:hAnsi="Arial" w:cs="Arial"/>
          <w:color w:val="2E74B5" w:themeColor="accent1" w:themeShade="BF"/>
          <w:sz w:val="22"/>
          <w:szCs w:val="22"/>
        </w:rPr>
        <w:t xml:space="preserve">(2003), </w:t>
      </w:r>
      <w:r w:rsidRPr="0087079D">
        <w:rPr>
          <w:rFonts w:ascii="Arial" w:hAnsi="Arial" w:cs="Arial"/>
          <w:iCs/>
          <w:color w:val="2E74B5" w:themeColor="accent1" w:themeShade="BF"/>
          <w:sz w:val="22"/>
          <w:szCs w:val="22"/>
          <w:lang w:eastAsia="en-GB"/>
        </w:rPr>
        <w:t xml:space="preserve">the </w:t>
      </w:r>
      <w:r w:rsidRPr="0087079D">
        <w:rPr>
          <w:rFonts w:ascii="Arial" w:hAnsi="Arial" w:cs="Arial"/>
          <w:i/>
          <w:iCs/>
          <w:color w:val="2E74B5" w:themeColor="accent1" w:themeShade="BF"/>
          <w:sz w:val="22"/>
          <w:szCs w:val="22"/>
        </w:rPr>
        <w:t>Convention on the Protection and Promotion of the Diversity of Cultural Expressions</w:t>
      </w:r>
      <w:r w:rsidRPr="0087079D">
        <w:rPr>
          <w:rFonts w:ascii="Arial" w:hAnsi="Arial" w:cs="Arial"/>
          <w:iCs/>
          <w:color w:val="2E74B5" w:themeColor="accent1" w:themeShade="BF"/>
          <w:sz w:val="22"/>
          <w:szCs w:val="22"/>
          <w:lang w:eastAsia="en-GB"/>
        </w:rPr>
        <w:t xml:space="preserve"> (2005).</w:t>
      </w:r>
      <w:r w:rsidRPr="0087079D">
        <w:rPr>
          <w:rFonts w:ascii="Arial" w:hAnsi="Arial" w:cs="Arial"/>
          <w:color w:val="2E74B5" w:themeColor="accent1" w:themeShade="BF"/>
          <w:sz w:val="22"/>
          <w:szCs w:val="22"/>
        </w:rPr>
        <w:t xml:space="preserve"> </w:t>
      </w:r>
      <w:r w:rsidRPr="0087079D">
        <w:rPr>
          <w:rFonts w:ascii="Arial" w:hAnsi="Arial" w:cs="Arial"/>
          <w:color w:val="2E74B5" w:themeColor="accent1" w:themeShade="BF"/>
          <w:sz w:val="22"/>
          <w:szCs w:val="22"/>
          <w:lang w:eastAsia="en-GB"/>
        </w:rPr>
        <w:t xml:space="preserve">Underpinning this work is the conviction that cultural diversity is inseparable from respect for human dignity, which implies a commitment to human rights and fundamental freedoms that can neither be infringed upon nor limited in scope, in line with a human rights-based approach guaranteed by international law. </w:t>
      </w:r>
    </w:p>
    <w:p w14:paraId="4A18935E" w14:textId="71FAC4B6" w:rsidR="00DA4193" w:rsidRPr="0087079D" w:rsidRDefault="00DA4193" w:rsidP="004C5FAD">
      <w:pPr>
        <w:jc w:val="both"/>
        <w:rPr>
          <w:rFonts w:ascii="Arial" w:hAnsi="Arial" w:cs="Arial"/>
          <w:color w:val="2E74B5" w:themeColor="accent1" w:themeShade="BF"/>
          <w:sz w:val="22"/>
          <w:szCs w:val="22"/>
          <w:lang w:eastAsia="en-GB"/>
        </w:rPr>
      </w:pPr>
    </w:p>
    <w:p w14:paraId="5020C8AD" w14:textId="051DF87D" w:rsidR="00DA4193" w:rsidRPr="00426DE4" w:rsidRDefault="00DA4193" w:rsidP="00DA4193">
      <w:pPr>
        <w:jc w:val="both"/>
        <w:rPr>
          <w:rFonts w:ascii="Arial" w:hAnsi="Arial" w:cs="Arial"/>
          <w:color w:val="002060"/>
          <w:sz w:val="22"/>
          <w:szCs w:val="22"/>
        </w:rPr>
      </w:pPr>
      <w:r w:rsidRPr="0087079D">
        <w:rPr>
          <w:rFonts w:ascii="Arial" w:hAnsi="Arial" w:cs="Arial"/>
          <w:b/>
          <w:color w:val="2E74B5" w:themeColor="accent1" w:themeShade="BF"/>
          <w:sz w:val="22"/>
          <w:szCs w:val="22"/>
        </w:rPr>
        <w:t>The obligations are implemented in practice, for example, to better engage local knowledge bearers in education and to expand living heritage knowledge systems in education, thus strengthening links between intangible cultural heritage (ICH) and the understanding of people and society</w:t>
      </w:r>
      <w:r w:rsidRPr="0087079D">
        <w:rPr>
          <w:rFonts w:ascii="Arial" w:hAnsi="Arial" w:cs="Arial"/>
          <w:color w:val="2E74B5" w:themeColor="accent1" w:themeShade="BF"/>
          <w:sz w:val="22"/>
          <w:szCs w:val="22"/>
        </w:rPr>
        <w:t xml:space="preserve">. In this regard, a new global initiative </w:t>
      </w:r>
      <w:hyperlink r:id="rId17" w:history="1">
        <w:r w:rsidRPr="0087079D">
          <w:rPr>
            <w:rStyle w:val="Hyperlink"/>
            <w:rFonts w:ascii="Arial" w:hAnsi="Arial" w:cs="Arial"/>
            <w:color w:val="2E74B5" w:themeColor="accent1" w:themeShade="BF"/>
            <w:sz w:val="22"/>
            <w:szCs w:val="22"/>
          </w:rPr>
          <w:t>Safeguarding intangible cultural heritage in formal and non-formal education</w:t>
        </w:r>
      </w:hyperlink>
      <w:r w:rsidRPr="0087079D">
        <w:rPr>
          <w:rFonts w:ascii="Arial" w:hAnsi="Arial" w:cs="Arial"/>
          <w:color w:val="2E74B5" w:themeColor="accent1" w:themeShade="BF"/>
          <w:sz w:val="22"/>
          <w:szCs w:val="22"/>
        </w:rPr>
        <w:t xml:space="preserve"> was launched by UNESCO in 2017. The </w:t>
      </w:r>
      <w:proofErr w:type="spellStart"/>
      <w:r w:rsidRPr="0087079D">
        <w:rPr>
          <w:rFonts w:ascii="Arial" w:hAnsi="Arial" w:cs="Arial"/>
          <w:color w:val="2E74B5" w:themeColor="accent1" w:themeShade="BF"/>
          <w:sz w:val="22"/>
          <w:szCs w:val="22"/>
        </w:rPr>
        <w:t>programme</w:t>
      </w:r>
      <w:proofErr w:type="spellEnd"/>
      <w:r w:rsidRPr="0087079D">
        <w:rPr>
          <w:rFonts w:ascii="Arial" w:hAnsi="Arial" w:cs="Arial"/>
          <w:color w:val="2E74B5" w:themeColor="accent1" w:themeShade="BF"/>
          <w:sz w:val="22"/>
          <w:szCs w:val="22"/>
        </w:rPr>
        <w:t xml:space="preserve"> encompasses a wide range of learning, including global citizenship and peace education, education for sustainable development, technical and vocational </w:t>
      </w:r>
      <w:proofErr w:type="gramStart"/>
      <w:r w:rsidRPr="0087079D">
        <w:rPr>
          <w:rFonts w:ascii="Arial" w:hAnsi="Arial" w:cs="Arial"/>
          <w:color w:val="2E74B5" w:themeColor="accent1" w:themeShade="BF"/>
          <w:sz w:val="22"/>
          <w:szCs w:val="22"/>
        </w:rPr>
        <w:t>education</w:t>
      </w:r>
      <w:proofErr w:type="gramEnd"/>
      <w:r w:rsidRPr="0087079D">
        <w:rPr>
          <w:rFonts w:ascii="Arial" w:hAnsi="Arial" w:cs="Arial"/>
          <w:color w:val="2E74B5" w:themeColor="accent1" w:themeShade="BF"/>
          <w:sz w:val="22"/>
          <w:szCs w:val="22"/>
        </w:rPr>
        <w:t xml:space="preserve"> and training (TVET), and teacher development.</w:t>
      </w:r>
    </w:p>
    <w:p w14:paraId="096E0910" w14:textId="77777777" w:rsidR="00330850" w:rsidRPr="00426DE4" w:rsidRDefault="00330850" w:rsidP="00F97F79">
      <w:pPr>
        <w:jc w:val="both"/>
        <w:rPr>
          <w:rFonts w:ascii="Arial" w:hAnsi="Arial" w:cs="Arial"/>
          <w:color w:val="002060"/>
          <w:sz w:val="22"/>
          <w:szCs w:val="22"/>
          <w:lang w:eastAsia="en-GB"/>
        </w:rPr>
      </w:pPr>
    </w:p>
    <w:p w14:paraId="014C88D1" w14:textId="143C90D9" w:rsidR="001B3699" w:rsidRPr="00B2556B" w:rsidRDefault="00164697" w:rsidP="007A75AA">
      <w:proofErr w:type="gramStart"/>
      <w:r w:rsidRPr="003F3E4F">
        <w:rPr>
          <w:b/>
          <w:bCs/>
        </w:rPr>
        <w:t>Furthermore</w:t>
      </w:r>
      <w:proofErr w:type="gramEnd"/>
      <w:r w:rsidRPr="003F3E4F">
        <w:rPr>
          <w:b/>
          <w:bCs/>
        </w:rPr>
        <w:t xml:space="preserve"> UNESCO promotes and defends the right to mother language education.</w:t>
      </w:r>
      <w:r w:rsidR="00B2556B">
        <w:rPr>
          <w:rStyle w:val="FootnoteReference"/>
          <w:b/>
          <w:bCs/>
        </w:rPr>
        <w:footnoteReference w:id="6"/>
      </w:r>
      <w:r w:rsidR="00B2556B">
        <w:t xml:space="preserve">UNESCO </w:t>
      </w:r>
      <w:r w:rsidR="00344588">
        <w:t xml:space="preserve">regularly publishes guidance for teachers and policy-makers to support </w:t>
      </w:r>
      <w:r w:rsidR="00AB5E92">
        <w:t>the use of mother language education for the estimated 40% of the world’s population who</w:t>
      </w:r>
      <w:r w:rsidR="00E32112">
        <w:t xml:space="preserve"> cannot access education in a language they speak or understand.</w:t>
      </w:r>
      <w:r w:rsidR="00433E09">
        <w:t xml:space="preserve"> Through the </w:t>
      </w:r>
      <w:r w:rsidR="00BF73C2">
        <w:t>World Altas of</w:t>
      </w:r>
      <w:r w:rsidR="000540E7">
        <w:t xml:space="preserve"> Languages</w:t>
      </w:r>
      <w:r w:rsidR="004625C3">
        <w:rPr>
          <w:rStyle w:val="FootnoteReference"/>
        </w:rPr>
        <w:footnoteReference w:id="7"/>
      </w:r>
      <w:r w:rsidR="000540E7">
        <w:t xml:space="preserve">, UNESCO monitors the </w:t>
      </w:r>
      <w:r w:rsidR="0081334B">
        <w:t>status of the estimated</w:t>
      </w:r>
      <w:r w:rsidR="000A5156">
        <w:t xml:space="preserve"> 8300+ languages spoken around the world, many of which are Indigenous languages. Education is a key driver for ensuring that these languages are preserved, safeguarding cultural diversity and knowledge systems.</w:t>
      </w:r>
      <w:r w:rsidR="004625C3">
        <w:t xml:space="preserve"> The International Decade </w:t>
      </w:r>
      <w:r w:rsidR="008543A7">
        <w:t>of Indigenous Languages 2022-2023</w:t>
      </w:r>
      <w:r w:rsidR="005156DA">
        <w:t>, spearheaded by UNESCO,</w:t>
      </w:r>
      <w:r w:rsidR="008543A7">
        <w:t xml:space="preserve"> is also a </w:t>
      </w:r>
      <w:r w:rsidR="005156DA">
        <w:t xml:space="preserve">major opportunity to highlight the importance of the right to mother tongue education. </w:t>
      </w:r>
    </w:p>
    <w:p w14:paraId="43FF5AD0" w14:textId="77777777" w:rsidR="004B1005" w:rsidRPr="00426DE4" w:rsidRDefault="004B1005" w:rsidP="007A75AA"/>
    <w:p w14:paraId="3C699735" w14:textId="77777777" w:rsidR="00135815" w:rsidRPr="00426DE4" w:rsidRDefault="00135815" w:rsidP="00135815">
      <w:pPr>
        <w:pStyle w:val="ListParagraph"/>
        <w:numPr>
          <w:ilvl w:val="3"/>
          <w:numId w:val="32"/>
        </w:numPr>
        <w:ind w:left="426"/>
        <w:jc w:val="both"/>
      </w:pPr>
      <w:r w:rsidRPr="00426DE4">
        <w:t xml:space="preserve">Has the right to free education been progressively implemented at all levels of education in your country, based </w:t>
      </w:r>
      <w:proofErr w:type="gramStart"/>
      <w:r w:rsidRPr="00426DE4">
        <w:t>in particular on</w:t>
      </w:r>
      <w:proofErr w:type="gramEnd"/>
      <w:r w:rsidRPr="00426DE4">
        <w:t xml:space="preserve">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39DAA7AB" w14:textId="00F49F53" w:rsidR="00135815" w:rsidRPr="00426DE4" w:rsidRDefault="00135815" w:rsidP="007A75AA">
      <w:pPr>
        <w:jc w:val="both"/>
      </w:pPr>
    </w:p>
    <w:p w14:paraId="7CF846B2" w14:textId="75BA78CC" w:rsidR="007A75AA" w:rsidRPr="0087079D" w:rsidRDefault="00F007D8" w:rsidP="007A75AA">
      <w:p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N/A</w:t>
      </w:r>
    </w:p>
    <w:p w14:paraId="2674837A" w14:textId="77777777" w:rsidR="003C1178" w:rsidRPr="00426DE4" w:rsidRDefault="003C1178" w:rsidP="007A75AA">
      <w:pPr>
        <w:jc w:val="both"/>
      </w:pPr>
    </w:p>
    <w:p w14:paraId="145F15AE" w14:textId="77777777" w:rsidR="00135815" w:rsidRPr="00426DE4" w:rsidRDefault="00135815" w:rsidP="00135815">
      <w:pPr>
        <w:pStyle w:val="ListParagraph"/>
        <w:numPr>
          <w:ilvl w:val="3"/>
          <w:numId w:val="32"/>
        </w:numPr>
        <w:ind w:left="426"/>
        <w:jc w:val="both"/>
      </w:pPr>
      <w:r w:rsidRPr="00426DE4">
        <w:t>Is the right to education considered a justiciable right in your country and if so which aspects of that right? If so, please provide a short summary of emblematic cases.</w:t>
      </w:r>
    </w:p>
    <w:p w14:paraId="6D8DA132" w14:textId="6D6DEA35" w:rsidR="00B53C7C" w:rsidRPr="00426DE4" w:rsidRDefault="00B53C7C" w:rsidP="00765401">
      <w:pPr>
        <w:jc w:val="both"/>
      </w:pPr>
    </w:p>
    <w:p w14:paraId="2CBED496" w14:textId="3665EB2C" w:rsidR="00B53C7C" w:rsidRPr="0087079D" w:rsidRDefault="004C5FAD" w:rsidP="00765401">
      <w:p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N/A</w:t>
      </w:r>
    </w:p>
    <w:p w14:paraId="7EFBD8B0" w14:textId="77777777" w:rsidR="004C5FAD" w:rsidRPr="00426DE4" w:rsidRDefault="004C5FAD" w:rsidP="00765401">
      <w:pPr>
        <w:jc w:val="both"/>
      </w:pPr>
    </w:p>
    <w:p w14:paraId="6EDB3B0A" w14:textId="4C757075" w:rsidR="00135815" w:rsidRPr="00426DE4" w:rsidRDefault="00135815" w:rsidP="00765401">
      <w:pPr>
        <w:pStyle w:val="ListParagraph"/>
        <w:numPr>
          <w:ilvl w:val="3"/>
          <w:numId w:val="32"/>
        </w:numPr>
        <w:ind w:left="426"/>
        <w:jc w:val="both"/>
      </w:pPr>
      <w:r w:rsidRPr="00426DE4">
        <w:t xml:space="preserve">To what extent are the non-discrimination and equality principles respected in implementing the right to education in your country? Have past recommendations made by the Special Rapporteur on the right to education of vulnerable and marginalized populations been </w:t>
      </w:r>
      <w:proofErr w:type="gramStart"/>
      <w:r w:rsidRPr="00426DE4">
        <w:t>taken into account</w:t>
      </w:r>
      <w:proofErr w:type="gramEnd"/>
      <w:r w:rsidRPr="00426DE4">
        <w:t>? If so, can you list which ones?</w:t>
      </w:r>
    </w:p>
    <w:p w14:paraId="50680E25" w14:textId="4E8D2922" w:rsidR="007A75AA" w:rsidRPr="00426DE4" w:rsidRDefault="007A75AA" w:rsidP="007A75AA">
      <w:pPr>
        <w:jc w:val="both"/>
      </w:pPr>
    </w:p>
    <w:p w14:paraId="14B66EF3" w14:textId="25D1DE62" w:rsidR="00AF50E5" w:rsidRPr="0087079D" w:rsidRDefault="002F72BC" w:rsidP="00AF50E5">
      <w:p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UNESCO encourages its Member States to adopt policies that respect n</w:t>
      </w:r>
      <w:r w:rsidR="003143E1" w:rsidRPr="0087079D">
        <w:rPr>
          <w:rFonts w:ascii="Arial" w:hAnsi="Arial" w:cs="Arial"/>
          <w:color w:val="2E74B5" w:themeColor="accent1" w:themeShade="BF"/>
          <w:sz w:val="22"/>
          <w:szCs w:val="22"/>
        </w:rPr>
        <w:t>on-discrimination and equality principles</w:t>
      </w:r>
      <w:r w:rsidRPr="0087079D">
        <w:rPr>
          <w:rFonts w:ascii="Arial" w:hAnsi="Arial" w:cs="Arial"/>
          <w:color w:val="2E74B5" w:themeColor="accent1" w:themeShade="BF"/>
          <w:sz w:val="22"/>
          <w:szCs w:val="22"/>
        </w:rPr>
        <w:t>. Such principles are articulated in the provisions of its normative instruments in the field of culture</w:t>
      </w:r>
      <w:r w:rsidR="004C5FAD" w:rsidRPr="0087079D">
        <w:rPr>
          <w:rFonts w:ascii="Arial" w:hAnsi="Arial" w:cs="Arial"/>
          <w:color w:val="2E74B5" w:themeColor="accent1" w:themeShade="BF"/>
          <w:sz w:val="22"/>
          <w:szCs w:val="22"/>
        </w:rPr>
        <w:t xml:space="preserve"> adopted in the past 25 years in relation to the education of vulnerable and marginalized groups</w:t>
      </w:r>
      <w:r w:rsidRPr="0087079D">
        <w:rPr>
          <w:rFonts w:ascii="Arial" w:hAnsi="Arial" w:cs="Arial"/>
          <w:color w:val="2E74B5" w:themeColor="accent1" w:themeShade="BF"/>
          <w:sz w:val="22"/>
          <w:szCs w:val="22"/>
        </w:rPr>
        <w:t xml:space="preserve">, </w:t>
      </w:r>
      <w:r w:rsidR="004C5FAD" w:rsidRPr="0087079D">
        <w:rPr>
          <w:rFonts w:ascii="Arial" w:hAnsi="Arial" w:cs="Arial"/>
          <w:color w:val="2E74B5" w:themeColor="accent1" w:themeShade="BF"/>
          <w:sz w:val="22"/>
          <w:szCs w:val="22"/>
        </w:rPr>
        <w:t>for example</w:t>
      </w:r>
      <w:r w:rsidRPr="0087079D">
        <w:rPr>
          <w:rFonts w:ascii="Arial" w:hAnsi="Arial" w:cs="Arial"/>
          <w:color w:val="2E74B5" w:themeColor="accent1" w:themeShade="BF"/>
          <w:sz w:val="22"/>
          <w:szCs w:val="22"/>
        </w:rPr>
        <w:t>:</w:t>
      </w:r>
    </w:p>
    <w:p w14:paraId="207ED83E" w14:textId="77777777" w:rsidR="000B4D58" w:rsidRPr="0087079D" w:rsidRDefault="000B4D58" w:rsidP="000B4D58">
      <w:pPr>
        <w:jc w:val="both"/>
        <w:rPr>
          <w:rFonts w:ascii="Arial" w:hAnsi="Arial" w:cs="Arial"/>
          <w:color w:val="2E74B5" w:themeColor="accent1" w:themeShade="BF"/>
          <w:sz w:val="22"/>
          <w:szCs w:val="22"/>
        </w:rPr>
      </w:pPr>
    </w:p>
    <w:p w14:paraId="70B46FAA" w14:textId="4BD9BC00" w:rsidR="000B4D58" w:rsidRPr="0087079D" w:rsidRDefault="000B4D58" w:rsidP="000B4D58">
      <w:pPr>
        <w:jc w:val="both"/>
        <w:rPr>
          <w:rFonts w:ascii="Arial" w:hAnsi="Arial" w:cs="Arial"/>
          <w:b/>
          <w:color w:val="2E74B5" w:themeColor="accent1" w:themeShade="BF"/>
          <w:sz w:val="22"/>
          <w:szCs w:val="22"/>
        </w:rPr>
      </w:pPr>
      <w:r w:rsidRPr="0087079D">
        <w:rPr>
          <w:rFonts w:ascii="Arial" w:hAnsi="Arial" w:cs="Arial"/>
          <w:b/>
          <w:color w:val="2E74B5" w:themeColor="accent1" w:themeShade="BF"/>
          <w:sz w:val="22"/>
          <w:szCs w:val="22"/>
        </w:rPr>
        <w:t>UNESCO Universal Declaration on Cultural Diversity</w:t>
      </w:r>
      <w:r w:rsidR="002F72BC" w:rsidRPr="0087079D">
        <w:rPr>
          <w:rFonts w:ascii="Arial" w:hAnsi="Arial" w:cs="Arial"/>
          <w:b/>
          <w:color w:val="2E74B5" w:themeColor="accent1" w:themeShade="BF"/>
          <w:sz w:val="22"/>
          <w:szCs w:val="22"/>
        </w:rPr>
        <w:t xml:space="preserve"> (2001):</w:t>
      </w:r>
    </w:p>
    <w:p w14:paraId="7B0E357F" w14:textId="77777777" w:rsidR="00B15273" w:rsidRPr="0087079D" w:rsidRDefault="00B15273" w:rsidP="000B4D58">
      <w:pPr>
        <w:jc w:val="both"/>
        <w:rPr>
          <w:rFonts w:ascii="Arial" w:hAnsi="Arial" w:cs="Arial"/>
          <w:color w:val="2E74B5" w:themeColor="accent1" w:themeShade="BF"/>
          <w:sz w:val="22"/>
          <w:szCs w:val="22"/>
        </w:rPr>
      </w:pPr>
    </w:p>
    <w:p w14:paraId="31800FD2" w14:textId="77777777" w:rsidR="004C5FAD" w:rsidRPr="0087079D" w:rsidRDefault="004C5FAD" w:rsidP="00B15273">
      <w:pPr>
        <w:jc w:val="both"/>
        <w:rPr>
          <w:i/>
          <w:color w:val="2E74B5" w:themeColor="accent1" w:themeShade="BF"/>
        </w:rPr>
      </w:pPr>
      <w:r w:rsidRPr="0087079D">
        <w:rPr>
          <w:rFonts w:ascii="Arial" w:hAnsi="Arial" w:cs="Arial"/>
          <w:i/>
          <w:color w:val="2E74B5" w:themeColor="accent1" w:themeShade="BF"/>
          <w:sz w:val="21"/>
          <w:szCs w:val="21"/>
          <w:shd w:val="clear" w:color="auto" w:fill="FFFFFF"/>
        </w:rPr>
        <w:t>All persons have therefore the right to express themselves and to create and disseminate their work in the language of their choice, and particularly in their mother tongue; all persons are entitled to quality education and training that fully respect their cultural identity; and all persons have the right to participate in the cultural life of their choice and conduct their own cultural practices, subject to respect for human rights and fundamental freedoms. </w:t>
      </w:r>
    </w:p>
    <w:p w14:paraId="0771625C" w14:textId="51E85AEC" w:rsidR="004C5FAD" w:rsidRPr="0087079D" w:rsidRDefault="004C5FAD" w:rsidP="006E111B">
      <w:pPr>
        <w:rPr>
          <w:rFonts w:ascii="Arial" w:hAnsi="Arial" w:cs="Arial"/>
          <w:color w:val="2E74B5" w:themeColor="accent1" w:themeShade="BF"/>
          <w:sz w:val="22"/>
          <w:szCs w:val="22"/>
          <w:shd w:val="clear" w:color="auto" w:fill="FFFFFF"/>
        </w:rPr>
      </w:pPr>
      <w:r w:rsidRPr="0087079D">
        <w:rPr>
          <w:rFonts w:ascii="Arial" w:hAnsi="Arial" w:cs="Arial"/>
          <w:color w:val="2E74B5" w:themeColor="accent1" w:themeShade="BF"/>
          <w:sz w:val="22"/>
          <w:szCs w:val="22"/>
          <w:shd w:val="clear" w:color="auto" w:fill="FFFFFF"/>
        </w:rPr>
        <w:t xml:space="preserve"> </w:t>
      </w:r>
      <w:r w:rsidR="000B4D58" w:rsidRPr="0087079D">
        <w:rPr>
          <w:rFonts w:ascii="Arial" w:hAnsi="Arial" w:cs="Arial"/>
          <w:color w:val="2E74B5" w:themeColor="accent1" w:themeShade="BF"/>
          <w:sz w:val="22"/>
          <w:szCs w:val="22"/>
          <w:shd w:val="clear" w:color="auto" w:fill="FFFFFF"/>
        </w:rPr>
        <w:t>(Art. 5)</w:t>
      </w:r>
    </w:p>
    <w:p w14:paraId="59F4F27D" w14:textId="77777777" w:rsidR="006E111B" w:rsidRPr="0087079D" w:rsidRDefault="006E111B" w:rsidP="006E111B">
      <w:pPr>
        <w:rPr>
          <w:rFonts w:ascii="Arial" w:hAnsi="Arial" w:cs="Arial"/>
          <w:color w:val="2E74B5" w:themeColor="accent1" w:themeShade="BF"/>
          <w:sz w:val="22"/>
          <w:szCs w:val="22"/>
          <w:shd w:val="clear" w:color="auto" w:fill="FFFFFF"/>
        </w:rPr>
      </w:pPr>
    </w:p>
    <w:p w14:paraId="013C70BC" w14:textId="3904C7CA" w:rsidR="004C5FAD" w:rsidRPr="0087079D" w:rsidRDefault="004C5FAD" w:rsidP="004C5FAD">
      <w:pPr>
        <w:spacing w:after="150"/>
        <w:jc w:val="both"/>
        <w:rPr>
          <w:rFonts w:ascii="Arial" w:hAnsi="Arial" w:cs="Arial"/>
          <w:i/>
          <w:color w:val="2E74B5" w:themeColor="accent1" w:themeShade="BF"/>
          <w:sz w:val="21"/>
          <w:szCs w:val="21"/>
        </w:rPr>
      </w:pPr>
      <w:r w:rsidRPr="0087079D">
        <w:rPr>
          <w:rFonts w:ascii="Arial" w:hAnsi="Arial" w:cs="Arial"/>
          <w:i/>
          <w:color w:val="2E74B5" w:themeColor="accent1" w:themeShade="BF"/>
          <w:sz w:val="21"/>
          <w:szCs w:val="21"/>
        </w:rPr>
        <w:t>6. Encouraging linguistic diversity – while respecting the mother tongue – at all levels of education, wherever possible, and fostering the learning of several languages from the earliest age. </w:t>
      </w:r>
    </w:p>
    <w:p w14:paraId="06BD7C38" w14:textId="77777777" w:rsidR="004C5FAD" w:rsidRPr="0087079D" w:rsidRDefault="004C5FAD" w:rsidP="004C5FAD">
      <w:pPr>
        <w:spacing w:after="150"/>
        <w:jc w:val="both"/>
        <w:rPr>
          <w:rFonts w:ascii="Arial" w:hAnsi="Arial" w:cs="Arial"/>
          <w:i/>
          <w:color w:val="2E74B5" w:themeColor="accent1" w:themeShade="BF"/>
          <w:sz w:val="21"/>
          <w:szCs w:val="21"/>
        </w:rPr>
      </w:pPr>
      <w:r w:rsidRPr="0087079D">
        <w:rPr>
          <w:rFonts w:ascii="Arial" w:hAnsi="Arial" w:cs="Arial"/>
          <w:i/>
          <w:color w:val="2E74B5" w:themeColor="accent1" w:themeShade="BF"/>
          <w:sz w:val="21"/>
          <w:szCs w:val="21"/>
        </w:rPr>
        <w:t>7. Promoting through education an awareness of the positive value of cultural diversity and improving to this end both curriculum design and teacher education. </w:t>
      </w:r>
    </w:p>
    <w:p w14:paraId="2E53325C" w14:textId="77777777" w:rsidR="004C5FAD" w:rsidRPr="0087079D" w:rsidRDefault="004C5FAD" w:rsidP="004C5FAD">
      <w:pPr>
        <w:spacing w:after="150"/>
        <w:jc w:val="both"/>
        <w:rPr>
          <w:rFonts w:ascii="Arial" w:hAnsi="Arial" w:cs="Arial"/>
          <w:i/>
          <w:color w:val="2E74B5" w:themeColor="accent1" w:themeShade="BF"/>
          <w:sz w:val="21"/>
          <w:szCs w:val="21"/>
        </w:rPr>
      </w:pPr>
      <w:r w:rsidRPr="0087079D">
        <w:rPr>
          <w:rFonts w:ascii="Arial" w:hAnsi="Arial" w:cs="Arial"/>
          <w:i/>
          <w:color w:val="2E74B5" w:themeColor="accent1" w:themeShade="BF"/>
          <w:sz w:val="21"/>
          <w:szCs w:val="21"/>
        </w:rPr>
        <w:t>8. Incorporating, where appropriate, traditional pedagogies into the education process with a view to preserving and making full use of culturally appropriate methods of communication and transmission of knowledge. </w:t>
      </w:r>
    </w:p>
    <w:p w14:paraId="48BFB35F" w14:textId="77777777" w:rsidR="004C5FAD" w:rsidRPr="0087079D" w:rsidRDefault="004C5FAD" w:rsidP="004C5FAD">
      <w:pPr>
        <w:spacing w:after="150"/>
        <w:jc w:val="both"/>
        <w:rPr>
          <w:rFonts w:ascii="Arial" w:hAnsi="Arial" w:cs="Arial"/>
          <w:i/>
          <w:color w:val="2E74B5" w:themeColor="accent1" w:themeShade="BF"/>
          <w:sz w:val="21"/>
          <w:szCs w:val="21"/>
        </w:rPr>
      </w:pPr>
      <w:r w:rsidRPr="0087079D">
        <w:rPr>
          <w:rFonts w:ascii="Arial" w:hAnsi="Arial" w:cs="Arial"/>
          <w:i/>
          <w:color w:val="2E74B5" w:themeColor="accent1" w:themeShade="BF"/>
          <w:sz w:val="21"/>
          <w:szCs w:val="21"/>
        </w:rPr>
        <w:t>9. Encouraging "digital literacy" and ensuring greater mastery of the new information and communication technologies, which should be seen both as educational disciplines and as pedagogical tools capable of enhancing the effectiveness of educational services. </w:t>
      </w:r>
    </w:p>
    <w:p w14:paraId="7D5131B1" w14:textId="77777777" w:rsidR="004C5FAD" w:rsidRPr="0087079D" w:rsidRDefault="004C5FAD" w:rsidP="004C5FAD">
      <w:pPr>
        <w:spacing w:after="150"/>
        <w:jc w:val="both"/>
        <w:rPr>
          <w:rFonts w:ascii="Arial" w:hAnsi="Arial" w:cs="Arial"/>
          <w:i/>
          <w:color w:val="2E74B5" w:themeColor="accent1" w:themeShade="BF"/>
          <w:sz w:val="21"/>
          <w:szCs w:val="21"/>
        </w:rPr>
      </w:pPr>
      <w:r w:rsidRPr="0087079D">
        <w:rPr>
          <w:rFonts w:ascii="Arial" w:hAnsi="Arial" w:cs="Arial"/>
          <w:i/>
          <w:color w:val="2E74B5" w:themeColor="accent1" w:themeShade="BF"/>
          <w:sz w:val="21"/>
          <w:szCs w:val="21"/>
        </w:rPr>
        <w:t>10. Promoting linguistic diversity in cyberspace and encouraging universal access through the global network to all information in the public domain. </w:t>
      </w:r>
    </w:p>
    <w:p w14:paraId="5F90FB62" w14:textId="4543DE19" w:rsidR="004C5FAD" w:rsidRPr="0087079D" w:rsidRDefault="004C5FAD" w:rsidP="004C5FAD">
      <w:pPr>
        <w:spacing w:after="150"/>
        <w:jc w:val="both"/>
        <w:rPr>
          <w:rFonts w:ascii="Arial" w:hAnsi="Arial" w:cs="Arial"/>
          <w:i/>
          <w:color w:val="2E74B5" w:themeColor="accent1" w:themeShade="BF"/>
          <w:sz w:val="21"/>
          <w:szCs w:val="21"/>
        </w:rPr>
      </w:pPr>
      <w:r w:rsidRPr="0087079D">
        <w:rPr>
          <w:rFonts w:ascii="Arial" w:hAnsi="Arial" w:cs="Arial"/>
          <w:i/>
          <w:color w:val="2E74B5" w:themeColor="accent1" w:themeShade="BF"/>
          <w:sz w:val="21"/>
          <w:szCs w:val="21"/>
        </w:rPr>
        <w:t xml:space="preserve">11. Countering the digital divide, in close cooperation in relevant United Nations system organizations, by fostering access by the developing countries to the new technologies, by helping them to master information technologies and by facilitating the digital dissemination of endogenous cultural products and access by those countries to the educational, </w:t>
      </w:r>
      <w:proofErr w:type="gramStart"/>
      <w:r w:rsidRPr="0087079D">
        <w:rPr>
          <w:rFonts w:ascii="Arial" w:hAnsi="Arial" w:cs="Arial"/>
          <w:i/>
          <w:color w:val="2E74B5" w:themeColor="accent1" w:themeShade="BF"/>
          <w:sz w:val="21"/>
          <w:szCs w:val="21"/>
        </w:rPr>
        <w:t>cultural</w:t>
      </w:r>
      <w:proofErr w:type="gramEnd"/>
      <w:r w:rsidRPr="0087079D">
        <w:rPr>
          <w:rFonts w:ascii="Arial" w:hAnsi="Arial" w:cs="Arial"/>
          <w:i/>
          <w:color w:val="2E74B5" w:themeColor="accent1" w:themeShade="BF"/>
          <w:sz w:val="21"/>
          <w:szCs w:val="21"/>
        </w:rPr>
        <w:t xml:space="preserve"> and scientific digital resources available worldwide. </w:t>
      </w:r>
      <w:r w:rsidRPr="0087079D">
        <w:rPr>
          <w:rFonts w:ascii="Arial" w:hAnsi="Arial" w:cs="Arial"/>
          <w:bCs/>
          <w:color w:val="2E74B5" w:themeColor="accent1" w:themeShade="BF"/>
          <w:sz w:val="21"/>
          <w:szCs w:val="21"/>
        </w:rPr>
        <w:t>(Main lines of an action plan for the implementation of the UNESCO Universal Declaration on Cultural Diversity)</w:t>
      </w:r>
    </w:p>
    <w:p w14:paraId="04E8D8F0" w14:textId="77777777" w:rsidR="000B4D58" w:rsidRPr="0087079D" w:rsidRDefault="000B4D58" w:rsidP="00AF50E5">
      <w:pPr>
        <w:jc w:val="both"/>
        <w:rPr>
          <w:rFonts w:ascii="Arial" w:hAnsi="Arial" w:cs="Arial"/>
          <w:color w:val="2E74B5" w:themeColor="accent1" w:themeShade="BF"/>
          <w:sz w:val="22"/>
          <w:szCs w:val="22"/>
        </w:rPr>
      </w:pPr>
    </w:p>
    <w:p w14:paraId="77F47722" w14:textId="078305D6" w:rsidR="00BB3119" w:rsidRPr="0087079D" w:rsidRDefault="00B32084" w:rsidP="00AF50E5">
      <w:pPr>
        <w:jc w:val="both"/>
        <w:rPr>
          <w:rFonts w:ascii="Arial" w:hAnsi="Arial" w:cs="Arial"/>
          <w:b/>
          <w:color w:val="2E74B5" w:themeColor="accent1" w:themeShade="BF"/>
          <w:sz w:val="22"/>
          <w:szCs w:val="22"/>
        </w:rPr>
      </w:pPr>
      <w:r w:rsidRPr="0087079D">
        <w:rPr>
          <w:rFonts w:ascii="Arial" w:hAnsi="Arial" w:cs="Arial"/>
          <w:b/>
          <w:color w:val="2E74B5" w:themeColor="accent1" w:themeShade="BF"/>
          <w:sz w:val="22"/>
          <w:szCs w:val="22"/>
        </w:rPr>
        <w:t>Convention for the Safeguarding of the Intangible Cultural Heritage</w:t>
      </w:r>
      <w:r w:rsidR="002F72BC" w:rsidRPr="0087079D">
        <w:rPr>
          <w:rFonts w:ascii="Arial" w:hAnsi="Arial" w:cs="Arial"/>
          <w:b/>
          <w:color w:val="2E74B5" w:themeColor="accent1" w:themeShade="BF"/>
          <w:sz w:val="22"/>
          <w:szCs w:val="22"/>
        </w:rPr>
        <w:t xml:space="preserve"> (2003):</w:t>
      </w:r>
    </w:p>
    <w:p w14:paraId="39920345" w14:textId="77777777" w:rsidR="006E111B" w:rsidRPr="0087079D" w:rsidRDefault="00B32084" w:rsidP="006E111B">
      <w:pPr>
        <w:jc w:val="both"/>
        <w:rPr>
          <w:rFonts w:ascii="Arial" w:hAnsi="Arial" w:cs="Arial"/>
          <w:color w:val="2E74B5" w:themeColor="accent1" w:themeShade="BF"/>
          <w:sz w:val="22"/>
          <w:szCs w:val="22"/>
        </w:rPr>
      </w:pPr>
      <w:r w:rsidRPr="0087079D">
        <w:rPr>
          <w:rFonts w:ascii="Arial" w:hAnsi="Arial" w:cs="Arial"/>
          <w:i/>
          <w:color w:val="2E74B5" w:themeColor="accent1" w:themeShade="BF"/>
          <w:sz w:val="22"/>
          <w:szCs w:val="22"/>
          <w:shd w:val="clear" w:color="auto" w:fill="FFFFFF"/>
        </w:rPr>
        <w:t xml:space="preserve">For the purposes of this Convention, consideration will be given solely to such intangible cultural heritage as is compatible with existing international human rights instruments, as well as with the requirements of mutual respect among communities, </w:t>
      </w:r>
      <w:proofErr w:type="gramStart"/>
      <w:r w:rsidRPr="0087079D">
        <w:rPr>
          <w:rFonts w:ascii="Arial" w:hAnsi="Arial" w:cs="Arial"/>
          <w:i/>
          <w:color w:val="2E74B5" w:themeColor="accent1" w:themeShade="BF"/>
          <w:sz w:val="22"/>
          <w:szCs w:val="22"/>
          <w:shd w:val="clear" w:color="auto" w:fill="FFFFFF"/>
        </w:rPr>
        <w:t>groups</w:t>
      </w:r>
      <w:proofErr w:type="gramEnd"/>
      <w:r w:rsidRPr="0087079D">
        <w:rPr>
          <w:rFonts w:ascii="Arial" w:hAnsi="Arial" w:cs="Arial"/>
          <w:i/>
          <w:color w:val="2E74B5" w:themeColor="accent1" w:themeShade="BF"/>
          <w:sz w:val="22"/>
          <w:szCs w:val="22"/>
          <w:shd w:val="clear" w:color="auto" w:fill="FFFFFF"/>
        </w:rPr>
        <w:t xml:space="preserve"> and individuals, and of sustainable development</w:t>
      </w:r>
      <w:r w:rsidRPr="0087079D">
        <w:rPr>
          <w:rFonts w:ascii="Arial" w:hAnsi="Arial" w:cs="Arial"/>
          <w:color w:val="2E74B5" w:themeColor="accent1" w:themeShade="BF"/>
          <w:sz w:val="22"/>
          <w:szCs w:val="22"/>
          <w:shd w:val="clear" w:color="auto" w:fill="FFFFFF"/>
        </w:rPr>
        <w:t>.</w:t>
      </w:r>
      <w:r w:rsidRPr="0087079D">
        <w:rPr>
          <w:rFonts w:ascii="Arial" w:hAnsi="Arial" w:cs="Arial"/>
          <w:color w:val="2E74B5" w:themeColor="accent1" w:themeShade="BF"/>
          <w:sz w:val="22"/>
          <w:szCs w:val="22"/>
        </w:rPr>
        <w:t xml:space="preserve"> </w:t>
      </w:r>
      <w:r w:rsidR="006E111B" w:rsidRPr="0087079D">
        <w:rPr>
          <w:rFonts w:ascii="Arial" w:hAnsi="Arial" w:cs="Arial"/>
          <w:color w:val="2E74B5" w:themeColor="accent1" w:themeShade="BF"/>
          <w:sz w:val="22"/>
          <w:szCs w:val="22"/>
        </w:rPr>
        <w:t>(Art.2)</w:t>
      </w:r>
    </w:p>
    <w:p w14:paraId="5F12EB99" w14:textId="73E5419E" w:rsidR="006E111B" w:rsidRPr="0087079D" w:rsidRDefault="006E111B" w:rsidP="006E111B">
      <w:pPr>
        <w:jc w:val="both"/>
        <w:rPr>
          <w:rFonts w:ascii="Arial" w:hAnsi="Arial" w:cs="Arial"/>
          <w:color w:val="2E74B5" w:themeColor="accent1" w:themeShade="BF"/>
          <w:sz w:val="22"/>
          <w:szCs w:val="22"/>
        </w:rPr>
      </w:pPr>
    </w:p>
    <w:p w14:paraId="6C88076E" w14:textId="7ADEC3A3" w:rsidR="006E111B" w:rsidRPr="0087079D" w:rsidRDefault="006E111B" w:rsidP="006E111B">
      <w:pPr>
        <w:jc w:val="both"/>
        <w:rPr>
          <w:rFonts w:ascii="Arial" w:hAnsi="Arial" w:cs="Arial"/>
          <w:color w:val="2E74B5" w:themeColor="accent1" w:themeShade="BF"/>
          <w:sz w:val="22"/>
          <w:szCs w:val="22"/>
        </w:rPr>
      </w:pPr>
      <w:r w:rsidRPr="0087079D">
        <w:rPr>
          <w:rFonts w:ascii="Arial" w:hAnsi="Arial" w:cs="Arial"/>
          <w:i/>
          <w:color w:val="2E74B5" w:themeColor="accent1" w:themeShade="BF"/>
          <w:sz w:val="22"/>
          <w:szCs w:val="22"/>
          <w:shd w:val="clear" w:color="auto" w:fill="FFFFFF"/>
        </w:rPr>
        <w:t>3. “Safeguarding” means measures aimed at ensuring the viability of the intangible cultural heritage, including the identification, documentation, research, preservation, protection, promotion, enhancement, transmission, particularly through formal and non-formal education, as well as the revitalization of the various aspects of such heritage.</w:t>
      </w:r>
      <w:r w:rsidRPr="0087079D">
        <w:rPr>
          <w:rFonts w:ascii="Arial" w:hAnsi="Arial" w:cs="Arial"/>
          <w:color w:val="2E74B5" w:themeColor="accent1" w:themeShade="BF"/>
          <w:sz w:val="22"/>
          <w:szCs w:val="22"/>
          <w:shd w:val="clear" w:color="auto" w:fill="FFFFFF"/>
        </w:rPr>
        <w:t xml:space="preserve"> </w:t>
      </w:r>
      <w:r w:rsidRPr="0087079D">
        <w:rPr>
          <w:rFonts w:ascii="Arial" w:hAnsi="Arial" w:cs="Arial"/>
          <w:color w:val="2E74B5" w:themeColor="accent1" w:themeShade="BF"/>
          <w:sz w:val="22"/>
          <w:szCs w:val="22"/>
        </w:rPr>
        <w:t>(Art.2)</w:t>
      </w:r>
    </w:p>
    <w:p w14:paraId="4F043B5A" w14:textId="6F4BA7DC" w:rsidR="006E111B" w:rsidRPr="0087079D" w:rsidRDefault="006E111B" w:rsidP="006E111B">
      <w:pPr>
        <w:jc w:val="both"/>
        <w:rPr>
          <w:rFonts w:ascii="Arial" w:hAnsi="Arial" w:cs="Arial"/>
          <w:color w:val="2E74B5" w:themeColor="accent1" w:themeShade="BF"/>
          <w:sz w:val="22"/>
          <w:szCs w:val="22"/>
        </w:rPr>
      </w:pPr>
    </w:p>
    <w:p w14:paraId="13E80497" w14:textId="77777777" w:rsidR="006E111B" w:rsidRPr="0087079D" w:rsidRDefault="006E111B" w:rsidP="0087079D">
      <w:pPr>
        <w:jc w:val="both"/>
        <w:rPr>
          <w:rFonts w:ascii="Arial" w:hAnsi="Arial" w:cs="Arial"/>
          <w:i/>
          <w:color w:val="2E74B5" w:themeColor="accent1" w:themeShade="BF"/>
          <w:sz w:val="22"/>
          <w:szCs w:val="22"/>
        </w:rPr>
      </w:pPr>
      <w:r w:rsidRPr="0087079D">
        <w:rPr>
          <w:rFonts w:ascii="Arial" w:hAnsi="Arial" w:cs="Arial"/>
          <w:i/>
          <w:color w:val="2E74B5" w:themeColor="accent1" w:themeShade="BF"/>
          <w:sz w:val="22"/>
          <w:szCs w:val="22"/>
          <w:shd w:val="clear" w:color="auto" w:fill="FFFFFF"/>
        </w:rPr>
        <w:t xml:space="preserve">To ensure the safeguarding, </w:t>
      </w:r>
      <w:proofErr w:type="gramStart"/>
      <w:r w:rsidRPr="0087079D">
        <w:rPr>
          <w:rFonts w:ascii="Arial" w:hAnsi="Arial" w:cs="Arial"/>
          <w:i/>
          <w:color w:val="2E74B5" w:themeColor="accent1" w:themeShade="BF"/>
          <w:sz w:val="22"/>
          <w:szCs w:val="22"/>
          <w:shd w:val="clear" w:color="auto" w:fill="FFFFFF"/>
        </w:rPr>
        <w:t>development</w:t>
      </w:r>
      <w:proofErr w:type="gramEnd"/>
      <w:r w:rsidRPr="0087079D">
        <w:rPr>
          <w:rFonts w:ascii="Arial" w:hAnsi="Arial" w:cs="Arial"/>
          <w:i/>
          <w:color w:val="2E74B5" w:themeColor="accent1" w:themeShade="BF"/>
          <w:sz w:val="22"/>
          <w:szCs w:val="22"/>
          <w:shd w:val="clear" w:color="auto" w:fill="FFFFFF"/>
        </w:rPr>
        <w:t xml:space="preserve"> and promotion of the intangible cultural heritage present in its territory, each State Party shall </w:t>
      </w:r>
      <w:proofErr w:type="spellStart"/>
      <w:r w:rsidRPr="0087079D">
        <w:rPr>
          <w:rFonts w:ascii="Arial" w:hAnsi="Arial" w:cs="Arial"/>
          <w:i/>
          <w:color w:val="2E74B5" w:themeColor="accent1" w:themeShade="BF"/>
          <w:sz w:val="22"/>
          <w:szCs w:val="22"/>
          <w:shd w:val="clear" w:color="auto" w:fill="FFFFFF"/>
        </w:rPr>
        <w:t>endeavour</w:t>
      </w:r>
      <w:proofErr w:type="spellEnd"/>
      <w:r w:rsidRPr="0087079D">
        <w:rPr>
          <w:rFonts w:ascii="Arial" w:hAnsi="Arial" w:cs="Arial"/>
          <w:i/>
          <w:color w:val="2E74B5" w:themeColor="accent1" w:themeShade="BF"/>
          <w:sz w:val="22"/>
          <w:szCs w:val="22"/>
          <w:shd w:val="clear" w:color="auto" w:fill="FFFFFF"/>
        </w:rPr>
        <w:t xml:space="preserve"> to:</w:t>
      </w:r>
    </w:p>
    <w:p w14:paraId="0A43F6DC" w14:textId="23A796A9" w:rsidR="006E111B" w:rsidRPr="0087079D" w:rsidRDefault="006E111B" w:rsidP="006E111B">
      <w:pPr>
        <w:rPr>
          <w:rFonts w:ascii="Arial" w:hAnsi="Arial" w:cs="Arial"/>
          <w:color w:val="2E74B5" w:themeColor="accent1" w:themeShade="BF"/>
          <w:sz w:val="22"/>
          <w:szCs w:val="22"/>
        </w:rPr>
      </w:pPr>
      <w:r w:rsidRPr="0087079D">
        <w:rPr>
          <w:rFonts w:ascii="Arial" w:hAnsi="Arial" w:cs="Arial"/>
          <w:i/>
          <w:color w:val="2E74B5" w:themeColor="accent1" w:themeShade="BF"/>
          <w:sz w:val="22"/>
          <w:szCs w:val="22"/>
          <w:shd w:val="clear" w:color="auto" w:fill="FFFFFF"/>
        </w:rPr>
        <w:lastRenderedPageBreak/>
        <w:t>(i) fostering the creation or strengthening of institutions for training in the management of the intangible cultural heritage and the transmission of such heritage through forums and spaces intended for the performance or expression thereof;</w:t>
      </w:r>
      <w:r w:rsidRPr="0087079D">
        <w:rPr>
          <w:rFonts w:ascii="Arial" w:hAnsi="Arial" w:cs="Arial"/>
          <w:color w:val="2E74B5" w:themeColor="accent1" w:themeShade="BF"/>
          <w:sz w:val="22"/>
          <w:szCs w:val="22"/>
        </w:rPr>
        <w:t xml:space="preserve"> (Art. 13)</w:t>
      </w:r>
    </w:p>
    <w:p w14:paraId="1FEDA71D" w14:textId="002D7FAF" w:rsidR="006E111B" w:rsidRPr="0087079D" w:rsidRDefault="006E111B" w:rsidP="00920D3C">
      <w:pPr>
        <w:rPr>
          <w:color w:val="2E74B5" w:themeColor="accent1" w:themeShade="BF"/>
        </w:rPr>
      </w:pPr>
    </w:p>
    <w:p w14:paraId="7EBFD066" w14:textId="38F06EFD" w:rsidR="006E111B" w:rsidRPr="0087079D" w:rsidRDefault="006E111B" w:rsidP="00920D3C">
      <w:pPr>
        <w:pStyle w:val="wiki-text"/>
        <w:spacing w:before="0" w:beforeAutospacing="0" w:after="0" w:afterAutospacing="0"/>
        <w:rPr>
          <w:rFonts w:ascii="Arial" w:hAnsi="Arial" w:cs="Arial"/>
          <w:color w:val="2E74B5" w:themeColor="accent1" w:themeShade="BF"/>
          <w:sz w:val="22"/>
          <w:szCs w:val="22"/>
        </w:rPr>
      </w:pPr>
      <w:r w:rsidRPr="0087079D">
        <w:rPr>
          <w:rFonts w:ascii="Arial" w:hAnsi="Arial" w:cs="Arial"/>
          <w:i/>
          <w:color w:val="2E74B5" w:themeColor="accent1" w:themeShade="BF"/>
          <w:sz w:val="22"/>
          <w:szCs w:val="22"/>
        </w:rPr>
        <w:t xml:space="preserve">Each State Party shall </w:t>
      </w:r>
      <w:proofErr w:type="spellStart"/>
      <w:r w:rsidRPr="0087079D">
        <w:rPr>
          <w:rFonts w:ascii="Arial" w:hAnsi="Arial" w:cs="Arial"/>
          <w:i/>
          <w:color w:val="2E74B5" w:themeColor="accent1" w:themeShade="BF"/>
          <w:sz w:val="22"/>
          <w:szCs w:val="22"/>
        </w:rPr>
        <w:t>endeavour</w:t>
      </w:r>
      <w:proofErr w:type="spellEnd"/>
      <w:r w:rsidRPr="0087079D">
        <w:rPr>
          <w:rFonts w:ascii="Arial" w:hAnsi="Arial" w:cs="Arial"/>
          <w:i/>
          <w:color w:val="2E74B5" w:themeColor="accent1" w:themeShade="BF"/>
          <w:sz w:val="22"/>
          <w:szCs w:val="22"/>
        </w:rPr>
        <w:t>, by all appropriate means, to:</w:t>
      </w:r>
      <w:r w:rsidRPr="0087079D">
        <w:rPr>
          <w:rFonts w:ascii="Arial" w:hAnsi="Arial" w:cs="Arial"/>
          <w:i/>
          <w:color w:val="2E74B5" w:themeColor="accent1" w:themeShade="BF"/>
          <w:sz w:val="22"/>
          <w:szCs w:val="22"/>
        </w:rPr>
        <w:br/>
        <w:t>(a) ensure recognition of, respect for, and enhancement of the intangible cultural heritage in society, in particular through:</w:t>
      </w:r>
      <w:r w:rsidRPr="0087079D">
        <w:rPr>
          <w:rFonts w:ascii="Arial" w:hAnsi="Arial" w:cs="Arial"/>
          <w:i/>
          <w:color w:val="2E74B5" w:themeColor="accent1" w:themeShade="BF"/>
          <w:sz w:val="22"/>
          <w:szCs w:val="22"/>
        </w:rPr>
        <w:br/>
        <w:t xml:space="preserve">(i) educational, awareness-raising and information </w:t>
      </w:r>
      <w:proofErr w:type="spellStart"/>
      <w:r w:rsidRPr="0087079D">
        <w:rPr>
          <w:rFonts w:ascii="Arial" w:hAnsi="Arial" w:cs="Arial"/>
          <w:i/>
          <w:color w:val="2E74B5" w:themeColor="accent1" w:themeShade="BF"/>
          <w:sz w:val="22"/>
          <w:szCs w:val="22"/>
        </w:rPr>
        <w:t>programmes</w:t>
      </w:r>
      <w:proofErr w:type="spellEnd"/>
      <w:r w:rsidRPr="0087079D">
        <w:rPr>
          <w:rFonts w:ascii="Arial" w:hAnsi="Arial" w:cs="Arial"/>
          <w:i/>
          <w:color w:val="2E74B5" w:themeColor="accent1" w:themeShade="BF"/>
          <w:sz w:val="22"/>
          <w:szCs w:val="22"/>
        </w:rPr>
        <w:t>, aimed at the general public, in particular young people;</w:t>
      </w:r>
      <w:r w:rsidRPr="0087079D">
        <w:rPr>
          <w:rFonts w:ascii="Arial" w:hAnsi="Arial" w:cs="Arial"/>
          <w:i/>
          <w:color w:val="2E74B5" w:themeColor="accent1" w:themeShade="BF"/>
          <w:sz w:val="22"/>
          <w:szCs w:val="22"/>
        </w:rPr>
        <w:br/>
        <w:t xml:space="preserve">(ii) specific educational and training </w:t>
      </w:r>
      <w:proofErr w:type="spellStart"/>
      <w:r w:rsidRPr="0087079D">
        <w:rPr>
          <w:rFonts w:ascii="Arial" w:hAnsi="Arial" w:cs="Arial"/>
          <w:i/>
          <w:color w:val="2E74B5" w:themeColor="accent1" w:themeShade="BF"/>
          <w:sz w:val="22"/>
          <w:szCs w:val="22"/>
        </w:rPr>
        <w:t>programmes</w:t>
      </w:r>
      <w:proofErr w:type="spellEnd"/>
      <w:r w:rsidRPr="0087079D">
        <w:rPr>
          <w:rFonts w:ascii="Arial" w:hAnsi="Arial" w:cs="Arial"/>
          <w:i/>
          <w:color w:val="2E74B5" w:themeColor="accent1" w:themeShade="BF"/>
          <w:sz w:val="22"/>
          <w:szCs w:val="22"/>
        </w:rPr>
        <w:t xml:space="preserve"> within the communities and groups concerned;</w:t>
      </w:r>
      <w:r w:rsidRPr="0087079D">
        <w:rPr>
          <w:rFonts w:ascii="Arial" w:hAnsi="Arial" w:cs="Arial"/>
          <w:i/>
          <w:color w:val="2E74B5" w:themeColor="accent1" w:themeShade="BF"/>
          <w:sz w:val="22"/>
          <w:szCs w:val="22"/>
        </w:rPr>
        <w:br/>
        <w:t>(iii) capacity-building activities for the safeguarding of the intangible cultural heritage, in particular management and scientific research; and</w:t>
      </w:r>
      <w:r w:rsidRPr="0087079D">
        <w:rPr>
          <w:rFonts w:ascii="Arial" w:hAnsi="Arial" w:cs="Arial"/>
          <w:i/>
          <w:color w:val="2E74B5" w:themeColor="accent1" w:themeShade="BF"/>
          <w:sz w:val="22"/>
          <w:szCs w:val="22"/>
        </w:rPr>
        <w:br/>
        <w:t>(iv)non-formal means of transmitting knowledge;</w:t>
      </w:r>
      <w:r w:rsidRPr="0087079D">
        <w:rPr>
          <w:rFonts w:ascii="Arial" w:hAnsi="Arial" w:cs="Arial"/>
          <w:i/>
          <w:color w:val="2E74B5" w:themeColor="accent1" w:themeShade="BF"/>
          <w:sz w:val="22"/>
          <w:szCs w:val="22"/>
        </w:rPr>
        <w:br/>
        <w:t>(b) keep the public informed of the dangers threatening such heritage, and of the activities carried out in pursuance of this Convention;</w:t>
      </w:r>
      <w:r w:rsidRPr="0087079D">
        <w:rPr>
          <w:rFonts w:ascii="Arial" w:hAnsi="Arial" w:cs="Arial"/>
          <w:i/>
          <w:color w:val="2E74B5" w:themeColor="accent1" w:themeShade="BF"/>
          <w:sz w:val="22"/>
          <w:szCs w:val="22"/>
        </w:rPr>
        <w:br/>
        <w:t xml:space="preserve">(c) promote education for the protection of natural spaces and places of memory whose existence is necessary for expressing the intangible cultural heritage. </w:t>
      </w:r>
      <w:r w:rsidRPr="0087079D">
        <w:rPr>
          <w:rFonts w:ascii="Arial" w:hAnsi="Arial" w:cs="Arial"/>
          <w:color w:val="2E74B5" w:themeColor="accent1" w:themeShade="BF"/>
          <w:sz w:val="22"/>
          <w:szCs w:val="22"/>
        </w:rPr>
        <w:t>(Art. 14)</w:t>
      </w:r>
    </w:p>
    <w:p w14:paraId="0DF02313" w14:textId="77777777" w:rsidR="00B32084" w:rsidRPr="0087079D" w:rsidRDefault="00B32084" w:rsidP="00936CAA">
      <w:pPr>
        <w:jc w:val="both"/>
        <w:rPr>
          <w:rFonts w:ascii="Arial" w:hAnsi="Arial" w:cs="Arial"/>
          <w:b/>
          <w:color w:val="2E74B5" w:themeColor="accent1" w:themeShade="BF"/>
          <w:sz w:val="22"/>
          <w:szCs w:val="22"/>
        </w:rPr>
      </w:pPr>
    </w:p>
    <w:p w14:paraId="78679A6C" w14:textId="1ABE99B7" w:rsidR="002F72BC" w:rsidRPr="0087079D" w:rsidRDefault="002F72BC" w:rsidP="00936CAA">
      <w:pPr>
        <w:jc w:val="both"/>
        <w:rPr>
          <w:rFonts w:ascii="Arial" w:hAnsi="Arial" w:cs="Arial"/>
          <w:b/>
          <w:color w:val="2E74B5" w:themeColor="accent1" w:themeShade="BF"/>
          <w:sz w:val="22"/>
          <w:szCs w:val="22"/>
        </w:rPr>
      </w:pPr>
      <w:r w:rsidRPr="0087079D">
        <w:rPr>
          <w:rStyle w:val="hgkelc"/>
          <w:rFonts w:ascii="Arial" w:hAnsi="Arial" w:cs="Arial"/>
          <w:b/>
          <w:color w:val="2E74B5" w:themeColor="accent1" w:themeShade="BF"/>
          <w:sz w:val="22"/>
          <w:szCs w:val="22"/>
          <w:lang w:val="en"/>
        </w:rPr>
        <w:t>Convention on the Protection and Promotion of the Diversity of Cultural Expressions</w:t>
      </w:r>
      <w:r w:rsidRPr="0087079D">
        <w:rPr>
          <w:rFonts w:ascii="Arial" w:hAnsi="Arial" w:cs="Arial"/>
          <w:b/>
          <w:color w:val="2E74B5" w:themeColor="accent1" w:themeShade="BF"/>
          <w:sz w:val="22"/>
          <w:szCs w:val="22"/>
        </w:rPr>
        <w:t xml:space="preserve"> (2005):</w:t>
      </w:r>
    </w:p>
    <w:p w14:paraId="1D1BC3DF" w14:textId="77777777" w:rsidR="00866634" w:rsidRPr="0087079D" w:rsidRDefault="00866634" w:rsidP="00936CAA">
      <w:pPr>
        <w:jc w:val="both"/>
        <w:rPr>
          <w:rFonts w:ascii="Arial" w:hAnsi="Arial" w:cs="Arial"/>
          <w:b/>
          <w:color w:val="2E74B5" w:themeColor="accent1" w:themeShade="BF"/>
          <w:sz w:val="22"/>
          <w:szCs w:val="22"/>
        </w:rPr>
      </w:pPr>
    </w:p>
    <w:p w14:paraId="6989FD65" w14:textId="09D5FB5E" w:rsidR="000B4D58" w:rsidRPr="0087079D" w:rsidRDefault="000B4D58" w:rsidP="00F12D4C">
      <w:pPr>
        <w:jc w:val="both"/>
        <w:rPr>
          <w:rFonts w:ascii="Arial" w:hAnsi="Arial" w:cs="Arial"/>
          <w:color w:val="2E74B5" w:themeColor="accent1" w:themeShade="BF"/>
          <w:sz w:val="22"/>
          <w:szCs w:val="22"/>
        </w:rPr>
      </w:pPr>
      <w:r w:rsidRPr="0087079D">
        <w:rPr>
          <w:rFonts w:ascii="Arial" w:hAnsi="Arial" w:cs="Arial"/>
          <w:i/>
          <w:color w:val="2E74B5" w:themeColor="accent1" w:themeShade="BF"/>
          <w:sz w:val="22"/>
          <w:szCs w:val="22"/>
        </w:rPr>
        <w:t>Principle of equal dignity of and respect for all cultures</w:t>
      </w:r>
      <w:r w:rsidR="002F72BC" w:rsidRPr="0087079D">
        <w:rPr>
          <w:rFonts w:ascii="Arial" w:hAnsi="Arial" w:cs="Arial"/>
          <w:i/>
          <w:color w:val="2E74B5" w:themeColor="accent1" w:themeShade="BF"/>
          <w:sz w:val="22"/>
          <w:szCs w:val="22"/>
        </w:rPr>
        <w:t xml:space="preserve">. </w:t>
      </w:r>
      <w:r w:rsidRPr="0087079D">
        <w:rPr>
          <w:rFonts w:ascii="Arial" w:hAnsi="Arial" w:cs="Arial"/>
          <w:i/>
          <w:color w:val="2E74B5" w:themeColor="accent1" w:themeShade="BF"/>
          <w:sz w:val="22"/>
          <w:szCs w:val="22"/>
        </w:rPr>
        <w:t>The protection and promotion of the diversity of cultural expressions presuppose the recognition of equal dignity of and respect for all cultures, including the cultures of persons belonging to minorities and indigenous peoples</w:t>
      </w:r>
      <w:r w:rsidRPr="0087079D">
        <w:rPr>
          <w:rFonts w:ascii="Arial" w:hAnsi="Arial" w:cs="Arial"/>
          <w:color w:val="2E74B5" w:themeColor="accent1" w:themeShade="BF"/>
          <w:sz w:val="22"/>
          <w:szCs w:val="22"/>
        </w:rPr>
        <w:t>.</w:t>
      </w:r>
      <w:r w:rsidR="00755EDA" w:rsidRPr="0087079D">
        <w:rPr>
          <w:rFonts w:ascii="Arial" w:hAnsi="Arial" w:cs="Arial"/>
          <w:color w:val="2E74B5" w:themeColor="accent1" w:themeShade="BF"/>
          <w:sz w:val="22"/>
          <w:szCs w:val="22"/>
        </w:rPr>
        <w:t xml:space="preserve"> (Principle 3)</w:t>
      </w:r>
    </w:p>
    <w:p w14:paraId="1433BA04" w14:textId="1F73F303" w:rsidR="003657CC" w:rsidRPr="0087079D" w:rsidRDefault="003657CC" w:rsidP="00AF50E5">
      <w:pPr>
        <w:jc w:val="both"/>
        <w:rPr>
          <w:rFonts w:ascii="Arial" w:hAnsi="Arial" w:cs="Arial"/>
          <w:color w:val="2E74B5" w:themeColor="accent1" w:themeShade="BF"/>
          <w:sz w:val="22"/>
          <w:szCs w:val="22"/>
        </w:rPr>
      </w:pPr>
    </w:p>
    <w:p w14:paraId="3E3E7F79" w14:textId="4569B427" w:rsidR="003657CC" w:rsidRPr="0087079D" w:rsidRDefault="003657CC" w:rsidP="00AF50E5">
      <w:pPr>
        <w:jc w:val="both"/>
        <w:rPr>
          <w:rFonts w:ascii="Arial" w:hAnsi="Arial" w:cs="Arial"/>
          <w:color w:val="2E74B5" w:themeColor="accent1" w:themeShade="BF"/>
          <w:sz w:val="22"/>
          <w:szCs w:val="22"/>
        </w:rPr>
      </w:pPr>
      <w:r w:rsidRPr="0087079D">
        <w:rPr>
          <w:rFonts w:ascii="Arial" w:hAnsi="Arial" w:cs="Arial"/>
          <w:i/>
          <w:color w:val="2E74B5" w:themeColor="accent1" w:themeShade="BF"/>
          <w:sz w:val="22"/>
          <w:szCs w:val="22"/>
        </w:rPr>
        <w:t>Recalling that linguistic diversity is a fundamental element of cultural diversity, and reaffirming the fundamental role that education plays in the protection and promotion of cultural expressions</w:t>
      </w:r>
      <w:r w:rsidR="002F72BC" w:rsidRPr="0087079D">
        <w:rPr>
          <w:rFonts w:ascii="Arial" w:hAnsi="Arial" w:cs="Arial"/>
          <w:i/>
          <w:color w:val="2E74B5" w:themeColor="accent1" w:themeShade="BF"/>
          <w:sz w:val="22"/>
          <w:szCs w:val="22"/>
        </w:rPr>
        <w:t xml:space="preserve"> </w:t>
      </w:r>
      <w:r w:rsidR="00CC2F9F" w:rsidRPr="0087079D">
        <w:rPr>
          <w:rFonts w:ascii="Arial" w:hAnsi="Arial" w:cs="Arial"/>
          <w:color w:val="2E74B5" w:themeColor="accent1" w:themeShade="BF"/>
          <w:sz w:val="22"/>
          <w:szCs w:val="22"/>
        </w:rPr>
        <w:t>(Preamble)</w:t>
      </w:r>
    </w:p>
    <w:p w14:paraId="186FD120" w14:textId="3F5884BC" w:rsidR="00AF50E5" w:rsidRPr="0087079D" w:rsidRDefault="00AF50E5" w:rsidP="00936CAA">
      <w:pPr>
        <w:rPr>
          <w:color w:val="2E74B5" w:themeColor="accent1" w:themeShade="BF"/>
          <w:sz w:val="22"/>
          <w:szCs w:val="22"/>
        </w:rPr>
      </w:pPr>
    </w:p>
    <w:p w14:paraId="156DAC71" w14:textId="656C9C2E" w:rsidR="00866634" w:rsidRPr="0087079D" w:rsidRDefault="00866634" w:rsidP="00866634">
      <w:pPr>
        <w:rPr>
          <w:color w:val="2E74B5" w:themeColor="accent1" w:themeShade="BF"/>
        </w:rPr>
      </w:pPr>
      <w:r w:rsidRPr="0087079D">
        <w:rPr>
          <w:rFonts w:ascii="Arial" w:hAnsi="Arial" w:cs="Arial"/>
          <w:i/>
          <w:color w:val="2E74B5" w:themeColor="accent1" w:themeShade="BF"/>
          <w:sz w:val="21"/>
          <w:szCs w:val="21"/>
          <w:shd w:val="clear" w:color="auto" w:fill="FFFFFF"/>
        </w:rPr>
        <w:t xml:space="preserve">Parties shall </w:t>
      </w:r>
      <w:proofErr w:type="spellStart"/>
      <w:r w:rsidRPr="0087079D">
        <w:rPr>
          <w:rFonts w:ascii="Arial" w:hAnsi="Arial" w:cs="Arial"/>
          <w:i/>
          <w:color w:val="2E74B5" w:themeColor="accent1" w:themeShade="BF"/>
          <w:sz w:val="21"/>
          <w:szCs w:val="21"/>
          <w:shd w:val="clear" w:color="auto" w:fill="FFFFFF"/>
        </w:rPr>
        <w:t>endeavour</w:t>
      </w:r>
      <w:proofErr w:type="spellEnd"/>
      <w:r w:rsidRPr="0087079D">
        <w:rPr>
          <w:rFonts w:ascii="Arial" w:hAnsi="Arial" w:cs="Arial"/>
          <w:i/>
          <w:color w:val="2E74B5" w:themeColor="accent1" w:themeShade="BF"/>
          <w:sz w:val="21"/>
          <w:szCs w:val="21"/>
          <w:shd w:val="clear" w:color="auto" w:fill="FFFFFF"/>
        </w:rPr>
        <w:t xml:space="preserve"> to create in their territory an environment which encourages individuals and social groups: </w:t>
      </w:r>
      <w:r w:rsidRPr="0087079D">
        <w:rPr>
          <w:rFonts w:ascii="Arial" w:hAnsi="Arial" w:cs="Arial"/>
          <w:i/>
          <w:color w:val="2E74B5" w:themeColor="accent1" w:themeShade="BF"/>
          <w:sz w:val="21"/>
          <w:szCs w:val="21"/>
        </w:rPr>
        <w:br/>
      </w:r>
      <w:r w:rsidRPr="0087079D">
        <w:rPr>
          <w:rFonts w:ascii="Arial" w:hAnsi="Arial" w:cs="Arial"/>
          <w:i/>
          <w:color w:val="2E74B5" w:themeColor="accent1" w:themeShade="BF"/>
          <w:sz w:val="21"/>
          <w:szCs w:val="21"/>
          <w:shd w:val="clear" w:color="auto" w:fill="FFFFFF"/>
        </w:rPr>
        <w:t xml:space="preserve">(a) to create, produce, disseminate, </w:t>
      </w:r>
      <w:proofErr w:type="gramStart"/>
      <w:r w:rsidRPr="0087079D">
        <w:rPr>
          <w:rFonts w:ascii="Arial" w:hAnsi="Arial" w:cs="Arial"/>
          <w:i/>
          <w:color w:val="2E74B5" w:themeColor="accent1" w:themeShade="BF"/>
          <w:sz w:val="21"/>
          <w:szCs w:val="21"/>
          <w:shd w:val="clear" w:color="auto" w:fill="FFFFFF"/>
        </w:rPr>
        <w:t>distribute</w:t>
      </w:r>
      <w:proofErr w:type="gramEnd"/>
      <w:r w:rsidRPr="0087079D">
        <w:rPr>
          <w:rFonts w:ascii="Arial" w:hAnsi="Arial" w:cs="Arial"/>
          <w:i/>
          <w:color w:val="2E74B5" w:themeColor="accent1" w:themeShade="BF"/>
          <w:sz w:val="21"/>
          <w:szCs w:val="21"/>
          <w:shd w:val="clear" w:color="auto" w:fill="FFFFFF"/>
        </w:rPr>
        <w:t xml:space="preserve"> and have access to their own cultural expressions, paying due attention to the special circumstances and needs of women as well as various social groups, including persons belonging to minorities and indigenous peoples;</w:t>
      </w:r>
      <w:r w:rsidRPr="0087079D">
        <w:rPr>
          <w:rFonts w:ascii="Arial" w:hAnsi="Arial" w:cs="Arial"/>
          <w:color w:val="2E74B5" w:themeColor="accent1" w:themeShade="BF"/>
          <w:sz w:val="21"/>
          <w:szCs w:val="21"/>
          <w:shd w:val="clear" w:color="auto" w:fill="FFFFFF"/>
        </w:rPr>
        <w:t> (Art. 7)</w:t>
      </w:r>
    </w:p>
    <w:p w14:paraId="41E90826" w14:textId="77777777" w:rsidR="00866634" w:rsidRPr="0087079D" w:rsidRDefault="00866634" w:rsidP="00936CAA">
      <w:pPr>
        <w:rPr>
          <w:color w:val="2E74B5" w:themeColor="accent1" w:themeShade="BF"/>
          <w:sz w:val="22"/>
          <w:szCs w:val="22"/>
        </w:rPr>
      </w:pPr>
    </w:p>
    <w:p w14:paraId="2A5CB4EC" w14:textId="4719C102" w:rsidR="00936CAA" w:rsidRPr="0087079D" w:rsidRDefault="00936CAA" w:rsidP="00936CAA">
      <w:pPr>
        <w:spacing w:after="150"/>
        <w:rPr>
          <w:rFonts w:ascii="Arial" w:hAnsi="Arial" w:cs="Arial"/>
          <w:color w:val="2E74B5" w:themeColor="accent1" w:themeShade="BF"/>
          <w:sz w:val="22"/>
          <w:szCs w:val="22"/>
        </w:rPr>
      </w:pPr>
      <w:r w:rsidRPr="0087079D">
        <w:rPr>
          <w:rFonts w:ascii="Arial" w:hAnsi="Arial" w:cs="Arial"/>
          <w:i/>
          <w:color w:val="2E74B5" w:themeColor="accent1" w:themeShade="BF"/>
          <w:sz w:val="22"/>
          <w:szCs w:val="22"/>
        </w:rPr>
        <w:t>Parties shall: </w:t>
      </w:r>
      <w:r w:rsidRPr="0087079D">
        <w:rPr>
          <w:rFonts w:ascii="Arial" w:hAnsi="Arial" w:cs="Arial"/>
          <w:i/>
          <w:color w:val="2E74B5" w:themeColor="accent1" w:themeShade="BF"/>
          <w:sz w:val="22"/>
          <w:szCs w:val="22"/>
        </w:rPr>
        <w:br/>
        <w:t xml:space="preserve">(a) encourage and promote understanding of the importance of the protection and promotion of the diversity of cultural expressions, inter alia, through educational and greater public awareness </w:t>
      </w:r>
      <w:proofErr w:type="spellStart"/>
      <w:r w:rsidRPr="0087079D">
        <w:rPr>
          <w:rFonts w:ascii="Arial" w:hAnsi="Arial" w:cs="Arial"/>
          <w:i/>
          <w:color w:val="2E74B5" w:themeColor="accent1" w:themeShade="BF"/>
          <w:sz w:val="22"/>
          <w:szCs w:val="22"/>
        </w:rPr>
        <w:t>programmes</w:t>
      </w:r>
      <w:proofErr w:type="spellEnd"/>
      <w:r w:rsidRPr="0087079D">
        <w:rPr>
          <w:rFonts w:ascii="Arial" w:hAnsi="Arial" w:cs="Arial"/>
          <w:i/>
          <w:color w:val="2E74B5" w:themeColor="accent1" w:themeShade="BF"/>
          <w:sz w:val="22"/>
          <w:szCs w:val="22"/>
        </w:rPr>
        <w:t>; </w:t>
      </w:r>
      <w:r w:rsidRPr="0087079D">
        <w:rPr>
          <w:rFonts w:ascii="Arial" w:hAnsi="Arial" w:cs="Arial"/>
          <w:i/>
          <w:color w:val="2E74B5" w:themeColor="accent1" w:themeShade="BF"/>
          <w:sz w:val="22"/>
          <w:szCs w:val="22"/>
        </w:rPr>
        <w:br/>
        <w:t>(b) cooperate with other Parties and international and regional organizations in achieving the purpose of this article; </w:t>
      </w:r>
      <w:r w:rsidRPr="0087079D">
        <w:rPr>
          <w:rFonts w:ascii="Arial" w:hAnsi="Arial" w:cs="Arial"/>
          <w:i/>
          <w:color w:val="2E74B5" w:themeColor="accent1" w:themeShade="BF"/>
          <w:sz w:val="22"/>
          <w:szCs w:val="22"/>
        </w:rPr>
        <w:br/>
        <w:t>(c) </w:t>
      </w:r>
      <w:proofErr w:type="spellStart"/>
      <w:r w:rsidRPr="0087079D">
        <w:rPr>
          <w:rFonts w:ascii="Arial" w:hAnsi="Arial" w:cs="Arial"/>
          <w:i/>
          <w:color w:val="2E74B5" w:themeColor="accent1" w:themeShade="BF"/>
          <w:sz w:val="22"/>
          <w:szCs w:val="22"/>
        </w:rPr>
        <w:t>endeavour</w:t>
      </w:r>
      <w:proofErr w:type="spellEnd"/>
      <w:r w:rsidRPr="0087079D">
        <w:rPr>
          <w:rFonts w:ascii="Arial" w:hAnsi="Arial" w:cs="Arial"/>
          <w:i/>
          <w:color w:val="2E74B5" w:themeColor="accent1" w:themeShade="BF"/>
          <w:sz w:val="22"/>
          <w:szCs w:val="22"/>
        </w:rPr>
        <w:t xml:space="preserve"> to encourage creativity and strengthen production capacities by setting up educational, training and exchange </w:t>
      </w:r>
      <w:proofErr w:type="spellStart"/>
      <w:r w:rsidRPr="0087079D">
        <w:rPr>
          <w:rFonts w:ascii="Arial" w:hAnsi="Arial" w:cs="Arial"/>
          <w:i/>
          <w:color w:val="2E74B5" w:themeColor="accent1" w:themeShade="BF"/>
          <w:sz w:val="22"/>
          <w:szCs w:val="22"/>
        </w:rPr>
        <w:t>programmes</w:t>
      </w:r>
      <w:proofErr w:type="spellEnd"/>
      <w:r w:rsidRPr="0087079D">
        <w:rPr>
          <w:rFonts w:ascii="Arial" w:hAnsi="Arial" w:cs="Arial"/>
          <w:i/>
          <w:color w:val="2E74B5" w:themeColor="accent1" w:themeShade="BF"/>
          <w:sz w:val="22"/>
          <w:szCs w:val="22"/>
        </w:rPr>
        <w:t xml:space="preserve"> in the field of cultural industries. These measures should be implemented in a manner which does not have a negative impact on traditional forms of production.</w:t>
      </w:r>
      <w:r w:rsidRPr="0087079D">
        <w:rPr>
          <w:rFonts w:ascii="Arial" w:hAnsi="Arial" w:cs="Arial"/>
          <w:color w:val="2E74B5" w:themeColor="accent1" w:themeShade="BF"/>
          <w:sz w:val="22"/>
          <w:szCs w:val="22"/>
        </w:rPr>
        <w:t> (Art. 10)</w:t>
      </w:r>
    </w:p>
    <w:p w14:paraId="20F43811" w14:textId="29B5D27B" w:rsidR="00F12D4C" w:rsidRPr="0087079D" w:rsidRDefault="00F12D4C" w:rsidP="00866634">
      <w:pPr>
        <w:rPr>
          <w:i/>
          <w:color w:val="2E74B5" w:themeColor="accent1" w:themeShade="BF"/>
          <w:sz w:val="22"/>
          <w:szCs w:val="22"/>
        </w:rPr>
      </w:pPr>
      <w:r w:rsidRPr="0087079D">
        <w:rPr>
          <w:rFonts w:ascii="Arial" w:hAnsi="Arial" w:cs="Arial"/>
          <w:i/>
          <w:color w:val="2E74B5" w:themeColor="accent1" w:themeShade="BF"/>
          <w:sz w:val="22"/>
          <w:szCs w:val="22"/>
          <w:shd w:val="clear" w:color="auto" w:fill="FFFFFF"/>
        </w:rPr>
        <w:t xml:space="preserve">Parties shall </w:t>
      </w:r>
      <w:proofErr w:type="spellStart"/>
      <w:r w:rsidRPr="0087079D">
        <w:rPr>
          <w:rFonts w:ascii="Arial" w:hAnsi="Arial" w:cs="Arial"/>
          <w:i/>
          <w:color w:val="2E74B5" w:themeColor="accent1" w:themeShade="BF"/>
          <w:sz w:val="22"/>
          <w:szCs w:val="22"/>
          <w:shd w:val="clear" w:color="auto" w:fill="FFFFFF"/>
        </w:rPr>
        <w:t>endeavour</w:t>
      </w:r>
      <w:proofErr w:type="spellEnd"/>
      <w:r w:rsidRPr="0087079D">
        <w:rPr>
          <w:rFonts w:ascii="Arial" w:hAnsi="Arial" w:cs="Arial"/>
          <w:i/>
          <w:color w:val="2E74B5" w:themeColor="accent1" w:themeShade="BF"/>
          <w:sz w:val="22"/>
          <w:szCs w:val="22"/>
          <w:shd w:val="clear" w:color="auto" w:fill="FFFFFF"/>
        </w:rPr>
        <w:t xml:space="preserve"> to support cooperation for sustainable development and poverty reduction, especially in relation to the specific needs of developing countries, </w:t>
      </w:r>
      <w:proofErr w:type="gramStart"/>
      <w:r w:rsidRPr="0087079D">
        <w:rPr>
          <w:rFonts w:ascii="Arial" w:hAnsi="Arial" w:cs="Arial"/>
          <w:i/>
          <w:color w:val="2E74B5" w:themeColor="accent1" w:themeShade="BF"/>
          <w:sz w:val="22"/>
          <w:szCs w:val="22"/>
          <w:shd w:val="clear" w:color="auto" w:fill="FFFFFF"/>
        </w:rPr>
        <w:t>in order to</w:t>
      </w:r>
      <w:proofErr w:type="gramEnd"/>
      <w:r w:rsidRPr="0087079D">
        <w:rPr>
          <w:rFonts w:ascii="Arial" w:hAnsi="Arial" w:cs="Arial"/>
          <w:i/>
          <w:color w:val="2E74B5" w:themeColor="accent1" w:themeShade="BF"/>
          <w:sz w:val="22"/>
          <w:szCs w:val="22"/>
          <w:shd w:val="clear" w:color="auto" w:fill="FFFFFF"/>
        </w:rPr>
        <w:t xml:space="preserve"> foster the emergence of a dynamic cultural sector by, inter alia, the following means: </w:t>
      </w:r>
    </w:p>
    <w:p w14:paraId="0E2F0651" w14:textId="796E8BC0" w:rsidR="00F12D4C" w:rsidRPr="0087079D" w:rsidRDefault="00F12D4C" w:rsidP="00F12D4C">
      <w:pPr>
        <w:spacing w:after="150"/>
        <w:jc w:val="both"/>
        <w:rPr>
          <w:rFonts w:ascii="Arial" w:hAnsi="Arial" w:cs="Arial"/>
          <w:i/>
          <w:color w:val="2E74B5" w:themeColor="accent1" w:themeShade="BF"/>
          <w:sz w:val="22"/>
          <w:szCs w:val="22"/>
        </w:rPr>
      </w:pPr>
      <w:r w:rsidRPr="0087079D">
        <w:rPr>
          <w:rFonts w:ascii="Arial" w:hAnsi="Arial" w:cs="Arial"/>
          <w:i/>
          <w:color w:val="2E74B5" w:themeColor="accent1" w:themeShade="BF"/>
          <w:sz w:val="22"/>
          <w:szCs w:val="22"/>
        </w:rPr>
        <w:t xml:space="preserve">(b) capacity-building through the exchange of information, experience and expertise, as well as the training of human resources in developing countries, in the public and private sector relating to, inter alia, strategic and management capacities, policy development and implementation, promotion and distribution of cultural expressions, small-, medium- </w:t>
      </w:r>
      <w:r w:rsidRPr="0087079D">
        <w:rPr>
          <w:rFonts w:ascii="Arial" w:hAnsi="Arial" w:cs="Arial"/>
          <w:i/>
          <w:color w:val="2E74B5" w:themeColor="accent1" w:themeShade="BF"/>
          <w:sz w:val="22"/>
          <w:szCs w:val="22"/>
        </w:rPr>
        <w:lastRenderedPageBreak/>
        <w:t xml:space="preserve">and micro-enterprise development, the use of technology, and skills development and </w:t>
      </w:r>
      <w:proofErr w:type="gramStart"/>
      <w:r w:rsidRPr="0087079D">
        <w:rPr>
          <w:rFonts w:ascii="Arial" w:hAnsi="Arial" w:cs="Arial"/>
          <w:i/>
          <w:color w:val="2E74B5" w:themeColor="accent1" w:themeShade="BF"/>
          <w:sz w:val="22"/>
          <w:szCs w:val="22"/>
        </w:rPr>
        <w:t>transfer;</w:t>
      </w:r>
      <w:proofErr w:type="gramEnd"/>
      <w:r w:rsidRPr="0087079D">
        <w:rPr>
          <w:rFonts w:ascii="Arial" w:hAnsi="Arial" w:cs="Arial"/>
          <w:i/>
          <w:color w:val="2E74B5" w:themeColor="accent1" w:themeShade="BF"/>
          <w:sz w:val="22"/>
          <w:szCs w:val="22"/>
        </w:rPr>
        <w:t> </w:t>
      </w:r>
    </w:p>
    <w:p w14:paraId="3D121709" w14:textId="0CEC2A37" w:rsidR="00F12D4C" w:rsidRPr="0087079D" w:rsidRDefault="00F12D4C" w:rsidP="00F12D4C">
      <w:pPr>
        <w:spacing w:after="150"/>
        <w:jc w:val="both"/>
        <w:rPr>
          <w:rFonts w:ascii="Arial" w:hAnsi="Arial" w:cs="Arial"/>
          <w:i/>
          <w:color w:val="2E74B5" w:themeColor="accent1" w:themeShade="BF"/>
          <w:sz w:val="22"/>
          <w:szCs w:val="22"/>
        </w:rPr>
      </w:pPr>
      <w:r w:rsidRPr="0087079D">
        <w:rPr>
          <w:rFonts w:ascii="Arial" w:hAnsi="Arial" w:cs="Arial"/>
          <w:i/>
          <w:color w:val="2E74B5" w:themeColor="accent1" w:themeShade="BF"/>
          <w:sz w:val="22"/>
          <w:szCs w:val="22"/>
        </w:rPr>
        <w:t>(c) technology transfer through the introduction of appropriate incentive measures for the transfer of technology and know-how, especially in the areas of cultural industries and enterprises; </w:t>
      </w:r>
      <w:r w:rsidRPr="0087079D">
        <w:rPr>
          <w:rFonts w:ascii="Arial" w:hAnsi="Arial" w:cs="Arial"/>
          <w:color w:val="2E74B5" w:themeColor="accent1" w:themeShade="BF"/>
          <w:sz w:val="22"/>
          <w:szCs w:val="22"/>
        </w:rPr>
        <w:t>(Art.14)</w:t>
      </w:r>
    </w:p>
    <w:p w14:paraId="0E4E1A7F" w14:textId="77777777" w:rsidR="00936CAA" w:rsidRPr="00426DE4" w:rsidRDefault="00936CAA" w:rsidP="007A75AA">
      <w:pPr>
        <w:jc w:val="both"/>
      </w:pPr>
    </w:p>
    <w:p w14:paraId="2A724003" w14:textId="7C0E88E1" w:rsidR="007A75AA" w:rsidRPr="00426DE4" w:rsidRDefault="007A75AA" w:rsidP="007A75AA">
      <w:pPr>
        <w:jc w:val="both"/>
      </w:pPr>
    </w:p>
    <w:p w14:paraId="168D9514" w14:textId="77777777" w:rsidR="00510888" w:rsidRPr="00426DE4" w:rsidRDefault="00510888" w:rsidP="00510888">
      <w:pPr>
        <w:jc w:val="both"/>
      </w:pPr>
      <w:r w:rsidRPr="00426DE4">
        <w:t xml:space="preserve">62. The second condition is for educational institutions and </w:t>
      </w:r>
      <w:proofErr w:type="spellStart"/>
      <w:r w:rsidRPr="00426DE4">
        <w:t>programmes</w:t>
      </w:r>
      <w:proofErr w:type="spellEnd"/>
      <w:r w:rsidRPr="00426DE4">
        <w:t xml:space="preserve"> to be accessible without discrimination. The factors that lead to discrimination (distance, language, gender, social status, </w:t>
      </w:r>
      <w:proofErr w:type="gramStart"/>
      <w:r w:rsidRPr="00426DE4">
        <w:t>poverty</w:t>
      </w:r>
      <w:proofErr w:type="gramEnd"/>
      <w:r w:rsidRPr="00426DE4">
        <w:t xml:space="preserve"> and others) must be taken into account, and discrimination must be countered by turning grounds for discrimination into advantages: to make it an advantage to be a girl, to live in the countryside or to know another language, including sign language.  </w:t>
      </w:r>
    </w:p>
    <w:p w14:paraId="509CD670" w14:textId="4CA8C292" w:rsidR="00510888" w:rsidRPr="00426DE4" w:rsidRDefault="00510888" w:rsidP="00510888">
      <w:pPr>
        <w:jc w:val="both"/>
        <w:rPr>
          <w:color w:val="0070C0"/>
        </w:rPr>
      </w:pPr>
    </w:p>
    <w:p w14:paraId="256CFE8A" w14:textId="2A4304EB" w:rsidR="00B20D4C" w:rsidRPr="0087079D" w:rsidRDefault="00EC4736" w:rsidP="00B20D4C">
      <w:p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Please s</w:t>
      </w:r>
      <w:r w:rsidR="00B20D4C" w:rsidRPr="0087079D">
        <w:rPr>
          <w:rFonts w:ascii="Arial" w:hAnsi="Arial" w:cs="Arial"/>
          <w:color w:val="2E74B5" w:themeColor="accent1" w:themeShade="BF"/>
          <w:sz w:val="22"/>
          <w:szCs w:val="22"/>
        </w:rPr>
        <w:t xml:space="preserve">ee the </w:t>
      </w:r>
      <w:r w:rsidR="00711CA4" w:rsidRPr="0087079D">
        <w:rPr>
          <w:rFonts w:ascii="Arial" w:hAnsi="Arial" w:cs="Arial"/>
          <w:color w:val="2E74B5" w:themeColor="accent1" w:themeShade="BF"/>
          <w:sz w:val="22"/>
          <w:szCs w:val="22"/>
        </w:rPr>
        <w:t xml:space="preserve">paragraph </w:t>
      </w:r>
      <w:r w:rsidRPr="0087079D">
        <w:rPr>
          <w:rFonts w:ascii="Arial" w:hAnsi="Arial" w:cs="Arial"/>
          <w:color w:val="2E74B5" w:themeColor="accent1" w:themeShade="BF"/>
          <w:sz w:val="22"/>
          <w:szCs w:val="22"/>
        </w:rPr>
        <w:t>related to</w:t>
      </w:r>
      <w:r w:rsidR="00711CA4" w:rsidRPr="0087079D">
        <w:rPr>
          <w:rFonts w:ascii="Arial" w:hAnsi="Arial" w:cs="Arial"/>
          <w:color w:val="2E74B5" w:themeColor="accent1" w:themeShade="BF"/>
          <w:sz w:val="22"/>
          <w:szCs w:val="22"/>
        </w:rPr>
        <w:t xml:space="preserve"> challenges in Q.1</w:t>
      </w:r>
      <w:r w:rsidR="00B20D4C" w:rsidRPr="0087079D">
        <w:rPr>
          <w:rFonts w:ascii="Arial" w:hAnsi="Arial" w:cs="Arial"/>
          <w:color w:val="2E74B5" w:themeColor="accent1" w:themeShade="BF"/>
          <w:sz w:val="22"/>
          <w:szCs w:val="22"/>
        </w:rPr>
        <w:t>.</w:t>
      </w:r>
    </w:p>
    <w:p w14:paraId="013D3D80" w14:textId="77777777" w:rsidR="00B20D4C" w:rsidRPr="00426DE4" w:rsidRDefault="00B20D4C" w:rsidP="00510888">
      <w:pPr>
        <w:jc w:val="both"/>
        <w:rPr>
          <w:color w:val="0070C0"/>
        </w:rPr>
      </w:pPr>
    </w:p>
    <w:p w14:paraId="54A61F1E" w14:textId="77777777" w:rsidR="007A75AA" w:rsidRPr="00426DE4" w:rsidRDefault="007A75AA" w:rsidP="007A75AA">
      <w:pPr>
        <w:jc w:val="both"/>
      </w:pPr>
    </w:p>
    <w:p w14:paraId="6B74D642" w14:textId="77777777" w:rsidR="00135815" w:rsidRPr="00426DE4" w:rsidRDefault="00135815" w:rsidP="00135815">
      <w:pPr>
        <w:pStyle w:val="ListParagraph"/>
        <w:numPr>
          <w:ilvl w:val="3"/>
          <w:numId w:val="32"/>
        </w:numPr>
        <w:ind w:left="426"/>
        <w:jc w:val="both"/>
      </w:pPr>
      <w:r w:rsidRPr="00426DE4">
        <w:t>In countries where the Special Rapporteur has undertaken visits</w:t>
      </w:r>
      <w:r w:rsidRPr="00426DE4">
        <w:rPr>
          <w:rStyle w:val="FootnoteReference"/>
        </w:rPr>
        <w:footnoteReference w:id="8"/>
      </w:r>
      <w:r w:rsidRPr="00426DE4">
        <w:t xml:space="preserve">, have recommendations been implemented? If so, please list recommendations acted upon. </w:t>
      </w:r>
    </w:p>
    <w:p w14:paraId="7C4C83E8" w14:textId="4450B515" w:rsidR="00135815" w:rsidRPr="00426DE4" w:rsidRDefault="00135815" w:rsidP="007A75AA">
      <w:pPr>
        <w:jc w:val="both"/>
      </w:pPr>
    </w:p>
    <w:p w14:paraId="673FBD05" w14:textId="5F22FD1C" w:rsidR="007A75AA" w:rsidRPr="0087079D" w:rsidRDefault="00936CAA" w:rsidP="007A75AA">
      <w:pPr>
        <w:jc w:val="both"/>
        <w:rPr>
          <w:color w:val="2E74B5" w:themeColor="accent1" w:themeShade="BF"/>
        </w:rPr>
      </w:pPr>
      <w:r w:rsidRPr="0087079D">
        <w:rPr>
          <w:color w:val="2E74B5" w:themeColor="accent1" w:themeShade="BF"/>
        </w:rPr>
        <w:t>N/A</w:t>
      </w:r>
    </w:p>
    <w:p w14:paraId="18DC3C20" w14:textId="53FB549E" w:rsidR="007A75AA" w:rsidRPr="00426DE4" w:rsidRDefault="007A75AA" w:rsidP="007A75AA">
      <w:pPr>
        <w:jc w:val="both"/>
      </w:pPr>
    </w:p>
    <w:p w14:paraId="6BEA05B1" w14:textId="77777777" w:rsidR="007A75AA" w:rsidRPr="00426DE4" w:rsidRDefault="007A75AA" w:rsidP="007A75AA">
      <w:pPr>
        <w:jc w:val="both"/>
      </w:pPr>
    </w:p>
    <w:p w14:paraId="1E6D44B5" w14:textId="77777777" w:rsidR="00135815" w:rsidRPr="00426DE4" w:rsidRDefault="00135815" w:rsidP="00135815">
      <w:pPr>
        <w:pStyle w:val="ListParagraph"/>
        <w:numPr>
          <w:ilvl w:val="3"/>
          <w:numId w:val="32"/>
        </w:numPr>
        <w:ind w:left="426"/>
        <w:jc w:val="both"/>
      </w:pPr>
      <w:r w:rsidRPr="00426DE4">
        <w:t xml:space="preserve">In countries to which the Special Rapporteur has sent communications (allegation letters, urgent </w:t>
      </w:r>
      <w:proofErr w:type="gramStart"/>
      <w:r w:rsidRPr="00426DE4">
        <w:t>appeals</w:t>
      </w:r>
      <w:proofErr w:type="gramEnd"/>
      <w:r w:rsidRPr="00426DE4">
        <w:t xml:space="preserve"> and other letters)</w:t>
      </w:r>
      <w:r w:rsidRPr="00426DE4">
        <w:rPr>
          <w:rStyle w:val="FootnoteReference"/>
        </w:rPr>
        <w:footnoteReference w:id="9"/>
      </w:r>
      <w:r w:rsidRPr="00426DE4">
        <w:t>, have measures been adopted to address the issues raised and ensure their non-recurrence? Please provide specifics.</w:t>
      </w:r>
    </w:p>
    <w:p w14:paraId="60F19D1B" w14:textId="23ACF652" w:rsidR="00135815" w:rsidRPr="00426DE4" w:rsidRDefault="00135815" w:rsidP="0053533E">
      <w:pPr>
        <w:jc w:val="both"/>
      </w:pPr>
    </w:p>
    <w:p w14:paraId="16E8ED64" w14:textId="2E2DC34E" w:rsidR="0053533E" w:rsidRPr="0087079D" w:rsidRDefault="00936CAA" w:rsidP="0053533E">
      <w:pPr>
        <w:jc w:val="both"/>
        <w:rPr>
          <w:color w:val="2E74B5" w:themeColor="accent1" w:themeShade="BF"/>
        </w:rPr>
      </w:pPr>
      <w:r w:rsidRPr="0087079D">
        <w:rPr>
          <w:color w:val="2E74B5" w:themeColor="accent1" w:themeShade="BF"/>
        </w:rPr>
        <w:t>N/A</w:t>
      </w:r>
    </w:p>
    <w:p w14:paraId="30250E58" w14:textId="77777777" w:rsidR="00135815" w:rsidRPr="00426DE4" w:rsidRDefault="00135815" w:rsidP="00135815">
      <w:pPr>
        <w:jc w:val="both"/>
      </w:pPr>
    </w:p>
    <w:p w14:paraId="18A41146" w14:textId="77777777" w:rsidR="00135815" w:rsidRPr="00426DE4" w:rsidRDefault="00135815" w:rsidP="00135815">
      <w:pPr>
        <w:pStyle w:val="ListParagraph"/>
        <w:numPr>
          <w:ilvl w:val="0"/>
          <w:numId w:val="32"/>
        </w:numPr>
        <w:pBdr>
          <w:bottom w:val="single" w:sz="4" w:space="1" w:color="auto"/>
        </w:pBdr>
        <w:jc w:val="both"/>
        <w:rPr>
          <w:b/>
        </w:rPr>
      </w:pPr>
      <w:r w:rsidRPr="00426DE4">
        <w:rPr>
          <w:b/>
        </w:rPr>
        <w:t>Main challenges and crucial issues for the future</w:t>
      </w:r>
    </w:p>
    <w:p w14:paraId="693772F5" w14:textId="77777777" w:rsidR="00135815" w:rsidRPr="00426DE4" w:rsidRDefault="00135815" w:rsidP="00135815">
      <w:pPr>
        <w:jc w:val="both"/>
      </w:pPr>
    </w:p>
    <w:p w14:paraId="0F421A9E" w14:textId="77777777" w:rsidR="00135815" w:rsidRPr="00426DE4" w:rsidRDefault="00135815" w:rsidP="00135815">
      <w:pPr>
        <w:pStyle w:val="ListParagraph"/>
        <w:numPr>
          <w:ilvl w:val="0"/>
          <w:numId w:val="33"/>
        </w:numPr>
        <w:ind w:left="426"/>
        <w:jc w:val="both"/>
      </w:pPr>
      <w:r w:rsidRPr="00426DE4">
        <w:t>In your view, what are the main challenges in your country in implementing the right to education?</w:t>
      </w:r>
    </w:p>
    <w:p w14:paraId="7603CB4E" w14:textId="2A1822D1" w:rsidR="00135815" w:rsidRPr="00426DE4" w:rsidRDefault="00135815" w:rsidP="00261CF5">
      <w:pPr>
        <w:ind w:left="66"/>
        <w:jc w:val="both"/>
      </w:pPr>
    </w:p>
    <w:p w14:paraId="7AFC761A" w14:textId="2CAA502B" w:rsidR="00261CF5" w:rsidRPr="0087079D" w:rsidRDefault="00936CAA" w:rsidP="00BE2D83">
      <w:p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N/A</w:t>
      </w:r>
    </w:p>
    <w:p w14:paraId="19248BE9" w14:textId="77777777" w:rsidR="00261CF5" w:rsidRPr="00426DE4" w:rsidRDefault="00261CF5" w:rsidP="00261CF5">
      <w:pPr>
        <w:ind w:left="66"/>
        <w:jc w:val="both"/>
      </w:pPr>
    </w:p>
    <w:p w14:paraId="0A9B5A1D" w14:textId="00132B39" w:rsidR="00135815" w:rsidRDefault="00135815" w:rsidP="00135815">
      <w:pPr>
        <w:pStyle w:val="ListParagraph"/>
        <w:numPr>
          <w:ilvl w:val="0"/>
          <w:numId w:val="33"/>
        </w:numPr>
        <w:ind w:left="426"/>
        <w:jc w:val="both"/>
      </w:pPr>
      <w:r w:rsidRPr="00426DE4">
        <w:t>What are the crucial issues to address, nationally as well as internationally, to ensure the realization of the right to education?</w:t>
      </w:r>
    </w:p>
    <w:p w14:paraId="7A6DDE3B" w14:textId="3A6A6932" w:rsidR="003901B4" w:rsidRDefault="003901B4" w:rsidP="003901B4">
      <w:pPr>
        <w:ind w:left="66"/>
        <w:jc w:val="both"/>
      </w:pPr>
    </w:p>
    <w:p w14:paraId="1F528373" w14:textId="66F0CB5A" w:rsidR="003901B4" w:rsidRPr="0087079D" w:rsidRDefault="005323F1" w:rsidP="003901B4">
      <w:pPr>
        <w:ind w:left="66"/>
        <w:jc w:val="both"/>
        <w:rPr>
          <w:rFonts w:ascii="Arial" w:hAnsi="Arial" w:cs="Arial"/>
          <w:b/>
          <w:color w:val="2E74B5" w:themeColor="accent1" w:themeShade="BF"/>
          <w:sz w:val="22"/>
          <w:szCs w:val="22"/>
        </w:rPr>
      </w:pPr>
      <w:r w:rsidRPr="0087079D">
        <w:rPr>
          <w:rFonts w:ascii="Arial" w:hAnsi="Arial" w:cs="Arial"/>
          <w:b/>
          <w:color w:val="2E74B5" w:themeColor="accent1" w:themeShade="BF"/>
          <w:sz w:val="22"/>
          <w:szCs w:val="22"/>
        </w:rPr>
        <w:t xml:space="preserve">Main </w:t>
      </w:r>
      <w:r w:rsidR="003901B4" w:rsidRPr="0087079D">
        <w:rPr>
          <w:rFonts w:ascii="Arial" w:hAnsi="Arial" w:cs="Arial"/>
          <w:b/>
          <w:color w:val="2E74B5" w:themeColor="accent1" w:themeShade="BF"/>
          <w:sz w:val="22"/>
          <w:szCs w:val="22"/>
        </w:rPr>
        <w:t>issues</w:t>
      </w:r>
      <w:r w:rsidRPr="0087079D">
        <w:rPr>
          <w:rFonts w:ascii="Arial" w:hAnsi="Arial" w:cs="Arial"/>
          <w:b/>
          <w:color w:val="2E74B5" w:themeColor="accent1" w:themeShade="BF"/>
          <w:sz w:val="22"/>
          <w:szCs w:val="22"/>
        </w:rPr>
        <w:t>:</w:t>
      </w:r>
      <w:r w:rsidR="003901B4" w:rsidRPr="0087079D">
        <w:rPr>
          <w:rFonts w:ascii="Arial" w:hAnsi="Arial" w:cs="Arial"/>
          <w:b/>
          <w:color w:val="2E74B5" w:themeColor="accent1" w:themeShade="BF"/>
          <w:sz w:val="22"/>
          <w:szCs w:val="22"/>
        </w:rPr>
        <w:t xml:space="preserve"> cooperation, access, </w:t>
      </w:r>
      <w:r w:rsidRPr="0087079D">
        <w:rPr>
          <w:rFonts w:ascii="Arial" w:hAnsi="Arial" w:cs="Arial"/>
          <w:b/>
          <w:color w:val="2E74B5" w:themeColor="accent1" w:themeShade="BF"/>
          <w:sz w:val="22"/>
          <w:szCs w:val="22"/>
        </w:rPr>
        <w:t>integration of culture in education systems, teacher training, professionalization, digital transformation, and research and data.</w:t>
      </w:r>
    </w:p>
    <w:p w14:paraId="04DCB7DF" w14:textId="0C532D7E" w:rsidR="00135815" w:rsidRPr="0087079D" w:rsidRDefault="00135815" w:rsidP="00135815">
      <w:pPr>
        <w:jc w:val="both"/>
        <w:rPr>
          <w:color w:val="2E74B5" w:themeColor="accent1" w:themeShade="BF"/>
        </w:rPr>
      </w:pPr>
    </w:p>
    <w:p w14:paraId="16615F59" w14:textId="6395EE2E" w:rsidR="007F47A5" w:rsidRPr="0087079D" w:rsidRDefault="007F47A5" w:rsidP="007F47A5">
      <w:pPr>
        <w:pStyle w:val="ListParagraph"/>
        <w:numPr>
          <w:ilvl w:val="0"/>
          <w:numId w:val="37"/>
        </w:num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strengthen cooperation between ministries, notably cultural and education ministries</w:t>
      </w:r>
      <w:r w:rsidR="005323F1" w:rsidRPr="0087079D">
        <w:rPr>
          <w:rFonts w:ascii="Arial" w:hAnsi="Arial" w:cs="Arial"/>
          <w:color w:val="2E74B5" w:themeColor="accent1" w:themeShade="BF"/>
          <w:sz w:val="22"/>
          <w:szCs w:val="22"/>
        </w:rPr>
        <w:t>, and expand the scope of actors and institutions involved in implementing education</w:t>
      </w:r>
    </w:p>
    <w:p w14:paraId="41B88BC6" w14:textId="77777777" w:rsidR="007F47A5" w:rsidRPr="0087079D" w:rsidRDefault="007F47A5" w:rsidP="007F47A5">
      <w:pPr>
        <w:pStyle w:val="ListParagraph"/>
        <w:numPr>
          <w:ilvl w:val="0"/>
          <w:numId w:val="37"/>
        </w:num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lastRenderedPageBreak/>
        <w:t>enhance access to culture and arts education as an integral part to the right to education and the right to culture</w:t>
      </w:r>
    </w:p>
    <w:p w14:paraId="37FA2253" w14:textId="0778C327" w:rsidR="007F47A5" w:rsidRPr="0087079D" w:rsidRDefault="007F47A5" w:rsidP="007F47A5">
      <w:pPr>
        <w:pStyle w:val="ListParagraph"/>
        <w:numPr>
          <w:ilvl w:val="0"/>
          <w:numId w:val="37"/>
        </w:num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integrate cultural and creative processes to strengthen context</w:t>
      </w:r>
      <w:r w:rsidR="00BE2D83" w:rsidRPr="0087079D">
        <w:rPr>
          <w:rFonts w:ascii="Arial" w:hAnsi="Arial" w:cs="Arial"/>
          <w:color w:val="2E74B5" w:themeColor="accent1" w:themeShade="BF"/>
          <w:sz w:val="22"/>
          <w:szCs w:val="22"/>
        </w:rPr>
        <w:t xml:space="preserve"> and content</w:t>
      </w:r>
      <w:r w:rsidRPr="0087079D">
        <w:rPr>
          <w:rFonts w:ascii="Arial" w:hAnsi="Arial" w:cs="Arial"/>
          <w:color w:val="2E74B5" w:themeColor="accent1" w:themeShade="BF"/>
          <w:sz w:val="22"/>
          <w:szCs w:val="22"/>
        </w:rPr>
        <w:t>-relevant learning</w:t>
      </w:r>
      <w:r w:rsidR="00BE2D83" w:rsidRPr="0087079D">
        <w:rPr>
          <w:rFonts w:ascii="Arial" w:hAnsi="Arial" w:cs="Arial"/>
          <w:color w:val="2E74B5" w:themeColor="accent1" w:themeShade="BF"/>
          <w:sz w:val="22"/>
          <w:szCs w:val="22"/>
        </w:rPr>
        <w:t xml:space="preserve"> and therefore quality education</w:t>
      </w:r>
    </w:p>
    <w:p w14:paraId="2D27E1F1" w14:textId="44C24A6C" w:rsidR="007F47A5" w:rsidRPr="0087079D" w:rsidRDefault="007F47A5" w:rsidP="007F47A5">
      <w:pPr>
        <w:pStyle w:val="ListParagraph"/>
        <w:numPr>
          <w:ilvl w:val="0"/>
          <w:numId w:val="37"/>
        </w:num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address capacity gaps in arts teaching and professional development</w:t>
      </w:r>
    </w:p>
    <w:p w14:paraId="7599809F" w14:textId="6CADFB55" w:rsidR="007F47A5" w:rsidRPr="0087079D" w:rsidRDefault="007F47A5" w:rsidP="007F47A5">
      <w:pPr>
        <w:pStyle w:val="ListParagraph"/>
        <w:numPr>
          <w:ilvl w:val="0"/>
          <w:numId w:val="37"/>
        </w:num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ensure culture and arts education that builds skills for employment</w:t>
      </w:r>
    </w:p>
    <w:p w14:paraId="5ECE984F" w14:textId="0091CF2A" w:rsidR="007F47A5" w:rsidRPr="0087079D" w:rsidRDefault="007F47A5" w:rsidP="007F47A5">
      <w:pPr>
        <w:pStyle w:val="ListParagraph"/>
        <w:numPr>
          <w:ilvl w:val="0"/>
          <w:numId w:val="37"/>
        </w:num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address the challenges and opportunities of digital expansion, including ensuring access to resources, supporting education outcomes, and enhancing creative play and experimentation</w:t>
      </w:r>
    </w:p>
    <w:p w14:paraId="3941AA7A" w14:textId="635009C5" w:rsidR="00EC4736" w:rsidRPr="0087079D" w:rsidRDefault="007F47A5" w:rsidP="007F47A5">
      <w:pPr>
        <w:pStyle w:val="ListParagraph"/>
        <w:numPr>
          <w:ilvl w:val="0"/>
          <w:numId w:val="37"/>
        </w:numPr>
        <w:jc w:val="both"/>
        <w:rPr>
          <w:rFonts w:ascii="Arial" w:hAnsi="Arial" w:cs="Arial"/>
          <w:color w:val="2E74B5" w:themeColor="accent1" w:themeShade="BF"/>
          <w:sz w:val="22"/>
          <w:szCs w:val="22"/>
        </w:rPr>
      </w:pPr>
      <w:r w:rsidRPr="0087079D">
        <w:rPr>
          <w:rFonts w:ascii="Arial" w:hAnsi="Arial" w:cs="Arial"/>
          <w:color w:val="2E74B5" w:themeColor="accent1" w:themeShade="BF"/>
          <w:sz w:val="22"/>
          <w:szCs w:val="22"/>
        </w:rPr>
        <w:t>develop evidence-based research and data</w:t>
      </w:r>
      <w:r w:rsidR="00426DE4" w:rsidRPr="0087079D">
        <w:rPr>
          <w:rFonts w:ascii="Arial" w:hAnsi="Arial" w:cs="Arial"/>
          <w:color w:val="2E74B5" w:themeColor="accent1" w:themeShade="BF"/>
          <w:sz w:val="22"/>
          <w:szCs w:val="22"/>
        </w:rPr>
        <w:t xml:space="preserve"> in culture and arts education</w:t>
      </w:r>
    </w:p>
    <w:p w14:paraId="21B0A949" w14:textId="77777777" w:rsidR="00A86C9C" w:rsidRPr="00426DE4" w:rsidRDefault="00A86C9C" w:rsidP="00135815">
      <w:pPr>
        <w:jc w:val="both"/>
      </w:pPr>
    </w:p>
    <w:p w14:paraId="2286955E" w14:textId="77777777" w:rsidR="00135815" w:rsidRPr="00426DE4" w:rsidRDefault="00135815" w:rsidP="00135815">
      <w:pPr>
        <w:jc w:val="both"/>
      </w:pPr>
    </w:p>
    <w:p w14:paraId="394F1455" w14:textId="2B0DDB56" w:rsidR="00BE749A" w:rsidRPr="00EA3E88" w:rsidRDefault="00135815" w:rsidP="00EA3E88">
      <w:pPr>
        <w:ind w:firstLine="360"/>
        <w:jc w:val="both"/>
      </w:pPr>
      <w:r w:rsidRPr="00426DE4">
        <w:t xml:space="preserve">You are invited to provide information </w:t>
      </w:r>
      <w:r w:rsidRPr="00426DE4">
        <w:rPr>
          <w:u w:val="single"/>
        </w:rPr>
        <w:t>only on the questions relevant to your work</w:t>
      </w:r>
      <w:r w:rsidRPr="00426DE4">
        <w:t>.</w:t>
      </w:r>
      <w:r w:rsidRPr="00935254">
        <w:t xml:space="preserve">  </w:t>
      </w:r>
    </w:p>
    <w:sectPr w:rsidR="00BE749A" w:rsidRPr="00EA3E88" w:rsidSect="00ED053D">
      <w:headerReference w:type="even" r:id="rId18"/>
      <w:headerReference w:type="default" r:id="rId19"/>
      <w:footerReference w:type="even" r:id="rId20"/>
      <w:footerReference w:type="default" r:id="rId21"/>
      <w:headerReference w:type="first" r:id="rId22"/>
      <w:footerReference w:type="first" r:id="rId2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B276" w14:textId="77777777" w:rsidR="00584B9D" w:rsidRDefault="00584B9D">
      <w:r>
        <w:separator/>
      </w:r>
    </w:p>
  </w:endnote>
  <w:endnote w:type="continuationSeparator" w:id="0">
    <w:p w14:paraId="7EDDB19C" w14:textId="77777777" w:rsidR="00584B9D" w:rsidRDefault="00584B9D">
      <w:r>
        <w:continuationSeparator/>
      </w:r>
    </w:p>
  </w:endnote>
  <w:endnote w:type="continuationNotice" w:id="1">
    <w:p w14:paraId="34623C1F" w14:textId="77777777" w:rsidR="00584B9D" w:rsidRDefault="00584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8E1E" w14:textId="77777777" w:rsidR="00952445" w:rsidRDefault="0095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FFA" w14:textId="195E96E4" w:rsidR="00F52D0C" w:rsidRDefault="00F52D0C">
    <w:pPr>
      <w:pStyle w:val="Footer"/>
      <w:jc w:val="center"/>
    </w:pPr>
  </w:p>
  <w:p w14:paraId="1B5B06A9" w14:textId="77777777" w:rsidR="00F52D0C" w:rsidRDefault="00F52D0C"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D9" w14:textId="045180FC" w:rsidR="00F52D0C" w:rsidRDefault="00F52D0C" w:rsidP="00135815">
    <w:pPr>
      <w:pStyle w:val="Footer"/>
      <w:tabs>
        <w:tab w:val="left" w:pos="567"/>
      </w:tabs>
    </w:pPr>
  </w:p>
  <w:p w14:paraId="45CDFA52" w14:textId="77777777" w:rsidR="00F52D0C" w:rsidRPr="00282983" w:rsidRDefault="00F52D0C"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D50B" w14:textId="77777777" w:rsidR="00584B9D" w:rsidRDefault="00584B9D">
      <w:r>
        <w:separator/>
      </w:r>
    </w:p>
  </w:footnote>
  <w:footnote w:type="continuationSeparator" w:id="0">
    <w:p w14:paraId="15A92656" w14:textId="77777777" w:rsidR="00584B9D" w:rsidRDefault="00584B9D">
      <w:r>
        <w:continuationSeparator/>
      </w:r>
    </w:p>
  </w:footnote>
  <w:footnote w:type="continuationNotice" w:id="1">
    <w:p w14:paraId="7C893908" w14:textId="77777777" w:rsidR="00584B9D" w:rsidRDefault="00584B9D"/>
  </w:footnote>
  <w:footnote w:id="2">
    <w:p w14:paraId="258CFE80" w14:textId="77777777" w:rsidR="00567968" w:rsidRPr="007E01D5" w:rsidRDefault="00567968" w:rsidP="00567968">
      <w:pPr>
        <w:pStyle w:val="FootnoteText"/>
      </w:pPr>
      <w:r>
        <w:rPr>
          <w:rStyle w:val="FootnoteReference"/>
        </w:rPr>
        <w:footnoteRef/>
      </w:r>
      <w:r>
        <w:t xml:space="preserve"> </w:t>
      </w:r>
      <w:r w:rsidRPr="007E01D5">
        <w:t>https://unesdoc.unesco.org/ark:/48223/pf0000265456?posInSet=1&amp;queryId=c234bedc-fe07-412f-8a6e-d16b124bc709</w:t>
      </w:r>
    </w:p>
  </w:footnote>
  <w:footnote w:id="3">
    <w:p w14:paraId="21CA3CAC" w14:textId="77777777" w:rsidR="00F52D0C" w:rsidRPr="002E7790" w:rsidRDefault="00F52D0C" w:rsidP="002F4F00">
      <w:pPr>
        <w:pStyle w:val="FootnoteText"/>
        <w:rPr>
          <w:rFonts w:ascii="Arial" w:hAnsi="Arial" w:cs="Arial"/>
          <w:sz w:val="18"/>
          <w:szCs w:val="18"/>
        </w:rPr>
      </w:pPr>
      <w:r w:rsidRPr="002E7790">
        <w:rPr>
          <w:rStyle w:val="FootnoteReference"/>
          <w:rFonts w:ascii="Arial" w:hAnsi="Arial" w:cs="Arial"/>
          <w:sz w:val="18"/>
          <w:szCs w:val="18"/>
        </w:rPr>
        <w:footnoteRef/>
      </w:r>
      <w:r w:rsidRPr="002E7790">
        <w:rPr>
          <w:rFonts w:ascii="Arial" w:hAnsi="Arial" w:cs="Arial"/>
          <w:sz w:val="18"/>
          <w:szCs w:val="18"/>
        </w:rPr>
        <w:t xml:space="preserve"> SDG target </w:t>
      </w:r>
      <w:proofErr w:type="gramStart"/>
      <w:r w:rsidRPr="002E7790">
        <w:rPr>
          <w:rFonts w:ascii="Arial" w:hAnsi="Arial" w:cs="Arial"/>
          <w:sz w:val="18"/>
          <w:szCs w:val="18"/>
        </w:rPr>
        <w:t>4.7 :</w:t>
      </w:r>
      <w:proofErr w:type="gramEnd"/>
      <w:r w:rsidRPr="002E7790">
        <w:rPr>
          <w:rFonts w:ascii="Arial" w:hAnsi="Arial" w:cs="Arial"/>
          <w:sz w:val="18"/>
          <w:szCs w:val="18"/>
        </w:rPr>
        <w:t xml:space="preserve">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footnote>
  <w:footnote w:id="4">
    <w:p w14:paraId="10C8F0A3" w14:textId="5DCCB514" w:rsidR="00FB498D" w:rsidRPr="00FB498D" w:rsidRDefault="00FB498D">
      <w:pPr>
        <w:pStyle w:val="FootnoteText"/>
      </w:pPr>
      <w:r>
        <w:rPr>
          <w:rStyle w:val="FootnoteReference"/>
        </w:rPr>
        <w:footnoteRef/>
      </w:r>
      <w:r>
        <w:t xml:space="preserve"> </w:t>
      </w:r>
      <w:r w:rsidRPr="00FB498D">
        <w:t>https://www.unesco.org/en/education/1974recommendation#:~:text=The%201974%20Recommendation%20calls%20on,Human%20Rights%20(Article%2026).</w:t>
      </w:r>
    </w:p>
  </w:footnote>
  <w:footnote w:id="5">
    <w:p w14:paraId="05F0FC44" w14:textId="77777777" w:rsidR="00F52D0C" w:rsidRPr="00D63D2C" w:rsidRDefault="00F52D0C" w:rsidP="004C5FAD">
      <w:pPr>
        <w:pStyle w:val="FootnoteText"/>
        <w:jc w:val="both"/>
        <w:rPr>
          <w:rFonts w:ascii="Arial" w:hAnsi="Arial" w:cs="Arial"/>
          <w:sz w:val="16"/>
          <w:szCs w:val="16"/>
        </w:rPr>
      </w:pPr>
      <w:r w:rsidRPr="00D63D2C">
        <w:rPr>
          <w:rStyle w:val="FootnoteReference"/>
          <w:rFonts w:ascii="Arial" w:hAnsi="Arial" w:cs="Arial"/>
          <w:sz w:val="16"/>
          <w:szCs w:val="16"/>
        </w:rPr>
        <w:footnoteRef/>
      </w:r>
      <w:r w:rsidRPr="00D63D2C">
        <w:rPr>
          <w:rFonts w:ascii="Arial" w:hAnsi="Arial" w:cs="Arial"/>
          <w:sz w:val="16"/>
          <w:szCs w:val="16"/>
        </w:rPr>
        <w:t xml:space="preserve"> </w:t>
      </w:r>
      <w:r w:rsidRPr="00D63D2C">
        <w:rPr>
          <w:rFonts w:ascii="Arial" w:hAnsi="Arial" w:cs="Arial"/>
          <w:i/>
          <w:iCs/>
          <w:sz w:val="16"/>
          <w:szCs w:val="16"/>
        </w:rPr>
        <w:t xml:space="preserve">The Convention for the Protection of Cultural Property in the Event of Armed Conflict </w:t>
      </w:r>
      <w:r w:rsidRPr="00D63D2C">
        <w:rPr>
          <w:rFonts w:ascii="Arial" w:hAnsi="Arial" w:cs="Arial"/>
          <w:sz w:val="16"/>
          <w:szCs w:val="16"/>
        </w:rPr>
        <w:t xml:space="preserve">(1954), the </w:t>
      </w:r>
      <w:r w:rsidRPr="00D63D2C">
        <w:rPr>
          <w:rFonts w:ascii="Arial" w:hAnsi="Arial" w:cs="Arial"/>
          <w:i/>
          <w:iCs/>
          <w:sz w:val="16"/>
          <w:szCs w:val="16"/>
        </w:rPr>
        <w:t xml:space="preserve">Convention on the Means of Prohibiting and Preventing the Illicit Import, Export and Transfer of Ownership of Cultural Property </w:t>
      </w:r>
      <w:r w:rsidRPr="00D63D2C">
        <w:rPr>
          <w:rFonts w:ascii="Arial" w:hAnsi="Arial" w:cs="Arial"/>
          <w:sz w:val="16"/>
          <w:szCs w:val="16"/>
        </w:rPr>
        <w:t xml:space="preserve">(1970), the </w:t>
      </w:r>
      <w:r w:rsidRPr="00D63D2C">
        <w:rPr>
          <w:rFonts w:ascii="Arial" w:hAnsi="Arial" w:cs="Arial"/>
          <w:i/>
          <w:iCs/>
          <w:sz w:val="16"/>
          <w:szCs w:val="16"/>
        </w:rPr>
        <w:t xml:space="preserve">Convention Concerning the Protection of the World Cultural and Natural Heritage </w:t>
      </w:r>
      <w:r w:rsidRPr="00D63D2C">
        <w:rPr>
          <w:rFonts w:ascii="Arial" w:hAnsi="Arial" w:cs="Arial"/>
          <w:sz w:val="16"/>
          <w:szCs w:val="16"/>
        </w:rPr>
        <w:t>(1972)</w:t>
      </w:r>
      <w:r w:rsidRPr="00D63D2C">
        <w:rPr>
          <w:rFonts w:ascii="Arial" w:hAnsi="Arial" w:cs="Arial"/>
          <w:i/>
          <w:iCs/>
          <w:sz w:val="16"/>
          <w:szCs w:val="16"/>
        </w:rPr>
        <w:t xml:space="preserve">, </w:t>
      </w:r>
      <w:r w:rsidRPr="00D63D2C">
        <w:rPr>
          <w:rFonts w:ascii="Arial" w:hAnsi="Arial" w:cs="Arial"/>
          <w:sz w:val="16"/>
          <w:szCs w:val="16"/>
        </w:rPr>
        <w:t xml:space="preserve">the </w:t>
      </w:r>
      <w:r w:rsidRPr="00D63D2C">
        <w:rPr>
          <w:rFonts w:ascii="Arial" w:hAnsi="Arial" w:cs="Arial"/>
          <w:i/>
          <w:iCs/>
          <w:sz w:val="16"/>
          <w:szCs w:val="16"/>
        </w:rPr>
        <w:t xml:space="preserve">Convention on the Protection of the Underwater Cultural Heritage </w:t>
      </w:r>
      <w:r w:rsidRPr="00D63D2C">
        <w:rPr>
          <w:rFonts w:ascii="Arial" w:hAnsi="Arial" w:cs="Arial"/>
          <w:sz w:val="16"/>
          <w:szCs w:val="16"/>
        </w:rPr>
        <w:t xml:space="preserve">(2001), the </w:t>
      </w:r>
      <w:r w:rsidRPr="00D63D2C">
        <w:rPr>
          <w:rFonts w:ascii="Arial" w:hAnsi="Arial" w:cs="Arial"/>
          <w:i/>
          <w:iCs/>
          <w:sz w:val="16"/>
          <w:szCs w:val="16"/>
        </w:rPr>
        <w:t xml:space="preserve">Convention for the Safeguarding of the Intangible Cultural Heritage </w:t>
      </w:r>
      <w:r w:rsidRPr="00D63D2C">
        <w:rPr>
          <w:rFonts w:ascii="Arial" w:hAnsi="Arial" w:cs="Arial"/>
          <w:sz w:val="16"/>
          <w:szCs w:val="16"/>
        </w:rPr>
        <w:t xml:space="preserve">(2003), and the </w:t>
      </w:r>
      <w:r w:rsidRPr="00D63D2C">
        <w:rPr>
          <w:rFonts w:ascii="Arial" w:hAnsi="Arial" w:cs="Arial"/>
          <w:i/>
          <w:iCs/>
          <w:sz w:val="16"/>
          <w:szCs w:val="16"/>
        </w:rPr>
        <w:t xml:space="preserve">Convention on the Protection and Promotion of the Diversity of Cultural Expressions </w:t>
      </w:r>
      <w:r w:rsidRPr="00D63D2C">
        <w:rPr>
          <w:rFonts w:ascii="Arial" w:hAnsi="Arial" w:cs="Arial"/>
          <w:sz w:val="16"/>
          <w:szCs w:val="16"/>
        </w:rPr>
        <w:t xml:space="preserve">(2005). Following the adoption of the UNESCO 2005 Convention, new impetus was given to the </w:t>
      </w:r>
      <w:r w:rsidRPr="00D63D2C">
        <w:rPr>
          <w:rFonts w:ascii="Arial" w:hAnsi="Arial" w:cs="Arial"/>
          <w:i/>
          <w:iCs/>
          <w:sz w:val="16"/>
          <w:szCs w:val="16"/>
        </w:rPr>
        <w:t xml:space="preserve">Recommendation on the Status of the Artist </w:t>
      </w:r>
      <w:r w:rsidRPr="00D63D2C">
        <w:rPr>
          <w:rFonts w:ascii="Arial" w:hAnsi="Arial" w:cs="Arial"/>
          <w:sz w:val="16"/>
          <w:szCs w:val="16"/>
        </w:rPr>
        <w:t xml:space="preserve">(1980) to protect and promote artistic freedom. See also: the </w:t>
      </w:r>
      <w:r w:rsidRPr="00D63D2C">
        <w:rPr>
          <w:rFonts w:ascii="Arial" w:hAnsi="Arial" w:cs="Arial"/>
          <w:i/>
          <w:iCs/>
          <w:sz w:val="16"/>
          <w:szCs w:val="16"/>
        </w:rPr>
        <w:t xml:space="preserve">Recommendation concerning the Protection and Promotion of Museums and Collections, their </w:t>
      </w:r>
      <w:proofErr w:type="gramStart"/>
      <w:r w:rsidRPr="00D63D2C">
        <w:rPr>
          <w:rFonts w:ascii="Arial" w:hAnsi="Arial" w:cs="Arial"/>
          <w:i/>
          <w:iCs/>
          <w:sz w:val="16"/>
          <w:szCs w:val="16"/>
        </w:rPr>
        <w:t>Diversity</w:t>
      </w:r>
      <w:proofErr w:type="gramEnd"/>
      <w:r w:rsidRPr="00D63D2C">
        <w:rPr>
          <w:rFonts w:ascii="Arial" w:hAnsi="Arial" w:cs="Arial"/>
          <w:i/>
          <w:iCs/>
          <w:sz w:val="16"/>
          <w:szCs w:val="16"/>
        </w:rPr>
        <w:t xml:space="preserve"> and their Role in Society </w:t>
      </w:r>
      <w:r w:rsidRPr="00D63D2C">
        <w:rPr>
          <w:rFonts w:ascii="Arial" w:hAnsi="Arial" w:cs="Arial"/>
          <w:sz w:val="16"/>
          <w:szCs w:val="16"/>
        </w:rPr>
        <w:t xml:space="preserve">(2015).  </w:t>
      </w:r>
    </w:p>
  </w:footnote>
  <w:footnote w:id="6">
    <w:p w14:paraId="38E62267" w14:textId="78150F86" w:rsidR="00B2556B" w:rsidRPr="00B2556B" w:rsidRDefault="00B2556B">
      <w:pPr>
        <w:pStyle w:val="FootnoteText"/>
      </w:pPr>
      <w:r>
        <w:rPr>
          <w:rStyle w:val="FootnoteReference"/>
        </w:rPr>
        <w:footnoteRef/>
      </w:r>
      <w:r>
        <w:t xml:space="preserve"> </w:t>
      </w:r>
      <w:hyperlink r:id="rId1" w:history="1">
        <w:r w:rsidRPr="001F6EE4">
          <w:rPr>
            <w:rStyle w:val="Hyperlink"/>
          </w:rPr>
          <w:t>https://www.unesco.org/en/languages-education</w:t>
        </w:r>
      </w:hyperlink>
      <w:r>
        <w:t xml:space="preserve"> </w:t>
      </w:r>
    </w:p>
  </w:footnote>
  <w:footnote w:id="7">
    <w:p w14:paraId="0A72F827" w14:textId="27786FD0" w:rsidR="004625C3" w:rsidRPr="004625C3" w:rsidRDefault="004625C3">
      <w:pPr>
        <w:pStyle w:val="FootnoteText"/>
      </w:pPr>
      <w:r>
        <w:rPr>
          <w:rStyle w:val="FootnoteReference"/>
        </w:rPr>
        <w:footnoteRef/>
      </w:r>
      <w:r>
        <w:t xml:space="preserve"> </w:t>
      </w:r>
      <w:r w:rsidRPr="004625C3">
        <w:t>https://www.unesco.org/en/articles/unesco-launches-world-atlas-languages-celebrate-and-protect-linguistic-diversity</w:t>
      </w:r>
    </w:p>
  </w:footnote>
  <w:footnote w:id="8">
    <w:p w14:paraId="50294CF5" w14:textId="4FE23BC9" w:rsidR="00F52D0C" w:rsidRDefault="00F52D0C" w:rsidP="005B3AEF">
      <w:r>
        <w:rPr>
          <w:rStyle w:val="FootnoteReference"/>
        </w:rPr>
        <w:footnoteRef/>
      </w:r>
      <w:r>
        <w:t xml:space="preserve"> Algeria, Bhutan, Bosnia and Herzegovina, Botswana, Chile, China, Colombia, Ecuador, Fiji, Germany, Guatemala, Indonesia, Ivory Coast, Kazakhstan, Malaysia, Mexico, Mongolia, Morocco, Paraguay, Senegal, Seychelles, Tunisia, </w:t>
      </w:r>
      <w:r w:rsidRPr="002C5014">
        <w:t>Türkiye</w:t>
      </w:r>
      <w:r>
        <w:t xml:space="preserve">, Uganda, United Kingdom and Northern Ireland, United States, Qatar. </w:t>
      </w:r>
      <w:hyperlink r:id="rId2" w:history="1">
        <w:r>
          <w:rPr>
            <w:rStyle w:val="Hyperlink"/>
          </w:rPr>
          <w:t>OHCHR | Country visits</w:t>
        </w:r>
      </w:hyperlink>
    </w:p>
  </w:footnote>
  <w:footnote w:id="9">
    <w:p w14:paraId="5B7A30E3" w14:textId="77777777" w:rsidR="00F52D0C" w:rsidRDefault="00F52D0C" w:rsidP="00135815">
      <w:pPr>
        <w:pStyle w:val="FootnoteText"/>
      </w:pPr>
      <w:r>
        <w:rPr>
          <w:rStyle w:val="FootnoteReference"/>
        </w:rPr>
        <w:footnoteRef/>
      </w:r>
      <w:r>
        <w:t xml:space="preserve"> </w:t>
      </w:r>
      <w:hyperlink r:id="rId3" w:history="1">
        <w:r>
          <w:rPr>
            <w:rStyle w:val="Hyperlink"/>
          </w:rPr>
          <w:t>Communication search (ohchr.org)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7A82" w14:textId="77777777" w:rsidR="00952445" w:rsidRDefault="0095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017F" w14:textId="77777777" w:rsidR="00952445" w:rsidRDefault="00952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77777777" w:rsidR="00F52D0C" w:rsidRPr="00925A9D" w:rsidRDefault="00F52D0C"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F52D0C" w:rsidRPr="002745FF" w:rsidRDefault="00F52D0C"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F52D0C" w:rsidRPr="00F70507" w:rsidRDefault="00F52D0C" w:rsidP="000448F9">
    <w:pPr>
      <w:pStyle w:val="Header"/>
      <w:tabs>
        <w:tab w:val="clear" w:pos="4153"/>
        <w:tab w:val="clear" w:pos="8306"/>
        <w:tab w:val="right" w:pos="3686"/>
        <w:tab w:val="left" w:pos="5812"/>
      </w:tabs>
      <w:spacing w:before="80" w:after="120"/>
      <w:jc w:val="center"/>
      <w:rPr>
        <w:b/>
        <w:sz w:val="14"/>
        <w:szCs w:val="14"/>
        <w:lang w:val="fr-CH"/>
      </w:rPr>
    </w:pPr>
    <w:r w:rsidRPr="00F70507">
      <w:rPr>
        <w:b/>
        <w:sz w:val="14"/>
        <w:szCs w:val="14"/>
        <w:lang w:val="fr-CH"/>
      </w:rPr>
      <w:t xml:space="preserve">www.ohchr.org • </w:t>
    </w:r>
    <w:proofErr w:type="gramStart"/>
    <w:r w:rsidRPr="00F70507">
      <w:rPr>
        <w:b/>
        <w:sz w:val="14"/>
        <w:szCs w:val="14"/>
        <w:lang w:val="fr-CH"/>
      </w:rPr>
      <w:t>TEL:</w:t>
    </w:r>
    <w:proofErr w:type="gramEnd"/>
    <w:r w:rsidRPr="00F70507">
      <w:rPr>
        <w:b/>
        <w:sz w:val="14"/>
        <w:szCs w:val="14"/>
        <w:lang w:val="fr-CH"/>
      </w:rPr>
      <w:t xml:space="preserve"> +41 22 917 9000 • FAX: +41 22 917 9008 • E-MAIL: </w:t>
    </w:r>
    <w:hyperlink r:id="rId2" w:history="1">
      <w:r w:rsidRPr="00F70507">
        <w:rPr>
          <w:rStyle w:val="Hyperlink"/>
          <w:b/>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5EC4647"/>
    <w:multiLevelType w:val="multilevel"/>
    <w:tmpl w:val="B700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280619A1"/>
    <w:multiLevelType w:val="hybridMultilevel"/>
    <w:tmpl w:val="7B20FBB0"/>
    <w:lvl w:ilvl="0" w:tplc="ABAA3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F70296E"/>
    <w:multiLevelType w:val="multilevel"/>
    <w:tmpl w:val="25B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F147D2"/>
    <w:multiLevelType w:val="hybridMultilevel"/>
    <w:tmpl w:val="FCDE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2"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5675874">
    <w:abstractNumId w:val="21"/>
  </w:num>
  <w:num w:numId="2" w16cid:durableId="1406731459">
    <w:abstractNumId w:val="36"/>
  </w:num>
  <w:num w:numId="3" w16cid:durableId="232089036">
    <w:abstractNumId w:val="24"/>
  </w:num>
  <w:num w:numId="4" w16cid:durableId="854611992">
    <w:abstractNumId w:val="11"/>
  </w:num>
  <w:num w:numId="5" w16cid:durableId="365566472">
    <w:abstractNumId w:val="25"/>
  </w:num>
  <w:num w:numId="6" w16cid:durableId="1082340935">
    <w:abstractNumId w:val="15"/>
  </w:num>
  <w:num w:numId="7" w16cid:durableId="1070425159">
    <w:abstractNumId w:val="3"/>
  </w:num>
  <w:num w:numId="8" w16cid:durableId="334916262">
    <w:abstractNumId w:val="16"/>
  </w:num>
  <w:num w:numId="9" w16cid:durableId="344942472">
    <w:abstractNumId w:val="5"/>
  </w:num>
  <w:num w:numId="10" w16cid:durableId="994996568">
    <w:abstractNumId w:val="2"/>
  </w:num>
  <w:num w:numId="11" w16cid:durableId="1639799803">
    <w:abstractNumId w:val="14"/>
  </w:num>
  <w:num w:numId="12" w16cid:durableId="1357805931">
    <w:abstractNumId w:val="34"/>
  </w:num>
  <w:num w:numId="13" w16cid:durableId="704521407">
    <w:abstractNumId w:val="35"/>
  </w:num>
  <w:num w:numId="14" w16cid:durableId="594169724">
    <w:abstractNumId w:val="20"/>
  </w:num>
  <w:num w:numId="15" w16cid:durableId="289629323">
    <w:abstractNumId w:val="8"/>
  </w:num>
  <w:num w:numId="16" w16cid:durableId="1412963552">
    <w:abstractNumId w:val="0"/>
  </w:num>
  <w:num w:numId="17" w16cid:durableId="803236659">
    <w:abstractNumId w:val="27"/>
  </w:num>
  <w:num w:numId="18" w16cid:durableId="1796828630">
    <w:abstractNumId w:val="9"/>
  </w:num>
  <w:num w:numId="19" w16cid:durableId="1699548484">
    <w:abstractNumId w:val="19"/>
  </w:num>
  <w:num w:numId="20" w16cid:durableId="1543204899">
    <w:abstractNumId w:val="6"/>
  </w:num>
  <w:num w:numId="21" w16cid:durableId="1172067682">
    <w:abstractNumId w:val="26"/>
  </w:num>
  <w:num w:numId="22" w16cid:durableId="861280039">
    <w:abstractNumId w:val="23"/>
  </w:num>
  <w:num w:numId="23" w16cid:durableId="1085541624">
    <w:abstractNumId w:val="17"/>
  </w:num>
  <w:num w:numId="24" w16cid:durableId="41563700">
    <w:abstractNumId w:val="31"/>
  </w:num>
  <w:num w:numId="25" w16cid:durableId="870335341">
    <w:abstractNumId w:val="22"/>
  </w:num>
  <w:num w:numId="26" w16cid:durableId="1135947144">
    <w:abstractNumId w:val="32"/>
  </w:num>
  <w:num w:numId="27" w16cid:durableId="360477376">
    <w:abstractNumId w:val="12"/>
  </w:num>
  <w:num w:numId="28" w16cid:durableId="1304657367">
    <w:abstractNumId w:val="4"/>
  </w:num>
  <w:num w:numId="29" w16cid:durableId="559049710">
    <w:abstractNumId w:val="30"/>
  </w:num>
  <w:num w:numId="30" w16cid:durableId="1083837845">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7707083">
    <w:abstractNumId w:val="1"/>
  </w:num>
  <w:num w:numId="32" w16cid:durableId="1507793450">
    <w:abstractNumId w:val="18"/>
  </w:num>
  <w:num w:numId="33" w16cid:durableId="1088619622">
    <w:abstractNumId w:val="10"/>
  </w:num>
  <w:num w:numId="34" w16cid:durableId="1012952890">
    <w:abstractNumId w:val="29"/>
  </w:num>
  <w:num w:numId="35" w16cid:durableId="1768038249">
    <w:abstractNumId w:val="7"/>
  </w:num>
  <w:num w:numId="36" w16cid:durableId="946040059">
    <w:abstractNumId w:val="28"/>
  </w:num>
  <w:num w:numId="37" w16cid:durableId="7952189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14369"/>
    <w:rsid w:val="00014673"/>
    <w:rsid w:val="00014DA3"/>
    <w:rsid w:val="0001584B"/>
    <w:rsid w:val="00015BFA"/>
    <w:rsid w:val="00022685"/>
    <w:rsid w:val="00023D7B"/>
    <w:rsid w:val="00026D1F"/>
    <w:rsid w:val="000340E3"/>
    <w:rsid w:val="00034190"/>
    <w:rsid w:val="0003674D"/>
    <w:rsid w:val="00040D8C"/>
    <w:rsid w:val="0004286B"/>
    <w:rsid w:val="000448F9"/>
    <w:rsid w:val="00050799"/>
    <w:rsid w:val="00052EC2"/>
    <w:rsid w:val="0005390B"/>
    <w:rsid w:val="000540E7"/>
    <w:rsid w:val="000552AA"/>
    <w:rsid w:val="00061731"/>
    <w:rsid w:val="00063BFD"/>
    <w:rsid w:val="0007362E"/>
    <w:rsid w:val="00076901"/>
    <w:rsid w:val="00076B62"/>
    <w:rsid w:val="00077294"/>
    <w:rsid w:val="000856F6"/>
    <w:rsid w:val="00086BDE"/>
    <w:rsid w:val="000875C6"/>
    <w:rsid w:val="00091BF0"/>
    <w:rsid w:val="0009228F"/>
    <w:rsid w:val="0009310D"/>
    <w:rsid w:val="000A00EC"/>
    <w:rsid w:val="000A2B89"/>
    <w:rsid w:val="000A5156"/>
    <w:rsid w:val="000A6F03"/>
    <w:rsid w:val="000B4D58"/>
    <w:rsid w:val="000B5092"/>
    <w:rsid w:val="000B689C"/>
    <w:rsid w:val="000B7800"/>
    <w:rsid w:val="000B7DA4"/>
    <w:rsid w:val="000C0632"/>
    <w:rsid w:val="000C14ED"/>
    <w:rsid w:val="000D0C3E"/>
    <w:rsid w:val="000D1B19"/>
    <w:rsid w:val="000D210E"/>
    <w:rsid w:val="000D2847"/>
    <w:rsid w:val="000D2BCB"/>
    <w:rsid w:val="000D34F2"/>
    <w:rsid w:val="000D5176"/>
    <w:rsid w:val="000D7AE5"/>
    <w:rsid w:val="000E42EE"/>
    <w:rsid w:val="000E603B"/>
    <w:rsid w:val="000E785A"/>
    <w:rsid w:val="000F0F4B"/>
    <w:rsid w:val="000F183C"/>
    <w:rsid w:val="000F20FF"/>
    <w:rsid w:val="000F23EA"/>
    <w:rsid w:val="0010166B"/>
    <w:rsid w:val="00101B72"/>
    <w:rsid w:val="001025D3"/>
    <w:rsid w:val="00103DCE"/>
    <w:rsid w:val="00106F64"/>
    <w:rsid w:val="00112513"/>
    <w:rsid w:val="00112F02"/>
    <w:rsid w:val="00114066"/>
    <w:rsid w:val="00115798"/>
    <w:rsid w:val="0011790E"/>
    <w:rsid w:val="001205D6"/>
    <w:rsid w:val="00127564"/>
    <w:rsid w:val="00127D35"/>
    <w:rsid w:val="00135815"/>
    <w:rsid w:val="00136FF7"/>
    <w:rsid w:val="00143E89"/>
    <w:rsid w:val="0014528C"/>
    <w:rsid w:val="001456CB"/>
    <w:rsid w:val="001537CC"/>
    <w:rsid w:val="00153DB2"/>
    <w:rsid w:val="0015615C"/>
    <w:rsid w:val="00156733"/>
    <w:rsid w:val="00160480"/>
    <w:rsid w:val="00160667"/>
    <w:rsid w:val="00164697"/>
    <w:rsid w:val="00166FFF"/>
    <w:rsid w:val="001676BA"/>
    <w:rsid w:val="001718CD"/>
    <w:rsid w:val="00174C61"/>
    <w:rsid w:val="00181FDD"/>
    <w:rsid w:val="00182A14"/>
    <w:rsid w:val="00186599"/>
    <w:rsid w:val="00190084"/>
    <w:rsid w:val="00193AFD"/>
    <w:rsid w:val="00194332"/>
    <w:rsid w:val="0019665F"/>
    <w:rsid w:val="00197AC7"/>
    <w:rsid w:val="001A1AC8"/>
    <w:rsid w:val="001B11C4"/>
    <w:rsid w:val="001B1232"/>
    <w:rsid w:val="001B3699"/>
    <w:rsid w:val="001B6119"/>
    <w:rsid w:val="001B7B09"/>
    <w:rsid w:val="001C286C"/>
    <w:rsid w:val="001C4360"/>
    <w:rsid w:val="001C5C04"/>
    <w:rsid w:val="001D0197"/>
    <w:rsid w:val="001D0338"/>
    <w:rsid w:val="001D2D0D"/>
    <w:rsid w:val="001D3313"/>
    <w:rsid w:val="001D44E1"/>
    <w:rsid w:val="001E1794"/>
    <w:rsid w:val="001E3384"/>
    <w:rsid w:val="001F6512"/>
    <w:rsid w:val="002028A9"/>
    <w:rsid w:val="00210911"/>
    <w:rsid w:val="00211771"/>
    <w:rsid w:val="0021296A"/>
    <w:rsid w:val="002129D5"/>
    <w:rsid w:val="00214E13"/>
    <w:rsid w:val="002214C1"/>
    <w:rsid w:val="00221893"/>
    <w:rsid w:val="00224386"/>
    <w:rsid w:val="00227E2F"/>
    <w:rsid w:val="00230775"/>
    <w:rsid w:val="002319A5"/>
    <w:rsid w:val="002323C0"/>
    <w:rsid w:val="00234683"/>
    <w:rsid w:val="00235A1A"/>
    <w:rsid w:val="0024136C"/>
    <w:rsid w:val="0024245B"/>
    <w:rsid w:val="002431DB"/>
    <w:rsid w:val="00244860"/>
    <w:rsid w:val="0024583B"/>
    <w:rsid w:val="00250EE4"/>
    <w:rsid w:val="0025174E"/>
    <w:rsid w:val="00256D06"/>
    <w:rsid w:val="002603B5"/>
    <w:rsid w:val="00261CF5"/>
    <w:rsid w:val="0026422F"/>
    <w:rsid w:val="002654E8"/>
    <w:rsid w:val="002659E9"/>
    <w:rsid w:val="00266D70"/>
    <w:rsid w:val="002670A8"/>
    <w:rsid w:val="00273A31"/>
    <w:rsid w:val="00277B39"/>
    <w:rsid w:val="00282983"/>
    <w:rsid w:val="00282E14"/>
    <w:rsid w:val="0028546D"/>
    <w:rsid w:val="0028624E"/>
    <w:rsid w:val="002863A2"/>
    <w:rsid w:val="00291696"/>
    <w:rsid w:val="00291E28"/>
    <w:rsid w:val="00293243"/>
    <w:rsid w:val="00295277"/>
    <w:rsid w:val="002969BF"/>
    <w:rsid w:val="002975A3"/>
    <w:rsid w:val="00297B0A"/>
    <w:rsid w:val="002A3AAB"/>
    <w:rsid w:val="002B0220"/>
    <w:rsid w:val="002C3EBC"/>
    <w:rsid w:val="002C4048"/>
    <w:rsid w:val="002C52D3"/>
    <w:rsid w:val="002C5E45"/>
    <w:rsid w:val="002C65D5"/>
    <w:rsid w:val="002C7127"/>
    <w:rsid w:val="002E65F4"/>
    <w:rsid w:val="002E7192"/>
    <w:rsid w:val="002F2227"/>
    <w:rsid w:val="002F415D"/>
    <w:rsid w:val="002F4AB1"/>
    <w:rsid w:val="002F4F00"/>
    <w:rsid w:val="002F51FF"/>
    <w:rsid w:val="002F70E5"/>
    <w:rsid w:val="002F72BC"/>
    <w:rsid w:val="002F7C34"/>
    <w:rsid w:val="003010AF"/>
    <w:rsid w:val="0030360B"/>
    <w:rsid w:val="00305B08"/>
    <w:rsid w:val="00305BA1"/>
    <w:rsid w:val="00313BD2"/>
    <w:rsid w:val="00313DC1"/>
    <w:rsid w:val="003143E1"/>
    <w:rsid w:val="003148B1"/>
    <w:rsid w:val="00315265"/>
    <w:rsid w:val="00320305"/>
    <w:rsid w:val="00324441"/>
    <w:rsid w:val="003250C9"/>
    <w:rsid w:val="00326F18"/>
    <w:rsid w:val="00327FD6"/>
    <w:rsid w:val="00330850"/>
    <w:rsid w:val="00335045"/>
    <w:rsid w:val="003351D5"/>
    <w:rsid w:val="00335FB9"/>
    <w:rsid w:val="00341CB8"/>
    <w:rsid w:val="00344588"/>
    <w:rsid w:val="0035159D"/>
    <w:rsid w:val="00356299"/>
    <w:rsid w:val="003577DB"/>
    <w:rsid w:val="003657CC"/>
    <w:rsid w:val="00366BA2"/>
    <w:rsid w:val="00367A07"/>
    <w:rsid w:val="00373EF9"/>
    <w:rsid w:val="0037557C"/>
    <w:rsid w:val="00380489"/>
    <w:rsid w:val="00380673"/>
    <w:rsid w:val="00380694"/>
    <w:rsid w:val="003809AD"/>
    <w:rsid w:val="00380AA6"/>
    <w:rsid w:val="00385A89"/>
    <w:rsid w:val="00386526"/>
    <w:rsid w:val="003901B4"/>
    <w:rsid w:val="003915DB"/>
    <w:rsid w:val="00392051"/>
    <w:rsid w:val="003956EF"/>
    <w:rsid w:val="00396E4C"/>
    <w:rsid w:val="003A08A4"/>
    <w:rsid w:val="003A1F48"/>
    <w:rsid w:val="003A3452"/>
    <w:rsid w:val="003A3957"/>
    <w:rsid w:val="003A3CF5"/>
    <w:rsid w:val="003A66B7"/>
    <w:rsid w:val="003B502F"/>
    <w:rsid w:val="003B5103"/>
    <w:rsid w:val="003C1178"/>
    <w:rsid w:val="003C13EF"/>
    <w:rsid w:val="003C223B"/>
    <w:rsid w:val="003C37C3"/>
    <w:rsid w:val="003C5CB6"/>
    <w:rsid w:val="003C63AC"/>
    <w:rsid w:val="003D0C10"/>
    <w:rsid w:val="003D2A54"/>
    <w:rsid w:val="003D3D66"/>
    <w:rsid w:val="003D636F"/>
    <w:rsid w:val="003D7325"/>
    <w:rsid w:val="003E1831"/>
    <w:rsid w:val="003E552B"/>
    <w:rsid w:val="003E7205"/>
    <w:rsid w:val="003E76CD"/>
    <w:rsid w:val="003F07AE"/>
    <w:rsid w:val="003F3CBC"/>
    <w:rsid w:val="003F3E4F"/>
    <w:rsid w:val="003F58C7"/>
    <w:rsid w:val="003F7C17"/>
    <w:rsid w:val="00401FD2"/>
    <w:rsid w:val="00404BAD"/>
    <w:rsid w:val="00410560"/>
    <w:rsid w:val="00411527"/>
    <w:rsid w:val="004153DE"/>
    <w:rsid w:val="00415EFC"/>
    <w:rsid w:val="00422D33"/>
    <w:rsid w:val="00422EB9"/>
    <w:rsid w:val="00423AB1"/>
    <w:rsid w:val="00426DE4"/>
    <w:rsid w:val="00431A22"/>
    <w:rsid w:val="00433E09"/>
    <w:rsid w:val="00435BFC"/>
    <w:rsid w:val="00440385"/>
    <w:rsid w:val="00440BC5"/>
    <w:rsid w:val="00440E30"/>
    <w:rsid w:val="00440ED0"/>
    <w:rsid w:val="0044209B"/>
    <w:rsid w:val="00443507"/>
    <w:rsid w:val="00443DF5"/>
    <w:rsid w:val="004449C4"/>
    <w:rsid w:val="00447412"/>
    <w:rsid w:val="00451E1B"/>
    <w:rsid w:val="00453D0C"/>
    <w:rsid w:val="00455C6D"/>
    <w:rsid w:val="00456419"/>
    <w:rsid w:val="0045740E"/>
    <w:rsid w:val="00457DC2"/>
    <w:rsid w:val="00460258"/>
    <w:rsid w:val="00462301"/>
    <w:rsid w:val="004625C3"/>
    <w:rsid w:val="00462635"/>
    <w:rsid w:val="00464A7C"/>
    <w:rsid w:val="00475984"/>
    <w:rsid w:val="004774D9"/>
    <w:rsid w:val="00477AB9"/>
    <w:rsid w:val="0048504A"/>
    <w:rsid w:val="0048657B"/>
    <w:rsid w:val="00486CB6"/>
    <w:rsid w:val="004879D1"/>
    <w:rsid w:val="00487E65"/>
    <w:rsid w:val="0049354F"/>
    <w:rsid w:val="00496334"/>
    <w:rsid w:val="00496A36"/>
    <w:rsid w:val="004A07F3"/>
    <w:rsid w:val="004A19B0"/>
    <w:rsid w:val="004A2053"/>
    <w:rsid w:val="004A2A74"/>
    <w:rsid w:val="004A33A3"/>
    <w:rsid w:val="004A3D24"/>
    <w:rsid w:val="004A47F5"/>
    <w:rsid w:val="004A5D9B"/>
    <w:rsid w:val="004A7A59"/>
    <w:rsid w:val="004B1005"/>
    <w:rsid w:val="004B1329"/>
    <w:rsid w:val="004B34D9"/>
    <w:rsid w:val="004B3B65"/>
    <w:rsid w:val="004B3E1E"/>
    <w:rsid w:val="004B4CAC"/>
    <w:rsid w:val="004B7843"/>
    <w:rsid w:val="004B79A8"/>
    <w:rsid w:val="004C044F"/>
    <w:rsid w:val="004C3905"/>
    <w:rsid w:val="004C43C2"/>
    <w:rsid w:val="004C5FAD"/>
    <w:rsid w:val="004D090F"/>
    <w:rsid w:val="004D0922"/>
    <w:rsid w:val="004D21C9"/>
    <w:rsid w:val="004D5717"/>
    <w:rsid w:val="004D5D19"/>
    <w:rsid w:val="004E0AB6"/>
    <w:rsid w:val="004E49EC"/>
    <w:rsid w:val="004E4B3B"/>
    <w:rsid w:val="004E4D86"/>
    <w:rsid w:val="004E6C06"/>
    <w:rsid w:val="004F4DB0"/>
    <w:rsid w:val="004F5F2C"/>
    <w:rsid w:val="004F7677"/>
    <w:rsid w:val="00504DA8"/>
    <w:rsid w:val="0050537E"/>
    <w:rsid w:val="00510888"/>
    <w:rsid w:val="00510F2E"/>
    <w:rsid w:val="0051432B"/>
    <w:rsid w:val="005156DA"/>
    <w:rsid w:val="00517CC8"/>
    <w:rsid w:val="00520DCB"/>
    <w:rsid w:val="00521385"/>
    <w:rsid w:val="005275A0"/>
    <w:rsid w:val="005276CD"/>
    <w:rsid w:val="00527F26"/>
    <w:rsid w:val="00530EF5"/>
    <w:rsid w:val="0053112C"/>
    <w:rsid w:val="005323F1"/>
    <w:rsid w:val="00532A56"/>
    <w:rsid w:val="00533014"/>
    <w:rsid w:val="005346CB"/>
    <w:rsid w:val="0053533E"/>
    <w:rsid w:val="00535992"/>
    <w:rsid w:val="005417E4"/>
    <w:rsid w:val="005455F8"/>
    <w:rsid w:val="005531BE"/>
    <w:rsid w:val="00554D31"/>
    <w:rsid w:val="0055573E"/>
    <w:rsid w:val="00556FD9"/>
    <w:rsid w:val="00562D63"/>
    <w:rsid w:val="00565291"/>
    <w:rsid w:val="0056593F"/>
    <w:rsid w:val="005661BF"/>
    <w:rsid w:val="00567968"/>
    <w:rsid w:val="00570A1B"/>
    <w:rsid w:val="00570E41"/>
    <w:rsid w:val="005714E5"/>
    <w:rsid w:val="00574538"/>
    <w:rsid w:val="00576638"/>
    <w:rsid w:val="00583248"/>
    <w:rsid w:val="005849E6"/>
    <w:rsid w:val="00584B9D"/>
    <w:rsid w:val="00585F8E"/>
    <w:rsid w:val="00586C62"/>
    <w:rsid w:val="005871D9"/>
    <w:rsid w:val="005879B6"/>
    <w:rsid w:val="00594247"/>
    <w:rsid w:val="005957ED"/>
    <w:rsid w:val="005A0513"/>
    <w:rsid w:val="005A40C4"/>
    <w:rsid w:val="005A49B6"/>
    <w:rsid w:val="005A586C"/>
    <w:rsid w:val="005B321B"/>
    <w:rsid w:val="005B3AEF"/>
    <w:rsid w:val="005B6196"/>
    <w:rsid w:val="005C0C22"/>
    <w:rsid w:val="005C73D1"/>
    <w:rsid w:val="005C7FC0"/>
    <w:rsid w:val="005D142E"/>
    <w:rsid w:val="005D4E44"/>
    <w:rsid w:val="005D7789"/>
    <w:rsid w:val="005E52C3"/>
    <w:rsid w:val="005E7C37"/>
    <w:rsid w:val="005F1708"/>
    <w:rsid w:val="005F1A5B"/>
    <w:rsid w:val="005F1A92"/>
    <w:rsid w:val="005F283E"/>
    <w:rsid w:val="005F3AFA"/>
    <w:rsid w:val="0060068B"/>
    <w:rsid w:val="00600F31"/>
    <w:rsid w:val="00601773"/>
    <w:rsid w:val="00606C9C"/>
    <w:rsid w:val="00606DB6"/>
    <w:rsid w:val="0060785C"/>
    <w:rsid w:val="00607AC7"/>
    <w:rsid w:val="00612A4B"/>
    <w:rsid w:val="0061310B"/>
    <w:rsid w:val="00615C15"/>
    <w:rsid w:val="006166AF"/>
    <w:rsid w:val="0062698F"/>
    <w:rsid w:val="00627A52"/>
    <w:rsid w:val="006306D3"/>
    <w:rsid w:val="00631A8D"/>
    <w:rsid w:val="0063240F"/>
    <w:rsid w:val="00632C43"/>
    <w:rsid w:val="00635102"/>
    <w:rsid w:val="00636BD7"/>
    <w:rsid w:val="006375A5"/>
    <w:rsid w:val="006412EA"/>
    <w:rsid w:val="0064389B"/>
    <w:rsid w:val="00645695"/>
    <w:rsid w:val="00650CD4"/>
    <w:rsid w:val="00650F59"/>
    <w:rsid w:val="006511C3"/>
    <w:rsid w:val="00652A2F"/>
    <w:rsid w:val="006605E5"/>
    <w:rsid w:val="00660DA1"/>
    <w:rsid w:val="00660EDA"/>
    <w:rsid w:val="006615E6"/>
    <w:rsid w:val="006617A4"/>
    <w:rsid w:val="006645E6"/>
    <w:rsid w:val="006647F4"/>
    <w:rsid w:val="00667227"/>
    <w:rsid w:val="00667DA9"/>
    <w:rsid w:val="00674243"/>
    <w:rsid w:val="006749F6"/>
    <w:rsid w:val="006767EF"/>
    <w:rsid w:val="00681867"/>
    <w:rsid w:val="00682D26"/>
    <w:rsid w:val="00682DDB"/>
    <w:rsid w:val="006834E4"/>
    <w:rsid w:val="006850A8"/>
    <w:rsid w:val="0068637A"/>
    <w:rsid w:val="00686796"/>
    <w:rsid w:val="00687D69"/>
    <w:rsid w:val="00687E4F"/>
    <w:rsid w:val="00690AF3"/>
    <w:rsid w:val="006917B5"/>
    <w:rsid w:val="00694C3A"/>
    <w:rsid w:val="00695968"/>
    <w:rsid w:val="00695D3E"/>
    <w:rsid w:val="006A542A"/>
    <w:rsid w:val="006A7352"/>
    <w:rsid w:val="006B01AF"/>
    <w:rsid w:val="006B344F"/>
    <w:rsid w:val="006B441C"/>
    <w:rsid w:val="006B5A71"/>
    <w:rsid w:val="006B7D0F"/>
    <w:rsid w:val="006C5897"/>
    <w:rsid w:val="006C5F80"/>
    <w:rsid w:val="006C6F87"/>
    <w:rsid w:val="006D06EA"/>
    <w:rsid w:val="006D18CA"/>
    <w:rsid w:val="006D33EC"/>
    <w:rsid w:val="006D3408"/>
    <w:rsid w:val="006D52F2"/>
    <w:rsid w:val="006D5C1B"/>
    <w:rsid w:val="006E0521"/>
    <w:rsid w:val="006E111B"/>
    <w:rsid w:val="006E348C"/>
    <w:rsid w:val="006E4EE2"/>
    <w:rsid w:val="006E4FEE"/>
    <w:rsid w:val="006E6ADC"/>
    <w:rsid w:val="006E6CC3"/>
    <w:rsid w:val="006F0EE4"/>
    <w:rsid w:val="006F2488"/>
    <w:rsid w:val="006F45F9"/>
    <w:rsid w:val="006F7653"/>
    <w:rsid w:val="006F790C"/>
    <w:rsid w:val="00706103"/>
    <w:rsid w:val="00707063"/>
    <w:rsid w:val="0071029E"/>
    <w:rsid w:val="007114F8"/>
    <w:rsid w:val="00711CA4"/>
    <w:rsid w:val="00712363"/>
    <w:rsid w:val="00712EFD"/>
    <w:rsid w:val="00716D30"/>
    <w:rsid w:val="007210F6"/>
    <w:rsid w:val="00723438"/>
    <w:rsid w:val="0072576D"/>
    <w:rsid w:val="00733660"/>
    <w:rsid w:val="007340E1"/>
    <w:rsid w:val="007356AC"/>
    <w:rsid w:val="00735B14"/>
    <w:rsid w:val="00741EBC"/>
    <w:rsid w:val="007432E5"/>
    <w:rsid w:val="007450E8"/>
    <w:rsid w:val="00755EDA"/>
    <w:rsid w:val="007625BA"/>
    <w:rsid w:val="007626BE"/>
    <w:rsid w:val="00765401"/>
    <w:rsid w:val="007673D4"/>
    <w:rsid w:val="00770605"/>
    <w:rsid w:val="00775BCB"/>
    <w:rsid w:val="00776BDB"/>
    <w:rsid w:val="00776FDB"/>
    <w:rsid w:val="0078274A"/>
    <w:rsid w:val="00784BC2"/>
    <w:rsid w:val="00787B07"/>
    <w:rsid w:val="00790C76"/>
    <w:rsid w:val="00790CBE"/>
    <w:rsid w:val="00791F7F"/>
    <w:rsid w:val="0079393C"/>
    <w:rsid w:val="00794A75"/>
    <w:rsid w:val="0079503A"/>
    <w:rsid w:val="00795469"/>
    <w:rsid w:val="00795D42"/>
    <w:rsid w:val="00796729"/>
    <w:rsid w:val="00797214"/>
    <w:rsid w:val="007A049D"/>
    <w:rsid w:val="007A291B"/>
    <w:rsid w:val="007A75AA"/>
    <w:rsid w:val="007B01A6"/>
    <w:rsid w:val="007B1119"/>
    <w:rsid w:val="007B2638"/>
    <w:rsid w:val="007B546A"/>
    <w:rsid w:val="007B5929"/>
    <w:rsid w:val="007C12AA"/>
    <w:rsid w:val="007C4483"/>
    <w:rsid w:val="007C4A8E"/>
    <w:rsid w:val="007C5369"/>
    <w:rsid w:val="007C7C5C"/>
    <w:rsid w:val="007D1657"/>
    <w:rsid w:val="007D329E"/>
    <w:rsid w:val="007D47FE"/>
    <w:rsid w:val="007D63C4"/>
    <w:rsid w:val="007E01D5"/>
    <w:rsid w:val="007E39E1"/>
    <w:rsid w:val="007E417E"/>
    <w:rsid w:val="007E4529"/>
    <w:rsid w:val="007E5BCE"/>
    <w:rsid w:val="007F2CF0"/>
    <w:rsid w:val="007F47A5"/>
    <w:rsid w:val="007F6F24"/>
    <w:rsid w:val="007F7DA3"/>
    <w:rsid w:val="0080366A"/>
    <w:rsid w:val="0080431E"/>
    <w:rsid w:val="0080633A"/>
    <w:rsid w:val="0081334B"/>
    <w:rsid w:val="00814944"/>
    <w:rsid w:val="0081788D"/>
    <w:rsid w:val="00824F38"/>
    <w:rsid w:val="00825470"/>
    <w:rsid w:val="008307B9"/>
    <w:rsid w:val="008334EC"/>
    <w:rsid w:val="00834AF0"/>
    <w:rsid w:val="008368B7"/>
    <w:rsid w:val="00842120"/>
    <w:rsid w:val="00842220"/>
    <w:rsid w:val="008427AA"/>
    <w:rsid w:val="008450B0"/>
    <w:rsid w:val="0084548B"/>
    <w:rsid w:val="00846B4A"/>
    <w:rsid w:val="00847A96"/>
    <w:rsid w:val="00853280"/>
    <w:rsid w:val="008543A7"/>
    <w:rsid w:val="00854FCD"/>
    <w:rsid w:val="008553DE"/>
    <w:rsid w:val="008568EA"/>
    <w:rsid w:val="0086134B"/>
    <w:rsid w:val="008617C4"/>
    <w:rsid w:val="00861C17"/>
    <w:rsid w:val="008628CC"/>
    <w:rsid w:val="00864FD8"/>
    <w:rsid w:val="00865358"/>
    <w:rsid w:val="008656FA"/>
    <w:rsid w:val="00866634"/>
    <w:rsid w:val="0087079D"/>
    <w:rsid w:val="00870A05"/>
    <w:rsid w:val="00874280"/>
    <w:rsid w:val="008746F6"/>
    <w:rsid w:val="0087575E"/>
    <w:rsid w:val="00875D2A"/>
    <w:rsid w:val="008774E3"/>
    <w:rsid w:val="00880315"/>
    <w:rsid w:val="0088144C"/>
    <w:rsid w:val="00885F00"/>
    <w:rsid w:val="00886AF3"/>
    <w:rsid w:val="008A10BF"/>
    <w:rsid w:val="008A2957"/>
    <w:rsid w:val="008B33E8"/>
    <w:rsid w:val="008B4DD7"/>
    <w:rsid w:val="008B4F3E"/>
    <w:rsid w:val="008B6380"/>
    <w:rsid w:val="008C09E7"/>
    <w:rsid w:val="008C27BE"/>
    <w:rsid w:val="008C2924"/>
    <w:rsid w:val="008C60C0"/>
    <w:rsid w:val="008C7F1F"/>
    <w:rsid w:val="008D02E5"/>
    <w:rsid w:val="008D1A3C"/>
    <w:rsid w:val="008D3B8A"/>
    <w:rsid w:val="008E140A"/>
    <w:rsid w:val="008E46C1"/>
    <w:rsid w:val="008E503A"/>
    <w:rsid w:val="008E60F4"/>
    <w:rsid w:val="008F041D"/>
    <w:rsid w:val="008F3E59"/>
    <w:rsid w:val="008F553D"/>
    <w:rsid w:val="00905B39"/>
    <w:rsid w:val="00910E16"/>
    <w:rsid w:val="00911824"/>
    <w:rsid w:val="009127D3"/>
    <w:rsid w:val="00920D3C"/>
    <w:rsid w:val="009240B2"/>
    <w:rsid w:val="00925A9D"/>
    <w:rsid w:val="00926DC7"/>
    <w:rsid w:val="0092733A"/>
    <w:rsid w:val="009337F5"/>
    <w:rsid w:val="009338D0"/>
    <w:rsid w:val="00935254"/>
    <w:rsid w:val="009358CD"/>
    <w:rsid w:val="00936CAA"/>
    <w:rsid w:val="0094047C"/>
    <w:rsid w:val="00944040"/>
    <w:rsid w:val="00944E25"/>
    <w:rsid w:val="00945265"/>
    <w:rsid w:val="009469B5"/>
    <w:rsid w:val="00950BC5"/>
    <w:rsid w:val="009513E0"/>
    <w:rsid w:val="00951601"/>
    <w:rsid w:val="00952445"/>
    <w:rsid w:val="00953047"/>
    <w:rsid w:val="00953550"/>
    <w:rsid w:val="00956146"/>
    <w:rsid w:val="00964FBE"/>
    <w:rsid w:val="00965F62"/>
    <w:rsid w:val="00967728"/>
    <w:rsid w:val="009705FB"/>
    <w:rsid w:val="00971EFD"/>
    <w:rsid w:val="009741D5"/>
    <w:rsid w:val="00977C96"/>
    <w:rsid w:val="00977DE9"/>
    <w:rsid w:val="00982ECF"/>
    <w:rsid w:val="00982FCF"/>
    <w:rsid w:val="00983CFC"/>
    <w:rsid w:val="00983FB8"/>
    <w:rsid w:val="0098565E"/>
    <w:rsid w:val="00986237"/>
    <w:rsid w:val="00991BC1"/>
    <w:rsid w:val="00996943"/>
    <w:rsid w:val="00996D50"/>
    <w:rsid w:val="00997618"/>
    <w:rsid w:val="009A2849"/>
    <w:rsid w:val="009A5A14"/>
    <w:rsid w:val="009A73C4"/>
    <w:rsid w:val="009A7F4B"/>
    <w:rsid w:val="009B012E"/>
    <w:rsid w:val="009B113A"/>
    <w:rsid w:val="009B459A"/>
    <w:rsid w:val="009B505F"/>
    <w:rsid w:val="009B5097"/>
    <w:rsid w:val="009B5B41"/>
    <w:rsid w:val="009C13A4"/>
    <w:rsid w:val="009C2315"/>
    <w:rsid w:val="009C2D5E"/>
    <w:rsid w:val="009C3BCA"/>
    <w:rsid w:val="009D1465"/>
    <w:rsid w:val="009D3257"/>
    <w:rsid w:val="009D3BFF"/>
    <w:rsid w:val="009D76A9"/>
    <w:rsid w:val="009D79E6"/>
    <w:rsid w:val="009D7D2C"/>
    <w:rsid w:val="009E00AF"/>
    <w:rsid w:val="009F18EC"/>
    <w:rsid w:val="009F2043"/>
    <w:rsid w:val="009F3BC9"/>
    <w:rsid w:val="009F5FA7"/>
    <w:rsid w:val="00A01741"/>
    <w:rsid w:val="00A01F91"/>
    <w:rsid w:val="00A07AB0"/>
    <w:rsid w:val="00A07B01"/>
    <w:rsid w:val="00A100E3"/>
    <w:rsid w:val="00A1021E"/>
    <w:rsid w:val="00A148C5"/>
    <w:rsid w:val="00A153DB"/>
    <w:rsid w:val="00A2085D"/>
    <w:rsid w:val="00A21EF1"/>
    <w:rsid w:val="00A2386D"/>
    <w:rsid w:val="00A32A4B"/>
    <w:rsid w:val="00A32EFB"/>
    <w:rsid w:val="00A34DA7"/>
    <w:rsid w:val="00A356A8"/>
    <w:rsid w:val="00A364CF"/>
    <w:rsid w:val="00A36E4C"/>
    <w:rsid w:val="00A37249"/>
    <w:rsid w:val="00A3761B"/>
    <w:rsid w:val="00A40490"/>
    <w:rsid w:val="00A439B9"/>
    <w:rsid w:val="00A47D85"/>
    <w:rsid w:val="00A54482"/>
    <w:rsid w:val="00A5509A"/>
    <w:rsid w:val="00A564C7"/>
    <w:rsid w:val="00A60378"/>
    <w:rsid w:val="00A61E26"/>
    <w:rsid w:val="00A63977"/>
    <w:rsid w:val="00A65784"/>
    <w:rsid w:val="00A67D75"/>
    <w:rsid w:val="00A7010F"/>
    <w:rsid w:val="00A71B35"/>
    <w:rsid w:val="00A82A04"/>
    <w:rsid w:val="00A83BEF"/>
    <w:rsid w:val="00A86730"/>
    <w:rsid w:val="00A86B19"/>
    <w:rsid w:val="00A86C9C"/>
    <w:rsid w:val="00A86E08"/>
    <w:rsid w:val="00A87FB5"/>
    <w:rsid w:val="00A9048E"/>
    <w:rsid w:val="00A92727"/>
    <w:rsid w:val="00A93F3F"/>
    <w:rsid w:val="00A95B86"/>
    <w:rsid w:val="00A97260"/>
    <w:rsid w:val="00AA1CBC"/>
    <w:rsid w:val="00AA3895"/>
    <w:rsid w:val="00AA4829"/>
    <w:rsid w:val="00AA4CAF"/>
    <w:rsid w:val="00AB12FC"/>
    <w:rsid w:val="00AB5E92"/>
    <w:rsid w:val="00AB6C14"/>
    <w:rsid w:val="00AC1E90"/>
    <w:rsid w:val="00AC50E4"/>
    <w:rsid w:val="00AC55E3"/>
    <w:rsid w:val="00AD0790"/>
    <w:rsid w:val="00AD1796"/>
    <w:rsid w:val="00AD2362"/>
    <w:rsid w:val="00AD4CA9"/>
    <w:rsid w:val="00AE2231"/>
    <w:rsid w:val="00AE69A2"/>
    <w:rsid w:val="00AE6D10"/>
    <w:rsid w:val="00AE75DB"/>
    <w:rsid w:val="00AE796C"/>
    <w:rsid w:val="00AF1317"/>
    <w:rsid w:val="00AF291B"/>
    <w:rsid w:val="00AF3626"/>
    <w:rsid w:val="00AF3DFA"/>
    <w:rsid w:val="00AF50E5"/>
    <w:rsid w:val="00AF5461"/>
    <w:rsid w:val="00B011D1"/>
    <w:rsid w:val="00B01698"/>
    <w:rsid w:val="00B043FD"/>
    <w:rsid w:val="00B04529"/>
    <w:rsid w:val="00B13589"/>
    <w:rsid w:val="00B14752"/>
    <w:rsid w:val="00B15273"/>
    <w:rsid w:val="00B16399"/>
    <w:rsid w:val="00B20D4C"/>
    <w:rsid w:val="00B219A5"/>
    <w:rsid w:val="00B234F6"/>
    <w:rsid w:val="00B23D97"/>
    <w:rsid w:val="00B246B4"/>
    <w:rsid w:val="00B25046"/>
    <w:rsid w:val="00B2556B"/>
    <w:rsid w:val="00B257F6"/>
    <w:rsid w:val="00B307B5"/>
    <w:rsid w:val="00B30AF4"/>
    <w:rsid w:val="00B31236"/>
    <w:rsid w:val="00B32084"/>
    <w:rsid w:val="00B42B30"/>
    <w:rsid w:val="00B43D96"/>
    <w:rsid w:val="00B458F6"/>
    <w:rsid w:val="00B50149"/>
    <w:rsid w:val="00B50202"/>
    <w:rsid w:val="00B51757"/>
    <w:rsid w:val="00B52B19"/>
    <w:rsid w:val="00B53C7C"/>
    <w:rsid w:val="00B54DD5"/>
    <w:rsid w:val="00B559AA"/>
    <w:rsid w:val="00B576FD"/>
    <w:rsid w:val="00B57BB1"/>
    <w:rsid w:val="00B60667"/>
    <w:rsid w:val="00B607F2"/>
    <w:rsid w:val="00B6110D"/>
    <w:rsid w:val="00B61545"/>
    <w:rsid w:val="00B64878"/>
    <w:rsid w:val="00B64CA7"/>
    <w:rsid w:val="00B72E93"/>
    <w:rsid w:val="00B7411A"/>
    <w:rsid w:val="00B7425B"/>
    <w:rsid w:val="00B765A9"/>
    <w:rsid w:val="00B823A7"/>
    <w:rsid w:val="00B84F46"/>
    <w:rsid w:val="00B85B81"/>
    <w:rsid w:val="00B92FBB"/>
    <w:rsid w:val="00B936E8"/>
    <w:rsid w:val="00BA27E5"/>
    <w:rsid w:val="00BA4B5B"/>
    <w:rsid w:val="00BB3119"/>
    <w:rsid w:val="00BB65E3"/>
    <w:rsid w:val="00BB7AD7"/>
    <w:rsid w:val="00BC0473"/>
    <w:rsid w:val="00BC14CE"/>
    <w:rsid w:val="00BC2424"/>
    <w:rsid w:val="00BC4E6C"/>
    <w:rsid w:val="00BC5D69"/>
    <w:rsid w:val="00BC72DD"/>
    <w:rsid w:val="00BD0DBD"/>
    <w:rsid w:val="00BD23BA"/>
    <w:rsid w:val="00BD2C78"/>
    <w:rsid w:val="00BD578B"/>
    <w:rsid w:val="00BD6119"/>
    <w:rsid w:val="00BE2D83"/>
    <w:rsid w:val="00BE749A"/>
    <w:rsid w:val="00BF69D2"/>
    <w:rsid w:val="00BF73C2"/>
    <w:rsid w:val="00C03FF6"/>
    <w:rsid w:val="00C07183"/>
    <w:rsid w:val="00C07B5F"/>
    <w:rsid w:val="00C12BED"/>
    <w:rsid w:val="00C16F48"/>
    <w:rsid w:val="00C20398"/>
    <w:rsid w:val="00C20E75"/>
    <w:rsid w:val="00C234D8"/>
    <w:rsid w:val="00C23DDD"/>
    <w:rsid w:val="00C23F14"/>
    <w:rsid w:val="00C269C3"/>
    <w:rsid w:val="00C35851"/>
    <w:rsid w:val="00C36363"/>
    <w:rsid w:val="00C5051C"/>
    <w:rsid w:val="00C5171A"/>
    <w:rsid w:val="00C53B5F"/>
    <w:rsid w:val="00C6141D"/>
    <w:rsid w:val="00C64254"/>
    <w:rsid w:val="00C7049C"/>
    <w:rsid w:val="00C73CD7"/>
    <w:rsid w:val="00C73FDC"/>
    <w:rsid w:val="00C74811"/>
    <w:rsid w:val="00C76822"/>
    <w:rsid w:val="00C76BB9"/>
    <w:rsid w:val="00C772EF"/>
    <w:rsid w:val="00C82CCE"/>
    <w:rsid w:val="00C865D2"/>
    <w:rsid w:val="00C86E7C"/>
    <w:rsid w:val="00C922E3"/>
    <w:rsid w:val="00C93127"/>
    <w:rsid w:val="00CA18FD"/>
    <w:rsid w:val="00CA5B8E"/>
    <w:rsid w:val="00CA6068"/>
    <w:rsid w:val="00CA65D2"/>
    <w:rsid w:val="00CB1C6E"/>
    <w:rsid w:val="00CB2F0E"/>
    <w:rsid w:val="00CB3465"/>
    <w:rsid w:val="00CB3DAF"/>
    <w:rsid w:val="00CB7FB9"/>
    <w:rsid w:val="00CC0080"/>
    <w:rsid w:val="00CC2F9F"/>
    <w:rsid w:val="00CC4107"/>
    <w:rsid w:val="00CC58B9"/>
    <w:rsid w:val="00CC5BEF"/>
    <w:rsid w:val="00CD0230"/>
    <w:rsid w:val="00CD02AE"/>
    <w:rsid w:val="00CD1D6B"/>
    <w:rsid w:val="00CE6A0E"/>
    <w:rsid w:val="00CF2C18"/>
    <w:rsid w:val="00CF7869"/>
    <w:rsid w:val="00D00ACA"/>
    <w:rsid w:val="00D00DDC"/>
    <w:rsid w:val="00D00F72"/>
    <w:rsid w:val="00D02F61"/>
    <w:rsid w:val="00D04803"/>
    <w:rsid w:val="00D04E17"/>
    <w:rsid w:val="00D1011C"/>
    <w:rsid w:val="00D1125E"/>
    <w:rsid w:val="00D1155C"/>
    <w:rsid w:val="00D115F7"/>
    <w:rsid w:val="00D12389"/>
    <w:rsid w:val="00D149EB"/>
    <w:rsid w:val="00D164E1"/>
    <w:rsid w:val="00D2123D"/>
    <w:rsid w:val="00D230B7"/>
    <w:rsid w:val="00D23218"/>
    <w:rsid w:val="00D24502"/>
    <w:rsid w:val="00D24FE2"/>
    <w:rsid w:val="00D25607"/>
    <w:rsid w:val="00D258A7"/>
    <w:rsid w:val="00D30C4C"/>
    <w:rsid w:val="00D32293"/>
    <w:rsid w:val="00D32E5B"/>
    <w:rsid w:val="00D35C23"/>
    <w:rsid w:val="00D3608E"/>
    <w:rsid w:val="00D36635"/>
    <w:rsid w:val="00D40240"/>
    <w:rsid w:val="00D41665"/>
    <w:rsid w:val="00D43FA7"/>
    <w:rsid w:val="00D45605"/>
    <w:rsid w:val="00D4635B"/>
    <w:rsid w:val="00D5082F"/>
    <w:rsid w:val="00D53C08"/>
    <w:rsid w:val="00D55480"/>
    <w:rsid w:val="00D55928"/>
    <w:rsid w:val="00D6029E"/>
    <w:rsid w:val="00D62CF6"/>
    <w:rsid w:val="00D63D2C"/>
    <w:rsid w:val="00D6473C"/>
    <w:rsid w:val="00D64A43"/>
    <w:rsid w:val="00D64D66"/>
    <w:rsid w:val="00D67524"/>
    <w:rsid w:val="00D70178"/>
    <w:rsid w:val="00D703CC"/>
    <w:rsid w:val="00D7128D"/>
    <w:rsid w:val="00D72FA3"/>
    <w:rsid w:val="00D745A2"/>
    <w:rsid w:val="00D76C1B"/>
    <w:rsid w:val="00D80ADF"/>
    <w:rsid w:val="00D84C7E"/>
    <w:rsid w:val="00D87049"/>
    <w:rsid w:val="00D9279C"/>
    <w:rsid w:val="00D95CA5"/>
    <w:rsid w:val="00D963DD"/>
    <w:rsid w:val="00D968C8"/>
    <w:rsid w:val="00D96B03"/>
    <w:rsid w:val="00D97FFB"/>
    <w:rsid w:val="00DA144E"/>
    <w:rsid w:val="00DA3B78"/>
    <w:rsid w:val="00DA3E1B"/>
    <w:rsid w:val="00DA4193"/>
    <w:rsid w:val="00DA5FC2"/>
    <w:rsid w:val="00DA6964"/>
    <w:rsid w:val="00DB05C3"/>
    <w:rsid w:val="00DB4CBC"/>
    <w:rsid w:val="00DB5055"/>
    <w:rsid w:val="00DB5616"/>
    <w:rsid w:val="00DB6337"/>
    <w:rsid w:val="00DC0CA6"/>
    <w:rsid w:val="00DC1016"/>
    <w:rsid w:val="00DC295E"/>
    <w:rsid w:val="00DC298E"/>
    <w:rsid w:val="00DC36E1"/>
    <w:rsid w:val="00DC79AA"/>
    <w:rsid w:val="00DD4909"/>
    <w:rsid w:val="00DD5179"/>
    <w:rsid w:val="00DD712C"/>
    <w:rsid w:val="00DE0F63"/>
    <w:rsid w:val="00DE3E61"/>
    <w:rsid w:val="00DF08B7"/>
    <w:rsid w:val="00DF0E3A"/>
    <w:rsid w:val="00DF653F"/>
    <w:rsid w:val="00E04A01"/>
    <w:rsid w:val="00E070A8"/>
    <w:rsid w:val="00E077F8"/>
    <w:rsid w:val="00E15347"/>
    <w:rsid w:val="00E22392"/>
    <w:rsid w:val="00E30296"/>
    <w:rsid w:val="00E32112"/>
    <w:rsid w:val="00E40C18"/>
    <w:rsid w:val="00E41F69"/>
    <w:rsid w:val="00E4367D"/>
    <w:rsid w:val="00E5010F"/>
    <w:rsid w:val="00E56372"/>
    <w:rsid w:val="00E60057"/>
    <w:rsid w:val="00E62E83"/>
    <w:rsid w:val="00E672CB"/>
    <w:rsid w:val="00E679E8"/>
    <w:rsid w:val="00E701E0"/>
    <w:rsid w:val="00E73CA0"/>
    <w:rsid w:val="00E74839"/>
    <w:rsid w:val="00E74F74"/>
    <w:rsid w:val="00E8245E"/>
    <w:rsid w:val="00E82CC2"/>
    <w:rsid w:val="00E839C6"/>
    <w:rsid w:val="00E84288"/>
    <w:rsid w:val="00E85895"/>
    <w:rsid w:val="00E86E34"/>
    <w:rsid w:val="00E86F89"/>
    <w:rsid w:val="00E8787F"/>
    <w:rsid w:val="00E977AF"/>
    <w:rsid w:val="00E97E57"/>
    <w:rsid w:val="00EA3E88"/>
    <w:rsid w:val="00EA5AD0"/>
    <w:rsid w:val="00EA6B3E"/>
    <w:rsid w:val="00EB1408"/>
    <w:rsid w:val="00EB1D75"/>
    <w:rsid w:val="00EB4CDE"/>
    <w:rsid w:val="00EC123F"/>
    <w:rsid w:val="00EC3E83"/>
    <w:rsid w:val="00EC4736"/>
    <w:rsid w:val="00ED053D"/>
    <w:rsid w:val="00ED0D63"/>
    <w:rsid w:val="00EE0A7C"/>
    <w:rsid w:val="00EE1CC5"/>
    <w:rsid w:val="00EE51A1"/>
    <w:rsid w:val="00EE5BA8"/>
    <w:rsid w:val="00EE6765"/>
    <w:rsid w:val="00EF0B0D"/>
    <w:rsid w:val="00EF10F0"/>
    <w:rsid w:val="00EF4F07"/>
    <w:rsid w:val="00EF68BB"/>
    <w:rsid w:val="00EF7D86"/>
    <w:rsid w:val="00F006B5"/>
    <w:rsid w:val="00F007D8"/>
    <w:rsid w:val="00F00D67"/>
    <w:rsid w:val="00F012AB"/>
    <w:rsid w:val="00F03119"/>
    <w:rsid w:val="00F0416B"/>
    <w:rsid w:val="00F06B36"/>
    <w:rsid w:val="00F119BE"/>
    <w:rsid w:val="00F1255B"/>
    <w:rsid w:val="00F12D4C"/>
    <w:rsid w:val="00F1717A"/>
    <w:rsid w:val="00F25310"/>
    <w:rsid w:val="00F25DBD"/>
    <w:rsid w:val="00F27B44"/>
    <w:rsid w:val="00F30434"/>
    <w:rsid w:val="00F33369"/>
    <w:rsid w:val="00F4161A"/>
    <w:rsid w:val="00F448C8"/>
    <w:rsid w:val="00F44EA7"/>
    <w:rsid w:val="00F47B64"/>
    <w:rsid w:val="00F508A2"/>
    <w:rsid w:val="00F52D0C"/>
    <w:rsid w:val="00F611C6"/>
    <w:rsid w:val="00F62027"/>
    <w:rsid w:val="00F65177"/>
    <w:rsid w:val="00F667F5"/>
    <w:rsid w:val="00F67751"/>
    <w:rsid w:val="00F70507"/>
    <w:rsid w:val="00F708BD"/>
    <w:rsid w:val="00F72972"/>
    <w:rsid w:val="00F7379F"/>
    <w:rsid w:val="00F7447A"/>
    <w:rsid w:val="00F74EEC"/>
    <w:rsid w:val="00F75D3B"/>
    <w:rsid w:val="00F77624"/>
    <w:rsid w:val="00F808FB"/>
    <w:rsid w:val="00F80A14"/>
    <w:rsid w:val="00F80D28"/>
    <w:rsid w:val="00F81658"/>
    <w:rsid w:val="00F829B9"/>
    <w:rsid w:val="00F82C5C"/>
    <w:rsid w:val="00F83D28"/>
    <w:rsid w:val="00F90DA8"/>
    <w:rsid w:val="00F927D4"/>
    <w:rsid w:val="00F97C2A"/>
    <w:rsid w:val="00F97F79"/>
    <w:rsid w:val="00FA1A20"/>
    <w:rsid w:val="00FA36FA"/>
    <w:rsid w:val="00FA61F7"/>
    <w:rsid w:val="00FB1650"/>
    <w:rsid w:val="00FB365F"/>
    <w:rsid w:val="00FB41B6"/>
    <w:rsid w:val="00FB498D"/>
    <w:rsid w:val="00FC0B84"/>
    <w:rsid w:val="00FC1DDB"/>
    <w:rsid w:val="00FC5A6A"/>
    <w:rsid w:val="00FC5FF0"/>
    <w:rsid w:val="00FC7E70"/>
    <w:rsid w:val="00FD41D3"/>
    <w:rsid w:val="00FD651D"/>
    <w:rsid w:val="00FD659F"/>
    <w:rsid w:val="00FE36B1"/>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D0C"/>
    <w:rPr>
      <w:rFonts w:eastAsia="Times New Roman"/>
      <w:sz w:val="24"/>
      <w:szCs w:val="24"/>
      <w:lang w:val="en-US" w:eastAsia="en-US"/>
    </w:rPr>
  </w:style>
  <w:style w:type="paragraph" w:styleId="Heading1">
    <w:name w:val="heading 1"/>
    <w:basedOn w:val="Normal"/>
    <w:next w:val="Normal"/>
    <w:link w:val="Heading1Char"/>
    <w:uiPriority w:val="9"/>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16 Point,Superscript 6 Point,Ref,de nota al pie,Appel note de bas de page,BVI fnr,number,Footnote text,Footnote reference number,Footnote symbol,note TESI,-E Fußnotenzeichen,SUPERS,stylish,ftref,(Ref. de nota al pie),fr"/>
    <w:link w:val="BVIfnrChar"/>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Recommendation,L"/>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link w:val="NormalWebChar"/>
    <w:uiPriority w:val="99"/>
    <w:unhideWhenUsed/>
    <w:rsid w:val="005879B6"/>
    <w:pPr>
      <w:spacing w:before="120"/>
    </w:pPr>
    <w:rPr>
      <w:rFonts w:ascii="Verdana" w:eastAsia="Helvetica Neue" w:hAnsi="Verdana"/>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135815"/>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135815"/>
    <w:rPr>
      <w:lang w:eastAsia="en-US"/>
    </w:rPr>
  </w:style>
  <w:style w:type="character" w:styleId="UnresolvedMention">
    <w:name w:val="Unresolved Mention"/>
    <w:basedOn w:val="DefaultParagraphFont"/>
    <w:uiPriority w:val="99"/>
    <w:semiHidden/>
    <w:unhideWhenUsed/>
    <w:rsid w:val="00022685"/>
    <w:rPr>
      <w:color w:val="605E5C"/>
      <w:shd w:val="clear" w:color="auto" w:fill="E1DFDD"/>
    </w:rPr>
  </w:style>
  <w:style w:type="character" w:styleId="FollowedHyperlink">
    <w:name w:val="FollowedHyperlink"/>
    <w:basedOn w:val="DefaultParagraphFont"/>
    <w:semiHidden/>
    <w:unhideWhenUsed/>
    <w:rsid w:val="00C93127"/>
    <w:rPr>
      <w:color w:val="954F72"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8B6380"/>
    <w:pPr>
      <w:spacing w:after="120" w:line="240" w:lineRule="atLeast"/>
      <w:ind w:left="1276"/>
      <w:jc w:val="both"/>
    </w:pPr>
    <w:rPr>
      <w:vertAlign w:val="superscript"/>
      <w:lang w:eastAsia="en-GB"/>
    </w:rPr>
  </w:style>
  <w:style w:type="character" w:customStyle="1" w:styleId="apple-converted-space">
    <w:name w:val="apple-converted-space"/>
    <w:basedOn w:val="DefaultParagraphFont"/>
    <w:rsid w:val="00E8245E"/>
  </w:style>
  <w:style w:type="character" w:customStyle="1" w:styleId="NormalWebChar">
    <w:name w:val="Normal (Web) Char"/>
    <w:link w:val="NormalWeb"/>
    <w:uiPriority w:val="99"/>
    <w:locked/>
    <w:rsid w:val="00E8245E"/>
    <w:rPr>
      <w:rFonts w:ascii="Verdana" w:eastAsia="Helvetica Neue" w:hAnsi="Verdana"/>
      <w:szCs w:val="24"/>
      <w:lang w:val="en" w:eastAsia="en-US"/>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basedOn w:val="DefaultParagraphFont"/>
    <w:link w:val="ListParagraph"/>
    <w:uiPriority w:val="34"/>
    <w:qFormat/>
    <w:locked/>
    <w:rsid w:val="005714E5"/>
    <w:rPr>
      <w:lang w:eastAsia="en-US"/>
    </w:rPr>
  </w:style>
  <w:style w:type="character" w:customStyle="1" w:styleId="Heading1Char">
    <w:name w:val="Heading 1 Char"/>
    <w:basedOn w:val="DefaultParagraphFont"/>
    <w:link w:val="Heading1"/>
    <w:uiPriority w:val="9"/>
    <w:rsid w:val="00BB3119"/>
    <w:rPr>
      <w:rFonts w:eastAsia="Times New Roman"/>
      <w:b/>
      <w:sz w:val="18"/>
      <w:szCs w:val="24"/>
      <w:lang w:val="en-US" w:eastAsia="en-US"/>
    </w:rPr>
  </w:style>
  <w:style w:type="character" w:customStyle="1" w:styleId="markedcontent">
    <w:name w:val="markedcontent"/>
    <w:basedOn w:val="DefaultParagraphFont"/>
    <w:rsid w:val="00D00ACA"/>
  </w:style>
  <w:style w:type="character" w:customStyle="1" w:styleId="highlight">
    <w:name w:val="highlight"/>
    <w:basedOn w:val="DefaultParagraphFont"/>
    <w:rsid w:val="00D00ACA"/>
  </w:style>
  <w:style w:type="character" w:customStyle="1" w:styleId="hgkelc">
    <w:name w:val="hgkelc"/>
    <w:basedOn w:val="DefaultParagraphFont"/>
    <w:rsid w:val="002F72BC"/>
  </w:style>
  <w:style w:type="character" w:styleId="Strong">
    <w:name w:val="Strong"/>
    <w:basedOn w:val="DefaultParagraphFont"/>
    <w:uiPriority w:val="22"/>
    <w:qFormat/>
    <w:rsid w:val="004C5FAD"/>
    <w:rPr>
      <w:b/>
      <w:bCs/>
    </w:rPr>
  </w:style>
  <w:style w:type="paragraph" w:customStyle="1" w:styleId="wiki-text">
    <w:name w:val="wiki-text"/>
    <w:basedOn w:val="Normal"/>
    <w:rsid w:val="006E111B"/>
    <w:pPr>
      <w:spacing w:before="100" w:beforeAutospacing="1" w:after="100" w:afterAutospacing="1"/>
    </w:pPr>
  </w:style>
  <w:style w:type="paragraph" w:customStyle="1" w:styleId="paragraph">
    <w:name w:val="paragraph"/>
    <w:basedOn w:val="Normal"/>
    <w:rsid w:val="00F52D0C"/>
    <w:pPr>
      <w:spacing w:before="100" w:beforeAutospacing="1" w:after="100" w:afterAutospacing="1"/>
    </w:pPr>
  </w:style>
  <w:style w:type="character" w:customStyle="1" w:styleId="normaltextrun">
    <w:name w:val="normaltextrun"/>
    <w:basedOn w:val="DefaultParagraphFont"/>
    <w:rsid w:val="00F52D0C"/>
  </w:style>
  <w:style w:type="character" w:customStyle="1" w:styleId="eop">
    <w:name w:val="eop"/>
    <w:basedOn w:val="DefaultParagraphFont"/>
    <w:rsid w:val="00F52D0C"/>
  </w:style>
  <w:style w:type="character" w:styleId="Emphasis">
    <w:name w:val="Emphasis"/>
    <w:basedOn w:val="DefaultParagraphFont"/>
    <w:uiPriority w:val="20"/>
    <w:qFormat/>
    <w:rsid w:val="00936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9944">
      <w:bodyDiv w:val="1"/>
      <w:marLeft w:val="0"/>
      <w:marRight w:val="0"/>
      <w:marTop w:val="0"/>
      <w:marBottom w:val="0"/>
      <w:divBdr>
        <w:top w:val="none" w:sz="0" w:space="0" w:color="auto"/>
        <w:left w:val="none" w:sz="0" w:space="0" w:color="auto"/>
        <w:bottom w:val="none" w:sz="0" w:space="0" w:color="auto"/>
        <w:right w:val="none" w:sz="0" w:space="0" w:color="auto"/>
      </w:divBdr>
    </w:div>
    <w:div w:id="86584405">
      <w:bodyDiv w:val="1"/>
      <w:marLeft w:val="0"/>
      <w:marRight w:val="0"/>
      <w:marTop w:val="0"/>
      <w:marBottom w:val="0"/>
      <w:divBdr>
        <w:top w:val="none" w:sz="0" w:space="0" w:color="auto"/>
        <w:left w:val="none" w:sz="0" w:space="0" w:color="auto"/>
        <w:bottom w:val="none" w:sz="0" w:space="0" w:color="auto"/>
        <w:right w:val="none" w:sz="0" w:space="0" w:color="auto"/>
      </w:divBdr>
    </w:div>
    <w:div w:id="400832626">
      <w:bodyDiv w:val="1"/>
      <w:marLeft w:val="0"/>
      <w:marRight w:val="0"/>
      <w:marTop w:val="0"/>
      <w:marBottom w:val="0"/>
      <w:divBdr>
        <w:top w:val="none" w:sz="0" w:space="0" w:color="auto"/>
        <w:left w:val="none" w:sz="0" w:space="0" w:color="auto"/>
        <w:bottom w:val="none" w:sz="0" w:space="0" w:color="auto"/>
        <w:right w:val="none" w:sz="0" w:space="0" w:color="auto"/>
      </w:divBdr>
    </w:div>
    <w:div w:id="454325816">
      <w:bodyDiv w:val="1"/>
      <w:marLeft w:val="0"/>
      <w:marRight w:val="0"/>
      <w:marTop w:val="0"/>
      <w:marBottom w:val="0"/>
      <w:divBdr>
        <w:top w:val="none" w:sz="0" w:space="0" w:color="auto"/>
        <w:left w:val="none" w:sz="0" w:space="0" w:color="auto"/>
        <w:bottom w:val="none" w:sz="0" w:space="0" w:color="auto"/>
        <w:right w:val="none" w:sz="0" w:space="0" w:color="auto"/>
      </w:divBdr>
    </w:div>
    <w:div w:id="476915933">
      <w:bodyDiv w:val="1"/>
      <w:marLeft w:val="0"/>
      <w:marRight w:val="0"/>
      <w:marTop w:val="0"/>
      <w:marBottom w:val="0"/>
      <w:divBdr>
        <w:top w:val="none" w:sz="0" w:space="0" w:color="auto"/>
        <w:left w:val="none" w:sz="0" w:space="0" w:color="auto"/>
        <w:bottom w:val="none" w:sz="0" w:space="0" w:color="auto"/>
        <w:right w:val="none" w:sz="0" w:space="0" w:color="auto"/>
      </w:divBdr>
    </w:div>
    <w:div w:id="579488766">
      <w:bodyDiv w:val="1"/>
      <w:marLeft w:val="0"/>
      <w:marRight w:val="0"/>
      <w:marTop w:val="0"/>
      <w:marBottom w:val="0"/>
      <w:divBdr>
        <w:top w:val="none" w:sz="0" w:space="0" w:color="auto"/>
        <w:left w:val="none" w:sz="0" w:space="0" w:color="auto"/>
        <w:bottom w:val="none" w:sz="0" w:space="0" w:color="auto"/>
        <w:right w:val="none" w:sz="0" w:space="0" w:color="auto"/>
      </w:divBdr>
    </w:div>
    <w:div w:id="654573851">
      <w:bodyDiv w:val="1"/>
      <w:marLeft w:val="0"/>
      <w:marRight w:val="0"/>
      <w:marTop w:val="0"/>
      <w:marBottom w:val="0"/>
      <w:divBdr>
        <w:top w:val="none" w:sz="0" w:space="0" w:color="auto"/>
        <w:left w:val="none" w:sz="0" w:space="0" w:color="auto"/>
        <w:bottom w:val="none" w:sz="0" w:space="0" w:color="auto"/>
        <w:right w:val="none" w:sz="0" w:space="0" w:color="auto"/>
      </w:divBdr>
    </w:div>
    <w:div w:id="655378813">
      <w:bodyDiv w:val="1"/>
      <w:marLeft w:val="0"/>
      <w:marRight w:val="0"/>
      <w:marTop w:val="0"/>
      <w:marBottom w:val="0"/>
      <w:divBdr>
        <w:top w:val="none" w:sz="0" w:space="0" w:color="auto"/>
        <w:left w:val="none" w:sz="0" w:space="0" w:color="auto"/>
        <w:bottom w:val="none" w:sz="0" w:space="0" w:color="auto"/>
        <w:right w:val="none" w:sz="0" w:space="0" w:color="auto"/>
      </w:divBdr>
    </w:div>
    <w:div w:id="768159500">
      <w:bodyDiv w:val="1"/>
      <w:marLeft w:val="0"/>
      <w:marRight w:val="0"/>
      <w:marTop w:val="0"/>
      <w:marBottom w:val="0"/>
      <w:divBdr>
        <w:top w:val="none" w:sz="0" w:space="0" w:color="auto"/>
        <w:left w:val="none" w:sz="0" w:space="0" w:color="auto"/>
        <w:bottom w:val="none" w:sz="0" w:space="0" w:color="auto"/>
        <w:right w:val="none" w:sz="0" w:space="0" w:color="auto"/>
      </w:divBdr>
    </w:div>
    <w:div w:id="798886291">
      <w:bodyDiv w:val="1"/>
      <w:marLeft w:val="0"/>
      <w:marRight w:val="0"/>
      <w:marTop w:val="0"/>
      <w:marBottom w:val="0"/>
      <w:divBdr>
        <w:top w:val="none" w:sz="0" w:space="0" w:color="auto"/>
        <w:left w:val="none" w:sz="0" w:space="0" w:color="auto"/>
        <w:bottom w:val="none" w:sz="0" w:space="0" w:color="auto"/>
        <w:right w:val="none" w:sz="0" w:space="0" w:color="auto"/>
      </w:divBdr>
    </w:div>
    <w:div w:id="82825529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24515">
      <w:bodyDiv w:val="1"/>
      <w:marLeft w:val="0"/>
      <w:marRight w:val="0"/>
      <w:marTop w:val="0"/>
      <w:marBottom w:val="0"/>
      <w:divBdr>
        <w:top w:val="none" w:sz="0" w:space="0" w:color="auto"/>
        <w:left w:val="none" w:sz="0" w:space="0" w:color="auto"/>
        <w:bottom w:val="none" w:sz="0" w:space="0" w:color="auto"/>
        <w:right w:val="none" w:sz="0" w:space="0" w:color="auto"/>
      </w:divBdr>
    </w:div>
    <w:div w:id="1102728717">
      <w:bodyDiv w:val="1"/>
      <w:marLeft w:val="0"/>
      <w:marRight w:val="0"/>
      <w:marTop w:val="0"/>
      <w:marBottom w:val="0"/>
      <w:divBdr>
        <w:top w:val="none" w:sz="0" w:space="0" w:color="auto"/>
        <w:left w:val="none" w:sz="0" w:space="0" w:color="auto"/>
        <w:bottom w:val="none" w:sz="0" w:space="0" w:color="auto"/>
        <w:right w:val="none" w:sz="0" w:space="0" w:color="auto"/>
      </w:divBdr>
    </w:div>
    <w:div w:id="1333725481">
      <w:bodyDiv w:val="1"/>
      <w:marLeft w:val="0"/>
      <w:marRight w:val="0"/>
      <w:marTop w:val="0"/>
      <w:marBottom w:val="0"/>
      <w:divBdr>
        <w:top w:val="none" w:sz="0" w:space="0" w:color="auto"/>
        <w:left w:val="none" w:sz="0" w:space="0" w:color="auto"/>
        <w:bottom w:val="none" w:sz="0" w:space="0" w:color="auto"/>
        <w:right w:val="none" w:sz="0" w:space="0" w:color="auto"/>
      </w:divBdr>
    </w:div>
    <w:div w:id="1418861706">
      <w:bodyDiv w:val="1"/>
      <w:marLeft w:val="0"/>
      <w:marRight w:val="0"/>
      <w:marTop w:val="0"/>
      <w:marBottom w:val="0"/>
      <w:divBdr>
        <w:top w:val="none" w:sz="0" w:space="0" w:color="auto"/>
        <w:left w:val="none" w:sz="0" w:space="0" w:color="auto"/>
        <w:bottom w:val="none" w:sz="0" w:space="0" w:color="auto"/>
        <w:right w:val="none" w:sz="0" w:space="0" w:color="auto"/>
      </w:divBdr>
    </w:div>
    <w:div w:id="1484808260">
      <w:bodyDiv w:val="1"/>
      <w:marLeft w:val="0"/>
      <w:marRight w:val="0"/>
      <w:marTop w:val="0"/>
      <w:marBottom w:val="0"/>
      <w:divBdr>
        <w:top w:val="none" w:sz="0" w:space="0" w:color="auto"/>
        <w:left w:val="none" w:sz="0" w:space="0" w:color="auto"/>
        <w:bottom w:val="none" w:sz="0" w:space="0" w:color="auto"/>
        <w:right w:val="none" w:sz="0" w:space="0" w:color="auto"/>
      </w:divBdr>
    </w:div>
    <w:div w:id="1522278794">
      <w:bodyDiv w:val="1"/>
      <w:marLeft w:val="0"/>
      <w:marRight w:val="0"/>
      <w:marTop w:val="0"/>
      <w:marBottom w:val="0"/>
      <w:divBdr>
        <w:top w:val="none" w:sz="0" w:space="0" w:color="auto"/>
        <w:left w:val="none" w:sz="0" w:space="0" w:color="auto"/>
        <w:bottom w:val="none" w:sz="0" w:space="0" w:color="auto"/>
        <w:right w:val="none" w:sz="0" w:space="0" w:color="auto"/>
      </w:divBdr>
    </w:div>
    <w:div w:id="1604416809">
      <w:bodyDiv w:val="1"/>
      <w:marLeft w:val="0"/>
      <w:marRight w:val="0"/>
      <w:marTop w:val="0"/>
      <w:marBottom w:val="0"/>
      <w:divBdr>
        <w:top w:val="none" w:sz="0" w:space="0" w:color="auto"/>
        <w:left w:val="none" w:sz="0" w:space="0" w:color="auto"/>
        <w:bottom w:val="none" w:sz="0" w:space="0" w:color="auto"/>
        <w:right w:val="none" w:sz="0" w:space="0" w:color="auto"/>
      </w:divBdr>
    </w:div>
    <w:div w:id="1623227305">
      <w:bodyDiv w:val="1"/>
      <w:marLeft w:val="0"/>
      <w:marRight w:val="0"/>
      <w:marTop w:val="0"/>
      <w:marBottom w:val="0"/>
      <w:divBdr>
        <w:top w:val="none" w:sz="0" w:space="0" w:color="auto"/>
        <w:left w:val="none" w:sz="0" w:space="0" w:color="auto"/>
        <w:bottom w:val="none" w:sz="0" w:space="0" w:color="auto"/>
        <w:right w:val="none" w:sz="0" w:space="0" w:color="auto"/>
      </w:divBdr>
    </w:div>
    <w:div w:id="1630819165">
      <w:bodyDiv w:val="1"/>
      <w:marLeft w:val="0"/>
      <w:marRight w:val="0"/>
      <w:marTop w:val="0"/>
      <w:marBottom w:val="0"/>
      <w:divBdr>
        <w:top w:val="none" w:sz="0" w:space="0" w:color="auto"/>
        <w:left w:val="none" w:sz="0" w:space="0" w:color="auto"/>
        <w:bottom w:val="none" w:sz="0" w:space="0" w:color="auto"/>
        <w:right w:val="none" w:sz="0" w:space="0" w:color="auto"/>
      </w:divBdr>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657958282">
      <w:bodyDiv w:val="1"/>
      <w:marLeft w:val="0"/>
      <w:marRight w:val="0"/>
      <w:marTop w:val="0"/>
      <w:marBottom w:val="0"/>
      <w:divBdr>
        <w:top w:val="none" w:sz="0" w:space="0" w:color="auto"/>
        <w:left w:val="none" w:sz="0" w:space="0" w:color="auto"/>
        <w:bottom w:val="none" w:sz="0" w:space="0" w:color="auto"/>
        <w:right w:val="none" w:sz="0" w:space="0" w:color="auto"/>
      </w:divBdr>
    </w:div>
    <w:div w:id="1668363993">
      <w:bodyDiv w:val="1"/>
      <w:marLeft w:val="0"/>
      <w:marRight w:val="0"/>
      <w:marTop w:val="0"/>
      <w:marBottom w:val="0"/>
      <w:divBdr>
        <w:top w:val="none" w:sz="0" w:space="0" w:color="auto"/>
        <w:left w:val="none" w:sz="0" w:space="0" w:color="auto"/>
        <w:bottom w:val="none" w:sz="0" w:space="0" w:color="auto"/>
        <w:right w:val="none" w:sz="0" w:space="0" w:color="auto"/>
      </w:divBdr>
    </w:div>
    <w:div w:id="1714114166">
      <w:bodyDiv w:val="1"/>
      <w:marLeft w:val="0"/>
      <w:marRight w:val="0"/>
      <w:marTop w:val="0"/>
      <w:marBottom w:val="0"/>
      <w:divBdr>
        <w:top w:val="none" w:sz="0" w:space="0" w:color="auto"/>
        <w:left w:val="none" w:sz="0" w:space="0" w:color="auto"/>
        <w:bottom w:val="none" w:sz="0" w:space="0" w:color="auto"/>
        <w:right w:val="none" w:sz="0" w:space="0" w:color="auto"/>
      </w:divBdr>
    </w:div>
    <w:div w:id="1756702317">
      <w:bodyDiv w:val="1"/>
      <w:marLeft w:val="0"/>
      <w:marRight w:val="0"/>
      <w:marTop w:val="0"/>
      <w:marBottom w:val="0"/>
      <w:divBdr>
        <w:top w:val="none" w:sz="0" w:space="0" w:color="auto"/>
        <w:left w:val="none" w:sz="0" w:space="0" w:color="auto"/>
        <w:bottom w:val="none" w:sz="0" w:space="0" w:color="auto"/>
        <w:right w:val="none" w:sz="0" w:space="0" w:color="auto"/>
      </w:divBdr>
    </w:div>
    <w:div w:id="1827475254">
      <w:bodyDiv w:val="1"/>
      <w:marLeft w:val="0"/>
      <w:marRight w:val="0"/>
      <w:marTop w:val="0"/>
      <w:marBottom w:val="0"/>
      <w:divBdr>
        <w:top w:val="none" w:sz="0" w:space="0" w:color="auto"/>
        <w:left w:val="none" w:sz="0" w:space="0" w:color="auto"/>
        <w:bottom w:val="none" w:sz="0" w:space="0" w:color="auto"/>
        <w:right w:val="none" w:sz="0" w:space="0" w:color="auto"/>
      </w:divBdr>
      <w:divsChild>
        <w:div w:id="574319783">
          <w:marLeft w:val="0"/>
          <w:marRight w:val="0"/>
          <w:marTop w:val="0"/>
          <w:marBottom w:val="0"/>
          <w:divBdr>
            <w:top w:val="none" w:sz="0" w:space="0" w:color="auto"/>
            <w:left w:val="none" w:sz="0" w:space="0" w:color="auto"/>
            <w:bottom w:val="none" w:sz="0" w:space="0" w:color="auto"/>
            <w:right w:val="none" w:sz="0" w:space="0" w:color="auto"/>
          </w:divBdr>
        </w:div>
        <w:div w:id="820805376">
          <w:marLeft w:val="0"/>
          <w:marRight w:val="0"/>
          <w:marTop w:val="0"/>
          <w:marBottom w:val="0"/>
          <w:divBdr>
            <w:top w:val="none" w:sz="0" w:space="0" w:color="auto"/>
            <w:left w:val="none" w:sz="0" w:space="0" w:color="auto"/>
            <w:bottom w:val="none" w:sz="0" w:space="0" w:color="auto"/>
            <w:right w:val="none" w:sz="0" w:space="0" w:color="auto"/>
          </w:divBdr>
        </w:div>
        <w:div w:id="1361927943">
          <w:marLeft w:val="0"/>
          <w:marRight w:val="0"/>
          <w:marTop w:val="0"/>
          <w:marBottom w:val="0"/>
          <w:divBdr>
            <w:top w:val="none" w:sz="0" w:space="0" w:color="auto"/>
            <w:left w:val="none" w:sz="0" w:space="0" w:color="auto"/>
            <w:bottom w:val="none" w:sz="0" w:space="0" w:color="auto"/>
            <w:right w:val="none" w:sz="0" w:space="0" w:color="auto"/>
          </w:divBdr>
        </w:div>
      </w:divsChild>
    </w:div>
    <w:div w:id="1919250457">
      <w:bodyDiv w:val="1"/>
      <w:marLeft w:val="0"/>
      <w:marRight w:val="0"/>
      <w:marTop w:val="0"/>
      <w:marBottom w:val="0"/>
      <w:divBdr>
        <w:top w:val="none" w:sz="0" w:space="0" w:color="auto"/>
        <w:left w:val="none" w:sz="0" w:space="0" w:color="auto"/>
        <w:bottom w:val="none" w:sz="0" w:space="0" w:color="auto"/>
        <w:right w:val="none" w:sz="0" w:space="0" w:color="auto"/>
      </w:divBdr>
    </w:div>
    <w:div w:id="1929539590">
      <w:bodyDiv w:val="1"/>
      <w:marLeft w:val="0"/>
      <w:marRight w:val="0"/>
      <w:marTop w:val="0"/>
      <w:marBottom w:val="0"/>
      <w:divBdr>
        <w:top w:val="none" w:sz="0" w:space="0" w:color="auto"/>
        <w:left w:val="none" w:sz="0" w:space="0" w:color="auto"/>
        <w:bottom w:val="none" w:sz="0" w:space="0" w:color="auto"/>
        <w:right w:val="none" w:sz="0" w:space="0" w:color="auto"/>
      </w:divBdr>
    </w:div>
    <w:div w:id="19503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unesco.org/en/ev.php-URL_ID=13088&amp;URL_DO=DO_TOPIC&amp;URL_SECTION=201.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ight-to-education.org/resource/report-un-special-rapporteur-right-education-cultural-dimensions-right-education" TargetMode="External"/><Relationship Id="rId17" Type="http://schemas.openxmlformats.org/officeDocument/2006/relationships/hyperlink" Target="https://ich.unesco.org/en/education-010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esco.org/sites/default/files/medias/fichiers/2022/09/6.MONDIACULT_EN_DRAFT%20FINAL%20DECLARATION_FINAL_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sdoc.unesco.org/ark:/48223/pf000037970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esdoc.unesco.org/ark:/48223/pf0000190692"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sdoc.unesco.org/ark:/48223/pf0000384200"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spcommreports.ohchr.org/Tmsearch/TMDocuments" TargetMode="External"/><Relationship Id="rId2" Type="http://schemas.openxmlformats.org/officeDocument/2006/relationships/hyperlink" Target="https://www.ohchr.org/en/special-procedures/sr-education/country-visits" TargetMode="External"/><Relationship Id="rId1" Type="http://schemas.openxmlformats.org/officeDocument/2006/relationships/hyperlink" Target="https://www.unesco.org/en/languages-education"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0/xmlns/"/>
    <ds:schemaRef ds:uri="http://www.w3.org/2001/XMLSchema"/>
    <ds:schemaRef ds:uri="f62cadcd-e163-4118-ac05-a32b5a627a72"/>
    <ds:schemaRef ds:uri="c6dba373-5722-4c9c-915a-b35ecc6dedf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F0B53-BB2C-412D-A42F-B9D82AE96D43}">
  <ds:schemaRefs>
    <ds:schemaRef ds:uri="http://schemas.microsoft.com/office/2006/metadata/properties"/>
    <ds:schemaRef ds:uri="http://www.w3.org/2000/xmlns/"/>
    <ds:schemaRef ds:uri="f62cadcd-e163-4118-ac05-a32b5a627a72"/>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42A42EF7-A878-D948-868D-4022BE7C28F0}">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3303</Words>
  <Characters>20032</Characters>
  <Application>Microsoft Office Word</Application>
  <DocSecurity>0</DocSecurity>
  <Lines>166</Lines>
  <Paragraphs>46</Paragraphs>
  <ScaleCrop>false</ScaleCrop>
  <HeadingPairs>
    <vt:vector size="6" baseType="variant">
      <vt:variant>
        <vt:lpstr>Title</vt:lpstr>
      </vt:variant>
      <vt:variant>
        <vt:i4>1</vt:i4>
      </vt:variant>
      <vt:variant>
        <vt:lpstr>Titre</vt:lpstr>
      </vt:variant>
      <vt:variant>
        <vt:i4>1</vt:i4>
      </vt:variant>
      <vt:variant>
        <vt:lpstr/>
      </vt:variant>
      <vt:variant>
        <vt:i4>1</vt:i4>
      </vt:variant>
    </vt:vector>
  </HeadingPairs>
  <TitlesOfParts>
    <vt:vector size="3" baseType="lpstr">
      <vt:lpstr/>
      <vt:lpstr/>
      <vt:lpstr/>
    </vt:vector>
  </TitlesOfParts>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2023-05-11T15:36:00Z</dcterms:created>
  <dcterms:modified xsi:type="dcterms:W3CDTF">2023-05-11T15:36:00Z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