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94CD" w14:textId="77777777" w:rsidR="00A82FBE" w:rsidRDefault="00A82FBE" w:rsidP="00A82FBE">
      <w:pPr>
        <w:pStyle w:val="Title"/>
        <w:rPr>
          <w:rFonts w:ascii="Arial Black" w:hAnsi="Arial Black"/>
          <w:sz w:val="28"/>
          <w:szCs w:val="28"/>
        </w:rPr>
      </w:pPr>
      <w:r w:rsidRPr="00EF6E7B">
        <w:rPr>
          <w:rFonts w:ascii="Arial Black" w:hAnsi="Arial Black"/>
          <w:sz w:val="28"/>
          <w:szCs w:val="28"/>
        </w:rPr>
        <w:t xml:space="preserve">Assessing Global achievements of the right to education: Boys' Education </w:t>
      </w:r>
      <w:r>
        <w:rPr>
          <w:rFonts w:ascii="Arial Black" w:hAnsi="Arial Black"/>
          <w:sz w:val="28"/>
          <w:szCs w:val="28"/>
        </w:rPr>
        <w:t xml:space="preserve">Rights </w:t>
      </w:r>
      <w:r w:rsidRPr="00EF6E7B">
        <w:rPr>
          <w:rFonts w:ascii="Arial Black" w:hAnsi="Arial Black"/>
          <w:sz w:val="28"/>
          <w:szCs w:val="28"/>
        </w:rPr>
        <w:t>in Nigeria</w:t>
      </w:r>
    </w:p>
    <w:p w14:paraId="4DFC34F8" w14:textId="77777777" w:rsidR="00A82FBE" w:rsidRDefault="00A82FBE" w:rsidP="00A82FBE">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Fonts w:ascii="Times New Roman" w:hAnsi="Times New Roman" w:cs="Times New Roman"/>
          <w:sz w:val="24"/>
          <w:szCs w:val="24"/>
          <w:highlight w:val="white"/>
        </w:rPr>
        <w:t>13</w:t>
      </w:r>
      <w:r w:rsidRPr="00881055">
        <w:rPr>
          <w:rFonts w:ascii="Times New Roman" w:hAnsi="Times New Roman" w:cs="Times New Roman"/>
          <w:sz w:val="24"/>
          <w:szCs w:val="24"/>
          <w:highlight w:val="white"/>
          <w:vertAlign w:val="superscript"/>
        </w:rPr>
        <w:t>th</w:t>
      </w:r>
      <w:r>
        <w:rPr>
          <w:rFonts w:ascii="Times New Roman" w:hAnsi="Times New Roman" w:cs="Times New Roman"/>
          <w:sz w:val="24"/>
          <w:szCs w:val="24"/>
          <w:highlight w:val="white"/>
        </w:rPr>
        <w:t xml:space="preserve"> January 2023</w:t>
      </w:r>
    </w:p>
    <w:p w14:paraId="5F88E648" w14:textId="77777777" w:rsidR="00A82FBE" w:rsidRDefault="00A82FBE" w:rsidP="00A82FBE">
      <w:pPr>
        <w:pStyle w:val="Normal0"/>
        <w:spacing w:after="0" w:line="240" w:lineRule="auto"/>
        <w:rPr>
          <w:rFonts w:ascii="Times New Roman" w:hAnsi="Times New Roman" w:cs="Times New Roman"/>
          <w:sz w:val="24"/>
          <w:szCs w:val="24"/>
          <w:highlight w:val="white"/>
        </w:rPr>
      </w:pPr>
      <w:r w:rsidRPr="00BE77C0">
        <w:rPr>
          <w:rFonts w:ascii="Times New Roman" w:hAnsi="Times New Roman" w:cs="Times New Roman"/>
          <w:b/>
          <w:sz w:val="24"/>
          <w:szCs w:val="24"/>
          <w:highlight w:val="white"/>
        </w:rPr>
        <w:t xml:space="preserve">Dr Chidi </w:t>
      </w:r>
      <w:proofErr w:type="spellStart"/>
      <w:r w:rsidRPr="00BE77C0">
        <w:rPr>
          <w:rFonts w:ascii="Times New Roman" w:hAnsi="Times New Roman" w:cs="Times New Roman"/>
          <w:b/>
          <w:sz w:val="24"/>
          <w:szCs w:val="24"/>
          <w:highlight w:val="white"/>
        </w:rPr>
        <w:t>Ezegwu</w:t>
      </w:r>
      <w:proofErr w:type="spellEnd"/>
      <w:r>
        <w:rPr>
          <w:rStyle w:val="FootnoteAnchor"/>
          <w:bCs/>
          <w:sz w:val="28"/>
          <w:szCs w:val="28"/>
          <w:u w:val="single"/>
        </w:rPr>
        <w:footnoteReference w:id="1"/>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p>
    <w:p w14:paraId="21F75058" w14:textId="77777777" w:rsidR="00A82FBE" w:rsidRPr="00BE77C0" w:rsidRDefault="00A82FBE" w:rsidP="00A82FBE">
      <w:pPr>
        <w:pStyle w:val="Normal0"/>
        <w:spacing w:after="0" w:line="240" w:lineRule="auto"/>
        <w:rPr>
          <w:rFonts w:ascii="Times New Roman" w:hAnsi="Times New Roman" w:cs="Times New Roman"/>
          <w:b/>
          <w:i/>
          <w:sz w:val="24"/>
          <w:szCs w:val="24"/>
          <w:highlight w:val="white"/>
        </w:rPr>
      </w:pPr>
      <w:r w:rsidRPr="00BE77C0">
        <w:rPr>
          <w:rFonts w:ascii="Times New Roman" w:hAnsi="Times New Roman" w:cs="Times New Roman"/>
          <w:b/>
          <w:i/>
          <w:sz w:val="24"/>
          <w:szCs w:val="24"/>
          <w:highlight w:val="white"/>
        </w:rPr>
        <w:t xml:space="preserve">Associate at </w:t>
      </w:r>
      <w:r>
        <w:rPr>
          <w:rFonts w:ascii="Times New Roman" w:hAnsi="Times New Roman" w:cs="Times New Roman"/>
          <w:b/>
          <w:i/>
          <w:sz w:val="24"/>
          <w:szCs w:val="24"/>
          <w:highlight w:val="white"/>
        </w:rPr>
        <w:t xml:space="preserve">the </w:t>
      </w:r>
      <w:r w:rsidRPr="00BE77C0">
        <w:rPr>
          <w:rFonts w:ascii="Times New Roman" w:hAnsi="Times New Roman" w:cs="Times New Roman"/>
          <w:b/>
          <w:i/>
          <w:sz w:val="24"/>
          <w:szCs w:val="24"/>
          <w:highlight w:val="white"/>
        </w:rPr>
        <w:t xml:space="preserve">Centre for Social Justice and Well-being in Education, Lancaster University, UK </w:t>
      </w:r>
    </w:p>
    <w:p w14:paraId="27D200EF" w14:textId="77777777" w:rsidR="00A82FBE" w:rsidRPr="008E5A56" w:rsidRDefault="00A82FBE" w:rsidP="00A82FBE">
      <w:pPr>
        <w:pStyle w:val="Heading1"/>
        <w:rPr>
          <w:b/>
          <w:sz w:val="28"/>
          <w:szCs w:val="28"/>
        </w:rPr>
      </w:pPr>
      <w:r w:rsidRPr="008E5A56">
        <w:rPr>
          <w:b/>
          <w:sz w:val="28"/>
          <w:szCs w:val="28"/>
        </w:rPr>
        <w:t>Introduction</w:t>
      </w:r>
    </w:p>
    <w:p w14:paraId="3E7A96CF" w14:textId="15AF1388" w:rsidR="00A82FBE" w:rsidRDefault="00A82FBE" w:rsidP="00A82FBE">
      <w:pPr>
        <w:pStyle w:val="ListParagraph"/>
        <w:numPr>
          <w:ilvl w:val="0"/>
          <w:numId w:val="19"/>
        </w:numPr>
        <w:spacing w:line="240" w:lineRule="auto"/>
        <w:ind w:left="360"/>
        <w:jc w:val="both"/>
        <w:rPr>
          <w:sz w:val="24"/>
        </w:rPr>
      </w:pPr>
      <w:r w:rsidRPr="002A6240">
        <w:rPr>
          <w:sz w:val="24"/>
        </w:rPr>
        <w:t xml:space="preserve">Education is a basic human right but </w:t>
      </w:r>
      <w:r>
        <w:rPr>
          <w:sz w:val="24"/>
        </w:rPr>
        <w:t>about</w:t>
      </w:r>
      <w:r w:rsidRPr="002A6240">
        <w:rPr>
          <w:sz w:val="24"/>
        </w:rPr>
        <w:t xml:space="preserve"> 244 million children and youth across the world are out of school and not enjoying this right because of </w:t>
      </w:r>
      <w:r w:rsidR="0031192D">
        <w:rPr>
          <w:sz w:val="24"/>
        </w:rPr>
        <w:t xml:space="preserve">some </w:t>
      </w:r>
      <w:r w:rsidRPr="002A6240">
        <w:rPr>
          <w:sz w:val="24"/>
        </w:rPr>
        <w:t>social, economic and cultural reasons</w:t>
      </w:r>
      <w:r>
        <w:rPr>
          <w:rStyle w:val="FootnoteReference"/>
          <w:sz w:val="24"/>
        </w:rPr>
        <w:footnoteReference w:id="2"/>
      </w:r>
      <w:r w:rsidRPr="002A6240">
        <w:rPr>
          <w:sz w:val="24"/>
        </w:rPr>
        <w:t xml:space="preserve">. Nigeria is a unique example of countries where education is human rights de jure </w:t>
      </w:r>
      <w:r w:rsidR="008A6D9B">
        <w:rPr>
          <w:sz w:val="24"/>
        </w:rPr>
        <w:t xml:space="preserve">but </w:t>
      </w:r>
      <w:r w:rsidR="00C11B70">
        <w:rPr>
          <w:sz w:val="24"/>
        </w:rPr>
        <w:t>not</w:t>
      </w:r>
      <w:r w:rsidRPr="002A6240">
        <w:rPr>
          <w:sz w:val="24"/>
        </w:rPr>
        <w:t xml:space="preserve"> de facto. </w:t>
      </w:r>
      <w:r w:rsidR="008A6D9B">
        <w:rPr>
          <w:sz w:val="24"/>
        </w:rPr>
        <w:t>Chapter Two</w:t>
      </w:r>
      <w:r w:rsidRPr="002A6240">
        <w:rPr>
          <w:sz w:val="24"/>
        </w:rPr>
        <w:t xml:space="preserve"> of the Constitution of the Federal Republic of Nigeria provides for </w:t>
      </w:r>
      <w:r>
        <w:rPr>
          <w:sz w:val="24"/>
        </w:rPr>
        <w:t xml:space="preserve">the </w:t>
      </w:r>
      <w:r w:rsidRPr="002A6240">
        <w:rPr>
          <w:sz w:val="24"/>
        </w:rPr>
        <w:t xml:space="preserve">right to education as non-justiciable. In section 18, it provides that: (1) Government shall direct its policy towards ensuring that there are equal and adequate educational opportunities at all levels (3) Government shall strive to eradicate illiteracy; and to this end, the Government shall as and when practicable provide (a) free, compulsory and universal primary education; (b) free secondary education; (c) free university education; and (d) free adult literacy </w:t>
      </w:r>
      <w:proofErr w:type="spellStart"/>
      <w:r w:rsidRPr="002A6240">
        <w:rPr>
          <w:sz w:val="24"/>
        </w:rPr>
        <w:t>programme</w:t>
      </w:r>
      <w:proofErr w:type="spellEnd"/>
      <w:r w:rsidRPr="002A6240">
        <w:rPr>
          <w:sz w:val="24"/>
        </w:rPr>
        <w:t>. The Nigerian Universal Basic Education Act (2004) makes basic education (</w:t>
      </w:r>
      <w:r w:rsidR="00882A51">
        <w:rPr>
          <w:sz w:val="24"/>
        </w:rPr>
        <w:t>primary and junior secondary education for children between five and</w:t>
      </w:r>
      <w:r w:rsidRPr="002A6240">
        <w:rPr>
          <w:sz w:val="24"/>
        </w:rPr>
        <w:t xml:space="preserve"> </w:t>
      </w:r>
      <w:r w:rsidR="00882A51">
        <w:rPr>
          <w:sz w:val="24"/>
        </w:rPr>
        <w:t xml:space="preserve">fourteen </w:t>
      </w:r>
      <w:r w:rsidRPr="002A6240">
        <w:rPr>
          <w:sz w:val="24"/>
        </w:rPr>
        <w:t xml:space="preserve">years old) free and compulsory </w:t>
      </w:r>
      <w:proofErr w:type="gramStart"/>
      <w:r w:rsidRPr="002A6240">
        <w:rPr>
          <w:sz w:val="24"/>
        </w:rPr>
        <w:t>and also</w:t>
      </w:r>
      <w:proofErr w:type="gramEnd"/>
      <w:r w:rsidRPr="002A6240">
        <w:rPr>
          <w:sz w:val="24"/>
        </w:rPr>
        <w:t xml:space="preserve"> makes withdrawal or failure to send children of basic education age to school a punishable offence. However, in practice, as </w:t>
      </w:r>
      <w:proofErr w:type="spellStart"/>
      <w:r w:rsidRPr="002A6240">
        <w:rPr>
          <w:sz w:val="24"/>
        </w:rPr>
        <w:t>Ezegwu</w:t>
      </w:r>
      <w:proofErr w:type="spellEnd"/>
      <w:r w:rsidRPr="002A6240">
        <w:rPr>
          <w:sz w:val="24"/>
        </w:rPr>
        <w:t xml:space="preserve"> (2020)</w:t>
      </w:r>
      <w:r>
        <w:rPr>
          <w:rStyle w:val="FootnoteReference"/>
          <w:sz w:val="24"/>
        </w:rPr>
        <w:footnoteReference w:id="3"/>
      </w:r>
      <w:r w:rsidRPr="002A6240">
        <w:rPr>
          <w:sz w:val="24"/>
        </w:rPr>
        <w:t xml:space="preserve"> </w:t>
      </w:r>
      <w:r>
        <w:rPr>
          <w:sz w:val="24"/>
        </w:rPr>
        <w:t>observed</w:t>
      </w:r>
      <w:r w:rsidRPr="002A6240">
        <w:rPr>
          <w:sz w:val="24"/>
        </w:rPr>
        <w:t>, education is a public affair</w:t>
      </w:r>
      <w:r>
        <w:rPr>
          <w:sz w:val="24"/>
        </w:rPr>
        <w:t>,</w:t>
      </w:r>
      <w:r w:rsidRPr="002A6240">
        <w:rPr>
          <w:sz w:val="24"/>
        </w:rPr>
        <w:t xml:space="preserve"> but it is largely privately determined at the household level. Despite the provision of th</w:t>
      </w:r>
      <w:r>
        <w:rPr>
          <w:sz w:val="24"/>
        </w:rPr>
        <w:t>e</w:t>
      </w:r>
      <w:r w:rsidRPr="002A6240">
        <w:rPr>
          <w:sz w:val="24"/>
        </w:rPr>
        <w:t xml:space="preserve"> law, </w:t>
      </w:r>
      <w:r>
        <w:rPr>
          <w:sz w:val="24"/>
        </w:rPr>
        <w:t>some parents in many parts of the country</w:t>
      </w:r>
      <w:r w:rsidRPr="002A6240">
        <w:rPr>
          <w:sz w:val="24"/>
        </w:rPr>
        <w:t xml:space="preserve"> </w:t>
      </w:r>
      <w:r>
        <w:rPr>
          <w:sz w:val="24"/>
        </w:rPr>
        <w:t xml:space="preserve">tend to ignore </w:t>
      </w:r>
      <w:r w:rsidRPr="002A6240">
        <w:rPr>
          <w:sz w:val="24"/>
        </w:rPr>
        <w:t>the law and continue to keep their wards from school</w:t>
      </w:r>
      <w:r w:rsidR="008A4EBE">
        <w:rPr>
          <w:sz w:val="24"/>
        </w:rPr>
        <w:t xml:space="preserve">. Some are pushed to do so by </w:t>
      </w:r>
      <w:r>
        <w:rPr>
          <w:sz w:val="24"/>
        </w:rPr>
        <w:t>poverty and other socioeconomic challenges</w:t>
      </w:r>
      <w:r w:rsidR="008A4EBE">
        <w:rPr>
          <w:sz w:val="24"/>
        </w:rPr>
        <w:t xml:space="preserve"> while others have low value </w:t>
      </w:r>
      <w:r w:rsidR="0092144C">
        <w:rPr>
          <w:sz w:val="24"/>
        </w:rPr>
        <w:t xml:space="preserve">for education due to their traditional and </w:t>
      </w:r>
      <w:r w:rsidR="008A4EBE">
        <w:rPr>
          <w:sz w:val="24"/>
        </w:rPr>
        <w:t>religious perspectives</w:t>
      </w:r>
      <w:r>
        <w:rPr>
          <w:rStyle w:val="FootnoteReference"/>
          <w:sz w:val="24"/>
        </w:rPr>
        <w:footnoteReference w:id="4"/>
      </w:r>
      <w:r w:rsidRPr="002A6240">
        <w:rPr>
          <w:sz w:val="24"/>
        </w:rPr>
        <w:t xml:space="preserve">. </w:t>
      </w:r>
    </w:p>
    <w:p w14:paraId="7FF84FB3" w14:textId="77777777" w:rsidR="00A82FBE" w:rsidRPr="00D92F0E" w:rsidRDefault="00A82FBE" w:rsidP="00A82FBE">
      <w:pPr>
        <w:pStyle w:val="ListParagraph"/>
        <w:spacing w:line="240" w:lineRule="auto"/>
        <w:ind w:left="360"/>
        <w:jc w:val="both"/>
        <w:rPr>
          <w:sz w:val="16"/>
        </w:rPr>
      </w:pPr>
    </w:p>
    <w:p w14:paraId="74167152" w14:textId="316C89F8" w:rsidR="00A82FBE" w:rsidRPr="00DA76AA" w:rsidRDefault="00A82FBE" w:rsidP="00A82FBE">
      <w:pPr>
        <w:pStyle w:val="ListParagraph"/>
        <w:numPr>
          <w:ilvl w:val="0"/>
          <w:numId w:val="19"/>
        </w:numPr>
        <w:spacing w:line="240" w:lineRule="auto"/>
        <w:ind w:left="360"/>
        <w:jc w:val="both"/>
        <w:rPr>
          <w:sz w:val="24"/>
        </w:rPr>
      </w:pPr>
      <w:r w:rsidRPr="00DA76AA">
        <w:rPr>
          <w:sz w:val="24"/>
        </w:rPr>
        <w:t xml:space="preserve">Nigeria currently has some of the worst and most persistent poor access to education, and social inequality </w:t>
      </w:r>
      <w:r>
        <w:rPr>
          <w:sz w:val="24"/>
        </w:rPr>
        <w:t xml:space="preserve">and is home to the highest </w:t>
      </w:r>
      <w:r w:rsidRPr="00DA76AA">
        <w:rPr>
          <w:sz w:val="24"/>
        </w:rPr>
        <w:t>number of out-of-school children in the world</w:t>
      </w:r>
      <w:r>
        <w:rPr>
          <w:rStyle w:val="FootnoteReference"/>
          <w:sz w:val="24"/>
        </w:rPr>
        <w:footnoteReference w:id="5"/>
      </w:r>
      <w:r>
        <w:rPr>
          <w:sz w:val="24"/>
        </w:rPr>
        <w:t>’</w:t>
      </w:r>
      <w:r>
        <w:rPr>
          <w:rStyle w:val="FootnoteReference"/>
          <w:sz w:val="24"/>
        </w:rPr>
        <w:footnoteReference w:id="6"/>
      </w:r>
      <w:r w:rsidRPr="00DA76AA">
        <w:rPr>
          <w:sz w:val="24"/>
        </w:rPr>
        <w:t>. In 2006, the number of out-of-school children stood at a</w:t>
      </w:r>
      <w:r>
        <w:rPr>
          <w:sz w:val="24"/>
        </w:rPr>
        <w:t xml:space="preserve">bout </w:t>
      </w:r>
      <w:r w:rsidRPr="00DA76AA">
        <w:rPr>
          <w:sz w:val="24"/>
        </w:rPr>
        <w:t xml:space="preserve">7.4 million, which increased to about 10.5 </w:t>
      </w:r>
      <w:r w:rsidR="00C936B9">
        <w:rPr>
          <w:sz w:val="24"/>
        </w:rPr>
        <w:lastRenderedPageBreak/>
        <w:t>million by 2010. It rose</w:t>
      </w:r>
      <w:r w:rsidR="00713B8B">
        <w:rPr>
          <w:sz w:val="24"/>
        </w:rPr>
        <w:t xml:space="preserve"> to </w:t>
      </w:r>
      <w:r w:rsidRPr="00DA76AA">
        <w:rPr>
          <w:sz w:val="24"/>
        </w:rPr>
        <w:t>about 13.2 million in 2017 and 20 million in 2022</w:t>
      </w:r>
      <w:r>
        <w:rPr>
          <w:rStyle w:val="FootnoteReference"/>
          <w:sz w:val="24"/>
        </w:rPr>
        <w:footnoteReference w:id="7"/>
      </w:r>
      <w:r>
        <w:rPr>
          <w:sz w:val="24"/>
        </w:rPr>
        <w:t>’</w:t>
      </w:r>
      <w:r>
        <w:rPr>
          <w:rStyle w:val="FootnoteReference"/>
          <w:sz w:val="24"/>
        </w:rPr>
        <w:footnoteReference w:id="8"/>
      </w:r>
      <w:r>
        <w:rPr>
          <w:sz w:val="24"/>
        </w:rPr>
        <w:t>’</w:t>
      </w:r>
      <w:r>
        <w:rPr>
          <w:rStyle w:val="FootnoteReference"/>
          <w:sz w:val="24"/>
        </w:rPr>
        <w:footnoteReference w:id="9"/>
      </w:r>
      <w:r>
        <w:rPr>
          <w:sz w:val="24"/>
        </w:rPr>
        <w:t>’</w:t>
      </w:r>
      <w:r>
        <w:rPr>
          <w:rStyle w:val="FootnoteReference"/>
          <w:sz w:val="24"/>
        </w:rPr>
        <w:footnoteReference w:id="10"/>
      </w:r>
      <w:r w:rsidRPr="00DA76AA">
        <w:rPr>
          <w:sz w:val="24"/>
        </w:rPr>
        <w:t xml:space="preserve">. Information from the </w:t>
      </w:r>
      <w:r w:rsidR="00A40183">
        <w:rPr>
          <w:sz w:val="24"/>
        </w:rPr>
        <w:t xml:space="preserve">Federal </w:t>
      </w:r>
      <w:r w:rsidRPr="00DA76AA">
        <w:rPr>
          <w:sz w:val="24"/>
        </w:rPr>
        <w:t>Ministry of Education (FME, 2017)</w:t>
      </w:r>
      <w:r>
        <w:rPr>
          <w:rStyle w:val="FootnoteReference"/>
          <w:sz w:val="24"/>
        </w:rPr>
        <w:footnoteReference w:id="11"/>
      </w:r>
      <w:r w:rsidRPr="00DA76AA">
        <w:rPr>
          <w:sz w:val="24"/>
        </w:rPr>
        <w:t xml:space="preserve"> suggest</w:t>
      </w:r>
      <w:r w:rsidR="00E70FCB">
        <w:rPr>
          <w:sz w:val="24"/>
        </w:rPr>
        <w:t>s</w:t>
      </w:r>
      <w:r w:rsidRPr="00DA76AA">
        <w:rPr>
          <w:sz w:val="24"/>
        </w:rPr>
        <w:t xml:space="preserve"> that at the primary level (aged 6-11 years old) the Gross Enrolment Rate (GER - the percentage of the total number of children attending school regardless of their age in relation to the official school-going age) in 2015/2016 academic year stood at 83.81</w:t>
      </w:r>
      <w:r w:rsidR="00E70FCB">
        <w:rPr>
          <w:sz w:val="24"/>
        </w:rPr>
        <w:t>%</w:t>
      </w:r>
      <w:r w:rsidRPr="00DA76AA">
        <w:rPr>
          <w:sz w:val="24"/>
        </w:rPr>
        <w:t xml:space="preserve"> (80.40</w:t>
      </w:r>
      <w:r w:rsidR="00E70FCB">
        <w:rPr>
          <w:sz w:val="24"/>
        </w:rPr>
        <w:t>%</w:t>
      </w:r>
      <w:r w:rsidRPr="00DA76AA">
        <w:rPr>
          <w:sz w:val="24"/>
        </w:rPr>
        <w:t xml:space="preserve"> for female and 87.16</w:t>
      </w:r>
      <w:r w:rsidR="00E70FCB">
        <w:rPr>
          <w:sz w:val="24"/>
        </w:rPr>
        <w:t>%</w:t>
      </w:r>
      <w:r w:rsidRPr="00DA76AA">
        <w:rPr>
          <w:sz w:val="24"/>
        </w:rPr>
        <w:t xml:space="preserve"> for males) while the Net Enrolment Rate (NER - the percentage of the official primary school-aged population) stood at 64.92</w:t>
      </w:r>
      <w:r w:rsidR="00E70FCB">
        <w:rPr>
          <w:sz w:val="24"/>
        </w:rPr>
        <w:t>%</w:t>
      </w:r>
      <w:r w:rsidRPr="00DA76AA">
        <w:rPr>
          <w:sz w:val="24"/>
        </w:rPr>
        <w:t xml:space="preserve"> (63.43 for females and 66.38</w:t>
      </w:r>
      <w:r w:rsidR="00E70FCB">
        <w:rPr>
          <w:sz w:val="24"/>
        </w:rPr>
        <w:t>%</w:t>
      </w:r>
      <w:r w:rsidRPr="00DA76AA">
        <w:rPr>
          <w:sz w:val="24"/>
        </w:rPr>
        <w:t xml:space="preserve"> for males). At the lower secondary school level (12 to 14 years), GER stood at 43.3</w:t>
      </w:r>
      <w:r w:rsidR="00E70FCB">
        <w:rPr>
          <w:sz w:val="24"/>
        </w:rPr>
        <w:t>%</w:t>
      </w:r>
      <w:r w:rsidRPr="00DA76AA">
        <w:rPr>
          <w:sz w:val="24"/>
        </w:rPr>
        <w:t xml:space="preserve"> (41.4</w:t>
      </w:r>
      <w:r w:rsidR="00E70FCB">
        <w:rPr>
          <w:sz w:val="24"/>
        </w:rPr>
        <w:t>%</w:t>
      </w:r>
      <w:r w:rsidRPr="00DA76AA">
        <w:rPr>
          <w:sz w:val="24"/>
        </w:rPr>
        <w:t xml:space="preserve"> for girls and 45.2</w:t>
      </w:r>
      <w:r w:rsidR="00E70FCB">
        <w:rPr>
          <w:sz w:val="24"/>
        </w:rPr>
        <w:t>%</w:t>
      </w:r>
      <w:r w:rsidRPr="00DA76AA">
        <w:rPr>
          <w:sz w:val="24"/>
        </w:rPr>
        <w:t xml:space="preserve"> for boys) – the data did not include junior secondary N</w:t>
      </w:r>
      <w:r>
        <w:rPr>
          <w:sz w:val="24"/>
        </w:rPr>
        <w:t>E</w:t>
      </w:r>
      <w:r w:rsidRPr="00DA76AA">
        <w:rPr>
          <w:sz w:val="24"/>
        </w:rPr>
        <w:t xml:space="preserve">R. The increasing number of out-of-school children over the years cast doubt on possible claims </w:t>
      </w:r>
      <w:r w:rsidRPr="00DA76AA">
        <w:rPr>
          <w:sz w:val="24"/>
          <w:lang w:val="en-GB"/>
        </w:rPr>
        <w:t>that education issues are approached through the lens of the human right to education</w:t>
      </w:r>
      <w:r w:rsidR="00115771">
        <w:rPr>
          <w:sz w:val="24"/>
          <w:lang w:val="en-GB"/>
        </w:rPr>
        <w:t xml:space="preserve"> in the country</w:t>
      </w:r>
      <w:r w:rsidRPr="00DA76AA">
        <w:rPr>
          <w:sz w:val="24"/>
          <w:lang w:val="en-GB"/>
        </w:rPr>
        <w:t xml:space="preserve">. </w:t>
      </w:r>
    </w:p>
    <w:p w14:paraId="1C065B31" w14:textId="77777777" w:rsidR="00A82FBE" w:rsidRPr="00D92F0E" w:rsidRDefault="00A82FBE" w:rsidP="00A82FBE">
      <w:pPr>
        <w:pStyle w:val="ListParagraph"/>
        <w:spacing w:line="240" w:lineRule="auto"/>
        <w:ind w:left="360"/>
        <w:jc w:val="both"/>
        <w:rPr>
          <w:sz w:val="14"/>
        </w:rPr>
      </w:pPr>
    </w:p>
    <w:p w14:paraId="3AE518C7" w14:textId="77777777" w:rsidR="00A82FBE" w:rsidRPr="00DA76AA" w:rsidRDefault="00A82FBE" w:rsidP="00A82FBE">
      <w:pPr>
        <w:pStyle w:val="ListParagraph"/>
        <w:numPr>
          <w:ilvl w:val="0"/>
          <w:numId w:val="19"/>
        </w:numPr>
        <w:spacing w:line="240" w:lineRule="auto"/>
        <w:ind w:left="360"/>
        <w:jc w:val="both"/>
        <w:rPr>
          <w:sz w:val="24"/>
        </w:rPr>
      </w:pPr>
      <w:r w:rsidRPr="00DA76AA">
        <w:rPr>
          <w:sz w:val="24"/>
          <w:lang w:val="en-GB"/>
        </w:rPr>
        <w:t>This paper draw</w:t>
      </w:r>
      <w:r>
        <w:rPr>
          <w:sz w:val="24"/>
          <w:lang w:val="en-GB"/>
        </w:rPr>
        <w:t>s from the literature to discuss</w:t>
      </w:r>
      <w:r w:rsidRPr="00DA76AA">
        <w:rPr>
          <w:sz w:val="24"/>
          <w:lang w:val="en-GB"/>
        </w:rPr>
        <w:t xml:space="preserve"> the following question: </w:t>
      </w:r>
    </w:p>
    <w:p w14:paraId="01F46A0E" w14:textId="4A2D70D1" w:rsidR="00A82FBE" w:rsidRPr="00DA76AA" w:rsidRDefault="00A82FBE" w:rsidP="00A82FBE">
      <w:pPr>
        <w:pStyle w:val="ListParagraph"/>
        <w:numPr>
          <w:ilvl w:val="0"/>
          <w:numId w:val="17"/>
        </w:numPr>
        <w:spacing w:after="0" w:line="240" w:lineRule="auto"/>
        <w:jc w:val="both"/>
        <w:rPr>
          <w:sz w:val="24"/>
        </w:rPr>
      </w:pPr>
      <w:r w:rsidRPr="00DA76AA">
        <w:rPr>
          <w:sz w:val="24"/>
        </w:rPr>
        <w:t>Are education issues approached through</w:t>
      </w:r>
      <w:r w:rsidR="00E62D6D">
        <w:rPr>
          <w:sz w:val="24"/>
        </w:rPr>
        <w:t xml:space="preserve"> the lens of the human right to </w:t>
      </w:r>
      <w:r w:rsidRPr="00DA76AA">
        <w:rPr>
          <w:sz w:val="24"/>
        </w:rPr>
        <w:t xml:space="preserve">education in Nigeria? </w:t>
      </w:r>
    </w:p>
    <w:p w14:paraId="189553CF" w14:textId="77777777" w:rsidR="00A82FBE" w:rsidRDefault="00A82FBE" w:rsidP="00A82FBE">
      <w:pPr>
        <w:pStyle w:val="ListParagraph"/>
        <w:numPr>
          <w:ilvl w:val="0"/>
          <w:numId w:val="17"/>
        </w:numPr>
        <w:spacing w:after="0" w:line="240" w:lineRule="auto"/>
        <w:jc w:val="both"/>
        <w:rPr>
          <w:sz w:val="24"/>
          <w:szCs w:val="24"/>
        </w:rPr>
      </w:pPr>
      <w:r>
        <w:rPr>
          <w:sz w:val="24"/>
          <w:szCs w:val="24"/>
        </w:rPr>
        <w:t>What are the main challenges in implementing the right to education in Nigeria?</w:t>
      </w:r>
    </w:p>
    <w:p w14:paraId="33BCF2EF" w14:textId="77777777" w:rsidR="00A82FBE" w:rsidRDefault="00A82FBE" w:rsidP="00A82FBE">
      <w:pPr>
        <w:pStyle w:val="ListParagraph"/>
        <w:numPr>
          <w:ilvl w:val="0"/>
          <w:numId w:val="17"/>
        </w:numPr>
        <w:spacing w:after="0" w:line="240" w:lineRule="auto"/>
        <w:jc w:val="both"/>
        <w:rPr>
          <w:sz w:val="24"/>
          <w:szCs w:val="24"/>
        </w:rPr>
      </w:pPr>
      <w:r>
        <w:rPr>
          <w:sz w:val="24"/>
          <w:szCs w:val="24"/>
        </w:rPr>
        <w:t>What are the crucial issues to address, nationally as well as internationally, to ensure the realization of the right to education in Nigeria?</w:t>
      </w:r>
    </w:p>
    <w:p w14:paraId="72C09748" w14:textId="77777777" w:rsidR="00A82FBE" w:rsidRPr="00D92F0E" w:rsidRDefault="00A82FBE" w:rsidP="00A82FBE">
      <w:pPr>
        <w:spacing w:after="0" w:line="240" w:lineRule="auto"/>
        <w:jc w:val="both"/>
        <w:rPr>
          <w:sz w:val="12"/>
        </w:rPr>
      </w:pPr>
    </w:p>
    <w:p w14:paraId="6178AAE7" w14:textId="3240EBD2" w:rsidR="00A82FBE" w:rsidRPr="00DA76AA" w:rsidRDefault="00A82FBE" w:rsidP="00A82FBE">
      <w:pPr>
        <w:pStyle w:val="ListParagraph"/>
        <w:numPr>
          <w:ilvl w:val="0"/>
          <w:numId w:val="19"/>
        </w:numPr>
        <w:spacing w:after="0" w:line="240" w:lineRule="auto"/>
        <w:ind w:left="360"/>
        <w:jc w:val="both"/>
        <w:rPr>
          <w:sz w:val="24"/>
        </w:rPr>
      </w:pPr>
      <w:r>
        <w:rPr>
          <w:sz w:val="24"/>
        </w:rPr>
        <w:t>It is noteworthy that f</w:t>
      </w:r>
      <w:r w:rsidRPr="003C6247">
        <w:rPr>
          <w:sz w:val="24"/>
        </w:rPr>
        <w:t xml:space="preserve">actors that contribute to </w:t>
      </w:r>
      <w:r>
        <w:rPr>
          <w:sz w:val="24"/>
        </w:rPr>
        <w:t xml:space="preserve">hindering access to primary and junior secondary education in Nigeria </w:t>
      </w:r>
      <w:r w:rsidR="00E62D6D">
        <w:rPr>
          <w:sz w:val="24"/>
        </w:rPr>
        <w:t>include in-school factors (such as</w:t>
      </w:r>
      <w:r w:rsidRPr="003C6247">
        <w:rPr>
          <w:sz w:val="24"/>
        </w:rPr>
        <w:t xml:space="preserve"> availability of female teachers, health and sanitary facilities, school distance and poor state of important school facilities) and out of school factors such as </w:t>
      </w:r>
      <w:r>
        <w:rPr>
          <w:sz w:val="24"/>
        </w:rPr>
        <w:t xml:space="preserve">violent conflict, </w:t>
      </w:r>
      <w:r w:rsidRPr="003C6247">
        <w:rPr>
          <w:sz w:val="24"/>
        </w:rPr>
        <w:t xml:space="preserve">early marriage, poverty, </w:t>
      </w:r>
      <w:r>
        <w:rPr>
          <w:sz w:val="24"/>
        </w:rPr>
        <w:t xml:space="preserve">low value for education, </w:t>
      </w:r>
      <w:r w:rsidRPr="003C6247">
        <w:rPr>
          <w:sz w:val="24"/>
        </w:rPr>
        <w:t>traditional attitude to education, pregnancy and gender violence</w:t>
      </w:r>
      <w:r>
        <w:rPr>
          <w:sz w:val="24"/>
        </w:rPr>
        <w:t xml:space="preserve">. These affect both boys and girls but some factors affect girls more than boys, and most </w:t>
      </w:r>
      <w:r w:rsidR="00CF3649">
        <w:rPr>
          <w:sz w:val="24"/>
        </w:rPr>
        <w:t>gender-focused</w:t>
      </w:r>
      <w:r>
        <w:rPr>
          <w:sz w:val="24"/>
        </w:rPr>
        <w:t xml:space="preserve"> interventions tend to focus on girls more than boys. Hence, this paper focuses on </w:t>
      </w:r>
      <w:r w:rsidRPr="00DA76AA">
        <w:rPr>
          <w:sz w:val="24"/>
        </w:rPr>
        <w:t>boys' educational access and progression in northern and eastern Nigeria</w:t>
      </w:r>
      <w:r>
        <w:rPr>
          <w:sz w:val="24"/>
        </w:rPr>
        <w:t xml:space="preserve"> – where </w:t>
      </w:r>
      <w:r w:rsidR="001470F5">
        <w:rPr>
          <w:sz w:val="24"/>
        </w:rPr>
        <w:t>more boys are observed to be out of school in the country</w:t>
      </w:r>
      <w:r w:rsidRPr="00DA76AA">
        <w:rPr>
          <w:sz w:val="24"/>
        </w:rPr>
        <w:t xml:space="preserve">. </w:t>
      </w:r>
    </w:p>
    <w:p w14:paraId="6D414299" w14:textId="77777777" w:rsidR="00A82FBE" w:rsidRDefault="00A82FBE" w:rsidP="00A82FBE">
      <w:pPr>
        <w:spacing w:after="0" w:line="240" w:lineRule="auto"/>
        <w:jc w:val="both"/>
      </w:pPr>
    </w:p>
    <w:p w14:paraId="7BA4C9E2" w14:textId="77777777" w:rsidR="00A82FBE" w:rsidRPr="008E5A56" w:rsidRDefault="00A82FBE" w:rsidP="00A82FBE">
      <w:pPr>
        <w:pStyle w:val="Heading1"/>
        <w:spacing w:before="0" w:line="240" w:lineRule="auto"/>
        <w:rPr>
          <w:b/>
          <w:sz w:val="28"/>
          <w:szCs w:val="28"/>
        </w:rPr>
      </w:pPr>
      <w:r w:rsidRPr="008E5A56">
        <w:rPr>
          <w:b/>
          <w:sz w:val="28"/>
          <w:szCs w:val="28"/>
        </w:rPr>
        <w:t xml:space="preserve">Out-of-School Boys in </w:t>
      </w:r>
      <w:r>
        <w:rPr>
          <w:b/>
          <w:sz w:val="28"/>
          <w:szCs w:val="28"/>
        </w:rPr>
        <w:t xml:space="preserve">eastern and northern </w:t>
      </w:r>
      <w:r w:rsidRPr="008E5A56">
        <w:rPr>
          <w:b/>
          <w:sz w:val="28"/>
          <w:szCs w:val="28"/>
        </w:rPr>
        <w:t>Nigeria</w:t>
      </w:r>
    </w:p>
    <w:p w14:paraId="7BE1EF4A" w14:textId="2947D726" w:rsidR="00A82FBE" w:rsidRPr="00923B3F" w:rsidRDefault="00A82FBE" w:rsidP="00A82FBE">
      <w:pPr>
        <w:pStyle w:val="ListParagraph"/>
        <w:numPr>
          <w:ilvl w:val="0"/>
          <w:numId w:val="19"/>
        </w:numPr>
        <w:spacing w:after="0" w:line="240" w:lineRule="auto"/>
        <w:ind w:left="360"/>
        <w:jc w:val="both"/>
        <w:rPr>
          <w:sz w:val="24"/>
          <w:szCs w:val="24"/>
        </w:rPr>
      </w:pPr>
      <w:r>
        <w:t xml:space="preserve">The </w:t>
      </w:r>
      <w:r w:rsidR="00477131">
        <w:t>challenge</w:t>
      </w:r>
      <w:r>
        <w:t xml:space="preserve"> of o</w:t>
      </w:r>
      <w:r w:rsidR="00477131">
        <w:t>ut-of-school boys in Nigeria is</w:t>
      </w:r>
      <w:r>
        <w:t xml:space="preserve"> historically entrenched in northern and south-eastern Nigeria. </w:t>
      </w:r>
      <w:r w:rsidR="0059674B">
        <w:t>I</w:t>
      </w:r>
      <w:r>
        <w:t>n northern Nigeria</w:t>
      </w:r>
      <w:r w:rsidR="0059674B">
        <w:t>, the phenomenon of out-of-school boys</w:t>
      </w:r>
      <w:r>
        <w:t xml:space="preserve"> is intricately intertwined with </w:t>
      </w:r>
      <w:proofErr w:type="spellStart"/>
      <w:r>
        <w:t>alamajiri</w:t>
      </w:r>
      <w:proofErr w:type="spellEnd"/>
      <w:r>
        <w:t xml:space="preserve"> practices. </w:t>
      </w:r>
      <w:r w:rsidR="007F4F98">
        <w:t xml:space="preserve">Traditionally, </w:t>
      </w:r>
      <w:proofErr w:type="spellStart"/>
      <w:r w:rsidRPr="006C7445">
        <w:t>almajiri</w:t>
      </w:r>
      <w:r>
        <w:t>s</w:t>
      </w:r>
      <w:proofErr w:type="spellEnd"/>
      <w:r w:rsidRPr="006C7445">
        <w:t xml:space="preserve"> are </w:t>
      </w:r>
      <w:r>
        <w:t xml:space="preserve">children (usually 5 to 15 years) </w:t>
      </w:r>
      <w:r w:rsidRPr="006C7445">
        <w:t xml:space="preserve">who are </w:t>
      </w:r>
      <w:r>
        <w:t xml:space="preserve">acquiring </w:t>
      </w:r>
      <w:r w:rsidRPr="006C7445">
        <w:t xml:space="preserve">Islamic </w:t>
      </w:r>
      <w:r>
        <w:t xml:space="preserve">education and ought to </w:t>
      </w:r>
      <w:r w:rsidRPr="006C7445">
        <w:t xml:space="preserve">exclusively focus on the </w:t>
      </w:r>
      <w:proofErr w:type="spellStart"/>
      <w:r w:rsidRPr="006C7445">
        <w:t>memorisa</w:t>
      </w:r>
      <w:r>
        <w:t>tion</w:t>
      </w:r>
      <w:proofErr w:type="spellEnd"/>
      <w:r>
        <w:t xml:space="preserve"> of the Quran. It is believed</w:t>
      </w:r>
      <w:r w:rsidRPr="006C7445">
        <w:t xml:space="preserve"> that </w:t>
      </w:r>
      <w:proofErr w:type="spellStart"/>
      <w:r>
        <w:t>memorisation</w:t>
      </w:r>
      <w:proofErr w:type="spellEnd"/>
      <w:r>
        <w:t xml:space="preserve"> </w:t>
      </w:r>
      <w:r w:rsidRPr="006C7445">
        <w:t>is “only possible if a student has no access to other materials that may confuse or distract”</w:t>
      </w:r>
      <w:r>
        <w:rPr>
          <w:rStyle w:val="FootnoteReference"/>
        </w:rPr>
        <w:footnoteReference w:id="12"/>
      </w:r>
      <w:r w:rsidR="006E565D">
        <w:t xml:space="preserve">. In practice, the </w:t>
      </w:r>
      <w:proofErr w:type="spellStart"/>
      <w:r w:rsidR="006E565D">
        <w:t>almajiri</w:t>
      </w:r>
      <w:proofErr w:type="spellEnd"/>
      <w:r w:rsidR="006E565D">
        <w:t xml:space="preserve"> boys</w:t>
      </w:r>
      <w:r w:rsidRPr="006C7445">
        <w:t xml:space="preserve"> </w:t>
      </w:r>
      <w:r>
        <w:t xml:space="preserve">are </w:t>
      </w:r>
      <w:r w:rsidRPr="006C7445">
        <w:t>largely seen roaming streets</w:t>
      </w:r>
      <w:r>
        <w:t xml:space="preserve">, </w:t>
      </w:r>
      <w:r w:rsidRPr="006C7445">
        <w:t xml:space="preserve">poorly dressed and begging for </w:t>
      </w:r>
      <w:r w:rsidRPr="006C7445">
        <w:lastRenderedPageBreak/>
        <w:t xml:space="preserve">alms with their emblematic plastic bowls. </w:t>
      </w:r>
      <w:r>
        <w:t xml:space="preserve">In 2020 </w:t>
      </w:r>
      <w:r w:rsidRPr="009554F6">
        <w:t>UNICEF</w:t>
      </w:r>
      <w:r>
        <w:rPr>
          <w:rStyle w:val="FootnoteReference"/>
        </w:rPr>
        <w:footnoteReference w:id="13"/>
      </w:r>
      <w:r>
        <w:t xml:space="preserve"> explained</w:t>
      </w:r>
      <w:r w:rsidRPr="009554F6">
        <w:t xml:space="preserve"> that it is difficult to estimate and “know the number of </w:t>
      </w:r>
      <w:proofErr w:type="spellStart"/>
      <w:r>
        <w:t>a</w:t>
      </w:r>
      <w:r w:rsidRPr="009554F6">
        <w:t>lmajiri</w:t>
      </w:r>
      <w:proofErr w:type="spellEnd"/>
      <w:r w:rsidRPr="009554F6">
        <w:t xml:space="preserve"> children in Nigeria, but some estimates put it at about 10 million, or about 81 per cent of the more than 10 million out-of-</w:t>
      </w:r>
      <w:r w:rsidRPr="00C92C2D">
        <w:t>school children in the country”</w:t>
      </w:r>
      <w:r>
        <w:rPr>
          <w:rStyle w:val="FootnoteReference"/>
          <w:sz w:val="24"/>
          <w:szCs w:val="24"/>
        </w:rPr>
        <w:footnoteReference w:id="14"/>
      </w:r>
      <w:r w:rsidRPr="00C92C2D">
        <w:rPr>
          <w:sz w:val="24"/>
          <w:szCs w:val="24"/>
        </w:rPr>
        <w:t>.</w:t>
      </w:r>
      <w:r w:rsidRPr="00C92C2D">
        <w:t xml:space="preserve"> Several reports include </w:t>
      </w:r>
      <w:proofErr w:type="spellStart"/>
      <w:r w:rsidRPr="00C92C2D">
        <w:t>almajiri</w:t>
      </w:r>
      <w:proofErr w:type="spellEnd"/>
      <w:r w:rsidRPr="00C92C2D">
        <w:t xml:space="preserve"> children as street and trafficked children</w:t>
      </w:r>
      <w:r>
        <w:rPr>
          <w:rStyle w:val="FootnoteReference"/>
        </w:rPr>
        <w:footnoteReference w:id="15"/>
      </w:r>
      <w:r w:rsidRPr="00C92C2D">
        <w:t>’</w:t>
      </w:r>
      <w:r>
        <w:rPr>
          <w:rStyle w:val="FootnoteReference"/>
        </w:rPr>
        <w:footnoteReference w:id="16"/>
      </w:r>
      <w:r w:rsidRPr="00C92C2D">
        <w:t>. UNESCO</w:t>
      </w:r>
      <w:r>
        <w:rPr>
          <w:rStyle w:val="FootnoteReference"/>
        </w:rPr>
        <w:footnoteReference w:id="17"/>
      </w:r>
      <w:r w:rsidRPr="00C92C2D">
        <w:t xml:space="preserve"> explains that </w:t>
      </w:r>
      <w:proofErr w:type="spellStart"/>
      <w:r w:rsidRPr="00275EB3">
        <w:t>almajiri</w:t>
      </w:r>
      <w:proofErr w:type="spellEnd"/>
      <w:r w:rsidRPr="00C92C2D">
        <w:t xml:space="preserve"> practice</w:t>
      </w:r>
      <w:r w:rsidR="00467B96">
        <w:t>s involve</w:t>
      </w:r>
      <w:r w:rsidRPr="00C92C2D">
        <w:t xml:space="preserve"> the transfer of large numbers of children, often teenage males,</w:t>
      </w:r>
      <w:r>
        <w:t xml:space="preserve"> "</w:t>
      </w:r>
      <w:r w:rsidRPr="001205DA">
        <w:rPr>
          <w:i/>
        </w:rPr>
        <w:t>from their hometown to somewhere f</w:t>
      </w:r>
      <w:r w:rsidRPr="001205DA">
        <w:rPr>
          <w:i/>
          <w:sz w:val="24"/>
          <w:szCs w:val="24"/>
        </w:rPr>
        <w:t>ar away from home and sometimes even unknown to the parents. The pu</w:t>
      </w:r>
      <w:r>
        <w:rPr>
          <w:i/>
          <w:sz w:val="24"/>
          <w:szCs w:val="24"/>
        </w:rPr>
        <w:t>pils learn from the scholar as they move</w:t>
      </w:r>
      <w:r w:rsidRPr="001205DA">
        <w:rPr>
          <w:i/>
          <w:sz w:val="24"/>
          <w:szCs w:val="24"/>
        </w:rPr>
        <w:t xml:space="preserve"> from</w:t>
      </w:r>
      <w:r>
        <w:rPr>
          <w:i/>
          <w:sz w:val="24"/>
          <w:szCs w:val="24"/>
        </w:rPr>
        <w:t xml:space="preserve"> one town to</w:t>
      </w:r>
      <w:r w:rsidRPr="001205DA">
        <w:rPr>
          <w:i/>
          <w:sz w:val="24"/>
          <w:szCs w:val="24"/>
        </w:rPr>
        <w:t xml:space="preserve"> another. T</w:t>
      </w:r>
      <w:r>
        <w:rPr>
          <w:i/>
          <w:sz w:val="24"/>
          <w:szCs w:val="24"/>
        </w:rPr>
        <w:t>hey are often</w:t>
      </w:r>
      <w:r w:rsidRPr="001205DA">
        <w:rPr>
          <w:i/>
          <w:sz w:val="24"/>
          <w:szCs w:val="24"/>
        </w:rPr>
        <w:t xml:space="preserve"> inadequately prepared for such a journey. The Malam is frequently too poor to sustain his </w:t>
      </w:r>
      <w:proofErr w:type="gramStart"/>
      <w:r w:rsidRPr="001205DA">
        <w:rPr>
          <w:i/>
          <w:sz w:val="24"/>
          <w:szCs w:val="24"/>
        </w:rPr>
        <w:t>family</w:t>
      </w:r>
      <w:proofErr w:type="gramEnd"/>
      <w:r w:rsidRPr="001205DA">
        <w:rPr>
          <w:i/>
          <w:sz w:val="24"/>
          <w:szCs w:val="24"/>
        </w:rPr>
        <w:t xml:space="preserve"> or the pupils entrusted to him. </w:t>
      </w:r>
      <w:r w:rsidR="002A217E">
        <w:rPr>
          <w:i/>
          <w:sz w:val="24"/>
          <w:szCs w:val="24"/>
        </w:rPr>
        <w:t>C</w:t>
      </w:r>
      <w:r w:rsidRPr="001205DA">
        <w:rPr>
          <w:i/>
          <w:sz w:val="24"/>
          <w:szCs w:val="24"/>
        </w:rPr>
        <w:t>onsequently, both the Malam and his pupils often rely on the benevolence of the com</w:t>
      </w:r>
      <w:r>
        <w:rPr>
          <w:i/>
          <w:sz w:val="24"/>
          <w:szCs w:val="24"/>
        </w:rPr>
        <w:t xml:space="preserve">munity in which they happen to be guests. In most instances, the Malam lives on </w:t>
      </w:r>
      <w:r w:rsidRPr="001205DA">
        <w:rPr>
          <w:i/>
          <w:sz w:val="24"/>
          <w:szCs w:val="24"/>
        </w:rPr>
        <w:t>the support of his pupils who beg or perform menial tasks for food sellers and shopkeepers in public places and</w:t>
      </w:r>
      <w:r>
        <w:rPr>
          <w:i/>
          <w:sz w:val="24"/>
          <w:szCs w:val="24"/>
        </w:rPr>
        <w:t xml:space="preserve"> motor parks all over northern N</w:t>
      </w:r>
      <w:r w:rsidRPr="001205DA">
        <w:rPr>
          <w:i/>
          <w:sz w:val="24"/>
          <w:szCs w:val="24"/>
        </w:rPr>
        <w:t>igeria</w:t>
      </w:r>
      <w:r>
        <w:rPr>
          <w:i/>
          <w:sz w:val="24"/>
          <w:szCs w:val="24"/>
        </w:rPr>
        <w:t>”</w:t>
      </w:r>
      <w:r w:rsidRPr="001205DA">
        <w:rPr>
          <w:i/>
          <w:sz w:val="24"/>
          <w:szCs w:val="24"/>
        </w:rPr>
        <w:t>.</w:t>
      </w:r>
      <w:r>
        <w:t xml:space="preserve"> </w:t>
      </w:r>
      <w:r w:rsidRPr="006C7445">
        <w:t xml:space="preserve">As far as formal education is concerned, they are considered street </w:t>
      </w:r>
      <w:r>
        <w:t xml:space="preserve">and </w:t>
      </w:r>
      <w:r w:rsidRPr="006C7445">
        <w:t xml:space="preserve">out-of-school </w:t>
      </w:r>
      <w:r>
        <w:t>children</w:t>
      </w:r>
      <w:r>
        <w:rPr>
          <w:rStyle w:val="FootnoteReference"/>
        </w:rPr>
        <w:footnoteReference w:id="18"/>
      </w:r>
      <w:r w:rsidRPr="009554F6">
        <w:t xml:space="preserve">. </w:t>
      </w:r>
      <w:r w:rsidR="00CA41CB">
        <w:rPr>
          <w:sz w:val="24"/>
          <w:szCs w:val="24"/>
        </w:rPr>
        <w:t>Various reports warn</w:t>
      </w:r>
      <w:r w:rsidRPr="00923B3F">
        <w:rPr>
          <w:sz w:val="24"/>
          <w:szCs w:val="24"/>
        </w:rPr>
        <w:t xml:space="preserve"> that </w:t>
      </w:r>
      <w:proofErr w:type="spellStart"/>
      <w:r w:rsidRPr="00923B3F">
        <w:rPr>
          <w:sz w:val="24"/>
          <w:szCs w:val="24"/>
        </w:rPr>
        <w:t>almajiri</w:t>
      </w:r>
      <w:proofErr w:type="spellEnd"/>
      <w:r w:rsidRPr="00923B3F">
        <w:rPr>
          <w:sz w:val="24"/>
          <w:szCs w:val="24"/>
        </w:rPr>
        <w:t xml:space="preserve"> </w:t>
      </w:r>
      <w:r>
        <w:rPr>
          <w:sz w:val="24"/>
          <w:szCs w:val="24"/>
        </w:rPr>
        <w:t xml:space="preserve">children </w:t>
      </w:r>
      <w:r w:rsidRPr="00923B3F">
        <w:rPr>
          <w:sz w:val="24"/>
          <w:szCs w:val="24"/>
        </w:rPr>
        <w:t xml:space="preserve">are moving from </w:t>
      </w:r>
      <w:r>
        <w:rPr>
          <w:sz w:val="24"/>
          <w:szCs w:val="24"/>
        </w:rPr>
        <w:t>‘</w:t>
      </w:r>
      <w:r w:rsidRPr="00923B3F">
        <w:rPr>
          <w:sz w:val="24"/>
          <w:szCs w:val="24"/>
        </w:rPr>
        <w:t>alms to arms</w:t>
      </w:r>
      <w:r>
        <w:rPr>
          <w:sz w:val="24"/>
          <w:szCs w:val="24"/>
        </w:rPr>
        <w:t>’, as "t</w:t>
      </w:r>
      <w:r w:rsidRPr="00923B3F">
        <w:rPr>
          <w:sz w:val="24"/>
          <w:szCs w:val="24"/>
        </w:rPr>
        <w:t>hey often end up as street urchins (area boys), male prostitutes, petty and hard criminals, garage boys and most recently, Boko Haram, ISWAP</w:t>
      </w:r>
      <w:r>
        <w:rPr>
          <w:sz w:val="24"/>
          <w:szCs w:val="24"/>
        </w:rPr>
        <w:t xml:space="preserve"> and b</w:t>
      </w:r>
      <w:r w:rsidRPr="00923B3F">
        <w:rPr>
          <w:sz w:val="24"/>
          <w:szCs w:val="24"/>
        </w:rPr>
        <w:t>andits as well as dangerous tools for desperate politicians to get at one another's throats"</w:t>
      </w:r>
      <w:r>
        <w:rPr>
          <w:rStyle w:val="FootnoteReference"/>
          <w:sz w:val="24"/>
          <w:szCs w:val="24"/>
        </w:rPr>
        <w:footnoteReference w:id="19"/>
      </w:r>
      <w:r>
        <w:rPr>
          <w:sz w:val="24"/>
          <w:szCs w:val="24"/>
        </w:rPr>
        <w:t>’</w:t>
      </w:r>
      <w:r>
        <w:rPr>
          <w:rStyle w:val="FootnoteReference"/>
          <w:sz w:val="24"/>
          <w:szCs w:val="24"/>
        </w:rPr>
        <w:footnoteReference w:id="20"/>
      </w:r>
      <w:r>
        <w:rPr>
          <w:sz w:val="24"/>
          <w:szCs w:val="24"/>
        </w:rPr>
        <w:t>. This makes the need to attend to this situation quite urgent.</w:t>
      </w:r>
    </w:p>
    <w:p w14:paraId="25A5E464" w14:textId="77777777" w:rsidR="00A82FBE" w:rsidRPr="00C82167" w:rsidRDefault="00A82FBE" w:rsidP="00A82FBE">
      <w:pPr>
        <w:pStyle w:val="ListParagraph"/>
        <w:spacing w:after="0" w:line="240" w:lineRule="auto"/>
        <w:ind w:left="360"/>
        <w:jc w:val="both"/>
        <w:rPr>
          <w:sz w:val="24"/>
          <w:szCs w:val="24"/>
        </w:rPr>
      </w:pPr>
    </w:p>
    <w:p w14:paraId="6837A991" w14:textId="728FAFF8" w:rsidR="00A82FBE" w:rsidRPr="008F1031" w:rsidRDefault="00A82FBE" w:rsidP="00AA3CA4">
      <w:pPr>
        <w:pStyle w:val="ListParagraph"/>
        <w:numPr>
          <w:ilvl w:val="0"/>
          <w:numId w:val="19"/>
        </w:numPr>
        <w:spacing w:after="0" w:line="240" w:lineRule="auto"/>
        <w:ind w:left="360"/>
        <w:jc w:val="both"/>
        <w:rPr>
          <w:sz w:val="24"/>
          <w:szCs w:val="24"/>
        </w:rPr>
      </w:pPr>
      <w:r w:rsidRPr="006E63A8">
        <w:t>In the southeast</w:t>
      </w:r>
      <w:r>
        <w:t>,</w:t>
      </w:r>
      <w:r w:rsidRPr="006E63A8">
        <w:t xml:space="preserve"> </w:t>
      </w:r>
      <w:r>
        <w:t xml:space="preserve">boys have historically tended to drop out of school after completing primary education to go into apprenticeship, trading and different kinds of economic activities. </w:t>
      </w:r>
      <w:r w:rsidRPr="006E63A8">
        <w:t xml:space="preserve">Available education statistics </w:t>
      </w:r>
      <w:r>
        <w:t xml:space="preserve">show </w:t>
      </w:r>
      <w:r w:rsidRPr="006E63A8">
        <w:t xml:space="preserve">that male secondary school enrolment has been low compared to females since the 1970s, indicating a relatively lower uptake of secondary education among males. </w:t>
      </w:r>
      <w:r>
        <w:t>A</w:t>
      </w:r>
      <w:r w:rsidRPr="006E63A8">
        <w:t xml:space="preserve">s of the 1975 academic year, males' share of secondary school enrolment </w:t>
      </w:r>
      <w:r w:rsidR="00FC515D">
        <w:t xml:space="preserve">in the </w:t>
      </w:r>
      <w:r w:rsidR="00665426">
        <w:t xml:space="preserve">central (Anambra) state of the </w:t>
      </w:r>
      <w:r w:rsidR="00FC515D">
        <w:t xml:space="preserve">region </w:t>
      </w:r>
      <w:r w:rsidRPr="006E63A8">
        <w:t>was 57.92%</w:t>
      </w:r>
      <w:r>
        <w:t>.</w:t>
      </w:r>
      <w:r w:rsidRPr="006E63A8">
        <w:t xml:space="preserve"> </w:t>
      </w:r>
      <w:r w:rsidR="006E15CC">
        <w:t>I</w:t>
      </w:r>
      <w:r w:rsidRPr="006E63A8">
        <w:t xml:space="preserve">t </w:t>
      </w:r>
      <w:r w:rsidR="006A3FBE">
        <w:t>began to</w:t>
      </w:r>
      <w:r w:rsidRPr="006E63A8">
        <w:t xml:space="preserve"> drop, sliding to 46.64% in 1980 and 31.42% in 1987</w:t>
      </w:r>
      <w:r>
        <w:rPr>
          <w:rStyle w:val="FootnoteReference"/>
        </w:rPr>
        <w:footnoteReference w:id="21"/>
      </w:r>
      <w:r>
        <w:t>’</w:t>
      </w:r>
      <w:r>
        <w:rPr>
          <w:rStyle w:val="FootnoteReference"/>
        </w:rPr>
        <w:footnoteReference w:id="22"/>
      </w:r>
      <w:r w:rsidRPr="006E63A8">
        <w:t>. By the year 2000, a UNESCO report</w:t>
      </w:r>
      <w:r>
        <w:rPr>
          <w:rStyle w:val="FootnoteReference"/>
        </w:rPr>
        <w:footnoteReference w:id="23"/>
      </w:r>
      <w:r w:rsidRPr="006E63A8">
        <w:t xml:space="preserve"> confirms that the trend in Southeast Nigeria was a situation "where once boys tended to drop out at the secondary school level, they now do so at the primary level". </w:t>
      </w:r>
      <w:r>
        <w:t>I</w:t>
      </w:r>
      <w:r w:rsidRPr="006E63A8">
        <w:t>nformation from the Nigerian Bureau of Statistics (NBS)</w:t>
      </w:r>
      <w:r>
        <w:rPr>
          <w:rStyle w:val="FootnoteReference"/>
        </w:rPr>
        <w:footnoteReference w:id="24"/>
      </w:r>
      <w:r w:rsidRPr="006E63A8">
        <w:t xml:space="preserve"> indicates that while males represented 48.9% of children enrolled in Anambra state </w:t>
      </w:r>
      <w:r>
        <w:t>(</w:t>
      </w:r>
      <w:r w:rsidR="00D23EF4">
        <w:t xml:space="preserve">which is now </w:t>
      </w:r>
      <w:r>
        <w:t xml:space="preserve">one of the five states in the southeast) </w:t>
      </w:r>
      <w:r w:rsidRPr="006E63A8">
        <w:t xml:space="preserve">primary school in 2008, they constituted 34.7% at the junior secondary level. </w:t>
      </w:r>
      <w:r>
        <w:t xml:space="preserve">By 2015, the situation </w:t>
      </w:r>
      <w:r w:rsidR="00D91D0E">
        <w:t>has</w:t>
      </w:r>
      <w:r w:rsidR="00D23EF4">
        <w:t xml:space="preserve"> </w:t>
      </w:r>
      <w:r>
        <w:t xml:space="preserve">greatly improved in many parts of the zone following </w:t>
      </w:r>
      <w:proofErr w:type="spellStart"/>
      <w:r>
        <w:lastRenderedPageBreak/>
        <w:t>sensitisation</w:t>
      </w:r>
      <w:proofErr w:type="spellEnd"/>
      <w:r>
        <w:t xml:space="preserve"> campaigns by different groups in the </w:t>
      </w:r>
      <w:proofErr w:type="gramStart"/>
      <w:r>
        <w:t>region</w:t>
      </w:r>
      <w:proofErr w:type="gramEnd"/>
      <w:r>
        <w:t xml:space="preserve"> but gaps remain</w:t>
      </w:r>
      <w:r>
        <w:rPr>
          <w:rStyle w:val="FootnoteReference"/>
        </w:rPr>
        <w:footnoteReference w:id="25"/>
      </w:r>
      <w:r>
        <w:t xml:space="preserve">. </w:t>
      </w:r>
      <w:r w:rsidRPr="00017E69">
        <w:t>For example, the Federal Ministry of Education (FME</w:t>
      </w:r>
      <w:r w:rsidRPr="00D81F89">
        <w:t>, 2019</w:t>
      </w:r>
      <w:r>
        <w:rPr>
          <w:vertAlign w:val="superscript"/>
        </w:rPr>
        <w:footnoteReference w:id="26"/>
      </w:r>
      <w:r w:rsidRPr="00D81F89">
        <w:t>) data on enrolment for public and private primary schools in urban areas of Ebonyi state for the 2018/2019</w:t>
      </w:r>
      <w:r w:rsidRPr="00017E69">
        <w:t xml:space="preserve"> academic year</w:t>
      </w:r>
      <w:r w:rsidR="00D91D0E">
        <w:t xml:space="preserve"> shows that </w:t>
      </w:r>
      <w:proofErr w:type="spellStart"/>
      <w:r w:rsidR="008F1031">
        <w:t>boys</w:t>
      </w:r>
      <w:proofErr w:type="spellEnd"/>
      <w:r w:rsidR="008F1031">
        <w:t xml:space="preserve"> and girls’ enrolment stood at </w:t>
      </w:r>
      <w:r w:rsidR="008F1031" w:rsidRPr="008F1031">
        <w:rPr>
          <w:sz w:val="24"/>
          <w:szCs w:val="24"/>
        </w:rPr>
        <w:t xml:space="preserve">18,229 and 31,251 </w:t>
      </w:r>
      <w:r w:rsidR="008F1031">
        <w:rPr>
          <w:sz w:val="24"/>
          <w:szCs w:val="24"/>
        </w:rPr>
        <w:t xml:space="preserve">respectively </w:t>
      </w:r>
      <w:r w:rsidR="002C0698">
        <w:t>while they</w:t>
      </w:r>
      <w:r w:rsidRPr="00017E69">
        <w:t xml:space="preserve"> stood at 118,778 for males and 118,494 for females in Anambra State. In the rural part</w:t>
      </w:r>
      <w:r w:rsidR="002C0698">
        <w:t>s of Imo state, they</w:t>
      </w:r>
      <w:r w:rsidRPr="00017E69">
        <w:t xml:space="preserve"> stood at 215,596 for males and 217,148 for females.  These suggest that while </w:t>
      </w:r>
      <w:r>
        <w:t xml:space="preserve">some noticeable improvements have been observed in some parts of the </w:t>
      </w:r>
      <w:r w:rsidR="002C0698">
        <w:t xml:space="preserve">southeast </w:t>
      </w:r>
      <w:r>
        <w:t>region that need to be sustained to prevent the reversal of the positive results recorded, in some other parts, like rural Ebonyi state, serious interventions are needed.</w:t>
      </w:r>
    </w:p>
    <w:p w14:paraId="3A710654" w14:textId="77777777" w:rsidR="00A82FBE" w:rsidRPr="00E211F3" w:rsidRDefault="00A82FBE" w:rsidP="00A82FBE">
      <w:pPr>
        <w:spacing w:after="0" w:line="240" w:lineRule="auto"/>
        <w:jc w:val="both"/>
        <w:rPr>
          <w:sz w:val="14"/>
        </w:rPr>
      </w:pPr>
    </w:p>
    <w:p w14:paraId="1D0C9883" w14:textId="77777777" w:rsidR="00A82FBE" w:rsidRDefault="00A82FBE" w:rsidP="00A82FBE">
      <w:pPr>
        <w:pStyle w:val="Heading1"/>
        <w:spacing w:before="0" w:line="240" w:lineRule="auto"/>
        <w:rPr>
          <w:b/>
          <w:sz w:val="28"/>
          <w:szCs w:val="28"/>
        </w:rPr>
      </w:pPr>
      <w:r w:rsidRPr="00877884">
        <w:rPr>
          <w:b/>
          <w:sz w:val="28"/>
          <w:szCs w:val="28"/>
        </w:rPr>
        <w:t xml:space="preserve">Are education issues approached through the lens of the human right to education? </w:t>
      </w:r>
    </w:p>
    <w:p w14:paraId="0743A4D2" w14:textId="1609A225" w:rsidR="00A82FBE" w:rsidRDefault="00A82FBE" w:rsidP="00A82FBE">
      <w:pPr>
        <w:pStyle w:val="ListParagraph"/>
        <w:numPr>
          <w:ilvl w:val="0"/>
          <w:numId w:val="19"/>
        </w:numPr>
        <w:spacing w:after="0" w:line="240" w:lineRule="auto"/>
        <w:ind w:left="360"/>
        <w:jc w:val="both"/>
      </w:pPr>
      <w:r w:rsidRPr="00161EDD">
        <w:t xml:space="preserve">Recent global discussions have </w:t>
      </w:r>
      <w:r>
        <w:t xml:space="preserve">given significant attention to </w:t>
      </w:r>
      <w:r w:rsidRPr="00161EDD">
        <w:t>gender equality in education</w:t>
      </w:r>
      <w:r>
        <w:t xml:space="preserve"> as an important dimension of human rights</w:t>
      </w:r>
      <w:r w:rsidRPr="00161EDD">
        <w:t>. A 2018 Global Education Monitoring Report technical paper titled 'Achieving Gender Equality in Education: Don't Forget the Boys' sought to "put the spotlight on the less recognized effects of gender norms on boys' schooling, particularly at the secondary level and amongst those from the poorest families</w:t>
      </w:r>
      <w:r w:rsidRPr="00C871A2">
        <w:t xml:space="preserve"> "</w:t>
      </w:r>
      <w:r>
        <w:rPr>
          <w:rStyle w:val="FootnoteReference"/>
        </w:rPr>
        <w:footnoteReference w:id="27"/>
      </w:r>
      <w:r w:rsidRPr="00C871A2">
        <w:t xml:space="preserve">. The </w:t>
      </w:r>
      <w:r>
        <w:t xml:space="preserve">report </w:t>
      </w:r>
      <w:r w:rsidRPr="00C871A2">
        <w:t>contends that</w:t>
      </w:r>
      <w:r>
        <w:t>,</w:t>
      </w:r>
      <w:r w:rsidRPr="00C871A2">
        <w:t xml:space="preserve"> as part of the efforts towards achieving gender equality in and through education</w:t>
      </w:r>
      <w:r>
        <w:t xml:space="preserve">, which </w:t>
      </w:r>
      <w:r w:rsidRPr="00C871A2">
        <w:t>remains central to achieving the Sustainable Development</w:t>
      </w:r>
      <w:r>
        <w:t xml:space="preserve"> Goals </w:t>
      </w:r>
      <w:r w:rsidR="007C71A8">
        <w:t xml:space="preserve">(SDG) </w:t>
      </w:r>
      <w:r>
        <w:t>agenda in 20</w:t>
      </w:r>
      <w:r w:rsidRPr="00C871A2">
        <w:t>3</w:t>
      </w:r>
      <w:r>
        <w:t>0</w:t>
      </w:r>
      <w:r w:rsidRPr="00C871A2">
        <w:t>, “</w:t>
      </w:r>
      <w:r>
        <w:t>ad</w:t>
      </w:r>
      <w:r w:rsidRPr="00C871A2">
        <w:t>dressing boys’ disadvantage and disengagement in education is an essential part of a response to the challenge of gender inequality, in education and beyond”</w:t>
      </w:r>
      <w:r>
        <w:rPr>
          <w:rStyle w:val="FootnoteReference"/>
        </w:rPr>
        <w:footnoteReference w:id="28"/>
      </w:r>
      <w:r w:rsidRPr="00C871A2">
        <w:t>.</w:t>
      </w:r>
      <w:r>
        <w:t xml:space="preserve"> Th</w:t>
      </w:r>
      <w:r w:rsidR="00735417">
        <w:t>ese imply that</w:t>
      </w:r>
      <w:r w:rsidR="007C71A8">
        <w:t xml:space="preserve"> </w:t>
      </w:r>
      <w:proofErr w:type="gramStart"/>
      <w:r w:rsidR="007C71A8">
        <w:t>as long as</w:t>
      </w:r>
      <w:proofErr w:type="gramEnd"/>
      <w:r w:rsidR="00735417">
        <w:t xml:space="preserve"> boys</w:t>
      </w:r>
      <w:r w:rsidR="007C71A8">
        <w:t xml:space="preserve"> </w:t>
      </w:r>
      <w:r w:rsidR="00C632D3">
        <w:t>(</w:t>
      </w:r>
      <w:r w:rsidR="00DD2AB3">
        <w:t xml:space="preserve">as well </w:t>
      </w:r>
      <w:r w:rsidR="00C632D3">
        <w:t xml:space="preserve">as girls) </w:t>
      </w:r>
      <w:r w:rsidR="007C71A8">
        <w:t>continue to disengage</w:t>
      </w:r>
      <w:r w:rsidR="00735417">
        <w:t xml:space="preserve"> from education</w:t>
      </w:r>
      <w:r w:rsidR="007C71A8">
        <w:t xml:space="preserve">, neither SDG nor gender-related rights in and through education may be fully realized. </w:t>
      </w:r>
    </w:p>
    <w:p w14:paraId="4916CDDA" w14:textId="77777777" w:rsidR="00A82FBE" w:rsidRPr="00E211F3" w:rsidRDefault="00A82FBE" w:rsidP="00A82FBE">
      <w:pPr>
        <w:pStyle w:val="ListParagraph"/>
        <w:spacing w:after="0" w:line="240" w:lineRule="auto"/>
        <w:ind w:left="360"/>
        <w:jc w:val="both"/>
        <w:rPr>
          <w:sz w:val="16"/>
        </w:rPr>
      </w:pPr>
    </w:p>
    <w:p w14:paraId="0AE3FB91" w14:textId="0582AB18" w:rsidR="00A82FBE" w:rsidRDefault="00A82FBE" w:rsidP="00A82FBE">
      <w:pPr>
        <w:pStyle w:val="ListParagraph"/>
        <w:numPr>
          <w:ilvl w:val="0"/>
          <w:numId w:val="19"/>
        </w:numPr>
        <w:spacing w:after="0" w:line="240" w:lineRule="auto"/>
        <w:ind w:left="360"/>
        <w:jc w:val="both"/>
      </w:pPr>
      <w:r>
        <w:t>While there is a need to give critical attention to girls' education in Nigeria, adequate attention has not been given to boys’ education in Nigeria both in terms of policy and programmatic interventions – pointing to a limitation in the approach to educational issues through the lens of human rights to education. For example, t</w:t>
      </w:r>
      <w:r w:rsidRPr="00AC53A0">
        <w:t>he National Ge</w:t>
      </w:r>
      <w:r>
        <w:t>nder in Basic Education Policy</w:t>
      </w:r>
      <w:r>
        <w:rPr>
          <w:rStyle w:val="FootnoteReference"/>
        </w:rPr>
        <w:footnoteReference w:id="29"/>
      </w:r>
      <w:r w:rsidRPr="00AC53A0">
        <w:t xml:space="preserve"> that is supposed to be a corresponding gender policy, specifically mentions that the policy </w:t>
      </w:r>
      <w:r>
        <w:t xml:space="preserve">for the country </w:t>
      </w:r>
      <w:r w:rsidRPr="00AC53A0">
        <w:t>"was developed in the context of the Girls' Education Project, developed in 2005 and implemented by the FGN, DFID, and UNICEF as a contribution</w:t>
      </w:r>
      <w:r>
        <w:t xml:space="preserve"> to the pursuit of EFA/UBE" rather than locally evolved policy that seeks to address holistic children’s education issues. </w:t>
      </w:r>
      <w:proofErr w:type="gramStart"/>
      <w:r>
        <w:t>Thus</w:t>
      </w:r>
      <w:proofErr w:type="gramEnd"/>
      <w:r>
        <w:t xml:space="preserve"> the policy </w:t>
      </w:r>
      <w:r w:rsidRPr="00AC53A0">
        <w:t xml:space="preserve">largely omits boys’ education </w:t>
      </w:r>
      <w:r>
        <w:t xml:space="preserve">issues and particularly </w:t>
      </w:r>
      <w:r w:rsidR="004A087B">
        <w:t xml:space="preserve">the effective </w:t>
      </w:r>
      <w:r w:rsidRPr="00AC53A0">
        <w:t>out-of-school boys</w:t>
      </w:r>
      <w:r>
        <w:t>’</w:t>
      </w:r>
      <w:r w:rsidRPr="00AC53A0">
        <w:t xml:space="preserve"> intervention strategies. </w:t>
      </w:r>
    </w:p>
    <w:p w14:paraId="67369535" w14:textId="77777777" w:rsidR="00A82FBE" w:rsidRPr="00E211F3" w:rsidRDefault="00A82FBE" w:rsidP="00A82FBE">
      <w:pPr>
        <w:spacing w:after="0" w:line="240" w:lineRule="auto"/>
        <w:jc w:val="both"/>
        <w:rPr>
          <w:sz w:val="10"/>
        </w:rPr>
      </w:pPr>
    </w:p>
    <w:p w14:paraId="3407008D" w14:textId="77777777" w:rsidR="00A82FBE" w:rsidRPr="007655FF" w:rsidRDefault="00A82FBE" w:rsidP="00A82FBE">
      <w:pPr>
        <w:pStyle w:val="Heading1"/>
        <w:rPr>
          <w:b/>
        </w:rPr>
      </w:pPr>
      <w:r w:rsidRPr="007655FF">
        <w:rPr>
          <w:b/>
        </w:rPr>
        <w:t>What are the main challenges in implementing the right to education in Nigeria?</w:t>
      </w:r>
    </w:p>
    <w:p w14:paraId="0BACE317" w14:textId="22689E97" w:rsidR="00A82FBE" w:rsidRDefault="00A82FBE" w:rsidP="00A82FBE">
      <w:pPr>
        <w:pStyle w:val="ListParagraph"/>
        <w:numPr>
          <w:ilvl w:val="0"/>
          <w:numId w:val="19"/>
        </w:numPr>
        <w:spacing w:after="0" w:line="240" w:lineRule="auto"/>
        <w:ind w:left="360"/>
        <w:jc w:val="both"/>
      </w:pPr>
      <w:r w:rsidRPr="001A25A7">
        <w:t xml:space="preserve">There are very few known governments and international donor interventions on out-of-school boys, especially </w:t>
      </w:r>
      <w:r>
        <w:t xml:space="preserve">on </w:t>
      </w:r>
      <w:proofErr w:type="spellStart"/>
      <w:r w:rsidRPr="001A25A7">
        <w:t>almajiri</w:t>
      </w:r>
      <w:proofErr w:type="spellEnd"/>
      <w:r w:rsidRPr="001A25A7">
        <w:t xml:space="preserve"> education </w:t>
      </w:r>
      <w:r>
        <w:t>issues</w:t>
      </w:r>
      <w:r w:rsidR="00173183">
        <w:t xml:space="preserve"> in Nigeria</w:t>
      </w:r>
      <w:r>
        <w:t>. T</w:t>
      </w:r>
      <w:r w:rsidRPr="001A25A7">
        <w:t>he</w:t>
      </w:r>
      <w:r>
        <w:t xml:space="preserve"> available ones are very limited</w:t>
      </w:r>
      <w:r w:rsidRPr="001A25A7">
        <w:t xml:space="preserve">. </w:t>
      </w:r>
      <w:r w:rsidRPr="00AC53A0">
        <w:t>In the southeast, limited information exists on the progress of the government-initiated boy-chi</w:t>
      </w:r>
      <w:r>
        <w:t xml:space="preserve">ld education </w:t>
      </w:r>
      <w:proofErr w:type="spellStart"/>
      <w:r>
        <w:t>programme</w:t>
      </w:r>
      <w:proofErr w:type="spellEnd"/>
      <w:r>
        <w:t xml:space="preserve">. </w:t>
      </w:r>
      <w:proofErr w:type="spellStart"/>
      <w:r>
        <w:t>Gershberg</w:t>
      </w:r>
      <w:proofErr w:type="spellEnd"/>
      <w:r>
        <w:t xml:space="preserve"> et al.</w:t>
      </w:r>
      <w:r>
        <w:rPr>
          <w:rStyle w:val="FootnoteReference"/>
        </w:rPr>
        <w:footnoteReference w:id="30"/>
      </w:r>
      <w:r w:rsidRPr="00AC53A0">
        <w:t xml:space="preserve"> reported </w:t>
      </w:r>
      <w:r>
        <w:t xml:space="preserve">in 2016 </w:t>
      </w:r>
      <w:r w:rsidRPr="00AC53A0">
        <w:t>that</w:t>
      </w:r>
      <w:r>
        <w:t>, as part of the boys' back-to-school initiative,</w:t>
      </w:r>
      <w:r w:rsidRPr="00AC53A0">
        <w:t xml:space="preserve"> the Universal Basic Education (UBE) </w:t>
      </w:r>
      <w:proofErr w:type="spellStart"/>
      <w:r w:rsidRPr="00AC53A0">
        <w:t>programme</w:t>
      </w:r>
      <w:proofErr w:type="spellEnd"/>
      <w:r w:rsidRPr="00AC53A0">
        <w:t xml:space="preserve"> was expected to construct some vocational </w:t>
      </w:r>
      <w:proofErr w:type="spellStart"/>
      <w:r w:rsidRPr="00AC53A0">
        <w:t>centres</w:t>
      </w:r>
      <w:proofErr w:type="spellEnd"/>
      <w:r w:rsidRPr="00AC53A0">
        <w:t xml:space="preserve"> in some southeast states to create an opportunity to reabsorb out-of-school children and equip them with life-learning </w:t>
      </w:r>
      <w:proofErr w:type="gramStart"/>
      <w:r w:rsidRPr="00AC53A0">
        <w:t>skills</w:t>
      </w:r>
      <w:proofErr w:type="gramEnd"/>
      <w:r w:rsidRPr="00AC53A0">
        <w:t xml:space="preserve"> but the implementation </w:t>
      </w:r>
      <w:r>
        <w:t>appears not to have progressed</w:t>
      </w:r>
      <w:r w:rsidRPr="00AC53A0">
        <w:t xml:space="preserve">. </w:t>
      </w:r>
    </w:p>
    <w:p w14:paraId="02908FDF" w14:textId="5D25428D" w:rsidR="00A82FBE" w:rsidRDefault="00A82FBE" w:rsidP="00A82FBE">
      <w:pPr>
        <w:pStyle w:val="ListParagraph"/>
        <w:numPr>
          <w:ilvl w:val="0"/>
          <w:numId w:val="19"/>
        </w:numPr>
        <w:spacing w:after="0" w:line="240" w:lineRule="auto"/>
        <w:ind w:left="360"/>
        <w:jc w:val="both"/>
      </w:pPr>
      <w:r>
        <w:lastRenderedPageBreak/>
        <w:t>P</w:t>
      </w:r>
      <w:r w:rsidRPr="001A25A7">
        <w:t>revious studies suggest that efforts to integrate</w:t>
      </w:r>
      <w:r>
        <w:t xml:space="preserve"> </w:t>
      </w:r>
      <w:proofErr w:type="spellStart"/>
      <w:r>
        <w:t>almajiris</w:t>
      </w:r>
      <w:proofErr w:type="spellEnd"/>
      <w:r w:rsidRPr="001A25A7">
        <w:t xml:space="preserve"> into the formal education system </w:t>
      </w:r>
      <w:r>
        <w:t>were hindered</w:t>
      </w:r>
      <w:r w:rsidRPr="001A25A7">
        <w:t xml:space="preserve"> by resis</w:t>
      </w:r>
      <w:r>
        <w:t>tance from politicians and</w:t>
      </w:r>
      <w:r w:rsidRPr="001A25A7">
        <w:t xml:space="preserve"> limited local support</w:t>
      </w:r>
      <w:r>
        <w:t xml:space="preserve"> due to the low value placed on education and concerns about possible impacts of Western education on people’s religious, cultural and traditional values</w:t>
      </w:r>
      <w:r>
        <w:rPr>
          <w:rStyle w:val="FootnoteReference"/>
        </w:rPr>
        <w:footnoteReference w:id="31"/>
      </w:r>
      <w:r>
        <w:t>’</w:t>
      </w:r>
      <w:r>
        <w:rPr>
          <w:rStyle w:val="FootnoteReference"/>
        </w:rPr>
        <w:footnoteReference w:id="32"/>
      </w:r>
      <w:r>
        <w:t>’</w:t>
      </w:r>
      <w:r>
        <w:rPr>
          <w:rStyle w:val="FootnoteReference"/>
        </w:rPr>
        <w:footnoteReference w:id="33"/>
      </w:r>
      <w:r w:rsidRPr="001A25A7">
        <w:t xml:space="preserve">. The Federal Government initiated an integrated </w:t>
      </w:r>
      <w:proofErr w:type="spellStart"/>
      <w:r w:rsidRPr="001A25A7">
        <w:t>almajiri</w:t>
      </w:r>
      <w:proofErr w:type="spellEnd"/>
      <w:r w:rsidRPr="001A25A7">
        <w:t xml:space="preserve"> education </w:t>
      </w:r>
      <w:proofErr w:type="spellStart"/>
      <w:r w:rsidRPr="001A25A7">
        <w:t>programme</w:t>
      </w:r>
      <w:proofErr w:type="spellEnd"/>
      <w:r w:rsidRPr="001A25A7">
        <w:t xml:space="preserve"> in 2012 that combined both Quranic and formal school subjects in the same school </w:t>
      </w:r>
      <w:proofErr w:type="spellStart"/>
      <w:r w:rsidRPr="001A25A7">
        <w:t>programme</w:t>
      </w:r>
      <w:proofErr w:type="spellEnd"/>
      <w:r w:rsidRPr="001A25A7">
        <w:t xml:space="preserve"> and provided free school feeding, furniture, uniforms and other school materials and built up to 125 </w:t>
      </w:r>
      <w:proofErr w:type="spellStart"/>
      <w:r w:rsidRPr="001A25A7">
        <w:t>a</w:t>
      </w:r>
      <w:r>
        <w:t>lmajiri</w:t>
      </w:r>
      <w:proofErr w:type="spellEnd"/>
      <w:r>
        <w:t xml:space="preserve"> model schools</w:t>
      </w:r>
      <w:r>
        <w:rPr>
          <w:rStyle w:val="FootnoteReference"/>
        </w:rPr>
        <w:footnoteReference w:id="34"/>
      </w:r>
      <w:r w:rsidRPr="001A25A7">
        <w:t xml:space="preserve">.  </w:t>
      </w:r>
      <w:r>
        <w:t xml:space="preserve">However, this was not supported </w:t>
      </w:r>
      <w:r w:rsidR="00290FC9">
        <w:t xml:space="preserve">with </w:t>
      </w:r>
      <w:r>
        <w:t xml:space="preserve">adequate local </w:t>
      </w:r>
      <w:proofErr w:type="spellStart"/>
      <w:r>
        <w:t>sensitisation</w:t>
      </w:r>
      <w:proofErr w:type="spellEnd"/>
      <w:r>
        <w:t xml:space="preserve">, advocacies and engagement of critical stakeholders, including the Mallams and religious leaders. Consequently, the people and the pupils who were initially ill-prepared for the transition rejected the </w:t>
      </w:r>
      <w:proofErr w:type="spellStart"/>
      <w:r>
        <w:t>programme</w:t>
      </w:r>
      <w:proofErr w:type="spellEnd"/>
      <w:r>
        <w:t>. It was noted that the pupils</w:t>
      </w:r>
      <w:r w:rsidRPr="001A25A7">
        <w:t xml:space="preserve"> did not fully embrace </w:t>
      </w:r>
      <w:r>
        <w:t xml:space="preserve">the </w:t>
      </w:r>
      <w:r w:rsidRPr="001A25A7">
        <w:t>initiatives</w:t>
      </w:r>
      <w:r>
        <w:t xml:space="preserve"> because </w:t>
      </w:r>
      <w:r w:rsidRPr="001A25A7">
        <w:t xml:space="preserve">they considered </w:t>
      </w:r>
      <w:r>
        <w:t xml:space="preserve">it to be </w:t>
      </w:r>
      <w:r w:rsidRPr="001A25A7">
        <w:t xml:space="preserve">‘uncultured’ </w:t>
      </w:r>
      <w:r>
        <w:t xml:space="preserve">and </w:t>
      </w:r>
      <w:r w:rsidRPr="001A25A7">
        <w:t>did not fit into their c</w:t>
      </w:r>
      <w:r>
        <w:t>ultural and religious tradition</w:t>
      </w:r>
      <w:r>
        <w:rPr>
          <w:rStyle w:val="FootnoteReference"/>
        </w:rPr>
        <w:footnoteReference w:id="35"/>
      </w:r>
      <w:r>
        <w:t>.</w:t>
      </w:r>
    </w:p>
    <w:p w14:paraId="7EEC1F6C" w14:textId="77777777" w:rsidR="00A82FBE" w:rsidRPr="00E211F3" w:rsidRDefault="00A82FBE" w:rsidP="00A82FBE">
      <w:pPr>
        <w:pStyle w:val="ListParagraph"/>
        <w:spacing w:after="0" w:line="240" w:lineRule="auto"/>
        <w:ind w:left="360"/>
        <w:jc w:val="both"/>
        <w:rPr>
          <w:sz w:val="18"/>
        </w:rPr>
      </w:pPr>
    </w:p>
    <w:p w14:paraId="437E6208" w14:textId="791D7909" w:rsidR="00A82FBE" w:rsidRDefault="00A82FBE" w:rsidP="00A82FBE">
      <w:pPr>
        <w:pStyle w:val="ListParagraph"/>
        <w:numPr>
          <w:ilvl w:val="0"/>
          <w:numId w:val="19"/>
        </w:numPr>
        <w:spacing w:after="0" w:line="240" w:lineRule="auto"/>
        <w:ind w:left="360"/>
        <w:jc w:val="both"/>
      </w:pPr>
      <w:r w:rsidRPr="001A25A7">
        <w:t xml:space="preserve">The </w:t>
      </w:r>
      <w:r w:rsidR="00F478CA">
        <w:t xml:space="preserve">state </w:t>
      </w:r>
      <w:r w:rsidRPr="001A25A7">
        <w:t>government</w:t>
      </w:r>
      <w:r w:rsidR="00F478CA">
        <w:t>s in northern Nigeria</w:t>
      </w:r>
      <w:r w:rsidRPr="001A25A7">
        <w:t xml:space="preserve"> also appeared not to have promoted, maintained and supported the </w:t>
      </w:r>
      <w:proofErr w:type="spellStart"/>
      <w:r>
        <w:t>almajiri</w:t>
      </w:r>
      <w:proofErr w:type="spellEnd"/>
      <w:r>
        <w:t xml:space="preserve"> education </w:t>
      </w:r>
      <w:r w:rsidRPr="001A25A7">
        <w:t>initiative. A</w:t>
      </w:r>
      <w:r>
        <w:t xml:space="preserve"> recent study observes that “</w:t>
      </w:r>
      <w:r w:rsidRPr="001A25A7">
        <w:t xml:space="preserve">the whole of Sokoto and Kano states had only seven and thirteen </w:t>
      </w:r>
      <w:r>
        <w:t>[</w:t>
      </w:r>
      <w:r w:rsidR="00F478CA">
        <w:t>integrated</w:t>
      </w:r>
      <w:r>
        <w:t xml:space="preserve">] </w:t>
      </w:r>
      <w:r w:rsidRPr="001A25A7">
        <w:t>schools respectively. These numbers are quite insignificant considering the population of the states</w:t>
      </w:r>
      <w:r>
        <w:t xml:space="preserve">” and </w:t>
      </w:r>
      <w:r w:rsidRPr="001A25A7">
        <w:t xml:space="preserve">people complained </w:t>
      </w:r>
      <w:r>
        <w:t xml:space="preserve">about the </w:t>
      </w:r>
      <w:r w:rsidRPr="001A25A7">
        <w:t xml:space="preserve">absence of integrated schools in their </w:t>
      </w:r>
      <w:r>
        <w:t>locations</w:t>
      </w:r>
      <w:r>
        <w:rPr>
          <w:rStyle w:val="FootnoteReference"/>
        </w:rPr>
        <w:footnoteReference w:id="36"/>
      </w:r>
      <w:r w:rsidRPr="001A25A7">
        <w:t>.</w:t>
      </w:r>
      <w:r>
        <w:t xml:space="preserve">  </w:t>
      </w:r>
      <w:proofErr w:type="spellStart"/>
      <w:r>
        <w:t>Akhaine</w:t>
      </w:r>
      <w:proofErr w:type="spellEnd"/>
      <w:r>
        <w:t xml:space="preserve"> et al.</w:t>
      </w:r>
      <w:r>
        <w:rPr>
          <w:rStyle w:val="FootnoteReference"/>
        </w:rPr>
        <w:footnoteReference w:id="37"/>
      </w:r>
      <w:r w:rsidRPr="001A25A7">
        <w:t xml:space="preserve"> </w:t>
      </w:r>
      <w:r>
        <w:t>report</w:t>
      </w:r>
      <w:r w:rsidRPr="001A25A7">
        <w:t xml:space="preserve"> that the government let </w:t>
      </w:r>
      <w:proofErr w:type="spellStart"/>
      <w:r w:rsidRPr="001A25A7">
        <w:t>almajiri</w:t>
      </w:r>
      <w:proofErr w:type="spellEnd"/>
      <w:r w:rsidRPr="001A25A7">
        <w:t xml:space="preserve"> schools that were built by past political administrations in the country rot away and did not build new ones while the northern region continues to be plagued by </w:t>
      </w:r>
      <w:proofErr w:type="spellStart"/>
      <w:r w:rsidRPr="001A25A7">
        <w:t>almajiri</w:t>
      </w:r>
      <w:proofErr w:type="spellEnd"/>
      <w:r w:rsidRPr="001A25A7">
        <w:t xml:space="preserve"> syndrome. They also note</w:t>
      </w:r>
      <w:r>
        <w:t>d</w:t>
      </w:r>
      <w:r w:rsidRPr="001A25A7">
        <w:t xml:space="preserve"> that leading cultural leaders in the region complain</w:t>
      </w:r>
      <w:r>
        <w:t>ed</w:t>
      </w:r>
      <w:r w:rsidRPr="001A25A7">
        <w:t xml:space="preserve"> about the abandonment and criticized the</w:t>
      </w:r>
      <w:r>
        <w:t xml:space="preserve"> government for abandoning the </w:t>
      </w:r>
      <w:proofErr w:type="spellStart"/>
      <w:r>
        <w:t>a</w:t>
      </w:r>
      <w:r w:rsidRPr="001A25A7">
        <w:t>lmajiri</w:t>
      </w:r>
      <w:proofErr w:type="spellEnd"/>
      <w:r w:rsidRPr="001A25A7">
        <w:t xml:space="preserve"> schools. </w:t>
      </w:r>
      <w:proofErr w:type="spellStart"/>
      <w:r>
        <w:t>Almajiri</w:t>
      </w:r>
      <w:proofErr w:type="spellEnd"/>
      <w:r>
        <w:t xml:space="preserve"> children are also excluded from other mainstream interventions. For example, </w:t>
      </w:r>
      <w:r w:rsidRPr="001A25A7">
        <w:t xml:space="preserve">while efforts were made to ensure the continuation of </w:t>
      </w:r>
      <w:r w:rsidR="00DC6E1F">
        <w:t xml:space="preserve">education of </w:t>
      </w:r>
      <w:r w:rsidRPr="001A25A7">
        <w:t xml:space="preserve">children who were in school before COVID-19, the Nigeria Education Sector COVID-19 Response Strategy in </w:t>
      </w:r>
      <w:proofErr w:type="gramStart"/>
      <w:r w:rsidRPr="001A25A7">
        <w:t>North East</w:t>
      </w:r>
      <w:proofErr w:type="gramEnd"/>
      <w:r w:rsidRPr="001A25A7">
        <w:t xml:space="preserve"> specifically notes that the COVID-19 Education Response Strategy targets learners that have been affected by COVID-19-related school closure and excluded </w:t>
      </w:r>
      <w:proofErr w:type="spellStart"/>
      <w:r w:rsidRPr="001A25A7">
        <w:t>almajiri</w:t>
      </w:r>
      <w:proofErr w:type="spellEnd"/>
      <w:r w:rsidRPr="001A25A7">
        <w:t xml:space="preserve"> and </w:t>
      </w:r>
      <w:r w:rsidR="00DC6E1F">
        <w:t xml:space="preserve">other </w:t>
      </w:r>
      <w:r w:rsidRPr="001A25A7">
        <w:t>children that were out of school for other reasons</w:t>
      </w:r>
      <w:r>
        <w:rPr>
          <w:rStyle w:val="FootnoteReference"/>
        </w:rPr>
        <w:footnoteReference w:id="38"/>
      </w:r>
      <w:r w:rsidRPr="001A25A7">
        <w:t>.</w:t>
      </w:r>
      <w:r>
        <w:t xml:space="preserve"> </w:t>
      </w:r>
    </w:p>
    <w:p w14:paraId="628397C2" w14:textId="77777777" w:rsidR="00A82FBE" w:rsidRPr="00E53450" w:rsidRDefault="00A82FBE" w:rsidP="00A82FBE">
      <w:pPr>
        <w:spacing w:after="0" w:line="240" w:lineRule="auto"/>
        <w:jc w:val="both"/>
        <w:rPr>
          <w:sz w:val="16"/>
        </w:rPr>
      </w:pPr>
    </w:p>
    <w:p w14:paraId="6D61D8EC" w14:textId="77777777" w:rsidR="00A82FBE" w:rsidRDefault="00A82FBE" w:rsidP="00A82FBE">
      <w:pPr>
        <w:pStyle w:val="Heading1"/>
        <w:rPr>
          <w:b/>
          <w:sz w:val="28"/>
          <w:szCs w:val="28"/>
        </w:rPr>
      </w:pPr>
      <w:r>
        <w:rPr>
          <w:b/>
          <w:sz w:val="28"/>
          <w:szCs w:val="28"/>
        </w:rPr>
        <w:t xml:space="preserve">Recommendations: </w:t>
      </w:r>
      <w:r w:rsidRPr="007655FF">
        <w:rPr>
          <w:b/>
          <w:sz w:val="28"/>
          <w:szCs w:val="28"/>
        </w:rPr>
        <w:t>What are the crucial issues to address, nationally as well as internationally, to ensure the realization of the right to education in Nigeria?</w:t>
      </w:r>
    </w:p>
    <w:p w14:paraId="5DCBC1B4" w14:textId="77777777" w:rsidR="00A82FBE" w:rsidRDefault="00A82FBE" w:rsidP="00A82FBE">
      <w:pPr>
        <w:pStyle w:val="ListParagraph"/>
        <w:numPr>
          <w:ilvl w:val="0"/>
          <w:numId w:val="19"/>
        </w:numPr>
        <w:spacing w:after="0" w:line="240" w:lineRule="auto"/>
        <w:ind w:left="360"/>
        <w:jc w:val="both"/>
      </w:pPr>
      <w:r w:rsidRPr="0008050F">
        <w:rPr>
          <w:b/>
        </w:rPr>
        <w:t>Develop home-grown policies and interventions</w:t>
      </w:r>
      <w:r>
        <w:t xml:space="preserve">: The growing population of out-of-school boys’ (especially in northern Nigeria) points to a need for a shift in policy and intervention approaches of the government and international development agencies to accommodate boys' education needs and address the associated barriers. There is a need to explore home-grown policies and intervention </w:t>
      </w:r>
      <w:r>
        <w:lastRenderedPageBreak/>
        <w:t>strategies that effectively address local peculiarities and adequately accommodate both boys' and girls' education needs.</w:t>
      </w:r>
    </w:p>
    <w:p w14:paraId="6CD30CDA" w14:textId="77777777" w:rsidR="00A82FBE" w:rsidRPr="00E211F3" w:rsidRDefault="00A82FBE" w:rsidP="00A82FBE">
      <w:pPr>
        <w:pStyle w:val="ListParagraph"/>
        <w:spacing w:after="0" w:line="240" w:lineRule="auto"/>
        <w:ind w:left="360"/>
        <w:jc w:val="both"/>
        <w:rPr>
          <w:sz w:val="18"/>
        </w:rPr>
      </w:pPr>
    </w:p>
    <w:p w14:paraId="77A0E7B3" w14:textId="2ED7E6EA" w:rsidR="00A82FBE" w:rsidRDefault="00A82FBE" w:rsidP="00A82FBE">
      <w:pPr>
        <w:pStyle w:val="ListParagraph"/>
        <w:numPr>
          <w:ilvl w:val="0"/>
          <w:numId w:val="19"/>
        </w:numPr>
        <w:spacing w:after="0" w:line="240" w:lineRule="auto"/>
        <w:ind w:left="360"/>
        <w:jc w:val="both"/>
      </w:pPr>
      <w:r>
        <w:rPr>
          <w:b/>
        </w:rPr>
        <w:t xml:space="preserve">Initiate boys-focused and targeted interventions and </w:t>
      </w:r>
      <w:r w:rsidRPr="00476289">
        <w:rPr>
          <w:b/>
        </w:rPr>
        <w:t>t</w:t>
      </w:r>
      <w:r w:rsidRPr="00476289">
        <w:rPr>
          <w:b/>
          <w:szCs w:val="28"/>
        </w:rPr>
        <w:t>arget root factors</w:t>
      </w:r>
      <w:r>
        <w:rPr>
          <w:b/>
        </w:rPr>
        <w:t xml:space="preserve">: </w:t>
      </w:r>
      <w:r>
        <w:t xml:space="preserve">Boys’ education needs conscious attention because while there </w:t>
      </w:r>
      <w:proofErr w:type="gramStart"/>
      <w:r>
        <w:t>are</w:t>
      </w:r>
      <w:proofErr w:type="gramEnd"/>
      <w:r>
        <w:t xml:space="preserve"> many existing gender-based interventions in northern Nigeria's basic education sub-sector, many of them tend to miss boys’ education issues and are unable to find ways to accommodate </w:t>
      </w:r>
      <w:proofErr w:type="spellStart"/>
      <w:r>
        <w:t>alamajiri</w:t>
      </w:r>
      <w:proofErr w:type="spellEnd"/>
      <w:r>
        <w:t xml:space="preserve"> boys. Generally, extensive grassroots </w:t>
      </w:r>
      <w:proofErr w:type="spellStart"/>
      <w:r>
        <w:t>sensitisation</w:t>
      </w:r>
      <w:proofErr w:type="spellEnd"/>
      <w:r>
        <w:t xml:space="preserve"> and stakeholders' </w:t>
      </w:r>
      <w:proofErr w:type="spellStart"/>
      <w:r>
        <w:t>mobilisation</w:t>
      </w:r>
      <w:proofErr w:type="spellEnd"/>
      <w:r>
        <w:t xml:space="preserve"> are needed to address </w:t>
      </w:r>
      <w:proofErr w:type="spellStart"/>
      <w:r>
        <w:t>boys</w:t>
      </w:r>
      <w:proofErr w:type="spellEnd"/>
      <w:r>
        <w:t xml:space="preserve"> and girls' access to education challenges in northern Nigeria. In the southeast, where the value of education is already high, </w:t>
      </w:r>
      <w:proofErr w:type="spellStart"/>
      <w:r>
        <w:t>sensitisation</w:t>
      </w:r>
      <w:proofErr w:type="spellEnd"/>
      <w:r>
        <w:t xml:space="preserve"> on boys’ education issues needs to be scaled up and sustained; interventions are also needed to address factors that contribute to pushing boys out of school.</w:t>
      </w:r>
    </w:p>
    <w:p w14:paraId="72E5BC6E" w14:textId="77777777" w:rsidR="00A82FBE" w:rsidRDefault="00A82FBE" w:rsidP="00A82FBE">
      <w:pPr>
        <w:pStyle w:val="ListParagraph"/>
      </w:pPr>
    </w:p>
    <w:p w14:paraId="727AB248" w14:textId="3DB94E3B" w:rsidR="00A82FBE" w:rsidRPr="00604314" w:rsidRDefault="00A82FBE" w:rsidP="00A82FBE">
      <w:pPr>
        <w:pStyle w:val="ListParagraph"/>
        <w:numPr>
          <w:ilvl w:val="0"/>
          <w:numId w:val="19"/>
        </w:numPr>
        <w:autoSpaceDE w:val="0"/>
        <w:autoSpaceDN w:val="0"/>
        <w:adjustRightInd w:val="0"/>
        <w:spacing w:after="0" w:line="240" w:lineRule="auto"/>
        <w:ind w:left="360"/>
        <w:jc w:val="both"/>
        <w:rPr>
          <w:szCs w:val="28"/>
        </w:rPr>
      </w:pPr>
      <w:r w:rsidRPr="00604314">
        <w:rPr>
          <w:b/>
        </w:rPr>
        <w:t xml:space="preserve">Consider boys as well as girls; leave no boy behind: </w:t>
      </w:r>
      <w:r>
        <w:t xml:space="preserve">The </w:t>
      </w:r>
      <w:r w:rsidRPr="00AC53A0">
        <w:t>African Development Bank</w:t>
      </w:r>
      <w:r>
        <w:rPr>
          <w:rStyle w:val="FootnoteReference"/>
        </w:rPr>
        <w:footnoteReference w:id="39"/>
      </w:r>
      <w:r>
        <w:t xml:space="preserve"> notes that </w:t>
      </w:r>
      <w:r w:rsidRPr="00AC53A0">
        <w:t>some s</w:t>
      </w:r>
      <w:r>
        <w:t xml:space="preserve">trategies are gender-neutral but they tend to </w:t>
      </w:r>
      <w:r w:rsidRPr="00AC53A0">
        <w:t xml:space="preserve">benefit girls </w:t>
      </w:r>
      <w:r>
        <w:t>more than boys. I</w:t>
      </w:r>
      <w:r w:rsidRPr="00AC53A0">
        <w:t>t is also possible to implement gender-based interventions that address negative gender practices that affect girls without neg</w:t>
      </w:r>
      <w:r>
        <w:t>lecting boys’ educational needs</w:t>
      </w:r>
      <w:r w:rsidRPr="00AC53A0">
        <w:t xml:space="preserve">. </w:t>
      </w:r>
      <w:r>
        <w:t xml:space="preserve">A </w:t>
      </w:r>
      <w:r w:rsidRPr="00805117">
        <w:t xml:space="preserve">UNESCO (2022) </w:t>
      </w:r>
      <w:r>
        <w:t xml:space="preserve">report titled </w:t>
      </w:r>
      <w:r w:rsidRPr="00604314">
        <w:rPr>
          <w:i/>
        </w:rPr>
        <w:t>Leave No Child Behind: Global Report on Boys’ Disengagement from Education</w:t>
      </w:r>
      <w:r w:rsidR="00F45D93">
        <w:t xml:space="preserve"> </w:t>
      </w:r>
      <w:r w:rsidRPr="00805117">
        <w:t>observes that “supporting boys does not mean that girls lose out and vice versa”, instead, “addressing boys’ disengagement not only benefits boys’ learning, employment opportunities, income and well-being, it is also highly beneficial for achieving gender equality and desirable economic, social and health outcomes”</w:t>
      </w:r>
      <w:r>
        <w:rPr>
          <w:rStyle w:val="FootnoteReference"/>
        </w:rPr>
        <w:footnoteReference w:id="40"/>
      </w:r>
      <w:r w:rsidRPr="00805117">
        <w:t xml:space="preserve">. </w:t>
      </w:r>
      <w:r>
        <w:t xml:space="preserve">In this regard, </w:t>
      </w:r>
      <w:r w:rsidRPr="00604314">
        <w:rPr>
          <w:szCs w:val="28"/>
        </w:rPr>
        <w:t xml:space="preserve">leaving no boy behind in Nigeria </w:t>
      </w:r>
      <w:r w:rsidR="00863F0B">
        <w:rPr>
          <w:szCs w:val="28"/>
        </w:rPr>
        <w:t xml:space="preserve">demands that </w:t>
      </w:r>
      <w:r w:rsidRPr="00604314">
        <w:rPr>
          <w:szCs w:val="28"/>
        </w:rPr>
        <w:t>factors that contribute to boys' disengagement to be given critical attention by identifying and implementing policies that contribute to addressing them. Such interventions may need to give particular attention to historical and socioeconomic factors and culture-based resistance to the promotion of equal access to education</w:t>
      </w:r>
      <w:r w:rsidR="00753F50">
        <w:rPr>
          <w:szCs w:val="28"/>
        </w:rPr>
        <w:t xml:space="preserve"> </w:t>
      </w:r>
      <w:r w:rsidR="00753F50">
        <w:t xml:space="preserve">(see </w:t>
      </w:r>
      <w:proofErr w:type="spellStart"/>
      <w:r w:rsidR="00753F50">
        <w:t>Ezegwu</w:t>
      </w:r>
      <w:proofErr w:type="spellEnd"/>
      <w:r w:rsidR="00753F50">
        <w:t xml:space="preserve">, 2012 and </w:t>
      </w:r>
      <w:proofErr w:type="spellStart"/>
      <w:r w:rsidR="00753F50">
        <w:t>Ezegwu</w:t>
      </w:r>
      <w:proofErr w:type="spellEnd"/>
      <w:r w:rsidR="00753F50">
        <w:t>, 2020)</w:t>
      </w:r>
      <w:r w:rsidR="00753F50">
        <w:rPr>
          <w:rStyle w:val="FootnoteReference"/>
        </w:rPr>
        <w:footnoteReference w:id="41"/>
      </w:r>
      <w:r w:rsidRPr="00604314">
        <w:rPr>
          <w:szCs w:val="28"/>
        </w:rPr>
        <w:t>.</w:t>
      </w:r>
    </w:p>
    <w:p w14:paraId="68166AC4" w14:textId="77777777" w:rsidR="00A82FBE" w:rsidRDefault="00A82FBE" w:rsidP="00A82FBE">
      <w:pPr>
        <w:pStyle w:val="ListParagraph"/>
        <w:autoSpaceDE w:val="0"/>
        <w:autoSpaceDN w:val="0"/>
        <w:adjustRightInd w:val="0"/>
        <w:spacing w:after="0" w:line="240" w:lineRule="auto"/>
        <w:ind w:left="360"/>
        <w:jc w:val="both"/>
        <w:rPr>
          <w:szCs w:val="28"/>
        </w:rPr>
      </w:pPr>
    </w:p>
    <w:p w14:paraId="3F0ACFB9" w14:textId="77777777" w:rsidR="00A82FBE" w:rsidRDefault="00A82FBE" w:rsidP="00A82FBE">
      <w:pPr>
        <w:pStyle w:val="ListParagraph"/>
        <w:numPr>
          <w:ilvl w:val="0"/>
          <w:numId w:val="19"/>
        </w:numPr>
        <w:autoSpaceDE w:val="0"/>
        <w:autoSpaceDN w:val="0"/>
        <w:adjustRightInd w:val="0"/>
        <w:spacing w:after="0" w:line="240" w:lineRule="auto"/>
        <w:ind w:left="360"/>
        <w:jc w:val="both"/>
      </w:pPr>
      <w:r w:rsidRPr="00B04AFF">
        <w:rPr>
          <w:b/>
          <w:szCs w:val="28"/>
        </w:rPr>
        <w:t xml:space="preserve">Further studies: </w:t>
      </w:r>
      <w:r w:rsidRPr="00B04AFF">
        <w:rPr>
          <w:szCs w:val="28"/>
        </w:rPr>
        <w:t xml:space="preserve">Further studies are required to identify </w:t>
      </w:r>
      <w:r>
        <w:rPr>
          <w:szCs w:val="28"/>
        </w:rPr>
        <w:t xml:space="preserve">various </w:t>
      </w:r>
      <w:r w:rsidRPr="00B04AFF">
        <w:rPr>
          <w:szCs w:val="28"/>
        </w:rPr>
        <w:t>factors and their root</w:t>
      </w:r>
      <w:r>
        <w:rPr>
          <w:szCs w:val="28"/>
        </w:rPr>
        <w:t xml:space="preserve"> causes,</w:t>
      </w:r>
      <w:r w:rsidRPr="00B04AFF">
        <w:rPr>
          <w:szCs w:val="28"/>
        </w:rPr>
        <w:t xml:space="preserve"> best approaches for d</w:t>
      </w:r>
      <w:r w:rsidRPr="00B04AFF">
        <w:rPr>
          <w:rFonts w:cs="Arial"/>
          <w:szCs w:val="28"/>
        </w:rPr>
        <w:t xml:space="preserve">ealing with the entrenched values and beliefs and how they work in different contexts or interact with different factors to deny children education. </w:t>
      </w:r>
    </w:p>
    <w:p w14:paraId="4F9C8A87" w14:textId="6AA0768D" w:rsidR="00EF6E7B" w:rsidRPr="00A82FBE" w:rsidRDefault="005B767F" w:rsidP="00A82FBE">
      <w:r w:rsidRPr="00A82FBE">
        <w:t xml:space="preserve"> </w:t>
      </w:r>
    </w:p>
    <w:sectPr w:rsidR="00EF6E7B" w:rsidRPr="00A82FBE" w:rsidSect="00D9580D">
      <w:footerReference w:type="default" r:id="rId8"/>
      <w:pgSz w:w="12240" w:h="15840"/>
      <w:pgMar w:top="1260" w:right="1260" w:bottom="135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DFE1" w14:textId="77777777" w:rsidR="00141C78" w:rsidRDefault="00141C78">
      <w:pPr>
        <w:spacing w:after="0" w:line="240" w:lineRule="auto"/>
      </w:pPr>
      <w:r>
        <w:separator/>
      </w:r>
    </w:p>
  </w:endnote>
  <w:endnote w:type="continuationSeparator" w:id="0">
    <w:p w14:paraId="113BB0B4" w14:textId="77777777" w:rsidR="00141C78" w:rsidRDefault="0014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Basic">
    <w:altName w:val="Times New Roman"/>
    <w:charset w:val="00"/>
    <w:family w:val="auto"/>
    <w:pitch w:val="variable"/>
    <w:sig w:usb0="00000001" w:usb1="4000204A" w:usb2="00000000" w:usb3="00000000" w:csb0="00000013" w:csb1="00000000"/>
  </w:font>
  <w:font w:name="Gentium Plus">
    <w:altName w:val="Cambria Math"/>
    <w:charset w:val="00"/>
    <w:family w:val="auto"/>
    <w:pitch w:val="variable"/>
    <w:sig w:usb0="00000001" w:usb1="5200A1FB" w:usb2="02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629591"/>
      <w:docPartObj>
        <w:docPartGallery w:val="Page Numbers (Bottom of Page)"/>
        <w:docPartUnique/>
      </w:docPartObj>
    </w:sdtPr>
    <w:sdtEndPr>
      <w:rPr>
        <w:noProof/>
      </w:rPr>
    </w:sdtEndPr>
    <w:sdtContent>
      <w:p w14:paraId="53A2F950" w14:textId="3E84050C" w:rsidR="00E53F01" w:rsidRDefault="005B767F">
        <w:pPr>
          <w:pStyle w:val="Footer"/>
          <w:jc w:val="center"/>
        </w:pPr>
        <w:r>
          <w:fldChar w:fldCharType="begin"/>
        </w:r>
        <w:r>
          <w:instrText xml:space="preserve"> PAGE   \* MERGEFORMAT </w:instrText>
        </w:r>
        <w:r>
          <w:fldChar w:fldCharType="separate"/>
        </w:r>
        <w:r w:rsidR="00753F50">
          <w:rPr>
            <w:noProof/>
          </w:rPr>
          <w:t>6</w:t>
        </w:r>
        <w:r>
          <w:rPr>
            <w:noProof/>
          </w:rPr>
          <w:fldChar w:fldCharType="end"/>
        </w:r>
      </w:p>
    </w:sdtContent>
  </w:sdt>
  <w:p w14:paraId="2E435336" w14:textId="77777777" w:rsidR="00E53F01" w:rsidRDefault="00E53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C623" w14:textId="77777777" w:rsidR="00141C78" w:rsidRDefault="00141C78" w:rsidP="00EF6E7B">
      <w:pPr>
        <w:spacing w:after="0" w:line="240" w:lineRule="auto"/>
      </w:pPr>
      <w:r>
        <w:separator/>
      </w:r>
    </w:p>
  </w:footnote>
  <w:footnote w:type="continuationSeparator" w:id="0">
    <w:p w14:paraId="07C1666A" w14:textId="77777777" w:rsidR="00141C78" w:rsidRDefault="00141C78" w:rsidP="00EF6E7B">
      <w:pPr>
        <w:spacing w:after="0" w:line="240" w:lineRule="auto"/>
      </w:pPr>
      <w:r>
        <w:continuationSeparator/>
      </w:r>
    </w:p>
  </w:footnote>
  <w:footnote w:id="1">
    <w:p w14:paraId="1CCFC2FA" w14:textId="77777777" w:rsidR="00A82FBE" w:rsidRPr="00852075" w:rsidRDefault="00A82FBE" w:rsidP="00A82FBE">
      <w:pPr>
        <w:pStyle w:val="FootnoteText"/>
        <w:rPr>
          <w:rFonts w:ascii="Calibri" w:hAnsi="Calibri" w:cs="Times New Roman"/>
          <w:lang w:val="nl-NL"/>
        </w:rPr>
      </w:pPr>
      <w:r>
        <w:rPr>
          <w:rStyle w:val="FootnoteCharacters"/>
        </w:rPr>
        <w:footnoteRef/>
      </w:r>
      <w:r w:rsidRPr="00852075">
        <w:rPr>
          <w:lang w:val="nl-NL"/>
        </w:rPr>
        <w:t xml:space="preserve"> Dr Chidi Ezegwu: </w:t>
      </w:r>
      <w:r w:rsidR="004E262C">
        <w:fldChar w:fldCharType="begin"/>
      </w:r>
      <w:r w:rsidR="004E262C">
        <w:instrText xml:space="preserve"> HYPERLINK "mailto:chidi.ezegwu@yahoo.com" </w:instrText>
      </w:r>
      <w:r w:rsidR="004E262C">
        <w:fldChar w:fldCharType="separate"/>
      </w:r>
      <w:r w:rsidRPr="00852075">
        <w:rPr>
          <w:rStyle w:val="Hyperlink"/>
          <w:lang w:val="nl-NL"/>
        </w:rPr>
        <w:t>chidi.ezegwu@yahoo.com</w:t>
      </w:r>
      <w:r w:rsidR="004E262C">
        <w:rPr>
          <w:rStyle w:val="Hyperlink"/>
          <w:lang w:val="nl-NL"/>
        </w:rPr>
        <w:fldChar w:fldCharType="end"/>
      </w:r>
    </w:p>
  </w:footnote>
  <w:footnote w:id="2">
    <w:p w14:paraId="6977B155" w14:textId="77777777" w:rsidR="00A82FBE" w:rsidRPr="00032929" w:rsidRDefault="00A82FBE" w:rsidP="00A82FBE">
      <w:pPr>
        <w:pStyle w:val="FootnoteText"/>
        <w:rPr>
          <w:lang w:val="en-US"/>
        </w:rPr>
      </w:pPr>
      <w:r>
        <w:rPr>
          <w:rStyle w:val="FootnoteReference"/>
        </w:rPr>
        <w:footnoteRef/>
      </w:r>
      <w:r>
        <w:t xml:space="preserve"> See </w:t>
      </w:r>
      <w:r w:rsidRPr="00032929">
        <w:t>UNESCO (2022). Why is it important to have the right to education formally enshrined in law and other instruments? https://www.unesco.org/en/education/right-education/need-know</w:t>
      </w:r>
    </w:p>
  </w:footnote>
  <w:footnote w:id="3">
    <w:p w14:paraId="2FDAF2C8" w14:textId="77777777" w:rsidR="00A82FBE" w:rsidRPr="00141C5D" w:rsidRDefault="00A82FBE" w:rsidP="00A82FBE">
      <w:pPr>
        <w:pStyle w:val="FootnoteText"/>
        <w:rPr>
          <w:lang w:val="en-US"/>
        </w:rPr>
      </w:pPr>
      <w:r>
        <w:rPr>
          <w:rStyle w:val="FootnoteReference"/>
        </w:rPr>
        <w:footnoteRef/>
      </w:r>
      <w:r>
        <w:t xml:space="preserve"> </w:t>
      </w:r>
      <w:proofErr w:type="spellStart"/>
      <w:r w:rsidRPr="00141C5D">
        <w:t>Ezegwu</w:t>
      </w:r>
      <w:proofErr w:type="spellEnd"/>
      <w:r w:rsidRPr="00141C5D">
        <w:t>, C. (2020). Masculinity and Access to Basic Education in Nigeria. Lancaster University - https://books.google.com/books/about/Masculinity_and_Access_to_Basic_Educatio.html?id=y5QTzgEACAAJ</w:t>
      </w:r>
    </w:p>
  </w:footnote>
  <w:footnote w:id="4">
    <w:p w14:paraId="7DA0A185" w14:textId="77777777" w:rsidR="00A82FBE" w:rsidRPr="00141C5D" w:rsidRDefault="00A82FBE" w:rsidP="00A82FBE">
      <w:pPr>
        <w:pStyle w:val="FootnoteText"/>
        <w:rPr>
          <w:lang w:val="en-US"/>
        </w:rPr>
      </w:pPr>
      <w:r>
        <w:rPr>
          <w:rStyle w:val="FootnoteReference"/>
        </w:rPr>
        <w:footnoteRef/>
      </w:r>
      <w:r>
        <w:t xml:space="preserve"> </w:t>
      </w:r>
      <w:r>
        <w:rPr>
          <w:lang w:val="en-US"/>
        </w:rPr>
        <w:t xml:space="preserve">See </w:t>
      </w:r>
      <w:proofErr w:type="spellStart"/>
      <w:r w:rsidRPr="00C11EB1">
        <w:rPr>
          <w:lang w:val="en-US"/>
        </w:rPr>
        <w:t>Gersberg</w:t>
      </w:r>
      <w:proofErr w:type="spellEnd"/>
      <w:r w:rsidRPr="00C11EB1">
        <w:rPr>
          <w:lang w:val="en-US"/>
        </w:rPr>
        <w:t xml:space="preserve">, A., Rai, S., </w:t>
      </w:r>
      <w:proofErr w:type="spellStart"/>
      <w:r w:rsidRPr="00C11EB1">
        <w:rPr>
          <w:lang w:val="en-US"/>
        </w:rPr>
        <w:t>Ezegwu</w:t>
      </w:r>
      <w:proofErr w:type="spellEnd"/>
      <w:r w:rsidRPr="00C11EB1">
        <w:rPr>
          <w:lang w:val="en-US"/>
        </w:rPr>
        <w:t xml:space="preserve">, C., </w:t>
      </w:r>
      <w:proofErr w:type="spellStart"/>
      <w:r w:rsidRPr="00C11EB1">
        <w:rPr>
          <w:lang w:val="en-US"/>
        </w:rPr>
        <w:t>Nnodu</w:t>
      </w:r>
      <w:proofErr w:type="spellEnd"/>
      <w:r w:rsidRPr="00C11EB1">
        <w:rPr>
          <w:lang w:val="en-US"/>
        </w:rPr>
        <w:t xml:space="preserve">, I., </w:t>
      </w:r>
      <w:proofErr w:type="spellStart"/>
      <w:r w:rsidRPr="00C11EB1">
        <w:rPr>
          <w:lang w:val="en-US"/>
        </w:rPr>
        <w:t>Ojo</w:t>
      </w:r>
      <w:proofErr w:type="spellEnd"/>
      <w:r w:rsidRPr="00C11EB1">
        <w:rPr>
          <w:lang w:val="en-US"/>
        </w:rPr>
        <w:t xml:space="preserve">, A., </w:t>
      </w:r>
      <w:proofErr w:type="spellStart"/>
      <w:r w:rsidRPr="00C11EB1">
        <w:rPr>
          <w:lang w:val="en-US"/>
        </w:rPr>
        <w:t>Panguru</w:t>
      </w:r>
      <w:proofErr w:type="spellEnd"/>
      <w:r w:rsidRPr="00C11EB1">
        <w:rPr>
          <w:lang w:val="en-US"/>
        </w:rPr>
        <w:t xml:space="preserve">, A. Nugroho, C., </w:t>
      </w:r>
      <w:proofErr w:type="spellStart"/>
      <w:r w:rsidRPr="00C11EB1">
        <w:rPr>
          <w:lang w:val="en-US"/>
        </w:rPr>
        <w:t>Elacqua</w:t>
      </w:r>
      <w:proofErr w:type="spellEnd"/>
      <w:r w:rsidRPr="00C11EB1">
        <w:rPr>
          <w:lang w:val="en-US"/>
        </w:rPr>
        <w:t>, G. and Alves, F. (2016), Comparative Review of Basic Education Reforms: Part 1 Synthesis of Findings. Abuja: EDOREN and UBEC</w:t>
      </w:r>
      <w:r>
        <w:rPr>
          <w:lang w:val="en-US"/>
        </w:rPr>
        <w:t xml:space="preserve"> and, </w:t>
      </w:r>
      <w:proofErr w:type="spellStart"/>
      <w:r>
        <w:rPr>
          <w:lang w:val="en-US"/>
        </w:rPr>
        <w:t>Ezegwu</w:t>
      </w:r>
      <w:proofErr w:type="spellEnd"/>
      <w:r>
        <w:rPr>
          <w:lang w:val="en-US"/>
        </w:rPr>
        <w:t>, C. (2020) ibid</w:t>
      </w:r>
    </w:p>
  </w:footnote>
  <w:footnote w:id="5">
    <w:p w14:paraId="1661545E" w14:textId="77777777" w:rsidR="00A82FBE" w:rsidRPr="005914CD" w:rsidRDefault="00A82FBE" w:rsidP="00A82FBE">
      <w:pPr>
        <w:pStyle w:val="FootnoteText"/>
        <w:rPr>
          <w:lang w:val="en-US"/>
        </w:rPr>
      </w:pPr>
      <w:r>
        <w:rPr>
          <w:rStyle w:val="FootnoteReference"/>
        </w:rPr>
        <w:footnoteRef/>
      </w:r>
      <w:r>
        <w:t xml:space="preserve"> See UNESCO (2015a). Education f</w:t>
      </w:r>
      <w:r w:rsidRPr="005914CD">
        <w:t>or All 2000-2015: achievements and challenges. Paris: UNESCO</w:t>
      </w:r>
      <w:r>
        <w:t xml:space="preserve">; </w:t>
      </w:r>
      <w:proofErr w:type="spellStart"/>
      <w:r>
        <w:t>Ezegwu</w:t>
      </w:r>
      <w:proofErr w:type="spellEnd"/>
      <w:r>
        <w:t xml:space="preserve">, C. (2020) ibid; </w:t>
      </w:r>
      <w:proofErr w:type="spellStart"/>
      <w:r w:rsidRPr="005914CD">
        <w:t>Ezegwu</w:t>
      </w:r>
      <w:proofErr w:type="spellEnd"/>
      <w:r w:rsidRPr="005914CD">
        <w:t xml:space="preserve">, C. &amp; </w:t>
      </w:r>
      <w:proofErr w:type="spellStart"/>
      <w:r w:rsidRPr="005914CD">
        <w:t>Cin</w:t>
      </w:r>
      <w:proofErr w:type="spellEnd"/>
      <w:r w:rsidRPr="005914CD">
        <w:t>. F.M. (2022). Postcolonial Masculinity and Access to Basic Education in Nigeria. International Journal of Educational Research 115 (2022) 102052 –https://www.sciencedirect.com/science/article/abs/pii/S0883035522001288</w:t>
      </w:r>
    </w:p>
  </w:footnote>
  <w:footnote w:id="6">
    <w:p w14:paraId="2EEE671A" w14:textId="77777777" w:rsidR="00A82FBE" w:rsidRPr="003B2A98" w:rsidRDefault="00A82FBE" w:rsidP="00A82FBE">
      <w:pPr>
        <w:pStyle w:val="FootnoteText"/>
        <w:rPr>
          <w:lang w:val="en-US"/>
        </w:rPr>
      </w:pPr>
      <w:r>
        <w:rPr>
          <w:rStyle w:val="FootnoteReference"/>
        </w:rPr>
        <w:footnoteRef/>
      </w:r>
      <w:r>
        <w:t xml:space="preserve"> </w:t>
      </w:r>
      <w:r w:rsidRPr="003B2A98">
        <w:t>Save the Children (2016). Building a Safe and Prosperous Future for Nigeria’s Children Through Education. Available at https://resourcecentre.savethechildren.net/sites/default/files/documents/nigeria-education-1des-final.pdf</w:t>
      </w:r>
    </w:p>
  </w:footnote>
  <w:footnote w:id="7">
    <w:p w14:paraId="0AF618D4" w14:textId="77777777" w:rsidR="00A82FBE" w:rsidRPr="00707648" w:rsidRDefault="00A82FBE" w:rsidP="00A82FBE">
      <w:pPr>
        <w:pStyle w:val="FootnoteText"/>
        <w:rPr>
          <w:lang w:val="en-US"/>
        </w:rPr>
      </w:pPr>
      <w:r>
        <w:rPr>
          <w:rStyle w:val="FootnoteReference"/>
        </w:rPr>
        <w:footnoteRef/>
      </w:r>
      <w:r>
        <w:t xml:space="preserve"> </w:t>
      </w:r>
      <w:r w:rsidRPr="00707648">
        <w:t xml:space="preserve">Humphreys, S. and </w:t>
      </w:r>
      <w:proofErr w:type="spellStart"/>
      <w:r w:rsidRPr="00707648">
        <w:t>Crawfurd</w:t>
      </w:r>
      <w:proofErr w:type="spellEnd"/>
      <w:r w:rsidRPr="00707648">
        <w:t xml:space="preserve">, I. (2014). Review of the literature on Basic Education in </w:t>
      </w:r>
      <w:r w:rsidRPr="00707648">
        <w:tab/>
        <w:t>Nigeria: Issues of Access, E</w:t>
      </w:r>
      <w:r>
        <w:t>quity and Impact. Abuja: EDOREN</w:t>
      </w:r>
    </w:p>
  </w:footnote>
  <w:footnote w:id="8">
    <w:p w14:paraId="1E234254" w14:textId="77777777" w:rsidR="00A82FBE" w:rsidRPr="00707648" w:rsidRDefault="00A82FBE" w:rsidP="00A82FBE">
      <w:pPr>
        <w:pStyle w:val="FootnoteText"/>
        <w:rPr>
          <w:lang w:val="en-US"/>
        </w:rPr>
      </w:pPr>
      <w:r>
        <w:rPr>
          <w:rStyle w:val="FootnoteReference"/>
        </w:rPr>
        <w:footnoteRef/>
      </w:r>
      <w:r>
        <w:t xml:space="preserve"> UNICEF (2012</w:t>
      </w:r>
      <w:r w:rsidRPr="00707648">
        <w:t>). Global Initiative on Out-of-School Children: Nigeria Country Study. Abuja: UNICEF</w:t>
      </w:r>
    </w:p>
  </w:footnote>
  <w:footnote w:id="9">
    <w:p w14:paraId="49B444AA" w14:textId="77777777" w:rsidR="00A82FBE" w:rsidRPr="008C4E45" w:rsidRDefault="00A82FBE" w:rsidP="00A82FBE">
      <w:pPr>
        <w:pStyle w:val="FootnoteText"/>
      </w:pPr>
      <w:r>
        <w:rPr>
          <w:rStyle w:val="FootnoteReference"/>
        </w:rPr>
        <w:footnoteRef/>
      </w:r>
      <w:r>
        <w:t xml:space="preserve"> </w:t>
      </w:r>
      <w:proofErr w:type="spellStart"/>
      <w:r w:rsidRPr="008C4E45">
        <w:t>Awosiyan</w:t>
      </w:r>
      <w:proofErr w:type="spellEnd"/>
      <w:r w:rsidRPr="008C4E45">
        <w:t xml:space="preserve">, K. (2017), 13.2 </w:t>
      </w:r>
      <w:proofErr w:type="gramStart"/>
      <w:r w:rsidRPr="008C4E45">
        <w:t>Million</w:t>
      </w:r>
      <w:proofErr w:type="gramEnd"/>
      <w:r w:rsidRPr="008C4E45">
        <w:t xml:space="preserve"> Children Out of Schools in Nigeria/ Silverbird Television, November 13, 2017. Available at http://silverbirdtv.com/education/17022-132-million-children-out-schools-nigeria</w:t>
      </w:r>
    </w:p>
  </w:footnote>
  <w:footnote w:id="10">
    <w:p w14:paraId="23BB17C9" w14:textId="77777777" w:rsidR="00A82FBE" w:rsidRPr="008C4E45" w:rsidRDefault="00A82FBE" w:rsidP="00A82FBE">
      <w:pPr>
        <w:pStyle w:val="FootnoteText"/>
        <w:rPr>
          <w:lang w:val="en-US"/>
        </w:rPr>
      </w:pPr>
      <w:r>
        <w:rPr>
          <w:rStyle w:val="FootnoteReference"/>
        </w:rPr>
        <w:footnoteRef/>
      </w:r>
      <w:r>
        <w:t xml:space="preserve"> </w:t>
      </w:r>
      <w:r w:rsidRPr="008C4E45">
        <w:t xml:space="preserve">Voice of America (2022). 18.5 </w:t>
      </w:r>
      <w:proofErr w:type="gramStart"/>
      <w:r w:rsidRPr="008C4E45">
        <w:t>Million</w:t>
      </w:r>
      <w:proofErr w:type="gramEnd"/>
      <w:r w:rsidRPr="008C4E45">
        <w:t xml:space="preserve"> Nigerian Children Are Out of School, UNICEF Says. May 12, 2022. https://www.voanews.com/a/millions-nigerian-children-are-out-of-school-unicef-says/6569716.html</w:t>
      </w:r>
    </w:p>
  </w:footnote>
  <w:footnote w:id="11">
    <w:p w14:paraId="5B8C2E51" w14:textId="77777777" w:rsidR="00A82FBE" w:rsidRPr="00D87083" w:rsidRDefault="00A82FBE" w:rsidP="00A82FBE">
      <w:pPr>
        <w:pStyle w:val="FootnoteText"/>
        <w:rPr>
          <w:lang w:val="en-US"/>
        </w:rPr>
      </w:pPr>
      <w:r>
        <w:rPr>
          <w:rStyle w:val="FootnoteReference"/>
        </w:rPr>
        <w:footnoteRef/>
      </w:r>
      <w:r>
        <w:t xml:space="preserve"> </w:t>
      </w:r>
      <w:r w:rsidRPr="00D87083">
        <w:t>Federal Ministry of Education (2017). Nigeria digest of e</w:t>
      </w:r>
      <w:r>
        <w:t xml:space="preserve">ducation statistics 2014–2016. </w:t>
      </w:r>
      <w:r w:rsidRPr="00D87083">
        <w:t>Abuja:</w:t>
      </w:r>
    </w:p>
  </w:footnote>
  <w:footnote w:id="12">
    <w:p w14:paraId="2BD9D163" w14:textId="77777777" w:rsidR="00A82FBE" w:rsidRPr="00A40CCE" w:rsidRDefault="00A82FBE" w:rsidP="00A82FBE">
      <w:pPr>
        <w:pStyle w:val="FootnoteText"/>
        <w:rPr>
          <w:lang w:val="en-US"/>
        </w:rPr>
      </w:pPr>
      <w:r>
        <w:rPr>
          <w:rStyle w:val="FootnoteReference"/>
        </w:rPr>
        <w:footnoteRef/>
      </w:r>
      <w:r>
        <w:t xml:space="preserve"> </w:t>
      </w:r>
      <w:proofErr w:type="spellStart"/>
      <w:r w:rsidRPr="00A40CCE">
        <w:t>Hoechner</w:t>
      </w:r>
      <w:proofErr w:type="spellEnd"/>
      <w:r w:rsidRPr="00A40CCE">
        <w:t>, H. (2013). Searching for Knowledge and Recognition: Traditional Qur’anic Students (</w:t>
      </w:r>
      <w:proofErr w:type="spellStart"/>
      <w:r w:rsidRPr="00A40CCE">
        <w:t>Almajirai</w:t>
      </w:r>
      <w:proofErr w:type="spellEnd"/>
      <w:r w:rsidRPr="00A40CCE">
        <w:t xml:space="preserve">) in Kano, Nigeria. Ibadan: French Institute </w:t>
      </w:r>
      <w:proofErr w:type="gramStart"/>
      <w:r w:rsidRPr="00A40CCE">
        <w:t>For</w:t>
      </w:r>
      <w:proofErr w:type="gramEnd"/>
      <w:r w:rsidRPr="00A40CCE">
        <w:t xml:space="preserve"> Research in Africa / </w:t>
      </w:r>
      <w:proofErr w:type="spellStart"/>
      <w:r w:rsidRPr="00A40CCE">
        <w:t>InstitutFrançais</w:t>
      </w:r>
      <w:proofErr w:type="spellEnd"/>
      <w:r w:rsidRPr="00A40CCE">
        <w:t xml:space="preserve"> de </w:t>
      </w:r>
      <w:proofErr w:type="spellStart"/>
      <w:r w:rsidRPr="00A40CCE">
        <w:t>RechercheenAfrique</w:t>
      </w:r>
      <w:proofErr w:type="spellEnd"/>
      <w:r w:rsidRPr="00A40CCE">
        <w:t xml:space="preserve"> (IFRA-Nigeria) University of Ibadan</w:t>
      </w:r>
      <w:r>
        <w:t>, p.56</w:t>
      </w:r>
    </w:p>
  </w:footnote>
  <w:footnote w:id="13">
    <w:p w14:paraId="5E429562" w14:textId="77777777" w:rsidR="00A82FBE" w:rsidRPr="000D3A5B" w:rsidRDefault="00A82FBE" w:rsidP="00A82FBE">
      <w:pPr>
        <w:pStyle w:val="FootnoteText"/>
        <w:rPr>
          <w:lang w:val="en-US"/>
        </w:rPr>
      </w:pPr>
      <w:r>
        <w:rPr>
          <w:rStyle w:val="FootnoteReference"/>
        </w:rPr>
        <w:footnoteRef/>
      </w:r>
      <w:r>
        <w:t xml:space="preserve"> </w:t>
      </w:r>
      <w:r w:rsidRPr="00D0579B">
        <w:t xml:space="preserve">UNICEF (2020). Children adjust to life outside Nigeria’s </w:t>
      </w:r>
      <w:proofErr w:type="spellStart"/>
      <w:r w:rsidRPr="00D0579B">
        <w:t>Almajiri</w:t>
      </w:r>
      <w:proofErr w:type="spellEnd"/>
      <w:r w:rsidRPr="00D0579B">
        <w:t xml:space="preserve"> system. 17 September 2020. https://www.unicef.org/nigeria/stories/children-adjust-life-outside-nigerias-almajiri-system</w:t>
      </w:r>
    </w:p>
  </w:footnote>
  <w:footnote w:id="14">
    <w:p w14:paraId="3B69C950" w14:textId="77777777" w:rsidR="00A82FBE" w:rsidRPr="00B24B4A" w:rsidRDefault="00A82FBE" w:rsidP="00A82FBE">
      <w:pPr>
        <w:pStyle w:val="FootnoteText"/>
        <w:rPr>
          <w:lang w:val="en-US"/>
        </w:rPr>
      </w:pPr>
      <w:r>
        <w:rPr>
          <w:rStyle w:val="FootnoteReference"/>
        </w:rPr>
        <w:footnoteRef/>
      </w:r>
      <w:r>
        <w:t xml:space="preserve"> See </w:t>
      </w:r>
      <w:r w:rsidRPr="00B24B4A">
        <w:t>unicef.org/nigeria/stories/children-adjust-life-outside-nigerias-</w:t>
      </w:r>
      <w:proofErr w:type="spellStart"/>
      <w:r w:rsidRPr="006E63A8">
        <w:rPr>
          <w:sz w:val="22"/>
          <w:szCs w:val="22"/>
          <w:lang w:val="en-US"/>
        </w:rPr>
        <w:t>almajiri</w:t>
      </w:r>
      <w:proofErr w:type="spellEnd"/>
      <w:r w:rsidRPr="00B24B4A">
        <w:t>-system</w:t>
      </w:r>
    </w:p>
  </w:footnote>
  <w:footnote w:id="15">
    <w:p w14:paraId="645CCD70" w14:textId="77777777" w:rsidR="00A82FBE" w:rsidRPr="00F4162C" w:rsidRDefault="00A82FBE" w:rsidP="00A82FBE">
      <w:pPr>
        <w:pStyle w:val="FootnoteText"/>
        <w:rPr>
          <w:lang w:val="en-US"/>
        </w:rPr>
      </w:pPr>
      <w:r>
        <w:rPr>
          <w:rStyle w:val="FootnoteReference"/>
        </w:rPr>
        <w:footnoteRef/>
      </w:r>
      <w:r>
        <w:t xml:space="preserve"> </w:t>
      </w:r>
      <w:r w:rsidRPr="00F4162C">
        <w:t>UNESCO Policy paper 14.2: Human Trafficking in Nigeria: Roots Causes and Recommendations 2006 at 182</w:t>
      </w:r>
    </w:p>
  </w:footnote>
  <w:footnote w:id="16">
    <w:p w14:paraId="5742378C" w14:textId="77777777" w:rsidR="00A82FBE" w:rsidRPr="00AB1C98" w:rsidRDefault="00A82FBE" w:rsidP="00A82FBE">
      <w:pPr>
        <w:pStyle w:val="FootnoteText"/>
      </w:pPr>
      <w:r>
        <w:rPr>
          <w:rStyle w:val="FootnoteReference"/>
        </w:rPr>
        <w:footnoteRef/>
      </w:r>
      <w:r>
        <w:t xml:space="preserve"> </w:t>
      </w:r>
      <w:proofErr w:type="spellStart"/>
      <w:r w:rsidRPr="00F4162C">
        <w:t>Kwagyang</w:t>
      </w:r>
      <w:proofErr w:type="spellEnd"/>
      <w:r w:rsidRPr="00F4162C">
        <w:t xml:space="preserve">, G. &amp; Mahmood, N. (2015). </w:t>
      </w:r>
      <w:r>
        <w:t>Child Trafficking a</w:t>
      </w:r>
      <w:r w:rsidRPr="00F4162C">
        <w:t xml:space="preserve">nd Religion: A Case Study </w:t>
      </w:r>
      <w:r>
        <w:t xml:space="preserve">of </w:t>
      </w:r>
      <w:proofErr w:type="spellStart"/>
      <w:r>
        <w:t>Almajiri</w:t>
      </w:r>
      <w:proofErr w:type="spellEnd"/>
      <w:r>
        <w:t xml:space="preserve"> Education i</w:t>
      </w:r>
      <w:r w:rsidRPr="00F4162C">
        <w:t xml:space="preserve">n Northern Nigeria. </w:t>
      </w:r>
      <w:r w:rsidRPr="00AB1C98">
        <w:t>International Journal of Business, Economics and Law</w:t>
      </w:r>
      <w:r w:rsidRPr="00F4162C">
        <w:t>, 8(4), 113-122</w:t>
      </w:r>
    </w:p>
  </w:footnote>
  <w:footnote w:id="17">
    <w:p w14:paraId="2259EB59" w14:textId="77777777" w:rsidR="00A82FBE" w:rsidRPr="00AB1C98" w:rsidRDefault="00A82FBE" w:rsidP="00A82FBE">
      <w:pPr>
        <w:pStyle w:val="FootnoteText"/>
      </w:pPr>
      <w:r w:rsidRPr="00AB1C98">
        <w:footnoteRef/>
      </w:r>
      <w:r>
        <w:t xml:space="preserve"> </w:t>
      </w:r>
      <w:r w:rsidRPr="00AB1C98">
        <w:t>UNESCO (2006</w:t>
      </w:r>
      <w:r>
        <w:t>, p.35) ibid</w:t>
      </w:r>
    </w:p>
  </w:footnote>
  <w:footnote w:id="18">
    <w:p w14:paraId="6EA687FA" w14:textId="77777777" w:rsidR="00A82FBE" w:rsidRPr="002E1347" w:rsidRDefault="00A82FBE" w:rsidP="00A82FBE">
      <w:pPr>
        <w:pStyle w:val="FootnoteText"/>
        <w:rPr>
          <w:lang w:val="en-US"/>
        </w:rPr>
      </w:pPr>
      <w:r w:rsidRPr="00AB1C98">
        <w:footnoteRef/>
      </w:r>
      <w:r>
        <w:t xml:space="preserve"> </w:t>
      </w:r>
      <w:r w:rsidRPr="00AB1C98">
        <w:t xml:space="preserve">See </w:t>
      </w:r>
      <w:proofErr w:type="spellStart"/>
      <w:r>
        <w:t>Hoechner</w:t>
      </w:r>
      <w:proofErr w:type="spellEnd"/>
      <w:r>
        <w:t xml:space="preserve">, H. (2013) and </w:t>
      </w:r>
      <w:proofErr w:type="spellStart"/>
      <w:r>
        <w:t>Gersberg</w:t>
      </w:r>
      <w:proofErr w:type="spellEnd"/>
      <w:r>
        <w:t xml:space="preserve"> et al.</w:t>
      </w:r>
      <w:r w:rsidRPr="009554F6">
        <w:t xml:space="preserve"> </w:t>
      </w:r>
      <w:r>
        <w:t>(</w:t>
      </w:r>
      <w:r w:rsidRPr="009554F6">
        <w:t>2016</w:t>
      </w:r>
      <w:r>
        <w:t>) ibid</w:t>
      </w:r>
    </w:p>
  </w:footnote>
  <w:footnote w:id="19">
    <w:p w14:paraId="05BB6913" w14:textId="77777777" w:rsidR="00A82FBE" w:rsidRPr="00923B3F" w:rsidRDefault="00A82FBE" w:rsidP="00A82FBE">
      <w:pPr>
        <w:pStyle w:val="FootnoteText"/>
        <w:rPr>
          <w:lang w:val="en-US"/>
        </w:rPr>
      </w:pPr>
      <w:r>
        <w:rPr>
          <w:rStyle w:val="FootnoteReference"/>
        </w:rPr>
        <w:footnoteRef/>
      </w:r>
      <w:r>
        <w:t xml:space="preserve"> </w:t>
      </w:r>
      <w:proofErr w:type="spellStart"/>
      <w:r w:rsidRPr="00357C57">
        <w:t>Maishanu</w:t>
      </w:r>
      <w:proofErr w:type="spellEnd"/>
      <w:r w:rsidRPr="00357C57">
        <w:t xml:space="preserve">, D. (2022).  The </w:t>
      </w:r>
      <w:proofErr w:type="spellStart"/>
      <w:r w:rsidRPr="00357C57">
        <w:t>Almajiri</w:t>
      </w:r>
      <w:proofErr w:type="spellEnd"/>
      <w:r w:rsidRPr="00357C57">
        <w:t xml:space="preserve"> Catastrophe in Northern Nigeria. Vanguard, February 18.  https://www.vanguardngr.com/2022/02/the-almajiri-catastrophe-in-northern-nigeria/</w:t>
      </w:r>
    </w:p>
  </w:footnote>
  <w:footnote w:id="20">
    <w:p w14:paraId="01BABD12" w14:textId="77777777" w:rsidR="00A82FBE" w:rsidRPr="00245ABE" w:rsidRDefault="00A82FBE" w:rsidP="00A82FBE">
      <w:pPr>
        <w:pStyle w:val="FootnoteText"/>
        <w:rPr>
          <w:lang w:val="en-US"/>
        </w:rPr>
      </w:pPr>
      <w:r>
        <w:rPr>
          <w:rStyle w:val="FootnoteReference"/>
        </w:rPr>
        <w:footnoteRef/>
      </w:r>
      <w:r>
        <w:t xml:space="preserve"> </w:t>
      </w:r>
      <w:r>
        <w:rPr>
          <w:lang w:val="en-US"/>
        </w:rPr>
        <w:t xml:space="preserve">See also </w:t>
      </w:r>
      <w:proofErr w:type="spellStart"/>
      <w:r w:rsidRPr="00245ABE">
        <w:rPr>
          <w:lang w:val="en-US"/>
        </w:rPr>
        <w:t>Obisesan</w:t>
      </w:r>
      <w:proofErr w:type="spellEnd"/>
      <w:r w:rsidRPr="00245ABE">
        <w:rPr>
          <w:lang w:val="en-US"/>
        </w:rPr>
        <w:t xml:space="preserve">, O. F. (2021). The roaming threats: The security dimension of </w:t>
      </w:r>
      <w:proofErr w:type="spellStart"/>
      <w:r w:rsidRPr="00245ABE">
        <w:rPr>
          <w:lang w:val="en-US"/>
        </w:rPr>
        <w:t>Almajiris</w:t>
      </w:r>
      <w:proofErr w:type="spellEnd"/>
      <w:r w:rsidRPr="00245ABE">
        <w:rPr>
          <w:lang w:val="en-US"/>
        </w:rPr>
        <w:t xml:space="preserve">’ mobility in Nigeria and its implications for Africa’s regional security. Security and </w:t>
      </w:r>
      <w:proofErr w:type="spellStart"/>
      <w:r w:rsidRPr="00245ABE">
        <w:rPr>
          <w:lang w:val="en-US"/>
        </w:rPr>
        <w:t>Defence</w:t>
      </w:r>
      <w:proofErr w:type="spellEnd"/>
      <w:r w:rsidRPr="00245ABE">
        <w:rPr>
          <w:lang w:val="en-US"/>
        </w:rPr>
        <w:t xml:space="preserve"> Quarterly, 36(4), 107-131. https://doi.org/10.35467/sdq/134786</w:t>
      </w:r>
    </w:p>
  </w:footnote>
  <w:footnote w:id="21">
    <w:p w14:paraId="73F413BC" w14:textId="77777777" w:rsidR="00A82FBE" w:rsidRPr="00DB2434" w:rsidRDefault="00A82FBE" w:rsidP="00A82FBE">
      <w:pPr>
        <w:pStyle w:val="FootnoteText"/>
        <w:rPr>
          <w:lang w:val="en-US"/>
        </w:rPr>
      </w:pPr>
      <w:r>
        <w:rPr>
          <w:rStyle w:val="FootnoteReference"/>
        </w:rPr>
        <w:footnoteRef/>
      </w:r>
      <w:r>
        <w:t xml:space="preserve"> </w:t>
      </w:r>
      <w:r w:rsidRPr="00DB2434">
        <w:t>Ejio</w:t>
      </w:r>
      <w:r>
        <w:t>for, P. (1999) (ed)</w:t>
      </w:r>
      <w:r w:rsidRPr="00DB2434">
        <w:t xml:space="preserve"> Fighting A Monster: Declining Males in Schools. Enugu: </w:t>
      </w:r>
      <w:proofErr w:type="spellStart"/>
      <w:r w:rsidRPr="00DB2434">
        <w:t>Nolix</w:t>
      </w:r>
      <w:proofErr w:type="spellEnd"/>
      <w:r w:rsidRPr="00DB2434">
        <w:t xml:space="preserve"> Educational Publications</w:t>
      </w:r>
    </w:p>
  </w:footnote>
  <w:footnote w:id="22">
    <w:p w14:paraId="75A5F5FA" w14:textId="77777777" w:rsidR="00A82FBE" w:rsidRPr="00DB2434" w:rsidRDefault="00A82FBE" w:rsidP="00A82FBE">
      <w:pPr>
        <w:pStyle w:val="FootnoteText"/>
        <w:rPr>
          <w:lang w:val="en-US"/>
        </w:rPr>
      </w:pPr>
      <w:r>
        <w:rPr>
          <w:rStyle w:val="FootnoteReference"/>
        </w:rPr>
        <w:footnoteRef/>
      </w:r>
      <w:r>
        <w:t xml:space="preserve"> </w:t>
      </w:r>
      <w:proofErr w:type="spellStart"/>
      <w:r w:rsidRPr="00DB2434">
        <w:t>Ezegwu</w:t>
      </w:r>
      <w:proofErr w:type="spellEnd"/>
      <w:r w:rsidRPr="00DB2434">
        <w:t>, C. (2012). Masculinity and Low Male Secondary School Enrolment in Anambra State, Nigeria. MA Dissertation. The University of London, Institute of Education</w:t>
      </w:r>
      <w:r>
        <w:rPr>
          <w:lang w:val="en-US"/>
        </w:rPr>
        <w:t xml:space="preserve">. </w:t>
      </w:r>
    </w:p>
  </w:footnote>
  <w:footnote w:id="23">
    <w:p w14:paraId="7ADA7120" w14:textId="77777777" w:rsidR="00A82FBE" w:rsidRPr="00723507" w:rsidRDefault="00A82FBE" w:rsidP="00A82FBE">
      <w:pPr>
        <w:pStyle w:val="FootnoteText"/>
        <w:rPr>
          <w:lang w:val="en-US"/>
        </w:rPr>
      </w:pPr>
      <w:r>
        <w:rPr>
          <w:rStyle w:val="FootnoteReference"/>
        </w:rPr>
        <w:footnoteRef/>
      </w:r>
      <w:r>
        <w:t xml:space="preserve"> </w:t>
      </w:r>
      <w:r>
        <w:rPr>
          <w:lang w:val="en-US"/>
        </w:rPr>
        <w:t xml:space="preserve">UNESCO (2000). </w:t>
      </w:r>
      <w:r w:rsidRPr="00732B50">
        <w:rPr>
          <w:lang w:val="en-US"/>
        </w:rPr>
        <w:t>The</w:t>
      </w:r>
      <w:r>
        <w:rPr>
          <w:lang w:val="en-US"/>
        </w:rPr>
        <w:t xml:space="preserve"> State of Education in Nigeria. Abuja: UNESCO, </w:t>
      </w:r>
      <w:r>
        <w:t>p.36</w:t>
      </w:r>
    </w:p>
  </w:footnote>
  <w:footnote w:id="24">
    <w:p w14:paraId="2932DBD3" w14:textId="77777777" w:rsidR="00A82FBE" w:rsidRPr="00723507" w:rsidRDefault="00A82FBE" w:rsidP="00A82FBE">
      <w:pPr>
        <w:pStyle w:val="FootnoteText"/>
        <w:rPr>
          <w:lang w:val="en-US"/>
        </w:rPr>
      </w:pPr>
      <w:r>
        <w:rPr>
          <w:rStyle w:val="FootnoteReference"/>
        </w:rPr>
        <w:footnoteRef/>
      </w:r>
      <w:r>
        <w:t xml:space="preserve"> </w:t>
      </w:r>
      <w:r w:rsidRPr="002A3F12">
        <w:t>National Bureau of Statistics (2009). National Abstract Statistics (ABS). The Federal Republic of Nigeria</w:t>
      </w:r>
    </w:p>
  </w:footnote>
  <w:footnote w:id="25">
    <w:p w14:paraId="1F280997" w14:textId="77777777" w:rsidR="00A82FBE" w:rsidRPr="00445BAC" w:rsidRDefault="00A82FBE" w:rsidP="00A82FBE">
      <w:pPr>
        <w:pStyle w:val="FootnoteText"/>
        <w:rPr>
          <w:lang w:val="en-US"/>
        </w:rPr>
      </w:pPr>
      <w:r>
        <w:rPr>
          <w:rStyle w:val="FootnoteReference"/>
        </w:rPr>
        <w:footnoteRef/>
      </w:r>
      <w:r>
        <w:t xml:space="preserve"> </w:t>
      </w:r>
      <w:r>
        <w:rPr>
          <w:lang w:val="en-US"/>
        </w:rPr>
        <w:t>See Ejiofor (1999) ibid</w:t>
      </w:r>
    </w:p>
  </w:footnote>
  <w:footnote w:id="26">
    <w:p w14:paraId="5E04BAD3" w14:textId="77777777" w:rsidR="00A82FBE" w:rsidRPr="005F426B" w:rsidRDefault="00A82FBE" w:rsidP="00A82FBE">
      <w:pPr>
        <w:pStyle w:val="FootnoteText"/>
        <w:rPr>
          <w:lang w:val="en-US"/>
        </w:rPr>
      </w:pPr>
      <w:r>
        <w:rPr>
          <w:rStyle w:val="FootnoteReference"/>
        </w:rPr>
        <w:footnoteRef/>
      </w:r>
      <w:r>
        <w:t xml:space="preserve"> Federal Ministry o</w:t>
      </w:r>
      <w:r w:rsidRPr="005F426B">
        <w:t xml:space="preserve">f Education (2019). Nigeria Digest </w:t>
      </w:r>
      <w:r>
        <w:t>o</w:t>
      </w:r>
      <w:r w:rsidRPr="005F426B">
        <w:t>f Education Statistics. Abuja</w:t>
      </w:r>
    </w:p>
  </w:footnote>
  <w:footnote w:id="27">
    <w:p w14:paraId="290296BE" w14:textId="77777777" w:rsidR="00A82FBE" w:rsidRPr="00F87A0C" w:rsidRDefault="00A82FBE" w:rsidP="00A82FBE">
      <w:pPr>
        <w:pStyle w:val="FootnoteText"/>
        <w:rPr>
          <w:lang w:val="en-US"/>
        </w:rPr>
      </w:pPr>
      <w:r>
        <w:rPr>
          <w:rStyle w:val="FootnoteReference"/>
        </w:rPr>
        <w:footnoteRef/>
      </w:r>
      <w:r>
        <w:t xml:space="preserve"> </w:t>
      </w:r>
      <w:r w:rsidRPr="00C167EA">
        <w:t xml:space="preserve">UNESCO (2018). </w:t>
      </w:r>
      <w:r>
        <w:t>Achieving Gender Equality i</w:t>
      </w:r>
      <w:r w:rsidRPr="00C167EA">
        <w:t xml:space="preserve">n Education: Don’t Forget </w:t>
      </w:r>
      <w:proofErr w:type="gramStart"/>
      <w:r w:rsidRPr="00C167EA">
        <w:t>The</w:t>
      </w:r>
      <w:proofErr w:type="gramEnd"/>
      <w:r w:rsidRPr="00C167EA">
        <w:t xml:space="preserve"> Boys. </w:t>
      </w:r>
      <w:r w:rsidRPr="00F87A0C">
        <w:t>https://unesdoc.unesco.org/ark:/48223/pf0000262714_eng</w:t>
      </w:r>
      <w:r>
        <w:t xml:space="preserve"> - p.1</w:t>
      </w:r>
    </w:p>
  </w:footnote>
  <w:footnote w:id="28">
    <w:p w14:paraId="635DACE5" w14:textId="77777777" w:rsidR="00A82FBE" w:rsidRPr="00F87A0C" w:rsidRDefault="00A82FBE" w:rsidP="00A82FBE">
      <w:pPr>
        <w:pStyle w:val="FootnoteText"/>
        <w:rPr>
          <w:lang w:val="en-US"/>
        </w:rPr>
      </w:pPr>
      <w:r>
        <w:rPr>
          <w:rStyle w:val="FootnoteReference"/>
        </w:rPr>
        <w:footnoteRef/>
      </w:r>
      <w:r>
        <w:t xml:space="preserve"> UNESCO</w:t>
      </w:r>
      <w:r w:rsidRPr="00C871A2">
        <w:t xml:space="preserve"> </w:t>
      </w:r>
      <w:r>
        <w:t>(</w:t>
      </w:r>
      <w:r w:rsidRPr="00C871A2">
        <w:t>2018, p.1)</w:t>
      </w:r>
      <w:r>
        <w:t xml:space="preserve"> ibid</w:t>
      </w:r>
    </w:p>
  </w:footnote>
  <w:footnote w:id="29">
    <w:p w14:paraId="1BBEBE09" w14:textId="77777777" w:rsidR="00A82FBE" w:rsidRPr="008F2D9A" w:rsidRDefault="00A82FBE" w:rsidP="00A82FBE">
      <w:pPr>
        <w:pStyle w:val="FootnoteText"/>
      </w:pPr>
      <w:r>
        <w:rPr>
          <w:rStyle w:val="FootnoteReference"/>
        </w:rPr>
        <w:footnoteRef/>
      </w:r>
      <w:r>
        <w:t xml:space="preserve"> </w:t>
      </w:r>
      <w:r w:rsidRPr="008F2D9A">
        <w:t xml:space="preserve">Federal Ministry of Education </w:t>
      </w:r>
      <w:r>
        <w:t xml:space="preserve">(FME, </w:t>
      </w:r>
      <w:r w:rsidRPr="008F2D9A">
        <w:t>2007</w:t>
      </w:r>
      <w:r>
        <w:t>)</w:t>
      </w:r>
      <w:r w:rsidRPr="008F2D9A">
        <w:t>. National Policy on G</w:t>
      </w:r>
      <w:r>
        <w:t>ender in Basic Education. Abuja, p.3</w:t>
      </w:r>
    </w:p>
  </w:footnote>
  <w:footnote w:id="30">
    <w:p w14:paraId="7F8D27DF" w14:textId="77777777" w:rsidR="00A82FBE" w:rsidRPr="004D0798" w:rsidRDefault="00A82FBE" w:rsidP="00A82FBE">
      <w:pPr>
        <w:pStyle w:val="FootnoteText"/>
        <w:rPr>
          <w:lang w:val="en-US"/>
        </w:rPr>
      </w:pPr>
      <w:r>
        <w:rPr>
          <w:rStyle w:val="FootnoteReference"/>
        </w:rPr>
        <w:footnoteRef/>
      </w:r>
      <w:r>
        <w:t xml:space="preserve"> </w:t>
      </w:r>
      <w:r>
        <w:rPr>
          <w:lang w:val="en-US"/>
        </w:rPr>
        <w:t>ibid</w:t>
      </w:r>
    </w:p>
  </w:footnote>
  <w:footnote w:id="31">
    <w:p w14:paraId="653F9696" w14:textId="77777777" w:rsidR="00A82FBE" w:rsidRPr="00AC44EE" w:rsidRDefault="00A82FBE" w:rsidP="00A82FBE">
      <w:pPr>
        <w:pStyle w:val="FootnoteText"/>
        <w:rPr>
          <w:lang w:val="en-US"/>
        </w:rPr>
      </w:pPr>
      <w:r>
        <w:rPr>
          <w:rStyle w:val="FootnoteReference"/>
        </w:rPr>
        <w:footnoteRef/>
      </w:r>
      <w:r>
        <w:t xml:space="preserve"> Usman, L. (2006). Rural Nomadic Fulbe Boys’ Primary Schooling: Assessing Repertoires of Practice in Nigeria. McGill Journal of Education. 41 (2), 155-174 and Usman, L. (2008). Assessing the universal basic education primary and Koranic schools’ synergy for </w:t>
      </w:r>
      <w:proofErr w:type="spellStart"/>
      <w:r>
        <w:t>Almajiri</w:t>
      </w:r>
      <w:proofErr w:type="spellEnd"/>
      <w:r>
        <w:t xml:space="preserve"> street boys in Nigeria. International Journal of Educational Management, 22 (1), 62-73</w:t>
      </w:r>
    </w:p>
  </w:footnote>
  <w:footnote w:id="32">
    <w:p w14:paraId="5380ED01" w14:textId="77777777" w:rsidR="00A82FBE" w:rsidRPr="00AC44EE" w:rsidRDefault="00A82FBE" w:rsidP="00A82FBE">
      <w:pPr>
        <w:pStyle w:val="FootnoteText"/>
        <w:rPr>
          <w:lang w:val="en-US"/>
        </w:rPr>
      </w:pPr>
      <w:r>
        <w:rPr>
          <w:rStyle w:val="FootnoteReference"/>
        </w:rPr>
        <w:footnoteRef/>
      </w:r>
      <w:r>
        <w:t xml:space="preserve"> </w:t>
      </w:r>
      <w:proofErr w:type="spellStart"/>
      <w:r w:rsidRPr="00AC44EE">
        <w:t>Hoechner</w:t>
      </w:r>
      <w:proofErr w:type="spellEnd"/>
      <w:r w:rsidRPr="00AC44EE">
        <w:t>, H. (2011). Striving for Knowledge and Dignity: How Qur’anic Students in Kano, Nigeria, Learn to Live with Rejection and Educational Disadvantage. European Journal of Development Research, 23, 712–728</w:t>
      </w:r>
    </w:p>
  </w:footnote>
  <w:footnote w:id="33">
    <w:p w14:paraId="14112A84" w14:textId="77777777" w:rsidR="00A82FBE" w:rsidRPr="00B37F68" w:rsidRDefault="00A82FBE" w:rsidP="00A82FBE">
      <w:pPr>
        <w:pStyle w:val="FootnoteText"/>
        <w:rPr>
          <w:lang w:val="en-US"/>
        </w:rPr>
      </w:pPr>
      <w:r>
        <w:rPr>
          <w:rStyle w:val="FootnoteReference"/>
        </w:rPr>
        <w:footnoteRef/>
      </w:r>
      <w:r>
        <w:t xml:space="preserve"> </w:t>
      </w:r>
      <w:proofErr w:type="spellStart"/>
      <w:r>
        <w:rPr>
          <w:lang w:val="en-US"/>
        </w:rPr>
        <w:t>Gersberg</w:t>
      </w:r>
      <w:proofErr w:type="spellEnd"/>
      <w:r>
        <w:rPr>
          <w:lang w:val="en-US"/>
        </w:rPr>
        <w:t xml:space="preserve"> et al. (2016) ibid</w:t>
      </w:r>
    </w:p>
  </w:footnote>
  <w:footnote w:id="34">
    <w:p w14:paraId="7198B3AF" w14:textId="77777777" w:rsidR="00A82FBE" w:rsidRPr="00B37F68" w:rsidRDefault="00A82FBE" w:rsidP="00A82FBE">
      <w:pPr>
        <w:pStyle w:val="FootnoteText"/>
        <w:rPr>
          <w:lang w:val="en-US"/>
        </w:rPr>
      </w:pPr>
      <w:r>
        <w:rPr>
          <w:rStyle w:val="FootnoteReference"/>
        </w:rPr>
        <w:footnoteRef/>
      </w:r>
      <w:r>
        <w:t xml:space="preserve"> </w:t>
      </w:r>
      <w:proofErr w:type="spellStart"/>
      <w:r>
        <w:rPr>
          <w:lang w:val="en-US"/>
        </w:rPr>
        <w:t>Gersberg</w:t>
      </w:r>
      <w:proofErr w:type="spellEnd"/>
      <w:r>
        <w:rPr>
          <w:lang w:val="en-US"/>
        </w:rPr>
        <w:t xml:space="preserve"> et al. (2016) ibid</w:t>
      </w:r>
    </w:p>
  </w:footnote>
  <w:footnote w:id="35">
    <w:p w14:paraId="0A324773" w14:textId="77777777" w:rsidR="00A82FBE" w:rsidRPr="00852075" w:rsidRDefault="00A82FBE" w:rsidP="00A82FBE">
      <w:pPr>
        <w:pStyle w:val="FootnoteText"/>
        <w:rPr>
          <w:lang w:val="nl-NL"/>
        </w:rPr>
      </w:pPr>
      <w:r>
        <w:rPr>
          <w:rStyle w:val="FootnoteReference"/>
        </w:rPr>
        <w:footnoteRef/>
      </w:r>
      <w:r w:rsidRPr="00852075">
        <w:rPr>
          <w:lang w:val="nl-NL"/>
        </w:rPr>
        <w:t xml:space="preserve"> </w:t>
      </w:r>
      <w:r w:rsidRPr="00852075">
        <w:rPr>
          <w:lang w:val="nl-NL"/>
        </w:rPr>
        <w:t>See Usman (2008); Hoechner, (2011) ibid</w:t>
      </w:r>
    </w:p>
  </w:footnote>
  <w:footnote w:id="36">
    <w:p w14:paraId="45EBB874" w14:textId="77777777" w:rsidR="00A82FBE" w:rsidRPr="00861BB2" w:rsidRDefault="00A82FBE" w:rsidP="00A82FBE">
      <w:pPr>
        <w:pStyle w:val="FootnoteText"/>
      </w:pPr>
      <w:r>
        <w:rPr>
          <w:rStyle w:val="FootnoteReference"/>
        </w:rPr>
        <w:footnoteRef/>
      </w:r>
      <w:r w:rsidRPr="00852075">
        <w:rPr>
          <w:lang w:val="nl-NL"/>
        </w:rPr>
        <w:t xml:space="preserve"> </w:t>
      </w:r>
      <w:r w:rsidRPr="00852075">
        <w:rPr>
          <w:lang w:val="nl-NL"/>
        </w:rPr>
        <w:t xml:space="preserve">Teke, </w:t>
      </w:r>
      <w:r w:rsidRPr="00852075">
        <w:rPr>
          <w:lang w:val="nl-NL"/>
        </w:rPr>
        <w:t xml:space="preserve">A., Khalid, M. &amp; Katami (2022). </w:t>
      </w:r>
      <w:r w:rsidRPr="00861BB2">
        <w:t xml:space="preserve">Problems and Prospects of </w:t>
      </w:r>
      <w:proofErr w:type="spellStart"/>
      <w:r w:rsidRPr="00861BB2">
        <w:t>Almajiri</w:t>
      </w:r>
      <w:proofErr w:type="spellEnd"/>
      <w:r w:rsidRPr="00861BB2">
        <w:t xml:space="preserve"> Integration Programme in </w:t>
      </w:r>
      <w:proofErr w:type="gramStart"/>
      <w:r w:rsidRPr="00861BB2">
        <w:t>North West</w:t>
      </w:r>
      <w:proofErr w:type="gramEnd"/>
      <w:r w:rsidRPr="00861BB2">
        <w:t xml:space="preserve"> Geo-Political Zone, Nigeria. International Journal of Education &amp; Literacy Studies,</w:t>
      </w:r>
      <w:r>
        <w:t xml:space="preserve"> 10(1),14-25, p.17</w:t>
      </w:r>
    </w:p>
  </w:footnote>
  <w:footnote w:id="37">
    <w:p w14:paraId="7F102463" w14:textId="77777777" w:rsidR="00A82FBE" w:rsidRPr="008E7A17" w:rsidRDefault="00A82FBE" w:rsidP="00A82FBE">
      <w:pPr>
        <w:pStyle w:val="FootnoteText"/>
        <w:rPr>
          <w:lang w:val="en-US"/>
        </w:rPr>
      </w:pPr>
      <w:r>
        <w:rPr>
          <w:rStyle w:val="FootnoteReference"/>
        </w:rPr>
        <w:footnoteRef/>
      </w:r>
      <w:r>
        <w:t xml:space="preserve"> </w:t>
      </w:r>
      <w:proofErr w:type="spellStart"/>
      <w:r w:rsidRPr="008E7A17">
        <w:t>Akhaine</w:t>
      </w:r>
      <w:proofErr w:type="spellEnd"/>
      <w:r w:rsidRPr="008E7A17">
        <w:t xml:space="preserve">, S., Adewale, M. &amp; Mohammad, A. (2022). Stakeholders lament as Jonathan’s N1.5b </w:t>
      </w:r>
      <w:proofErr w:type="spellStart"/>
      <w:r w:rsidRPr="008E7A17">
        <w:t>Almajiri</w:t>
      </w:r>
      <w:proofErr w:type="spellEnd"/>
      <w:r w:rsidRPr="008E7A17">
        <w:t xml:space="preserve"> Schools rot away. The Guardian, Nigeria, 17 March 2022.</w:t>
      </w:r>
    </w:p>
  </w:footnote>
  <w:footnote w:id="38">
    <w:p w14:paraId="2950D989" w14:textId="77777777" w:rsidR="00A82FBE" w:rsidRPr="00285CF2" w:rsidRDefault="00A82FBE" w:rsidP="00A82FBE">
      <w:pPr>
        <w:pStyle w:val="FootnoteText"/>
        <w:rPr>
          <w:lang w:val="en-US"/>
        </w:rPr>
      </w:pPr>
      <w:r>
        <w:rPr>
          <w:rStyle w:val="FootnoteReference"/>
        </w:rPr>
        <w:footnoteRef/>
      </w:r>
      <w:r>
        <w:rPr>
          <w:lang w:val="en-US"/>
        </w:rPr>
        <w:t xml:space="preserve"> </w:t>
      </w:r>
      <w:r w:rsidRPr="00285CF2">
        <w:rPr>
          <w:lang w:val="en-US"/>
        </w:rPr>
        <w:t>Education in Emergency Working Group, Nigeria (2020). Nigeria Education Sector COVID-19 Re</w:t>
      </w:r>
      <w:r>
        <w:rPr>
          <w:lang w:val="en-US"/>
        </w:rPr>
        <w:t xml:space="preserve">sponse Strategy in </w:t>
      </w:r>
      <w:proofErr w:type="gramStart"/>
      <w:r>
        <w:rPr>
          <w:lang w:val="en-US"/>
        </w:rPr>
        <w:t>North East</w:t>
      </w:r>
      <w:proofErr w:type="gramEnd"/>
      <w:r>
        <w:rPr>
          <w:lang w:val="en-US"/>
        </w:rPr>
        <w:t>.</w:t>
      </w:r>
    </w:p>
  </w:footnote>
  <w:footnote w:id="39">
    <w:p w14:paraId="6F4633C7" w14:textId="77777777" w:rsidR="00A82FBE" w:rsidRPr="00056E25" w:rsidRDefault="00A82FBE" w:rsidP="00A82FBE">
      <w:pPr>
        <w:pStyle w:val="FootnoteText"/>
        <w:rPr>
          <w:lang w:val="en-US"/>
        </w:rPr>
      </w:pPr>
      <w:r>
        <w:rPr>
          <w:rStyle w:val="FootnoteReference"/>
        </w:rPr>
        <w:footnoteRef/>
      </w:r>
      <w:r>
        <w:t xml:space="preserve"> </w:t>
      </w:r>
      <w:r w:rsidRPr="00056E25">
        <w:t>African Development Bank (2011). Trends and Achievements in Girls’ Education (1970-2010) and Best Practices for Promotion of Girls’ Education in Africa</w:t>
      </w:r>
      <w:r>
        <w:t>, p.8</w:t>
      </w:r>
    </w:p>
  </w:footnote>
  <w:footnote w:id="40">
    <w:p w14:paraId="733D4350" w14:textId="77777777" w:rsidR="00A82FBE" w:rsidRPr="006F521B" w:rsidRDefault="00A82FBE" w:rsidP="00A82FBE">
      <w:pPr>
        <w:pStyle w:val="FootnoteText"/>
        <w:rPr>
          <w:lang w:val="en-US"/>
        </w:rPr>
      </w:pPr>
      <w:r w:rsidRPr="0036315F">
        <w:footnoteRef/>
      </w:r>
      <w:r>
        <w:t xml:space="preserve"> </w:t>
      </w:r>
      <w:r w:rsidRPr="0036315F">
        <w:t>UNESCO (2022). Leave no child behind: global report on boys’ disengagement from education; executive summary</w:t>
      </w:r>
      <w:r>
        <w:t>. UNESCO, p.10</w:t>
      </w:r>
    </w:p>
  </w:footnote>
  <w:footnote w:id="41">
    <w:p w14:paraId="08FB1523" w14:textId="77777777" w:rsidR="00753F50" w:rsidRPr="00500E97" w:rsidRDefault="00753F50" w:rsidP="00753F50">
      <w:pPr>
        <w:pStyle w:val="FootnoteText"/>
        <w:rPr>
          <w:lang w:val="en-US"/>
        </w:rPr>
      </w:pPr>
      <w:r>
        <w:rPr>
          <w:rStyle w:val="FootnoteReference"/>
        </w:rPr>
        <w:footnoteRef/>
      </w:r>
      <w:r>
        <w:t xml:space="preserve"> </w:t>
      </w:r>
      <w:r>
        <w:rPr>
          <w:lang w:val="en-US"/>
        </w:rPr>
        <w:t xml:space="preserve">See </w:t>
      </w:r>
      <w:r>
        <w:t xml:space="preserve">see </w:t>
      </w:r>
      <w:proofErr w:type="spellStart"/>
      <w:r>
        <w:t>Ezegwu</w:t>
      </w:r>
      <w:proofErr w:type="spellEnd"/>
      <w:r>
        <w:t xml:space="preserve">, C. (2012) and </w:t>
      </w:r>
      <w:proofErr w:type="spellStart"/>
      <w:r>
        <w:t>Ezegwu</w:t>
      </w:r>
      <w:proofErr w:type="spellEnd"/>
      <w:r>
        <w:t>, C. (2020)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172"/>
    <w:multiLevelType w:val="hybridMultilevel"/>
    <w:tmpl w:val="C60AE010"/>
    <w:lvl w:ilvl="0" w:tplc="646C03AC">
      <w:start w:val="1"/>
      <w:numFmt w:val="bullet"/>
      <w:lvlText w:val=""/>
      <w:lvlJc w:val="left"/>
      <w:pPr>
        <w:ind w:left="720" w:hanging="360"/>
      </w:pPr>
      <w:rPr>
        <w:rFonts w:ascii="Symbol" w:hAnsi="Symbol" w:hint="default"/>
      </w:rPr>
    </w:lvl>
    <w:lvl w:ilvl="1" w:tplc="3996986C" w:tentative="1">
      <w:start w:val="1"/>
      <w:numFmt w:val="bullet"/>
      <w:lvlText w:val="o"/>
      <w:lvlJc w:val="left"/>
      <w:pPr>
        <w:ind w:left="1440" w:hanging="360"/>
      </w:pPr>
      <w:rPr>
        <w:rFonts w:ascii="Courier New" w:hAnsi="Courier New" w:cs="Courier New" w:hint="default"/>
      </w:rPr>
    </w:lvl>
    <w:lvl w:ilvl="2" w:tplc="CB9C95EC" w:tentative="1">
      <w:start w:val="1"/>
      <w:numFmt w:val="bullet"/>
      <w:lvlText w:val=""/>
      <w:lvlJc w:val="left"/>
      <w:pPr>
        <w:ind w:left="2160" w:hanging="360"/>
      </w:pPr>
      <w:rPr>
        <w:rFonts w:ascii="Wingdings" w:hAnsi="Wingdings" w:hint="default"/>
      </w:rPr>
    </w:lvl>
    <w:lvl w:ilvl="3" w:tplc="F600FD88" w:tentative="1">
      <w:start w:val="1"/>
      <w:numFmt w:val="bullet"/>
      <w:lvlText w:val=""/>
      <w:lvlJc w:val="left"/>
      <w:pPr>
        <w:ind w:left="2880" w:hanging="360"/>
      </w:pPr>
      <w:rPr>
        <w:rFonts w:ascii="Symbol" w:hAnsi="Symbol" w:hint="default"/>
      </w:rPr>
    </w:lvl>
    <w:lvl w:ilvl="4" w:tplc="DDA6C5EC" w:tentative="1">
      <w:start w:val="1"/>
      <w:numFmt w:val="bullet"/>
      <w:lvlText w:val="o"/>
      <w:lvlJc w:val="left"/>
      <w:pPr>
        <w:ind w:left="3600" w:hanging="360"/>
      </w:pPr>
      <w:rPr>
        <w:rFonts w:ascii="Courier New" w:hAnsi="Courier New" w:cs="Courier New" w:hint="default"/>
      </w:rPr>
    </w:lvl>
    <w:lvl w:ilvl="5" w:tplc="70D8890E" w:tentative="1">
      <w:start w:val="1"/>
      <w:numFmt w:val="bullet"/>
      <w:lvlText w:val=""/>
      <w:lvlJc w:val="left"/>
      <w:pPr>
        <w:ind w:left="4320" w:hanging="360"/>
      </w:pPr>
      <w:rPr>
        <w:rFonts w:ascii="Wingdings" w:hAnsi="Wingdings" w:hint="default"/>
      </w:rPr>
    </w:lvl>
    <w:lvl w:ilvl="6" w:tplc="567409D0" w:tentative="1">
      <w:start w:val="1"/>
      <w:numFmt w:val="bullet"/>
      <w:lvlText w:val=""/>
      <w:lvlJc w:val="left"/>
      <w:pPr>
        <w:ind w:left="5040" w:hanging="360"/>
      </w:pPr>
      <w:rPr>
        <w:rFonts w:ascii="Symbol" w:hAnsi="Symbol" w:hint="default"/>
      </w:rPr>
    </w:lvl>
    <w:lvl w:ilvl="7" w:tplc="BE7ADD2E" w:tentative="1">
      <w:start w:val="1"/>
      <w:numFmt w:val="bullet"/>
      <w:lvlText w:val="o"/>
      <w:lvlJc w:val="left"/>
      <w:pPr>
        <w:ind w:left="5760" w:hanging="360"/>
      </w:pPr>
      <w:rPr>
        <w:rFonts w:ascii="Courier New" w:hAnsi="Courier New" w:cs="Courier New" w:hint="default"/>
      </w:rPr>
    </w:lvl>
    <w:lvl w:ilvl="8" w:tplc="C630C7FE" w:tentative="1">
      <w:start w:val="1"/>
      <w:numFmt w:val="bullet"/>
      <w:lvlText w:val=""/>
      <w:lvlJc w:val="left"/>
      <w:pPr>
        <w:ind w:left="6480" w:hanging="360"/>
      </w:pPr>
      <w:rPr>
        <w:rFonts w:ascii="Wingdings" w:hAnsi="Wingdings" w:hint="default"/>
      </w:rPr>
    </w:lvl>
  </w:abstractNum>
  <w:abstractNum w:abstractNumId="1" w15:restartNumberingAfterBreak="0">
    <w:nsid w:val="06AE0088"/>
    <w:multiLevelType w:val="hybridMultilevel"/>
    <w:tmpl w:val="3F421F84"/>
    <w:lvl w:ilvl="0" w:tplc="B2EC9586">
      <w:start w:val="1"/>
      <w:numFmt w:val="decimal"/>
      <w:lvlText w:val="%1."/>
      <w:lvlJc w:val="left"/>
      <w:pPr>
        <w:ind w:left="720" w:hanging="360"/>
      </w:pPr>
      <w:rPr>
        <w:rFonts w:hint="default"/>
        <w:sz w:val="24"/>
      </w:rPr>
    </w:lvl>
    <w:lvl w:ilvl="1" w:tplc="99027990" w:tentative="1">
      <w:start w:val="1"/>
      <w:numFmt w:val="lowerLetter"/>
      <w:lvlText w:val="%2."/>
      <w:lvlJc w:val="left"/>
      <w:pPr>
        <w:ind w:left="1440" w:hanging="360"/>
      </w:pPr>
    </w:lvl>
    <w:lvl w:ilvl="2" w:tplc="E5F22182" w:tentative="1">
      <w:start w:val="1"/>
      <w:numFmt w:val="lowerRoman"/>
      <w:lvlText w:val="%3."/>
      <w:lvlJc w:val="right"/>
      <w:pPr>
        <w:ind w:left="2160" w:hanging="180"/>
      </w:pPr>
    </w:lvl>
    <w:lvl w:ilvl="3" w:tplc="F83A7486" w:tentative="1">
      <w:start w:val="1"/>
      <w:numFmt w:val="decimal"/>
      <w:lvlText w:val="%4."/>
      <w:lvlJc w:val="left"/>
      <w:pPr>
        <w:ind w:left="2880" w:hanging="360"/>
      </w:pPr>
    </w:lvl>
    <w:lvl w:ilvl="4" w:tplc="BE0A310C" w:tentative="1">
      <w:start w:val="1"/>
      <w:numFmt w:val="lowerLetter"/>
      <w:lvlText w:val="%5."/>
      <w:lvlJc w:val="left"/>
      <w:pPr>
        <w:ind w:left="3600" w:hanging="360"/>
      </w:pPr>
    </w:lvl>
    <w:lvl w:ilvl="5" w:tplc="091A7EE2" w:tentative="1">
      <w:start w:val="1"/>
      <w:numFmt w:val="lowerRoman"/>
      <w:lvlText w:val="%6."/>
      <w:lvlJc w:val="right"/>
      <w:pPr>
        <w:ind w:left="4320" w:hanging="180"/>
      </w:pPr>
    </w:lvl>
    <w:lvl w:ilvl="6" w:tplc="3CEEE456" w:tentative="1">
      <w:start w:val="1"/>
      <w:numFmt w:val="decimal"/>
      <w:lvlText w:val="%7."/>
      <w:lvlJc w:val="left"/>
      <w:pPr>
        <w:ind w:left="5040" w:hanging="360"/>
      </w:pPr>
    </w:lvl>
    <w:lvl w:ilvl="7" w:tplc="5CFCCCE4" w:tentative="1">
      <w:start w:val="1"/>
      <w:numFmt w:val="lowerLetter"/>
      <w:lvlText w:val="%8."/>
      <w:lvlJc w:val="left"/>
      <w:pPr>
        <w:ind w:left="5760" w:hanging="360"/>
      </w:pPr>
    </w:lvl>
    <w:lvl w:ilvl="8" w:tplc="CED2F6E2" w:tentative="1">
      <w:start w:val="1"/>
      <w:numFmt w:val="lowerRoman"/>
      <w:lvlText w:val="%9."/>
      <w:lvlJc w:val="right"/>
      <w:pPr>
        <w:ind w:left="6480" w:hanging="180"/>
      </w:pPr>
    </w:lvl>
  </w:abstractNum>
  <w:abstractNum w:abstractNumId="2" w15:restartNumberingAfterBreak="0">
    <w:nsid w:val="09AA7CFB"/>
    <w:multiLevelType w:val="multilevel"/>
    <w:tmpl w:val="E92A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45071"/>
    <w:multiLevelType w:val="multilevel"/>
    <w:tmpl w:val="764A9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429A"/>
    <w:multiLevelType w:val="hybridMultilevel"/>
    <w:tmpl w:val="854E81CC"/>
    <w:lvl w:ilvl="0" w:tplc="BFDA9358">
      <w:start w:val="1"/>
      <w:numFmt w:val="lowerLetter"/>
      <w:lvlText w:val="%1."/>
      <w:lvlJc w:val="left"/>
      <w:pPr>
        <w:ind w:left="720" w:hanging="360"/>
      </w:pPr>
      <w:rPr>
        <w:rFonts w:asciiTheme="minorHAnsi" w:eastAsiaTheme="minorHAnsi" w:hAnsiTheme="minorHAnsi" w:cstheme="minorBidi"/>
      </w:rPr>
    </w:lvl>
    <w:lvl w:ilvl="1" w:tplc="34CE0EB4" w:tentative="1">
      <w:start w:val="1"/>
      <w:numFmt w:val="lowerLetter"/>
      <w:lvlText w:val="%2."/>
      <w:lvlJc w:val="left"/>
      <w:pPr>
        <w:ind w:left="1440" w:hanging="360"/>
      </w:pPr>
    </w:lvl>
    <w:lvl w:ilvl="2" w:tplc="4DBA692A" w:tentative="1">
      <w:start w:val="1"/>
      <w:numFmt w:val="lowerRoman"/>
      <w:lvlText w:val="%3."/>
      <w:lvlJc w:val="right"/>
      <w:pPr>
        <w:ind w:left="2160" w:hanging="180"/>
      </w:pPr>
    </w:lvl>
    <w:lvl w:ilvl="3" w:tplc="E9B8BC18" w:tentative="1">
      <w:start w:val="1"/>
      <w:numFmt w:val="decimal"/>
      <w:lvlText w:val="%4."/>
      <w:lvlJc w:val="left"/>
      <w:pPr>
        <w:ind w:left="2880" w:hanging="360"/>
      </w:pPr>
    </w:lvl>
    <w:lvl w:ilvl="4" w:tplc="93824990" w:tentative="1">
      <w:start w:val="1"/>
      <w:numFmt w:val="lowerLetter"/>
      <w:lvlText w:val="%5."/>
      <w:lvlJc w:val="left"/>
      <w:pPr>
        <w:ind w:left="3600" w:hanging="360"/>
      </w:pPr>
    </w:lvl>
    <w:lvl w:ilvl="5" w:tplc="68B419BE" w:tentative="1">
      <w:start w:val="1"/>
      <w:numFmt w:val="lowerRoman"/>
      <w:lvlText w:val="%6."/>
      <w:lvlJc w:val="right"/>
      <w:pPr>
        <w:ind w:left="4320" w:hanging="180"/>
      </w:pPr>
    </w:lvl>
    <w:lvl w:ilvl="6" w:tplc="EDF8DB9E" w:tentative="1">
      <w:start w:val="1"/>
      <w:numFmt w:val="decimal"/>
      <w:lvlText w:val="%7."/>
      <w:lvlJc w:val="left"/>
      <w:pPr>
        <w:ind w:left="5040" w:hanging="360"/>
      </w:pPr>
    </w:lvl>
    <w:lvl w:ilvl="7" w:tplc="E31AE830" w:tentative="1">
      <w:start w:val="1"/>
      <w:numFmt w:val="lowerLetter"/>
      <w:lvlText w:val="%8."/>
      <w:lvlJc w:val="left"/>
      <w:pPr>
        <w:ind w:left="5760" w:hanging="360"/>
      </w:pPr>
    </w:lvl>
    <w:lvl w:ilvl="8" w:tplc="F5D0BC8A" w:tentative="1">
      <w:start w:val="1"/>
      <w:numFmt w:val="lowerRoman"/>
      <w:lvlText w:val="%9."/>
      <w:lvlJc w:val="right"/>
      <w:pPr>
        <w:ind w:left="6480" w:hanging="180"/>
      </w:pPr>
    </w:lvl>
  </w:abstractNum>
  <w:abstractNum w:abstractNumId="5" w15:restartNumberingAfterBreak="0">
    <w:nsid w:val="0DEB19A1"/>
    <w:multiLevelType w:val="multilevel"/>
    <w:tmpl w:val="B41E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9A70FF"/>
    <w:multiLevelType w:val="hybridMultilevel"/>
    <w:tmpl w:val="491E6BF2"/>
    <w:lvl w:ilvl="0" w:tplc="D70A2550">
      <w:start w:val="8"/>
      <w:numFmt w:val="decimal"/>
      <w:lvlText w:val="%1."/>
      <w:lvlJc w:val="left"/>
      <w:pPr>
        <w:ind w:left="2880" w:hanging="360"/>
      </w:pPr>
    </w:lvl>
    <w:lvl w:ilvl="1" w:tplc="CA908C40">
      <w:start w:val="1"/>
      <w:numFmt w:val="lowerLetter"/>
      <w:lvlText w:val="%2."/>
      <w:lvlJc w:val="left"/>
      <w:pPr>
        <w:ind w:left="3600" w:hanging="360"/>
      </w:pPr>
    </w:lvl>
    <w:lvl w:ilvl="2" w:tplc="04A45C58">
      <w:start w:val="1"/>
      <w:numFmt w:val="lowerRoman"/>
      <w:lvlText w:val="%3."/>
      <w:lvlJc w:val="right"/>
      <w:pPr>
        <w:ind w:left="4320" w:hanging="180"/>
      </w:pPr>
    </w:lvl>
    <w:lvl w:ilvl="3" w:tplc="F21CD768">
      <w:start w:val="1"/>
      <w:numFmt w:val="decimal"/>
      <w:lvlText w:val="%4."/>
      <w:lvlJc w:val="left"/>
      <w:pPr>
        <w:ind w:left="5040" w:hanging="360"/>
      </w:pPr>
    </w:lvl>
    <w:lvl w:ilvl="4" w:tplc="2C00882E">
      <w:start w:val="1"/>
      <w:numFmt w:val="lowerLetter"/>
      <w:lvlText w:val="%5."/>
      <w:lvlJc w:val="left"/>
      <w:pPr>
        <w:ind w:left="5760" w:hanging="360"/>
      </w:pPr>
    </w:lvl>
    <w:lvl w:ilvl="5" w:tplc="D310B924">
      <w:start w:val="1"/>
      <w:numFmt w:val="lowerRoman"/>
      <w:lvlText w:val="%6."/>
      <w:lvlJc w:val="right"/>
      <w:pPr>
        <w:ind w:left="6480" w:hanging="180"/>
      </w:pPr>
    </w:lvl>
    <w:lvl w:ilvl="6" w:tplc="158E7064">
      <w:start w:val="1"/>
      <w:numFmt w:val="decimal"/>
      <w:lvlText w:val="%7."/>
      <w:lvlJc w:val="left"/>
      <w:pPr>
        <w:ind w:left="7200" w:hanging="360"/>
      </w:pPr>
    </w:lvl>
    <w:lvl w:ilvl="7" w:tplc="33DCE0E6">
      <w:start w:val="1"/>
      <w:numFmt w:val="lowerLetter"/>
      <w:lvlText w:val="%8."/>
      <w:lvlJc w:val="left"/>
      <w:pPr>
        <w:ind w:left="7920" w:hanging="360"/>
      </w:pPr>
    </w:lvl>
    <w:lvl w:ilvl="8" w:tplc="7D047EFA">
      <w:start w:val="1"/>
      <w:numFmt w:val="lowerRoman"/>
      <w:lvlText w:val="%9."/>
      <w:lvlJc w:val="right"/>
      <w:pPr>
        <w:ind w:left="8640" w:hanging="180"/>
      </w:pPr>
    </w:lvl>
  </w:abstractNum>
  <w:abstractNum w:abstractNumId="7" w15:restartNumberingAfterBreak="0">
    <w:nsid w:val="1DCE2C29"/>
    <w:multiLevelType w:val="multilevel"/>
    <w:tmpl w:val="94D6730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C3519E"/>
    <w:multiLevelType w:val="multilevel"/>
    <w:tmpl w:val="A484C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BF4A0E"/>
    <w:multiLevelType w:val="multilevel"/>
    <w:tmpl w:val="66068A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EB4537"/>
    <w:multiLevelType w:val="multilevel"/>
    <w:tmpl w:val="0DEC6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E77501"/>
    <w:multiLevelType w:val="multilevel"/>
    <w:tmpl w:val="0494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6C3A8A"/>
    <w:multiLevelType w:val="hybridMultilevel"/>
    <w:tmpl w:val="6358C4B0"/>
    <w:lvl w:ilvl="0" w:tplc="5686EACC">
      <w:start w:val="1"/>
      <w:numFmt w:val="upperRoman"/>
      <w:lvlText w:val="%1."/>
      <w:lvlJc w:val="right"/>
      <w:pPr>
        <w:ind w:left="720" w:hanging="360"/>
      </w:pPr>
    </w:lvl>
    <w:lvl w:ilvl="1" w:tplc="1416D868">
      <w:start w:val="1"/>
      <w:numFmt w:val="lowerLetter"/>
      <w:lvlText w:val="%2."/>
      <w:lvlJc w:val="left"/>
      <w:pPr>
        <w:ind w:left="1440" w:hanging="360"/>
      </w:pPr>
    </w:lvl>
    <w:lvl w:ilvl="2" w:tplc="8BF26CC0">
      <w:start w:val="1"/>
      <w:numFmt w:val="lowerRoman"/>
      <w:lvlText w:val="%3."/>
      <w:lvlJc w:val="right"/>
      <w:pPr>
        <w:ind w:left="2160" w:hanging="180"/>
      </w:pPr>
    </w:lvl>
    <w:lvl w:ilvl="3" w:tplc="9BD85440">
      <w:start w:val="1"/>
      <w:numFmt w:val="decimal"/>
      <w:lvlText w:val="%4."/>
      <w:lvlJc w:val="left"/>
      <w:pPr>
        <w:ind w:left="2880" w:hanging="360"/>
      </w:pPr>
    </w:lvl>
    <w:lvl w:ilvl="4" w:tplc="863406B6">
      <w:start w:val="1"/>
      <w:numFmt w:val="lowerLetter"/>
      <w:lvlText w:val="%5."/>
      <w:lvlJc w:val="left"/>
      <w:pPr>
        <w:ind w:left="3600" w:hanging="360"/>
      </w:pPr>
    </w:lvl>
    <w:lvl w:ilvl="5" w:tplc="DC8EDD24">
      <w:start w:val="1"/>
      <w:numFmt w:val="lowerRoman"/>
      <w:lvlText w:val="%6."/>
      <w:lvlJc w:val="right"/>
      <w:pPr>
        <w:ind w:left="4320" w:hanging="180"/>
      </w:pPr>
    </w:lvl>
    <w:lvl w:ilvl="6" w:tplc="5B4E1602">
      <w:start w:val="1"/>
      <w:numFmt w:val="decimal"/>
      <w:lvlText w:val="%7."/>
      <w:lvlJc w:val="left"/>
      <w:pPr>
        <w:ind w:left="5040" w:hanging="360"/>
      </w:pPr>
    </w:lvl>
    <w:lvl w:ilvl="7" w:tplc="B2FCF4F6">
      <w:start w:val="1"/>
      <w:numFmt w:val="lowerLetter"/>
      <w:lvlText w:val="%8."/>
      <w:lvlJc w:val="left"/>
      <w:pPr>
        <w:ind w:left="5760" w:hanging="360"/>
      </w:pPr>
    </w:lvl>
    <w:lvl w:ilvl="8" w:tplc="3F28366A">
      <w:start w:val="1"/>
      <w:numFmt w:val="lowerRoman"/>
      <w:lvlText w:val="%9."/>
      <w:lvlJc w:val="right"/>
      <w:pPr>
        <w:ind w:left="6480" w:hanging="180"/>
      </w:pPr>
    </w:lvl>
  </w:abstractNum>
  <w:abstractNum w:abstractNumId="13" w15:restartNumberingAfterBreak="0">
    <w:nsid w:val="44763096"/>
    <w:multiLevelType w:val="multilevel"/>
    <w:tmpl w:val="5506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300A84"/>
    <w:multiLevelType w:val="multilevel"/>
    <w:tmpl w:val="48F8E2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A2716"/>
    <w:multiLevelType w:val="multilevel"/>
    <w:tmpl w:val="A484C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797BC2"/>
    <w:multiLevelType w:val="multilevel"/>
    <w:tmpl w:val="2626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AC6BE9"/>
    <w:multiLevelType w:val="multilevel"/>
    <w:tmpl w:val="A484C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7174AB"/>
    <w:multiLevelType w:val="hybridMultilevel"/>
    <w:tmpl w:val="1E340378"/>
    <w:lvl w:ilvl="0" w:tplc="EED858DA">
      <w:start w:val="1"/>
      <w:numFmt w:val="decimal"/>
      <w:lvlText w:val="%1."/>
      <w:lvlJc w:val="left"/>
      <w:pPr>
        <w:ind w:left="720" w:hanging="360"/>
      </w:pPr>
    </w:lvl>
    <w:lvl w:ilvl="1" w:tplc="247CF7F4" w:tentative="1">
      <w:start w:val="1"/>
      <w:numFmt w:val="lowerLetter"/>
      <w:lvlText w:val="%2."/>
      <w:lvlJc w:val="left"/>
      <w:pPr>
        <w:ind w:left="1440" w:hanging="360"/>
      </w:pPr>
    </w:lvl>
    <w:lvl w:ilvl="2" w:tplc="D4461ECC" w:tentative="1">
      <w:start w:val="1"/>
      <w:numFmt w:val="lowerRoman"/>
      <w:lvlText w:val="%3."/>
      <w:lvlJc w:val="right"/>
      <w:pPr>
        <w:ind w:left="2160" w:hanging="180"/>
      </w:pPr>
    </w:lvl>
    <w:lvl w:ilvl="3" w:tplc="DE32D342" w:tentative="1">
      <w:start w:val="1"/>
      <w:numFmt w:val="decimal"/>
      <w:lvlText w:val="%4."/>
      <w:lvlJc w:val="left"/>
      <w:pPr>
        <w:ind w:left="2880" w:hanging="360"/>
      </w:pPr>
    </w:lvl>
    <w:lvl w:ilvl="4" w:tplc="43B4E168" w:tentative="1">
      <w:start w:val="1"/>
      <w:numFmt w:val="lowerLetter"/>
      <w:lvlText w:val="%5."/>
      <w:lvlJc w:val="left"/>
      <w:pPr>
        <w:ind w:left="3600" w:hanging="360"/>
      </w:pPr>
    </w:lvl>
    <w:lvl w:ilvl="5" w:tplc="F644543C" w:tentative="1">
      <w:start w:val="1"/>
      <w:numFmt w:val="lowerRoman"/>
      <w:lvlText w:val="%6."/>
      <w:lvlJc w:val="right"/>
      <w:pPr>
        <w:ind w:left="4320" w:hanging="180"/>
      </w:pPr>
    </w:lvl>
    <w:lvl w:ilvl="6" w:tplc="02CA3F7C" w:tentative="1">
      <w:start w:val="1"/>
      <w:numFmt w:val="decimal"/>
      <w:lvlText w:val="%7."/>
      <w:lvlJc w:val="left"/>
      <w:pPr>
        <w:ind w:left="5040" w:hanging="360"/>
      </w:pPr>
    </w:lvl>
    <w:lvl w:ilvl="7" w:tplc="0DCC85FA" w:tentative="1">
      <w:start w:val="1"/>
      <w:numFmt w:val="lowerLetter"/>
      <w:lvlText w:val="%8."/>
      <w:lvlJc w:val="left"/>
      <w:pPr>
        <w:ind w:left="5760" w:hanging="360"/>
      </w:pPr>
    </w:lvl>
    <w:lvl w:ilvl="8" w:tplc="59348712"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2"/>
  </w:num>
  <w:num w:numId="5">
    <w:abstractNumId w:val="13"/>
  </w:num>
  <w:num w:numId="6">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6"/>
  </w:num>
  <w:num w:numId="12">
    <w:abstractNumId w:val="15"/>
  </w:num>
  <w:num w:numId="13">
    <w:abstractNumId w:val="17"/>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num>
  <w:num w:numId="1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E6"/>
    <w:rsid w:val="000004E8"/>
    <w:rsid w:val="00000F9F"/>
    <w:rsid w:val="00002B1C"/>
    <w:rsid w:val="00016EA2"/>
    <w:rsid w:val="00017E69"/>
    <w:rsid w:val="00022801"/>
    <w:rsid w:val="00026029"/>
    <w:rsid w:val="00032929"/>
    <w:rsid w:val="000329DD"/>
    <w:rsid w:val="00033768"/>
    <w:rsid w:val="00036205"/>
    <w:rsid w:val="0004431C"/>
    <w:rsid w:val="000462FE"/>
    <w:rsid w:val="00056E25"/>
    <w:rsid w:val="000659DD"/>
    <w:rsid w:val="0008050F"/>
    <w:rsid w:val="00082F9E"/>
    <w:rsid w:val="00091098"/>
    <w:rsid w:val="000937F3"/>
    <w:rsid w:val="00094917"/>
    <w:rsid w:val="00096BDC"/>
    <w:rsid w:val="00096EE1"/>
    <w:rsid w:val="000A3B37"/>
    <w:rsid w:val="000B1276"/>
    <w:rsid w:val="000B140F"/>
    <w:rsid w:val="000B598C"/>
    <w:rsid w:val="000C0D2E"/>
    <w:rsid w:val="000C2F9C"/>
    <w:rsid w:val="000C6800"/>
    <w:rsid w:val="000D3A5B"/>
    <w:rsid w:val="000E029B"/>
    <w:rsid w:val="000E4B69"/>
    <w:rsid w:val="00102143"/>
    <w:rsid w:val="0010765F"/>
    <w:rsid w:val="00112BA1"/>
    <w:rsid w:val="00115771"/>
    <w:rsid w:val="00115B3F"/>
    <w:rsid w:val="001205DA"/>
    <w:rsid w:val="00120CF8"/>
    <w:rsid w:val="00124EF0"/>
    <w:rsid w:val="00125F4D"/>
    <w:rsid w:val="0014013E"/>
    <w:rsid w:val="00141C5D"/>
    <w:rsid w:val="00141C78"/>
    <w:rsid w:val="001470F5"/>
    <w:rsid w:val="00156FCA"/>
    <w:rsid w:val="00161EDD"/>
    <w:rsid w:val="00173183"/>
    <w:rsid w:val="00181012"/>
    <w:rsid w:val="0018242D"/>
    <w:rsid w:val="00184F15"/>
    <w:rsid w:val="001A0537"/>
    <w:rsid w:val="001A25A7"/>
    <w:rsid w:val="001A5339"/>
    <w:rsid w:val="001B2B2D"/>
    <w:rsid w:val="001B56B1"/>
    <w:rsid w:val="001C27F4"/>
    <w:rsid w:val="001D63E8"/>
    <w:rsid w:val="001E0AAB"/>
    <w:rsid w:val="001F3A86"/>
    <w:rsid w:val="001F5490"/>
    <w:rsid w:val="002039D5"/>
    <w:rsid w:val="00215CF9"/>
    <w:rsid w:val="00236C9F"/>
    <w:rsid w:val="002444AC"/>
    <w:rsid w:val="00245ABE"/>
    <w:rsid w:val="00247EE5"/>
    <w:rsid w:val="00256571"/>
    <w:rsid w:val="00264919"/>
    <w:rsid w:val="00274948"/>
    <w:rsid w:val="00275EB3"/>
    <w:rsid w:val="002774A8"/>
    <w:rsid w:val="00285CF2"/>
    <w:rsid w:val="00290FC9"/>
    <w:rsid w:val="002A217E"/>
    <w:rsid w:val="002A3F12"/>
    <w:rsid w:val="002A4F06"/>
    <w:rsid w:val="002A6240"/>
    <w:rsid w:val="002C0698"/>
    <w:rsid w:val="002C3E74"/>
    <w:rsid w:val="002D0288"/>
    <w:rsid w:val="002D24F6"/>
    <w:rsid w:val="002E08EC"/>
    <w:rsid w:val="002E1347"/>
    <w:rsid w:val="002E232B"/>
    <w:rsid w:val="002E317A"/>
    <w:rsid w:val="002E5F38"/>
    <w:rsid w:val="002F7E2F"/>
    <w:rsid w:val="00302881"/>
    <w:rsid w:val="0031192D"/>
    <w:rsid w:val="00342E3F"/>
    <w:rsid w:val="00346CCE"/>
    <w:rsid w:val="003515CD"/>
    <w:rsid w:val="00357C57"/>
    <w:rsid w:val="0036315F"/>
    <w:rsid w:val="00364E6C"/>
    <w:rsid w:val="00371647"/>
    <w:rsid w:val="00374815"/>
    <w:rsid w:val="00377CF9"/>
    <w:rsid w:val="00381B50"/>
    <w:rsid w:val="00395A8D"/>
    <w:rsid w:val="003B2A98"/>
    <w:rsid w:val="003B3AE1"/>
    <w:rsid w:val="003C6247"/>
    <w:rsid w:val="003D3040"/>
    <w:rsid w:val="003D464C"/>
    <w:rsid w:val="003E6C4F"/>
    <w:rsid w:val="003E7375"/>
    <w:rsid w:val="003F2AFF"/>
    <w:rsid w:val="004037E2"/>
    <w:rsid w:val="004156B8"/>
    <w:rsid w:val="00416E9A"/>
    <w:rsid w:val="00421E5B"/>
    <w:rsid w:val="00426F6E"/>
    <w:rsid w:val="00445BAC"/>
    <w:rsid w:val="004469F7"/>
    <w:rsid w:val="00455909"/>
    <w:rsid w:val="00467B96"/>
    <w:rsid w:val="00476289"/>
    <w:rsid w:val="00477131"/>
    <w:rsid w:val="004805AA"/>
    <w:rsid w:val="00481A68"/>
    <w:rsid w:val="00491A0D"/>
    <w:rsid w:val="00495010"/>
    <w:rsid w:val="004A087B"/>
    <w:rsid w:val="004B623E"/>
    <w:rsid w:val="004C1211"/>
    <w:rsid w:val="004C399D"/>
    <w:rsid w:val="004C7733"/>
    <w:rsid w:val="004D0798"/>
    <w:rsid w:val="004D42D5"/>
    <w:rsid w:val="004D76A8"/>
    <w:rsid w:val="004E23A7"/>
    <w:rsid w:val="004E262C"/>
    <w:rsid w:val="004F56EF"/>
    <w:rsid w:val="00500E97"/>
    <w:rsid w:val="00516D19"/>
    <w:rsid w:val="00533AF6"/>
    <w:rsid w:val="00543D27"/>
    <w:rsid w:val="00551FAD"/>
    <w:rsid w:val="005914CD"/>
    <w:rsid w:val="005952CC"/>
    <w:rsid w:val="00595B9F"/>
    <w:rsid w:val="0059674B"/>
    <w:rsid w:val="005B6FAC"/>
    <w:rsid w:val="005B767F"/>
    <w:rsid w:val="005B7EE8"/>
    <w:rsid w:val="005C23D6"/>
    <w:rsid w:val="005D701D"/>
    <w:rsid w:val="005D7301"/>
    <w:rsid w:val="005E6EAA"/>
    <w:rsid w:val="005F1EBB"/>
    <w:rsid w:val="005F3C1A"/>
    <w:rsid w:val="005F426B"/>
    <w:rsid w:val="00600D66"/>
    <w:rsid w:val="00604314"/>
    <w:rsid w:val="006114CE"/>
    <w:rsid w:val="00617CBD"/>
    <w:rsid w:val="00645492"/>
    <w:rsid w:val="00665426"/>
    <w:rsid w:val="006713A3"/>
    <w:rsid w:val="006740C4"/>
    <w:rsid w:val="00681545"/>
    <w:rsid w:val="00681D08"/>
    <w:rsid w:val="00687797"/>
    <w:rsid w:val="006950BD"/>
    <w:rsid w:val="006A3FBE"/>
    <w:rsid w:val="006B3193"/>
    <w:rsid w:val="006C7445"/>
    <w:rsid w:val="006D36BC"/>
    <w:rsid w:val="006E15CC"/>
    <w:rsid w:val="006E2970"/>
    <w:rsid w:val="006E565D"/>
    <w:rsid w:val="006E63A8"/>
    <w:rsid w:val="006F4219"/>
    <w:rsid w:val="006F521B"/>
    <w:rsid w:val="006F78DE"/>
    <w:rsid w:val="00703E7E"/>
    <w:rsid w:val="00707648"/>
    <w:rsid w:val="00713B8B"/>
    <w:rsid w:val="00720D22"/>
    <w:rsid w:val="00721DA1"/>
    <w:rsid w:val="00723507"/>
    <w:rsid w:val="00730ECC"/>
    <w:rsid w:val="00732B50"/>
    <w:rsid w:val="00732E7D"/>
    <w:rsid w:val="00735417"/>
    <w:rsid w:val="0075068B"/>
    <w:rsid w:val="00753F50"/>
    <w:rsid w:val="007655FF"/>
    <w:rsid w:val="00766269"/>
    <w:rsid w:val="0077065C"/>
    <w:rsid w:val="007707AD"/>
    <w:rsid w:val="00783D9F"/>
    <w:rsid w:val="00784FEC"/>
    <w:rsid w:val="007857ED"/>
    <w:rsid w:val="00786490"/>
    <w:rsid w:val="00791D3A"/>
    <w:rsid w:val="00792285"/>
    <w:rsid w:val="00795D8C"/>
    <w:rsid w:val="00796899"/>
    <w:rsid w:val="007B3515"/>
    <w:rsid w:val="007B5CFA"/>
    <w:rsid w:val="007C70B0"/>
    <w:rsid w:val="007C71A8"/>
    <w:rsid w:val="007D6816"/>
    <w:rsid w:val="007F4F98"/>
    <w:rsid w:val="00805117"/>
    <w:rsid w:val="00824F86"/>
    <w:rsid w:val="00825FCE"/>
    <w:rsid w:val="00826CEF"/>
    <w:rsid w:val="0082745B"/>
    <w:rsid w:val="00827760"/>
    <w:rsid w:val="00843668"/>
    <w:rsid w:val="00847FD4"/>
    <w:rsid w:val="00851822"/>
    <w:rsid w:val="00852075"/>
    <w:rsid w:val="00853510"/>
    <w:rsid w:val="00853B3C"/>
    <w:rsid w:val="00861BB2"/>
    <w:rsid w:val="00863077"/>
    <w:rsid w:val="00863F0B"/>
    <w:rsid w:val="00865287"/>
    <w:rsid w:val="00866E9D"/>
    <w:rsid w:val="00872AE4"/>
    <w:rsid w:val="00875317"/>
    <w:rsid w:val="00877884"/>
    <w:rsid w:val="00881055"/>
    <w:rsid w:val="00882A51"/>
    <w:rsid w:val="008876D0"/>
    <w:rsid w:val="008915D4"/>
    <w:rsid w:val="008A1648"/>
    <w:rsid w:val="008A4EBE"/>
    <w:rsid w:val="008A6D9B"/>
    <w:rsid w:val="008A7F15"/>
    <w:rsid w:val="008B0B61"/>
    <w:rsid w:val="008C4E45"/>
    <w:rsid w:val="008E5A56"/>
    <w:rsid w:val="008E7A17"/>
    <w:rsid w:val="008F1031"/>
    <w:rsid w:val="008F2D9A"/>
    <w:rsid w:val="0091326D"/>
    <w:rsid w:val="0092144C"/>
    <w:rsid w:val="00923B3F"/>
    <w:rsid w:val="00932ADE"/>
    <w:rsid w:val="009364F2"/>
    <w:rsid w:val="0094313F"/>
    <w:rsid w:val="009554F6"/>
    <w:rsid w:val="0095715D"/>
    <w:rsid w:val="00965D06"/>
    <w:rsid w:val="00977D6D"/>
    <w:rsid w:val="009830F5"/>
    <w:rsid w:val="00994028"/>
    <w:rsid w:val="009B0FBB"/>
    <w:rsid w:val="009B1D3A"/>
    <w:rsid w:val="009B5A9D"/>
    <w:rsid w:val="009C451E"/>
    <w:rsid w:val="009C65EE"/>
    <w:rsid w:val="009D74ED"/>
    <w:rsid w:val="009E2DA7"/>
    <w:rsid w:val="009E376D"/>
    <w:rsid w:val="009F0B9C"/>
    <w:rsid w:val="009F2741"/>
    <w:rsid w:val="00A0424E"/>
    <w:rsid w:val="00A12507"/>
    <w:rsid w:val="00A13EC8"/>
    <w:rsid w:val="00A1742B"/>
    <w:rsid w:val="00A32F65"/>
    <w:rsid w:val="00A40183"/>
    <w:rsid w:val="00A40CCE"/>
    <w:rsid w:val="00A41A3D"/>
    <w:rsid w:val="00A50BAB"/>
    <w:rsid w:val="00A554C1"/>
    <w:rsid w:val="00A571AE"/>
    <w:rsid w:val="00A82FBE"/>
    <w:rsid w:val="00A92EF4"/>
    <w:rsid w:val="00AA097E"/>
    <w:rsid w:val="00AA261D"/>
    <w:rsid w:val="00AB1C98"/>
    <w:rsid w:val="00AC44EE"/>
    <w:rsid w:val="00AC53A0"/>
    <w:rsid w:val="00AC7113"/>
    <w:rsid w:val="00AC7CAF"/>
    <w:rsid w:val="00AD57BD"/>
    <w:rsid w:val="00AE09BD"/>
    <w:rsid w:val="00AE6A56"/>
    <w:rsid w:val="00AE6D69"/>
    <w:rsid w:val="00AF005D"/>
    <w:rsid w:val="00AF0F79"/>
    <w:rsid w:val="00AF1D34"/>
    <w:rsid w:val="00B015DD"/>
    <w:rsid w:val="00B04AFF"/>
    <w:rsid w:val="00B16DB2"/>
    <w:rsid w:val="00B24B4A"/>
    <w:rsid w:val="00B27B30"/>
    <w:rsid w:val="00B30BC7"/>
    <w:rsid w:val="00B30FC0"/>
    <w:rsid w:val="00B36AEC"/>
    <w:rsid w:val="00B37F68"/>
    <w:rsid w:val="00B4250E"/>
    <w:rsid w:val="00B426A7"/>
    <w:rsid w:val="00B44193"/>
    <w:rsid w:val="00B44F0D"/>
    <w:rsid w:val="00B65575"/>
    <w:rsid w:val="00B65B06"/>
    <w:rsid w:val="00B71F5D"/>
    <w:rsid w:val="00B75561"/>
    <w:rsid w:val="00B761DD"/>
    <w:rsid w:val="00B76E09"/>
    <w:rsid w:val="00B817C4"/>
    <w:rsid w:val="00B83137"/>
    <w:rsid w:val="00B871DC"/>
    <w:rsid w:val="00B911AF"/>
    <w:rsid w:val="00B9364C"/>
    <w:rsid w:val="00BA23E6"/>
    <w:rsid w:val="00BA29F0"/>
    <w:rsid w:val="00BB2B3B"/>
    <w:rsid w:val="00BB33DC"/>
    <w:rsid w:val="00BB4BBD"/>
    <w:rsid w:val="00BD2A2C"/>
    <w:rsid w:val="00BD62B6"/>
    <w:rsid w:val="00BE77C0"/>
    <w:rsid w:val="00BF3373"/>
    <w:rsid w:val="00C000AF"/>
    <w:rsid w:val="00C074E3"/>
    <w:rsid w:val="00C11B70"/>
    <w:rsid w:val="00C11EB1"/>
    <w:rsid w:val="00C11F52"/>
    <w:rsid w:val="00C15B5F"/>
    <w:rsid w:val="00C167EA"/>
    <w:rsid w:val="00C200C4"/>
    <w:rsid w:val="00C230AD"/>
    <w:rsid w:val="00C26737"/>
    <w:rsid w:val="00C33D35"/>
    <w:rsid w:val="00C42B67"/>
    <w:rsid w:val="00C54A7F"/>
    <w:rsid w:val="00C6285E"/>
    <w:rsid w:val="00C632D3"/>
    <w:rsid w:val="00C667F1"/>
    <w:rsid w:val="00C76113"/>
    <w:rsid w:val="00C77C13"/>
    <w:rsid w:val="00C82167"/>
    <w:rsid w:val="00C85921"/>
    <w:rsid w:val="00C871A2"/>
    <w:rsid w:val="00C928F9"/>
    <w:rsid w:val="00C92C2D"/>
    <w:rsid w:val="00C936B9"/>
    <w:rsid w:val="00C95AB9"/>
    <w:rsid w:val="00CA1A7B"/>
    <w:rsid w:val="00CA218C"/>
    <w:rsid w:val="00CA41CB"/>
    <w:rsid w:val="00CB0010"/>
    <w:rsid w:val="00CB42A5"/>
    <w:rsid w:val="00CC128B"/>
    <w:rsid w:val="00CC2BCB"/>
    <w:rsid w:val="00CC49C2"/>
    <w:rsid w:val="00CD732A"/>
    <w:rsid w:val="00CE63C6"/>
    <w:rsid w:val="00CF3649"/>
    <w:rsid w:val="00D0579B"/>
    <w:rsid w:val="00D06F88"/>
    <w:rsid w:val="00D139CC"/>
    <w:rsid w:val="00D144AA"/>
    <w:rsid w:val="00D206CC"/>
    <w:rsid w:val="00D2372E"/>
    <w:rsid w:val="00D23975"/>
    <w:rsid w:val="00D23EF4"/>
    <w:rsid w:val="00D246EE"/>
    <w:rsid w:val="00D30340"/>
    <w:rsid w:val="00D3687B"/>
    <w:rsid w:val="00D405CA"/>
    <w:rsid w:val="00D4431D"/>
    <w:rsid w:val="00D81F89"/>
    <w:rsid w:val="00D824A7"/>
    <w:rsid w:val="00D86B0F"/>
    <w:rsid w:val="00D87083"/>
    <w:rsid w:val="00D91D0E"/>
    <w:rsid w:val="00D92F0E"/>
    <w:rsid w:val="00D9580D"/>
    <w:rsid w:val="00D96519"/>
    <w:rsid w:val="00DA76AA"/>
    <w:rsid w:val="00DB2434"/>
    <w:rsid w:val="00DB6005"/>
    <w:rsid w:val="00DB6B2B"/>
    <w:rsid w:val="00DB6F9C"/>
    <w:rsid w:val="00DC196E"/>
    <w:rsid w:val="00DC6E1F"/>
    <w:rsid w:val="00DD0DE7"/>
    <w:rsid w:val="00DD2AB3"/>
    <w:rsid w:val="00DD7928"/>
    <w:rsid w:val="00DF6C3E"/>
    <w:rsid w:val="00DF714E"/>
    <w:rsid w:val="00DF7EFB"/>
    <w:rsid w:val="00E05F64"/>
    <w:rsid w:val="00E07464"/>
    <w:rsid w:val="00E211F3"/>
    <w:rsid w:val="00E25010"/>
    <w:rsid w:val="00E3182A"/>
    <w:rsid w:val="00E413B7"/>
    <w:rsid w:val="00E43BB7"/>
    <w:rsid w:val="00E440F2"/>
    <w:rsid w:val="00E46F00"/>
    <w:rsid w:val="00E53450"/>
    <w:rsid w:val="00E53F01"/>
    <w:rsid w:val="00E62777"/>
    <w:rsid w:val="00E62D6D"/>
    <w:rsid w:val="00E636BA"/>
    <w:rsid w:val="00E70FCB"/>
    <w:rsid w:val="00E72DDA"/>
    <w:rsid w:val="00E76B61"/>
    <w:rsid w:val="00E84ED1"/>
    <w:rsid w:val="00E927E6"/>
    <w:rsid w:val="00E9374C"/>
    <w:rsid w:val="00EB7690"/>
    <w:rsid w:val="00EC4A98"/>
    <w:rsid w:val="00EC5FEF"/>
    <w:rsid w:val="00ED5928"/>
    <w:rsid w:val="00EE10FE"/>
    <w:rsid w:val="00EE5960"/>
    <w:rsid w:val="00EF12A1"/>
    <w:rsid w:val="00EF6E7B"/>
    <w:rsid w:val="00F13DF0"/>
    <w:rsid w:val="00F146B6"/>
    <w:rsid w:val="00F236AF"/>
    <w:rsid w:val="00F26A4E"/>
    <w:rsid w:val="00F37668"/>
    <w:rsid w:val="00F379D6"/>
    <w:rsid w:val="00F4162C"/>
    <w:rsid w:val="00F433E0"/>
    <w:rsid w:val="00F45D93"/>
    <w:rsid w:val="00F478CA"/>
    <w:rsid w:val="00F7767E"/>
    <w:rsid w:val="00F84E51"/>
    <w:rsid w:val="00F87A0C"/>
    <w:rsid w:val="00F96A4A"/>
    <w:rsid w:val="00FB157E"/>
    <w:rsid w:val="00FB5742"/>
    <w:rsid w:val="00FC259D"/>
    <w:rsid w:val="00FC515D"/>
    <w:rsid w:val="00FD0FAD"/>
    <w:rsid w:val="00FE5D45"/>
    <w:rsid w:val="00FF1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55A8"/>
  <w15:chartTrackingRefBased/>
  <w15:docId w15:val="{9DD40BB7-5BC5-4353-A1B2-57ACF6D0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7B"/>
  </w:style>
  <w:style w:type="paragraph" w:styleId="Heading1">
    <w:name w:val="heading 1"/>
    <w:basedOn w:val="Normal"/>
    <w:next w:val="Normal"/>
    <w:link w:val="Heading1Char"/>
    <w:uiPriority w:val="9"/>
    <w:qFormat/>
    <w:rsid w:val="00EF6E7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EF6E7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EF6E7B"/>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EF6E7B"/>
    <w:pPr>
      <w:keepNext/>
      <w:keepLines/>
      <w:spacing w:before="40" w:after="0" w:line="276"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semiHidden/>
    <w:unhideWhenUsed/>
    <w:qFormat/>
    <w:rsid w:val="00EF6E7B"/>
    <w:pPr>
      <w:keepNext/>
      <w:keepLines/>
      <w:spacing w:before="40" w:after="0" w:line="276" w:lineRule="auto"/>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E7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F6E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EF6E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EF6E7B"/>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EF6E7B"/>
    <w:rPr>
      <w:rFonts w:asciiTheme="majorHAnsi" w:eastAsiaTheme="majorEastAsia" w:hAnsiTheme="majorHAnsi" w:cstheme="majorBidi"/>
      <w:color w:val="2E74B5" w:themeColor="accent1" w:themeShade="BF"/>
      <w:lang w:val="en-US"/>
    </w:rPr>
  </w:style>
  <w:style w:type="paragraph" w:styleId="NormalWeb">
    <w:name w:val="Normal (Web)"/>
    <w:basedOn w:val="Normal"/>
    <w:uiPriority w:val="99"/>
    <w:unhideWhenUsed/>
    <w:rsid w:val="00EF6E7B"/>
    <w:pPr>
      <w:spacing w:before="100" w:beforeAutospacing="1" w:after="100" w:afterAutospacing="1" w:line="240" w:lineRule="auto"/>
    </w:pPr>
    <w:rPr>
      <w:rFonts w:ascii="Times New Roman" w:eastAsia="Times New Roman" w:hAnsi="Times New Roman" w:cs="Arial"/>
      <w:szCs w:val="24"/>
      <w:lang w:eastAsia="en-GB"/>
    </w:rPr>
  </w:style>
  <w:style w:type="paragraph" w:styleId="Title">
    <w:name w:val="Title"/>
    <w:basedOn w:val="Normal"/>
    <w:next w:val="Normal"/>
    <w:link w:val="TitleChar"/>
    <w:uiPriority w:val="10"/>
    <w:qFormat/>
    <w:rsid w:val="00EF6E7B"/>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EF6E7B"/>
    <w:rPr>
      <w:rFonts w:asciiTheme="majorHAnsi" w:eastAsiaTheme="majorEastAsia" w:hAnsiTheme="majorHAnsi" w:cstheme="majorBidi"/>
      <w:spacing w:val="-10"/>
      <w:kern w:val="28"/>
      <w:sz w:val="56"/>
      <w:szCs w:val="56"/>
      <w:lang w:val="en-US"/>
    </w:rPr>
  </w:style>
  <w:style w:type="paragraph" w:customStyle="1" w:styleId="yiv9618909566xydpe0aec36ayiv1923946846msocommenttext">
    <w:name w:val="yiv9618909566x_ydpe0aec36ayiv1923946846msocommenttext"/>
    <w:basedOn w:val="Normal"/>
    <w:rsid w:val="00EF6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F6E7B"/>
    <w:rPr>
      <w:color w:val="0000FF"/>
      <w:u w:val="single"/>
    </w:rPr>
  </w:style>
  <w:style w:type="character" w:styleId="Emphasis">
    <w:name w:val="Emphasis"/>
    <w:basedOn w:val="DefaultParagraphFont"/>
    <w:uiPriority w:val="20"/>
    <w:qFormat/>
    <w:rsid w:val="00EF6E7B"/>
    <w:rPr>
      <w:i/>
      <w:iCs/>
    </w:rPr>
  </w:style>
  <w:style w:type="paragraph" w:styleId="FootnoteText">
    <w:name w:val="footnote text"/>
    <w:basedOn w:val="Normal"/>
    <w:link w:val="FootnoteTextChar"/>
    <w:unhideWhenUsed/>
    <w:rsid w:val="00EF6E7B"/>
    <w:pPr>
      <w:spacing w:after="0" w:line="240" w:lineRule="auto"/>
    </w:pPr>
    <w:rPr>
      <w:sz w:val="20"/>
      <w:szCs w:val="20"/>
    </w:rPr>
  </w:style>
  <w:style w:type="character" w:customStyle="1" w:styleId="FootnoteTextChar">
    <w:name w:val="Footnote Text Char"/>
    <w:basedOn w:val="DefaultParagraphFont"/>
    <w:link w:val="FootnoteText"/>
    <w:qFormat/>
    <w:rsid w:val="00EF6E7B"/>
    <w:rPr>
      <w:sz w:val="20"/>
      <w:szCs w:val="20"/>
    </w:rPr>
  </w:style>
  <w:style w:type="character" w:styleId="FootnoteReference">
    <w:name w:val="footnote reference"/>
    <w:aliases w:val="4_G"/>
    <w:basedOn w:val="DefaultParagraphFont"/>
    <w:unhideWhenUsed/>
    <w:rsid w:val="00EF6E7B"/>
    <w:rPr>
      <w:vertAlign w:val="superscript"/>
    </w:rPr>
  </w:style>
  <w:style w:type="character" w:customStyle="1" w:styleId="st1">
    <w:name w:val="st1"/>
    <w:basedOn w:val="DefaultParagraphFont"/>
    <w:rsid w:val="00EF6E7B"/>
  </w:style>
  <w:style w:type="character" w:customStyle="1" w:styleId="citation">
    <w:name w:val="citation"/>
    <w:basedOn w:val="DefaultParagraphFont"/>
    <w:rsid w:val="00EF6E7B"/>
  </w:style>
  <w:style w:type="character" w:styleId="Strong">
    <w:name w:val="Strong"/>
    <w:basedOn w:val="DefaultParagraphFont"/>
    <w:uiPriority w:val="22"/>
    <w:qFormat/>
    <w:rsid w:val="00EF6E7B"/>
    <w:rPr>
      <w:b/>
      <w:bCs/>
    </w:rPr>
  </w:style>
  <w:style w:type="character" w:styleId="CommentReference">
    <w:name w:val="annotation reference"/>
    <w:basedOn w:val="DefaultParagraphFont"/>
    <w:uiPriority w:val="99"/>
    <w:semiHidden/>
    <w:unhideWhenUsed/>
    <w:rsid w:val="00EF6E7B"/>
    <w:rPr>
      <w:sz w:val="16"/>
      <w:szCs w:val="16"/>
    </w:rPr>
  </w:style>
  <w:style w:type="paragraph" w:styleId="CommentText">
    <w:name w:val="annotation text"/>
    <w:basedOn w:val="Normal"/>
    <w:link w:val="CommentTextChar"/>
    <w:uiPriority w:val="99"/>
    <w:unhideWhenUsed/>
    <w:rsid w:val="00EF6E7B"/>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EF6E7B"/>
    <w:rPr>
      <w:sz w:val="20"/>
      <w:szCs w:val="20"/>
      <w:lang w:val="en-US"/>
    </w:rPr>
  </w:style>
  <w:style w:type="paragraph" w:styleId="CommentSubject">
    <w:name w:val="annotation subject"/>
    <w:basedOn w:val="CommentText"/>
    <w:next w:val="CommentText"/>
    <w:link w:val="CommentSubjectChar"/>
    <w:uiPriority w:val="99"/>
    <w:semiHidden/>
    <w:unhideWhenUsed/>
    <w:rsid w:val="00EF6E7B"/>
    <w:rPr>
      <w:b/>
      <w:bCs/>
    </w:rPr>
  </w:style>
  <w:style w:type="character" w:customStyle="1" w:styleId="CommentSubjectChar">
    <w:name w:val="Comment Subject Char"/>
    <w:basedOn w:val="CommentTextChar"/>
    <w:link w:val="CommentSubject"/>
    <w:uiPriority w:val="99"/>
    <w:semiHidden/>
    <w:rsid w:val="00EF6E7B"/>
    <w:rPr>
      <w:b/>
      <w:bCs/>
      <w:sz w:val="20"/>
      <w:szCs w:val="20"/>
      <w:lang w:val="en-US"/>
    </w:rPr>
  </w:style>
  <w:style w:type="paragraph" w:styleId="BalloonText">
    <w:name w:val="Balloon Text"/>
    <w:basedOn w:val="Normal"/>
    <w:link w:val="BalloonTextChar"/>
    <w:uiPriority w:val="99"/>
    <w:semiHidden/>
    <w:unhideWhenUsed/>
    <w:rsid w:val="00EF6E7B"/>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EF6E7B"/>
    <w:rPr>
      <w:rFonts w:ascii="Segoe UI" w:hAnsi="Segoe UI" w:cs="Segoe UI"/>
      <w:sz w:val="18"/>
      <w:szCs w:val="18"/>
      <w:lang w:val="en-US"/>
    </w:rPr>
  </w:style>
  <w:style w:type="paragraph" w:styleId="ListParagraph">
    <w:name w:val="List Paragraph"/>
    <w:basedOn w:val="Normal"/>
    <w:uiPriority w:val="34"/>
    <w:qFormat/>
    <w:rsid w:val="00EF6E7B"/>
    <w:pPr>
      <w:spacing w:after="200" w:line="276" w:lineRule="auto"/>
      <w:ind w:left="720"/>
      <w:contextualSpacing/>
    </w:pPr>
    <w:rPr>
      <w:lang w:val="en-US"/>
    </w:rPr>
  </w:style>
  <w:style w:type="paragraph" w:customStyle="1" w:styleId="yiv0024624577xydp521c7d04msonormal">
    <w:name w:val="yiv0024624577x_ydp521c7d04msonormal"/>
    <w:basedOn w:val="Normal"/>
    <w:rsid w:val="00EF6E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024624577xydp521c7d04msolistparagraph">
    <w:name w:val="yiv0024624577x_ydp521c7d04msolistparagraph"/>
    <w:basedOn w:val="Normal"/>
    <w:rsid w:val="00EF6E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TxText"/>
    <w:link w:val="EndnoteTextChar"/>
    <w:rsid w:val="00EF6E7B"/>
    <w:pPr>
      <w:spacing w:line="200" w:lineRule="exact"/>
      <w:ind w:firstLine="0"/>
    </w:pPr>
    <w:rPr>
      <w:sz w:val="18"/>
    </w:rPr>
  </w:style>
  <w:style w:type="character" w:customStyle="1" w:styleId="EndnoteTextChar">
    <w:name w:val="Endnote Text Char"/>
    <w:basedOn w:val="DefaultParagraphFont"/>
    <w:link w:val="EndnoteText"/>
    <w:rsid w:val="00EF6E7B"/>
    <w:rPr>
      <w:rFonts w:ascii="Gentium Basic" w:eastAsia="Times New Roman" w:hAnsi="Gentium Basic"/>
      <w:kern w:val="20"/>
      <w:sz w:val="18"/>
      <w:szCs w:val="20"/>
      <w:lang w:val="en-US"/>
    </w:rPr>
  </w:style>
  <w:style w:type="character" w:styleId="EndnoteReference">
    <w:name w:val="endnote reference"/>
    <w:rsid w:val="00EF6E7B"/>
    <w:rPr>
      <w:rFonts w:ascii="Gentium Plus" w:hAnsi="Gentium Plus"/>
      <w:b w:val="0"/>
      <w:sz w:val="18"/>
      <w:bdr w:val="none" w:sz="0" w:space="0" w:color="auto"/>
      <w:shd w:val="clear" w:color="auto" w:fill="auto"/>
      <w:vertAlign w:val="superscript"/>
    </w:rPr>
  </w:style>
  <w:style w:type="paragraph" w:customStyle="1" w:styleId="TxText">
    <w:name w:val="Tx Text"/>
    <w:basedOn w:val="Normal"/>
    <w:autoRedefine/>
    <w:rsid w:val="00EF6E7B"/>
    <w:pPr>
      <w:spacing w:after="0" w:line="240" w:lineRule="atLeast"/>
      <w:ind w:firstLine="204"/>
      <w:contextualSpacing/>
      <w:jc w:val="both"/>
    </w:pPr>
    <w:rPr>
      <w:rFonts w:ascii="Gentium Basic" w:eastAsia="Times New Roman" w:hAnsi="Gentium Basic"/>
      <w:kern w:val="20"/>
      <w:sz w:val="20"/>
      <w:szCs w:val="20"/>
      <w:lang w:val="en-US"/>
    </w:rPr>
  </w:style>
  <w:style w:type="paragraph" w:customStyle="1" w:styleId="BLmBulletedListmiddle">
    <w:name w:val="BL (m) Bulleted List (middle)"/>
    <w:basedOn w:val="TxText"/>
    <w:rsid w:val="00EF6E7B"/>
    <w:pPr>
      <w:tabs>
        <w:tab w:val="right" w:pos="547"/>
      </w:tabs>
      <w:ind w:left="360" w:hanging="360"/>
    </w:pPr>
  </w:style>
  <w:style w:type="paragraph" w:customStyle="1" w:styleId="BLfBulletedListfirst">
    <w:name w:val="BL (f) Bulleted List (first)"/>
    <w:basedOn w:val="BLmBulletedListmiddle"/>
    <w:rsid w:val="00EF6E7B"/>
    <w:pPr>
      <w:spacing w:before="240"/>
    </w:pPr>
  </w:style>
  <w:style w:type="paragraph" w:customStyle="1" w:styleId="BLlBulletedListlast">
    <w:name w:val="BL (l) Bulleted List (last)"/>
    <w:basedOn w:val="BLmBulletedListmiddle"/>
    <w:rsid w:val="00EF6E7B"/>
    <w:pPr>
      <w:spacing w:after="240"/>
    </w:pPr>
  </w:style>
  <w:style w:type="paragraph" w:customStyle="1" w:styleId="Tx1TextFirstParagraph">
    <w:name w:val="Tx1 Text First Paragraph"/>
    <w:basedOn w:val="TxText"/>
    <w:rsid w:val="00EF6E7B"/>
    <w:pPr>
      <w:ind w:firstLine="0"/>
    </w:pPr>
  </w:style>
  <w:style w:type="paragraph" w:customStyle="1" w:styleId="TxCTextContinuation">
    <w:name w:val="TxC Text Continuation"/>
    <w:basedOn w:val="Normal"/>
    <w:rsid w:val="00EF6E7B"/>
    <w:pPr>
      <w:spacing w:after="0" w:line="240" w:lineRule="atLeast"/>
      <w:contextualSpacing/>
      <w:jc w:val="both"/>
    </w:pPr>
    <w:rPr>
      <w:rFonts w:ascii="Gentium Basic" w:eastAsia="Times New Roman" w:hAnsi="Gentium Basic"/>
      <w:kern w:val="20"/>
      <w:sz w:val="20"/>
      <w:szCs w:val="20"/>
      <w:lang w:val="en-US"/>
    </w:rPr>
  </w:style>
  <w:style w:type="character" w:styleId="IntenseEmphasis">
    <w:name w:val="Intense Emphasis"/>
    <w:basedOn w:val="DefaultParagraphFont"/>
    <w:uiPriority w:val="21"/>
    <w:qFormat/>
    <w:rsid w:val="00EF6E7B"/>
    <w:rPr>
      <w:b/>
      <w:bCs/>
      <w:i/>
      <w:iCs/>
      <w:color w:val="5B9BD5" w:themeColor="accent1"/>
    </w:rPr>
  </w:style>
  <w:style w:type="paragraph" w:customStyle="1" w:styleId="ydp93887e8dmsonormal">
    <w:name w:val="ydp93887e8dmsonormal"/>
    <w:basedOn w:val="Normal"/>
    <w:rsid w:val="00EF6E7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EF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F6E7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EF6E7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rsid w:val="00EF6E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BEBody">
    <w:name w:val="OBE Body"/>
    <w:basedOn w:val="Normal"/>
    <w:link w:val="OBEBodyChar"/>
    <w:qFormat/>
    <w:rsid w:val="00EF6E7B"/>
    <w:pPr>
      <w:spacing w:after="200" w:line="480" w:lineRule="auto"/>
      <w:jc w:val="both"/>
    </w:pPr>
    <w:rPr>
      <w:rFonts w:ascii="Times New Roman" w:eastAsia="MS Mincho" w:hAnsi="Times New Roman" w:cs="Times New Roman"/>
      <w:sz w:val="24"/>
      <w:szCs w:val="24"/>
      <w:lang w:eastAsia="en-GB"/>
    </w:rPr>
  </w:style>
  <w:style w:type="character" w:customStyle="1" w:styleId="OBEBodyChar">
    <w:name w:val="OBE Body Char"/>
    <w:link w:val="OBEBody"/>
    <w:rsid w:val="00EF6E7B"/>
    <w:rPr>
      <w:rFonts w:ascii="Times New Roman" w:eastAsia="MS Mincho" w:hAnsi="Times New Roman" w:cs="Times New Roman"/>
      <w:sz w:val="24"/>
      <w:szCs w:val="24"/>
      <w:lang w:eastAsia="en-GB"/>
    </w:rPr>
  </w:style>
  <w:style w:type="paragraph" w:customStyle="1" w:styleId="ydpa62ccd2emsonormal">
    <w:name w:val="ydpa62ccd2emsonormal"/>
    <w:basedOn w:val="Normal"/>
    <w:rsid w:val="00EF6E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0">
    <w:name w:val="Normal0"/>
    <w:qFormat/>
    <w:rsid w:val="00DA76AA"/>
    <w:pPr>
      <w:spacing w:line="256" w:lineRule="auto"/>
    </w:pPr>
    <w:rPr>
      <w:rFonts w:ascii="Calibri" w:eastAsia="Calibri" w:hAnsi="Calibri" w:cs="Calibri"/>
      <w:lang w:val="en-US" w:eastAsia="en-GB"/>
    </w:rPr>
  </w:style>
  <w:style w:type="character" w:customStyle="1" w:styleId="FootnoteCharacters">
    <w:name w:val="Footnote Characters"/>
    <w:basedOn w:val="DefaultParagraphFont"/>
    <w:semiHidden/>
    <w:qFormat/>
    <w:rsid w:val="00DA76AA"/>
    <w:rPr>
      <w:vertAlign w:val="superscript"/>
    </w:rPr>
  </w:style>
  <w:style w:type="character" w:customStyle="1" w:styleId="FootnoteAnchor">
    <w:name w:val="Footnote Anchor"/>
    <w:rsid w:val="00DA76AA"/>
    <w:rPr>
      <w:vertAlign w:val="superscript"/>
    </w:rPr>
  </w:style>
  <w:style w:type="paragraph" w:styleId="Header">
    <w:name w:val="header"/>
    <w:basedOn w:val="Normal"/>
    <w:link w:val="HeaderChar"/>
    <w:uiPriority w:val="99"/>
    <w:unhideWhenUsed/>
    <w:rsid w:val="00E53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F01"/>
  </w:style>
  <w:style w:type="paragraph" w:styleId="Footer">
    <w:name w:val="footer"/>
    <w:basedOn w:val="Normal"/>
    <w:link w:val="FooterChar"/>
    <w:uiPriority w:val="99"/>
    <w:unhideWhenUsed/>
    <w:rsid w:val="00E53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F01"/>
  </w:style>
  <w:style w:type="paragraph" w:styleId="Revision">
    <w:name w:val="Revision"/>
    <w:hidden/>
    <w:uiPriority w:val="99"/>
    <w:semiHidden/>
    <w:rsid w:val="00426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A8EA-09EF-4AAB-86F0-C8C0D558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2452</Words>
  <Characters>13981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Mylene Bidault Abdulle</cp:lastModifiedBy>
  <cp:revision>2</cp:revision>
  <dcterms:created xsi:type="dcterms:W3CDTF">2023-01-31T16:15:00Z</dcterms:created>
  <dcterms:modified xsi:type="dcterms:W3CDTF">2023-01-31T16:15:00Z</dcterms:modified>
</cp:coreProperties>
</file>