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DB79" w14:textId="577FBE85" w:rsidR="00FD509D" w:rsidRDefault="00FD509D" w:rsidP="00FD509D">
      <w:pPr>
        <w:jc w:val="center"/>
        <w:rPr>
          <w:rStyle w:val="CommentReference"/>
          <w:rFonts w:asciiTheme="minorHAnsi" w:hAnsiTheme="minorHAnsi" w:cstheme="minorHAnsi"/>
          <w:sz w:val="28"/>
          <w:szCs w:val="28"/>
        </w:rPr>
      </w:pPr>
      <w:r w:rsidRPr="00FD509D">
        <w:rPr>
          <w:rFonts w:asciiTheme="minorHAnsi" w:hAnsiTheme="minorHAnsi" w:cstheme="minorHAnsi"/>
          <w:sz w:val="28"/>
          <w:szCs w:val="28"/>
        </w:rPr>
        <w:t xml:space="preserve">UNICEF’s input to the </w:t>
      </w:r>
      <w:r w:rsidR="00745123" w:rsidRPr="00745123">
        <w:rPr>
          <w:rFonts w:asciiTheme="minorHAnsi" w:hAnsiTheme="minorHAnsi" w:cstheme="minorHAnsi"/>
          <w:sz w:val="28"/>
          <w:szCs w:val="28"/>
        </w:rPr>
        <w:t>Special Rapporteur on the right to education</w:t>
      </w:r>
      <w:r w:rsidR="00745123">
        <w:rPr>
          <w:rFonts w:asciiTheme="minorHAnsi" w:hAnsiTheme="minorHAnsi" w:cstheme="minorHAnsi"/>
          <w:sz w:val="28"/>
          <w:szCs w:val="28"/>
        </w:rPr>
        <w:t>’s</w:t>
      </w:r>
      <w:r w:rsidR="00745123" w:rsidRPr="00745123">
        <w:rPr>
          <w:rFonts w:asciiTheme="minorHAnsi" w:hAnsiTheme="minorHAnsi" w:cstheme="minorHAnsi"/>
          <w:sz w:val="28"/>
          <w:szCs w:val="28"/>
        </w:rPr>
        <w:t xml:space="preserve"> thematic report to the Human Rights Council in June 2023</w:t>
      </w:r>
    </w:p>
    <w:p w14:paraId="40F32FCB" w14:textId="77777777" w:rsidR="00FD509D" w:rsidRDefault="00FD509D" w:rsidP="00FD509D">
      <w:pPr>
        <w:jc w:val="center"/>
        <w:rPr>
          <w:rStyle w:val="CommentReference"/>
          <w:rFonts w:asciiTheme="minorHAnsi" w:hAnsiTheme="minorHAnsi" w:cstheme="minorHAnsi"/>
          <w:sz w:val="22"/>
          <w:szCs w:val="22"/>
        </w:rPr>
      </w:pPr>
    </w:p>
    <w:p w14:paraId="44E1E54A" w14:textId="7F38FF0F" w:rsidR="00FD509D" w:rsidRDefault="00FD509D" w:rsidP="00FD509D">
      <w:pPr>
        <w:jc w:val="center"/>
        <w:rPr>
          <w:rStyle w:val="CommentReference"/>
          <w:rFonts w:asciiTheme="minorHAnsi" w:hAnsiTheme="minorHAnsi" w:cstheme="minorHAnsi"/>
          <w:sz w:val="28"/>
          <w:szCs w:val="28"/>
        </w:rPr>
      </w:pPr>
      <w:r w:rsidRPr="00E620E0">
        <w:rPr>
          <w:rStyle w:val="CommentReference"/>
          <w:rFonts w:asciiTheme="minorHAnsi" w:hAnsiTheme="minorHAnsi" w:cstheme="minorHAnsi"/>
          <w:sz w:val="28"/>
          <w:szCs w:val="28"/>
        </w:rPr>
        <w:t>13 January 2023</w:t>
      </w:r>
    </w:p>
    <w:p w14:paraId="489DD7F0" w14:textId="77777777" w:rsidR="00E620E0" w:rsidRPr="00E620E0" w:rsidRDefault="00E620E0" w:rsidP="00FD509D">
      <w:pPr>
        <w:jc w:val="center"/>
        <w:rPr>
          <w:rStyle w:val="CommentReference"/>
          <w:rFonts w:asciiTheme="minorHAnsi" w:hAnsiTheme="minorHAnsi" w:cstheme="minorHAnsi"/>
          <w:sz w:val="28"/>
          <w:szCs w:val="28"/>
        </w:rPr>
      </w:pPr>
    </w:p>
    <w:p w14:paraId="7BB72977" w14:textId="77777777" w:rsidR="00F4787B" w:rsidRPr="00DA3769" w:rsidRDefault="00F4787B" w:rsidP="00D94EE9">
      <w:pPr>
        <w:spacing w:after="160" w:line="259" w:lineRule="auto"/>
        <w:jc w:val="both"/>
        <w:rPr>
          <w:rFonts w:asciiTheme="minorHAnsi" w:hAnsiTheme="minorHAnsi" w:cstheme="minorHAnsi"/>
          <w:sz w:val="22"/>
          <w:szCs w:val="22"/>
        </w:rPr>
      </w:pPr>
    </w:p>
    <w:p w14:paraId="3CBEA5AE" w14:textId="77777777" w:rsidR="00F4787B" w:rsidRPr="00DA3769" w:rsidRDefault="00F4787B" w:rsidP="00DA3769">
      <w:pPr>
        <w:pStyle w:val="Heading1"/>
      </w:pPr>
      <w:r w:rsidRPr="00DA3769">
        <w:t>Assessing the achievements made by the mandate of the Special Rapporteur on the right to education over the last 25 years</w:t>
      </w:r>
    </w:p>
    <w:p w14:paraId="53A6D66F" w14:textId="25AFDFEB" w:rsidR="00DC123A" w:rsidRPr="00DA3769" w:rsidRDefault="00DC123A" w:rsidP="00640691">
      <w:pPr>
        <w:jc w:val="both"/>
        <w:rPr>
          <w:rFonts w:asciiTheme="minorHAnsi" w:hAnsiTheme="minorHAnsi" w:cstheme="minorHAnsi"/>
          <w:sz w:val="22"/>
          <w:szCs w:val="22"/>
          <w:lang w:val="en-US"/>
        </w:rPr>
      </w:pPr>
    </w:p>
    <w:p w14:paraId="1E2174FF" w14:textId="7F696117" w:rsidR="004250BC" w:rsidRPr="00DA3769" w:rsidRDefault="004250BC" w:rsidP="00DA3769">
      <w:pPr>
        <w:pStyle w:val="ListParagraph"/>
        <w:numPr>
          <w:ilvl w:val="0"/>
          <w:numId w:val="21"/>
        </w:numPr>
        <w:spacing w:after="120"/>
        <w:contextualSpacing w:val="0"/>
        <w:jc w:val="both"/>
        <w:rPr>
          <w:rFonts w:asciiTheme="minorHAnsi" w:hAnsiTheme="minorHAnsi" w:cstheme="minorHAnsi"/>
          <w:sz w:val="22"/>
          <w:szCs w:val="22"/>
          <w:lang w:val="en-US"/>
        </w:rPr>
      </w:pPr>
      <w:r w:rsidRPr="00DA3769">
        <w:rPr>
          <w:rFonts w:asciiTheme="minorHAnsi" w:hAnsiTheme="minorHAnsi" w:cstheme="minorHAnsi"/>
          <w:sz w:val="22"/>
          <w:szCs w:val="22"/>
        </w:rPr>
        <w:t>In the past two decades, the global out-of-school rate decreased by 10 percentage points, with the largest improvements observed in West and Central Africa and Eastern and Southern Africa.</w:t>
      </w:r>
      <w:r w:rsidRPr="00DA3769">
        <w:rPr>
          <w:rStyle w:val="FootnoteReference"/>
          <w:rFonts w:asciiTheme="minorHAnsi" w:hAnsiTheme="minorHAnsi" w:cstheme="minorHAnsi"/>
          <w:sz w:val="22"/>
          <w:szCs w:val="22"/>
        </w:rPr>
        <w:footnoteReference w:id="2"/>
      </w:r>
    </w:p>
    <w:p w14:paraId="3B123683" w14:textId="77777777" w:rsidR="00313C12" w:rsidRPr="00DA3769" w:rsidRDefault="00313C12" w:rsidP="00DA3769">
      <w:pPr>
        <w:pStyle w:val="ListParagraph"/>
        <w:numPr>
          <w:ilvl w:val="0"/>
          <w:numId w:val="21"/>
        </w:numPr>
        <w:spacing w:after="120"/>
        <w:contextualSpacing w:val="0"/>
        <w:jc w:val="both"/>
        <w:rPr>
          <w:rFonts w:asciiTheme="minorHAnsi" w:hAnsiTheme="minorHAnsi" w:cstheme="minorHAnsi"/>
          <w:sz w:val="22"/>
          <w:szCs w:val="22"/>
          <w:lang w:val="en-US"/>
        </w:rPr>
      </w:pPr>
      <w:r w:rsidRPr="00DA3769">
        <w:rPr>
          <w:rFonts w:asciiTheme="minorHAnsi" w:hAnsiTheme="minorHAnsi" w:cstheme="minorHAnsi"/>
          <w:sz w:val="22"/>
          <w:szCs w:val="22"/>
        </w:rPr>
        <w:t>In the past 20 years, the number of out-of-school children of primary education age fell by 35 per cent, from 99 million in 2000 to 64 million in 2020.</w:t>
      </w:r>
      <w:r w:rsidRPr="00DA3769">
        <w:rPr>
          <w:rStyle w:val="FootnoteReference"/>
          <w:rFonts w:asciiTheme="minorHAnsi" w:hAnsiTheme="minorHAnsi" w:cstheme="minorHAnsi"/>
          <w:sz w:val="22"/>
          <w:szCs w:val="22"/>
        </w:rPr>
        <w:footnoteReference w:id="3"/>
      </w:r>
    </w:p>
    <w:p w14:paraId="166C1AEC" w14:textId="2F1606E0" w:rsidR="003E6895" w:rsidRPr="00DA3769" w:rsidRDefault="00313C12" w:rsidP="00DA3769">
      <w:pPr>
        <w:pStyle w:val="ListParagraph"/>
        <w:numPr>
          <w:ilvl w:val="0"/>
          <w:numId w:val="21"/>
        </w:numPr>
        <w:spacing w:after="120"/>
        <w:contextualSpacing w:val="0"/>
        <w:jc w:val="both"/>
        <w:rPr>
          <w:rFonts w:asciiTheme="minorHAnsi" w:hAnsiTheme="minorHAnsi" w:cstheme="minorHAnsi"/>
          <w:sz w:val="22"/>
          <w:szCs w:val="22"/>
          <w:lang w:val="en-US"/>
        </w:rPr>
      </w:pPr>
      <w:r w:rsidRPr="00DA3769">
        <w:rPr>
          <w:rFonts w:asciiTheme="minorHAnsi" w:hAnsiTheme="minorHAnsi" w:cstheme="minorHAnsi"/>
          <w:sz w:val="22"/>
          <w:szCs w:val="22"/>
        </w:rPr>
        <w:t>The number of out-of-school girls worldwide dropped by 79 million between 1998 and 2018.</w:t>
      </w:r>
      <w:r w:rsidRPr="00DA3769">
        <w:rPr>
          <w:rStyle w:val="FootnoteReference"/>
          <w:rFonts w:asciiTheme="minorHAnsi" w:hAnsiTheme="minorHAnsi" w:cstheme="minorHAnsi"/>
          <w:sz w:val="22"/>
          <w:szCs w:val="22"/>
        </w:rPr>
        <w:footnoteReference w:id="4"/>
      </w:r>
      <w:r w:rsidR="007052FC" w:rsidRPr="00DA3769">
        <w:rPr>
          <w:rFonts w:asciiTheme="minorHAnsi" w:hAnsiTheme="minorHAnsi" w:cstheme="minorHAnsi"/>
          <w:sz w:val="22"/>
          <w:szCs w:val="22"/>
          <w:lang w:val="en-US"/>
        </w:rPr>
        <w:t xml:space="preserve">Since 2000, </w:t>
      </w:r>
      <w:r w:rsidR="00FA5ADA" w:rsidRPr="00DA3769">
        <w:rPr>
          <w:rFonts w:asciiTheme="minorHAnsi" w:hAnsiTheme="minorHAnsi" w:cstheme="minorHAnsi"/>
          <w:sz w:val="22"/>
          <w:szCs w:val="22"/>
          <w:lang w:val="en-US"/>
        </w:rPr>
        <w:t xml:space="preserve">some 75 million more children have been enrolled in pre-primary education, </w:t>
      </w:r>
      <w:r w:rsidR="007052FC" w:rsidRPr="00DA3769">
        <w:rPr>
          <w:rFonts w:asciiTheme="minorHAnsi" w:hAnsiTheme="minorHAnsi" w:cstheme="minorHAnsi"/>
          <w:sz w:val="22"/>
          <w:szCs w:val="22"/>
          <w:lang w:val="en-US"/>
        </w:rPr>
        <w:t>89 million more children are enrolled in primary education</w:t>
      </w:r>
      <w:r w:rsidR="00DA4496" w:rsidRPr="00DA3769">
        <w:rPr>
          <w:rFonts w:asciiTheme="minorHAnsi" w:hAnsiTheme="minorHAnsi" w:cstheme="minorHAnsi"/>
          <w:sz w:val="22"/>
          <w:szCs w:val="22"/>
          <w:lang w:val="en-US"/>
        </w:rPr>
        <w:t xml:space="preserve"> </w:t>
      </w:r>
      <w:r w:rsidR="00DA4496" w:rsidRPr="00DA3769">
        <w:rPr>
          <w:rFonts w:asciiTheme="minorHAnsi" w:hAnsiTheme="minorHAnsi" w:cstheme="minorHAnsi"/>
          <w:sz w:val="22"/>
          <w:szCs w:val="22"/>
        </w:rPr>
        <w:t>and 138 million more in secondary education</w:t>
      </w:r>
      <w:r w:rsidR="007052FC" w:rsidRPr="00DA3769">
        <w:rPr>
          <w:rFonts w:asciiTheme="minorHAnsi" w:hAnsiTheme="minorHAnsi" w:cstheme="minorHAnsi"/>
          <w:sz w:val="22"/>
          <w:szCs w:val="22"/>
          <w:lang w:val="en-US"/>
        </w:rPr>
        <w:t>.</w:t>
      </w:r>
      <w:r w:rsidR="007052FC" w:rsidRPr="00DA3769">
        <w:rPr>
          <w:rStyle w:val="FootnoteReference"/>
          <w:rFonts w:asciiTheme="minorHAnsi" w:hAnsiTheme="minorHAnsi" w:cstheme="minorHAnsi"/>
          <w:sz w:val="22"/>
          <w:szCs w:val="22"/>
          <w:lang w:val="en-US"/>
        </w:rPr>
        <w:footnoteReference w:id="5"/>
      </w:r>
      <w:r w:rsidR="007052FC" w:rsidRPr="00DA3769">
        <w:rPr>
          <w:rFonts w:asciiTheme="minorHAnsi" w:hAnsiTheme="minorHAnsi" w:cstheme="minorHAnsi"/>
          <w:sz w:val="22"/>
          <w:szCs w:val="22"/>
          <w:lang w:val="en-US"/>
        </w:rPr>
        <w:t xml:space="preserve"> </w:t>
      </w:r>
      <w:r w:rsidR="001D4C36" w:rsidRPr="00DA3769">
        <w:rPr>
          <w:rFonts w:asciiTheme="minorHAnsi" w:hAnsiTheme="minorHAnsi" w:cstheme="minorHAnsi"/>
          <w:sz w:val="22"/>
          <w:szCs w:val="22"/>
          <w:lang w:val="en-US"/>
        </w:rPr>
        <w:t>However, enrollment does not guarantee learning.</w:t>
      </w:r>
    </w:p>
    <w:p w14:paraId="2E96802E" w14:textId="436B021E" w:rsidR="00476A53" w:rsidRPr="00DA3769" w:rsidRDefault="00476A53" w:rsidP="00DA3769">
      <w:pPr>
        <w:pStyle w:val="ListParagraph"/>
        <w:numPr>
          <w:ilvl w:val="0"/>
          <w:numId w:val="21"/>
        </w:numPr>
        <w:spacing w:after="120"/>
        <w:contextualSpacing w:val="0"/>
        <w:jc w:val="both"/>
        <w:rPr>
          <w:rFonts w:asciiTheme="minorHAnsi" w:hAnsiTheme="minorHAnsi" w:cstheme="minorHAnsi"/>
          <w:sz w:val="22"/>
          <w:szCs w:val="22"/>
          <w:lang w:val="en-US"/>
        </w:rPr>
      </w:pPr>
      <w:r w:rsidRPr="00DA3769">
        <w:rPr>
          <w:rFonts w:asciiTheme="minorHAnsi" w:hAnsiTheme="minorHAnsi" w:cstheme="minorHAnsi"/>
          <w:sz w:val="22"/>
          <w:szCs w:val="22"/>
        </w:rPr>
        <w:t>Nearly two in three girls are enrolled in secondary school compared to one in two in 1998.</w:t>
      </w:r>
      <w:r w:rsidRPr="00DA3769">
        <w:rPr>
          <w:rStyle w:val="FootnoteReference"/>
          <w:rFonts w:asciiTheme="minorHAnsi" w:hAnsiTheme="minorHAnsi" w:cstheme="minorHAnsi"/>
          <w:sz w:val="22"/>
          <w:szCs w:val="22"/>
        </w:rPr>
        <w:footnoteReference w:id="6"/>
      </w:r>
    </w:p>
    <w:p w14:paraId="58023149" w14:textId="6886259E" w:rsidR="00F4787B" w:rsidRDefault="00F4787B" w:rsidP="00F4787B">
      <w:pPr>
        <w:jc w:val="both"/>
        <w:rPr>
          <w:rFonts w:asciiTheme="minorHAnsi" w:hAnsiTheme="minorHAnsi" w:cstheme="minorHAnsi"/>
          <w:sz w:val="22"/>
          <w:szCs w:val="22"/>
          <w:lang w:val="en-US"/>
        </w:rPr>
      </w:pPr>
    </w:p>
    <w:p w14:paraId="7D5E0E43" w14:textId="77777777" w:rsidR="00A7556C" w:rsidRPr="00DA3769" w:rsidRDefault="00A7556C" w:rsidP="00F4787B">
      <w:pPr>
        <w:jc w:val="both"/>
        <w:rPr>
          <w:rFonts w:asciiTheme="minorHAnsi" w:hAnsiTheme="minorHAnsi" w:cstheme="minorHAnsi"/>
          <w:sz w:val="22"/>
          <w:szCs w:val="22"/>
          <w:lang w:val="en-US"/>
        </w:rPr>
      </w:pPr>
    </w:p>
    <w:p w14:paraId="67299BB4" w14:textId="77777777" w:rsidR="00F4787B" w:rsidRPr="00DA3769" w:rsidRDefault="00F4787B" w:rsidP="00DA3769">
      <w:pPr>
        <w:pStyle w:val="Heading1"/>
      </w:pPr>
      <w:r w:rsidRPr="00DA3769">
        <w:t>Main challenges and crucial issues for the future</w:t>
      </w:r>
    </w:p>
    <w:p w14:paraId="73402DED" w14:textId="76F5C839" w:rsidR="2FD35424" w:rsidRPr="00DA3769" w:rsidRDefault="00DA3769" w:rsidP="00DA3769">
      <w:pPr>
        <w:pStyle w:val="Heading2"/>
        <w:numPr>
          <w:ilvl w:val="0"/>
          <w:numId w:val="30"/>
        </w:numPr>
        <w:rPr>
          <w:u w:val="none"/>
        </w:rPr>
      </w:pPr>
      <w:r w:rsidRPr="00DA3769">
        <w:rPr>
          <w:u w:val="none"/>
        </w:rPr>
        <w:t>Main challenges</w:t>
      </w:r>
    </w:p>
    <w:p w14:paraId="11A4E803" w14:textId="3F3C8EF3" w:rsidR="00B75A6F" w:rsidRPr="00DA3769" w:rsidRDefault="00B75A6F" w:rsidP="00DA3769">
      <w:pPr>
        <w:pStyle w:val="Heading3"/>
      </w:pPr>
      <w:r w:rsidRPr="00DA3769">
        <w:t>Learning Poverty</w:t>
      </w:r>
    </w:p>
    <w:p w14:paraId="63C45FE7" w14:textId="335791FF" w:rsidR="009C7316" w:rsidRPr="00DA3769" w:rsidRDefault="009C7316" w:rsidP="00DA3769">
      <w:pPr>
        <w:pStyle w:val="paragraph"/>
        <w:numPr>
          <w:ilvl w:val="0"/>
          <w:numId w:val="21"/>
        </w:numPr>
        <w:spacing w:after="120" w:afterAutospacing="0"/>
        <w:jc w:val="both"/>
        <w:rPr>
          <w:rFonts w:asciiTheme="minorHAnsi" w:eastAsia="Univers" w:hAnsiTheme="minorHAnsi" w:cstheme="minorHAnsi"/>
          <w:sz w:val="22"/>
          <w:szCs w:val="22"/>
        </w:rPr>
      </w:pPr>
      <w:r w:rsidRPr="00DA3769">
        <w:rPr>
          <w:rFonts w:asciiTheme="minorHAnsi" w:eastAsia="Univers" w:hAnsiTheme="minorHAnsi" w:cstheme="minorHAnsi"/>
          <w:sz w:val="22"/>
          <w:szCs w:val="22"/>
        </w:rPr>
        <w:t xml:space="preserve">While globally nearly 90 per cent of children attend primary school, hundreds of millions are still not gaining basic skills by the end of their time there. </w:t>
      </w:r>
    </w:p>
    <w:p w14:paraId="7FA0174D" w14:textId="77777777" w:rsidR="009C7316" w:rsidRPr="00DA3769" w:rsidRDefault="009C7316" w:rsidP="00DA3769">
      <w:pPr>
        <w:pStyle w:val="paragraph"/>
        <w:numPr>
          <w:ilvl w:val="0"/>
          <w:numId w:val="21"/>
        </w:numPr>
        <w:spacing w:after="120" w:afterAutospacing="0"/>
        <w:jc w:val="both"/>
        <w:rPr>
          <w:rFonts w:asciiTheme="minorHAnsi" w:eastAsia="Univers" w:hAnsiTheme="minorHAnsi" w:cstheme="minorHAnsi"/>
          <w:sz w:val="22"/>
          <w:szCs w:val="22"/>
        </w:rPr>
      </w:pPr>
      <w:r w:rsidRPr="00DA3769">
        <w:rPr>
          <w:rFonts w:asciiTheme="minorHAnsi" w:eastAsia="Univers" w:hAnsiTheme="minorHAnsi" w:cstheme="minorHAnsi"/>
          <w:sz w:val="22"/>
          <w:szCs w:val="22"/>
        </w:rPr>
        <w:t>The latest estimates suggest nearly two-thirds of 10-year-olds (64.3 per cent) globally are unable to read and understand a simple text – a figure known as learning poverty.  The world is in the depths of a learning crisis.</w:t>
      </w:r>
    </w:p>
    <w:p w14:paraId="3BAAE4E0" w14:textId="77777777" w:rsidR="009C7316" w:rsidRPr="00DA3769" w:rsidRDefault="009C7316" w:rsidP="00DA3769">
      <w:pPr>
        <w:pStyle w:val="paragraph"/>
        <w:numPr>
          <w:ilvl w:val="0"/>
          <w:numId w:val="21"/>
        </w:numPr>
        <w:spacing w:after="120" w:afterAutospacing="0"/>
        <w:jc w:val="both"/>
        <w:rPr>
          <w:rFonts w:asciiTheme="minorHAnsi" w:eastAsia="Univers" w:hAnsiTheme="minorHAnsi" w:cstheme="minorHAnsi"/>
          <w:sz w:val="22"/>
          <w:szCs w:val="22"/>
        </w:rPr>
      </w:pPr>
      <w:r w:rsidRPr="00DA3769">
        <w:rPr>
          <w:rFonts w:asciiTheme="minorHAnsi" w:eastAsia="Univers" w:hAnsiTheme="minorHAnsi" w:cstheme="minorHAnsi"/>
          <w:sz w:val="22"/>
          <w:szCs w:val="22"/>
        </w:rPr>
        <w:t>This learning crisis existed long before the COVID-19 pandemic, with 2019 estimates suggesting over half of children globally were in learning poverty.  Pandemic-related school closures exacerbated inequalities in education, worsening an already disastrous situation.</w:t>
      </w:r>
    </w:p>
    <w:p w14:paraId="6882CEC5" w14:textId="0C2CAF4E" w:rsidR="00B75A6F" w:rsidRPr="00DA3769" w:rsidRDefault="33074F41" w:rsidP="00DA3769">
      <w:pPr>
        <w:pStyle w:val="paragraph"/>
        <w:numPr>
          <w:ilvl w:val="0"/>
          <w:numId w:val="21"/>
        </w:numPr>
        <w:spacing w:after="120" w:afterAutospacing="0"/>
        <w:jc w:val="both"/>
        <w:rPr>
          <w:rFonts w:asciiTheme="minorHAnsi" w:eastAsia="Univers" w:hAnsiTheme="minorHAnsi" w:cstheme="minorHAnsi"/>
          <w:sz w:val="22"/>
          <w:szCs w:val="22"/>
        </w:rPr>
      </w:pPr>
      <w:r w:rsidRPr="00DA3769">
        <w:rPr>
          <w:rFonts w:asciiTheme="minorHAnsi" w:eastAsia="Univers" w:hAnsiTheme="minorHAnsi" w:cstheme="minorHAnsi"/>
          <w:sz w:val="22"/>
          <w:szCs w:val="22"/>
        </w:rPr>
        <w:t>In</w:t>
      </w:r>
      <w:r w:rsidR="12D40BBF" w:rsidRPr="00DA3769">
        <w:rPr>
          <w:rFonts w:asciiTheme="minorHAnsi" w:eastAsia="Univers" w:hAnsiTheme="minorHAnsi" w:cstheme="minorHAnsi"/>
          <w:sz w:val="22"/>
          <w:szCs w:val="22"/>
        </w:rPr>
        <w:t xml:space="preserve"> 2019, before the pandemic hit, the learning poverty rate was already</w:t>
      </w:r>
      <w:r w:rsidR="00FC4DEE" w:rsidRPr="00DA3769">
        <w:rPr>
          <w:rFonts w:asciiTheme="minorHAnsi" w:eastAsia="Univers" w:hAnsiTheme="minorHAnsi" w:cstheme="minorHAnsi"/>
          <w:sz w:val="22"/>
          <w:szCs w:val="22"/>
        </w:rPr>
        <w:t xml:space="preserve"> </w:t>
      </w:r>
      <w:r w:rsidR="12D40BBF" w:rsidRPr="00DA3769">
        <w:rPr>
          <w:rFonts w:asciiTheme="minorHAnsi" w:eastAsia="Univers" w:hAnsiTheme="minorHAnsi" w:cstheme="minorHAnsi"/>
          <w:sz w:val="22"/>
          <w:szCs w:val="22"/>
        </w:rPr>
        <w:t>estimated at 57 per</w:t>
      </w:r>
      <w:r w:rsidR="00534940">
        <w:rPr>
          <w:rFonts w:asciiTheme="minorHAnsi" w:eastAsia="Univers" w:hAnsiTheme="minorHAnsi" w:cstheme="minorHAnsi"/>
          <w:sz w:val="22"/>
          <w:szCs w:val="22"/>
        </w:rPr>
        <w:t xml:space="preserve"> </w:t>
      </w:r>
      <w:r w:rsidR="12D40BBF" w:rsidRPr="00DA3769">
        <w:rPr>
          <w:rFonts w:asciiTheme="minorHAnsi" w:eastAsia="Univers" w:hAnsiTheme="minorHAnsi" w:cstheme="minorHAnsi"/>
          <w:sz w:val="22"/>
          <w:szCs w:val="22"/>
        </w:rPr>
        <w:t>cent in low- and middle-income countries, and that in Sub-Saharan Africa it was 86 per</w:t>
      </w:r>
      <w:r w:rsidR="00534940">
        <w:rPr>
          <w:rFonts w:asciiTheme="minorHAnsi" w:eastAsia="Univers" w:hAnsiTheme="minorHAnsi" w:cstheme="minorHAnsi"/>
          <w:sz w:val="22"/>
          <w:szCs w:val="22"/>
        </w:rPr>
        <w:t xml:space="preserve"> </w:t>
      </w:r>
      <w:r w:rsidR="12D40BBF" w:rsidRPr="00DA3769">
        <w:rPr>
          <w:rFonts w:asciiTheme="minorHAnsi" w:eastAsia="Univers" w:hAnsiTheme="minorHAnsi" w:cstheme="minorHAnsi"/>
          <w:sz w:val="22"/>
          <w:szCs w:val="22"/>
        </w:rPr>
        <w:t>cent.</w:t>
      </w:r>
      <w:r w:rsidR="03BD8EC7" w:rsidRPr="00DA3769">
        <w:rPr>
          <w:rFonts w:asciiTheme="minorHAnsi" w:eastAsia="Univers" w:hAnsiTheme="minorHAnsi" w:cstheme="minorHAnsi"/>
          <w:sz w:val="22"/>
          <w:szCs w:val="22"/>
        </w:rPr>
        <w:t xml:space="preserve"> Since the onset of COVID-19, the school</w:t>
      </w:r>
      <w:r w:rsidR="00FC4DEE" w:rsidRPr="00DA3769">
        <w:rPr>
          <w:rFonts w:asciiTheme="minorHAnsi" w:eastAsia="Univers" w:hAnsiTheme="minorHAnsi" w:cstheme="minorHAnsi"/>
          <w:sz w:val="22"/>
          <w:szCs w:val="22"/>
        </w:rPr>
        <w:t xml:space="preserve"> </w:t>
      </w:r>
      <w:r w:rsidR="03BD8EC7" w:rsidRPr="00DA3769">
        <w:rPr>
          <w:rFonts w:asciiTheme="minorHAnsi" w:eastAsia="Univers" w:hAnsiTheme="minorHAnsi" w:cstheme="minorHAnsi"/>
          <w:sz w:val="22"/>
          <w:szCs w:val="22"/>
        </w:rPr>
        <w:t xml:space="preserve">closures and disruptions caused by the pandemic have likely driven learning poverty rate much higher still. The 2022 </w:t>
      </w:r>
      <w:r w:rsidR="6E4EB8CC" w:rsidRPr="00DA3769">
        <w:rPr>
          <w:rFonts w:asciiTheme="minorHAnsi" w:eastAsia="Univers" w:hAnsiTheme="minorHAnsi" w:cstheme="minorHAnsi"/>
          <w:sz w:val="22"/>
          <w:szCs w:val="22"/>
        </w:rPr>
        <w:t>simulations suggest</w:t>
      </w:r>
      <w:r w:rsidR="03BD8EC7" w:rsidRPr="00DA3769">
        <w:rPr>
          <w:rFonts w:asciiTheme="minorHAnsi" w:eastAsia="Univers" w:hAnsiTheme="minorHAnsi" w:cstheme="minorHAnsi"/>
          <w:sz w:val="22"/>
          <w:szCs w:val="22"/>
        </w:rPr>
        <w:t xml:space="preserve"> global learning poverty in low- and middle-income countries has surged to an estimated 70 per</w:t>
      </w:r>
      <w:r w:rsidR="00534940">
        <w:rPr>
          <w:rFonts w:asciiTheme="minorHAnsi" w:eastAsia="Univers" w:hAnsiTheme="minorHAnsi" w:cstheme="minorHAnsi"/>
          <w:sz w:val="22"/>
          <w:szCs w:val="22"/>
        </w:rPr>
        <w:t xml:space="preserve"> </w:t>
      </w:r>
      <w:r w:rsidR="03BD8EC7" w:rsidRPr="00DA3769">
        <w:rPr>
          <w:rFonts w:asciiTheme="minorHAnsi" w:eastAsia="Univers" w:hAnsiTheme="minorHAnsi" w:cstheme="minorHAnsi"/>
          <w:sz w:val="22"/>
          <w:szCs w:val="22"/>
        </w:rPr>
        <w:t>cent.</w:t>
      </w:r>
      <w:r w:rsidR="00B75A6F" w:rsidRPr="00DA3769">
        <w:rPr>
          <w:rStyle w:val="FootnoteReference"/>
          <w:rFonts w:asciiTheme="minorHAnsi" w:eastAsia="Univers" w:hAnsiTheme="minorHAnsi" w:cstheme="minorHAnsi"/>
          <w:i/>
          <w:iCs/>
          <w:sz w:val="22"/>
          <w:szCs w:val="22"/>
        </w:rPr>
        <w:footnoteReference w:id="7"/>
      </w:r>
    </w:p>
    <w:p w14:paraId="4C51D760" w14:textId="294DFD7B" w:rsidR="00383FB7" w:rsidRPr="00DA3769" w:rsidRDefault="00383FB7" w:rsidP="00DA3769">
      <w:pPr>
        <w:pStyle w:val="paragraph"/>
        <w:numPr>
          <w:ilvl w:val="0"/>
          <w:numId w:val="21"/>
        </w:numPr>
        <w:rPr>
          <w:rFonts w:asciiTheme="minorHAnsi" w:eastAsia="Univers" w:hAnsiTheme="minorHAnsi" w:cstheme="minorHAnsi"/>
          <w:sz w:val="22"/>
          <w:szCs w:val="22"/>
        </w:rPr>
      </w:pPr>
      <w:r w:rsidRPr="00DA3769">
        <w:rPr>
          <w:rFonts w:asciiTheme="minorHAnsi" w:eastAsia="Univers" w:hAnsiTheme="minorHAnsi" w:cstheme="minorHAnsi"/>
          <w:sz w:val="22"/>
          <w:szCs w:val="22"/>
        </w:rPr>
        <w:lastRenderedPageBreak/>
        <w:t>This generation of students now risks losing $17 trillion in lifetime earnings in present value, or about 14 per</w:t>
      </w:r>
      <w:r w:rsidR="00534940">
        <w:rPr>
          <w:rFonts w:asciiTheme="minorHAnsi" w:eastAsia="Univers" w:hAnsiTheme="minorHAnsi" w:cstheme="minorHAnsi"/>
          <w:sz w:val="22"/>
          <w:szCs w:val="22"/>
        </w:rPr>
        <w:t xml:space="preserve"> </w:t>
      </w:r>
      <w:r w:rsidRPr="00DA3769">
        <w:rPr>
          <w:rFonts w:asciiTheme="minorHAnsi" w:eastAsia="Univers" w:hAnsiTheme="minorHAnsi" w:cstheme="minorHAnsi"/>
          <w:sz w:val="22"/>
          <w:szCs w:val="22"/>
        </w:rPr>
        <w:t>cent of today’s global GDP, as a result of COVID-19 pandemic-related school closures.</w:t>
      </w:r>
    </w:p>
    <w:p w14:paraId="466B6031" w14:textId="76EB1C7C" w:rsidR="1FD6B30B" w:rsidRPr="00DA3769" w:rsidRDefault="1FD6B30B" w:rsidP="00DA3769">
      <w:pPr>
        <w:pStyle w:val="paragraph"/>
        <w:numPr>
          <w:ilvl w:val="0"/>
          <w:numId w:val="21"/>
        </w:numPr>
        <w:spacing w:after="120" w:afterAutospacing="0"/>
        <w:jc w:val="both"/>
        <w:rPr>
          <w:rFonts w:asciiTheme="minorHAnsi" w:eastAsia="Univers" w:hAnsiTheme="minorHAnsi" w:cstheme="minorHAnsi"/>
          <w:sz w:val="22"/>
          <w:szCs w:val="22"/>
        </w:rPr>
      </w:pPr>
      <w:r w:rsidRPr="00DA3769">
        <w:rPr>
          <w:rFonts w:asciiTheme="minorHAnsi" w:eastAsia="Univers" w:hAnsiTheme="minorHAnsi" w:cstheme="minorHAnsi"/>
          <w:color w:val="1A1A1A"/>
          <w:sz w:val="22"/>
          <w:szCs w:val="22"/>
        </w:rPr>
        <w:t xml:space="preserve">The </w:t>
      </w:r>
      <w:hyperlink r:id="rId8" w:history="1">
        <w:r w:rsidRPr="00DA3769">
          <w:rPr>
            <w:rStyle w:val="Hyperlink"/>
            <w:rFonts w:asciiTheme="minorHAnsi" w:hAnsiTheme="minorHAnsi" w:cstheme="minorHAnsi"/>
            <w:sz w:val="22"/>
            <w:szCs w:val="22"/>
          </w:rPr>
          <w:t>new estimates</w:t>
        </w:r>
      </w:hyperlink>
      <w:r w:rsidRPr="00DA3769">
        <w:rPr>
          <w:rFonts w:asciiTheme="minorHAnsi" w:eastAsia="Univers" w:hAnsiTheme="minorHAnsi" w:cstheme="minorHAnsi"/>
          <w:color w:val="1A1A1A"/>
          <w:sz w:val="22"/>
          <w:szCs w:val="22"/>
        </w:rPr>
        <w:t xml:space="preserve"> by the GEM Report and the UIS show that 244 million children and youth between the ages of 6 and 18 worldwide were still missing out on school in 2021. </w:t>
      </w:r>
      <w:r w:rsidRPr="00DA3769">
        <w:rPr>
          <w:rStyle w:val="FootnoteReference"/>
          <w:rFonts w:asciiTheme="minorHAnsi" w:eastAsia="Univers" w:hAnsiTheme="minorHAnsi" w:cstheme="minorHAnsi"/>
          <w:sz w:val="22"/>
          <w:szCs w:val="22"/>
        </w:rPr>
        <w:footnoteReference w:id="8"/>
      </w:r>
    </w:p>
    <w:p w14:paraId="7D433C72" w14:textId="6138CDCD" w:rsidR="00B75A6F" w:rsidRPr="00DA3769" w:rsidRDefault="00B75A6F" w:rsidP="00DA3769">
      <w:pPr>
        <w:pStyle w:val="Heading3"/>
      </w:pPr>
      <w:r w:rsidRPr="00DA3769">
        <w:t>Global Disruptions (Conflict, Protracted crises</w:t>
      </w:r>
      <w:r w:rsidR="00897B64" w:rsidRPr="00DA3769">
        <w:t>)</w:t>
      </w:r>
      <w:r w:rsidR="00897B64" w:rsidRPr="00DA3769">
        <w:tab/>
      </w:r>
    </w:p>
    <w:p w14:paraId="1D3946CD" w14:textId="77777777" w:rsidR="00255EE1" w:rsidRPr="00DA3769" w:rsidRDefault="00255EE1" w:rsidP="00DA3769">
      <w:pPr>
        <w:pStyle w:val="ListParagraph"/>
        <w:numPr>
          <w:ilvl w:val="0"/>
          <w:numId w:val="21"/>
        </w:numPr>
        <w:tabs>
          <w:tab w:val="left" w:pos="1170"/>
        </w:tabs>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Wars, epidemics and natural disasters spare no children. More countries are gripped by conflict today than at any time in the past thirty years. Many of these crises span entire childhoods.</w:t>
      </w:r>
    </w:p>
    <w:p w14:paraId="395DD5C1" w14:textId="77777777" w:rsidR="00255EE1" w:rsidRPr="00DA3769" w:rsidRDefault="00255EE1" w:rsidP="00DA3769">
      <w:pPr>
        <w:pStyle w:val="ListParagraph"/>
        <w:numPr>
          <w:ilvl w:val="0"/>
          <w:numId w:val="21"/>
        </w:numPr>
        <w:tabs>
          <w:tab w:val="left" w:pos="1170"/>
        </w:tabs>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An estimated 35 million children around the world have been forcibly displaced. Nearly half of school-age refugee children are out of school.</w:t>
      </w:r>
    </w:p>
    <w:p w14:paraId="5FDE1831" w14:textId="77777777" w:rsidR="00255EE1" w:rsidRPr="00DA3769" w:rsidRDefault="00255EE1" w:rsidP="00DA3769">
      <w:pPr>
        <w:pStyle w:val="ListParagraph"/>
        <w:numPr>
          <w:ilvl w:val="0"/>
          <w:numId w:val="21"/>
        </w:numPr>
        <w:tabs>
          <w:tab w:val="left" w:pos="1170"/>
        </w:tabs>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Girls are nearly 2.5 times more likely to be out of school in conflict-affected countries compared to girls in other places.</w:t>
      </w:r>
    </w:p>
    <w:p w14:paraId="6652E9CA" w14:textId="77777777" w:rsidR="00255EE1" w:rsidRPr="00DA3769" w:rsidRDefault="00255EE1" w:rsidP="00DA3769">
      <w:pPr>
        <w:pStyle w:val="ListParagraph"/>
        <w:numPr>
          <w:ilvl w:val="0"/>
          <w:numId w:val="21"/>
        </w:numPr>
        <w:tabs>
          <w:tab w:val="left" w:pos="1170"/>
        </w:tabs>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For children in emergencies, education is about more than the right to learn.</w:t>
      </w:r>
    </w:p>
    <w:p w14:paraId="15DFC9FF" w14:textId="77777777" w:rsidR="00255EE1" w:rsidRPr="00DA3769" w:rsidRDefault="00255EE1" w:rsidP="00DA3769">
      <w:pPr>
        <w:pStyle w:val="ListParagraph"/>
        <w:numPr>
          <w:ilvl w:val="0"/>
          <w:numId w:val="21"/>
        </w:numPr>
        <w:tabs>
          <w:tab w:val="left" w:pos="1170"/>
        </w:tabs>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Schools protect children from the physical dangers around them – including abuse, exploitation and recruitment into armed groups. They provide children with lifesaving food, water, health care and hygiene supplies. And they offer psychosocial support, giving children stability and structure to help them cope with the trauma they experience every day.</w:t>
      </w:r>
    </w:p>
    <w:p w14:paraId="7C2CC47F" w14:textId="7FC1F6D9" w:rsidR="00097F00" w:rsidRPr="00DA3769" w:rsidRDefault="0279F24D" w:rsidP="00DA3769">
      <w:pPr>
        <w:pStyle w:val="Heading3"/>
      </w:pPr>
      <w:r w:rsidRPr="00DA3769">
        <w:t xml:space="preserve">Equitable </w:t>
      </w:r>
      <w:r w:rsidR="00B75A6F" w:rsidRPr="00DA3769">
        <w:t>Education Financing</w:t>
      </w:r>
    </w:p>
    <w:p w14:paraId="495E413F" w14:textId="77777777" w:rsidR="000F071E" w:rsidRPr="00DA3769" w:rsidRDefault="000F071E" w:rsidP="00DA3769">
      <w:pPr>
        <w:pStyle w:val="ListParagraph"/>
        <w:numPr>
          <w:ilvl w:val="0"/>
          <w:numId w:val="21"/>
        </w:numPr>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Delivering on Sustainable Development Goal (SDG) 4 on quality education for all means leaving no child behind. A key element to achieving this is to transform education financing, making it more equitable so that resources are targeted to reach the poorest and most marginalized.</w:t>
      </w:r>
    </w:p>
    <w:p w14:paraId="3FF9DD03" w14:textId="77777777" w:rsidR="000F071E" w:rsidRPr="00DA3769" w:rsidRDefault="000F071E" w:rsidP="00DA3769">
      <w:pPr>
        <w:pStyle w:val="ListParagraph"/>
        <w:numPr>
          <w:ilvl w:val="0"/>
          <w:numId w:val="21"/>
        </w:numPr>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Despite the need for equitable education financing, our latest analysis finds that in far too many countries, children and youth from the poorest households benefit the least from public education resources.</w:t>
      </w:r>
    </w:p>
    <w:p w14:paraId="6FA08EBC" w14:textId="77777777" w:rsidR="000F071E" w:rsidRPr="00DA3769" w:rsidRDefault="000F071E" w:rsidP="00DA3769">
      <w:pPr>
        <w:pStyle w:val="ListParagraph"/>
        <w:numPr>
          <w:ilvl w:val="0"/>
          <w:numId w:val="21"/>
        </w:numPr>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 xml:space="preserve">For education to be equitable, </w:t>
      </w:r>
      <w:hyperlink r:id="rId9" w:tgtFrame="_blank" w:history="1">
        <w:r w:rsidRPr="00DA3769">
          <w:rPr>
            <w:rStyle w:val="Hyperlink"/>
            <w:rFonts w:asciiTheme="minorHAnsi" w:hAnsiTheme="minorHAnsi" w:cstheme="minorHAnsi"/>
            <w:sz w:val="22"/>
            <w:szCs w:val="22"/>
          </w:rPr>
          <w:t>at least 15 per cent</w:t>
        </w:r>
      </w:hyperlink>
      <w:r w:rsidRPr="00DA3769">
        <w:rPr>
          <w:rFonts w:asciiTheme="minorHAnsi" w:hAnsiTheme="minorHAnsi" w:cstheme="minorHAnsi"/>
          <w:sz w:val="22"/>
          <w:szCs w:val="22"/>
        </w:rPr>
        <w:t xml:space="preserve"> of public education resources should go to the poorest 20 per cent of learners, a milestone benchmark UNICEF has adopted for its programme countries.</w:t>
      </w:r>
    </w:p>
    <w:p w14:paraId="0902BECC" w14:textId="1FA8BCCD" w:rsidR="000F071E" w:rsidRPr="00DA3769" w:rsidRDefault="000F071E" w:rsidP="00DA3769">
      <w:pPr>
        <w:pStyle w:val="ListParagraph"/>
        <w:numPr>
          <w:ilvl w:val="0"/>
          <w:numId w:val="21"/>
        </w:numPr>
        <w:spacing w:after="120"/>
        <w:contextualSpacing w:val="0"/>
        <w:jc w:val="both"/>
        <w:rPr>
          <w:rFonts w:asciiTheme="minorHAnsi" w:hAnsiTheme="minorHAnsi" w:cstheme="minorHAnsi"/>
          <w:sz w:val="22"/>
          <w:szCs w:val="22"/>
        </w:rPr>
      </w:pPr>
      <w:r w:rsidRPr="00DA3769">
        <w:rPr>
          <w:rFonts w:asciiTheme="minorHAnsi" w:hAnsiTheme="minorHAnsi" w:cstheme="minorHAnsi"/>
          <w:sz w:val="22"/>
          <w:szCs w:val="22"/>
        </w:rPr>
        <w:t>In 1 out of every 10 countries, learners from the richest 20 per cent of households receive four or more times the amount of public education spending than the poorest.</w:t>
      </w:r>
    </w:p>
    <w:p w14:paraId="64F3F9B1" w14:textId="378BAFA6" w:rsidR="00B75A6F" w:rsidRPr="00DA3769" w:rsidRDefault="00DA3769" w:rsidP="00DA3769">
      <w:pPr>
        <w:pStyle w:val="Heading2"/>
        <w:numPr>
          <w:ilvl w:val="0"/>
          <w:numId w:val="30"/>
        </w:numPr>
        <w:rPr>
          <w:u w:val="none"/>
        </w:rPr>
      </w:pPr>
      <w:r w:rsidRPr="00DA3769">
        <w:rPr>
          <w:u w:val="none"/>
        </w:rPr>
        <w:t>Crucial issues for the future</w:t>
      </w:r>
    </w:p>
    <w:p w14:paraId="1AE60EDA" w14:textId="77777777" w:rsidR="00F835BF" w:rsidRPr="00DA3769" w:rsidRDefault="00B75A6F" w:rsidP="00DA3769">
      <w:pPr>
        <w:pStyle w:val="Heading3"/>
      </w:pPr>
      <w:r w:rsidRPr="00DA3769">
        <w:t>Climate change</w:t>
      </w:r>
    </w:p>
    <w:p w14:paraId="51926574" w14:textId="77777777" w:rsidR="00F835BF" w:rsidRPr="00DA3769" w:rsidRDefault="44CC80B1" w:rsidP="00DA3769">
      <w:pPr>
        <w:pStyle w:val="paragraph"/>
        <w:numPr>
          <w:ilvl w:val="0"/>
          <w:numId w:val="21"/>
        </w:numPr>
        <w:spacing w:after="120" w:afterAutospacing="0"/>
        <w:jc w:val="both"/>
        <w:textAlignment w:val="baseline"/>
        <w:rPr>
          <w:rFonts w:asciiTheme="minorHAnsi" w:hAnsiTheme="minorHAnsi" w:cstheme="minorHAnsi"/>
          <w:sz w:val="22"/>
          <w:szCs w:val="22"/>
          <w:lang w:val="en-US"/>
        </w:rPr>
      </w:pPr>
      <w:r w:rsidRPr="00DA3769">
        <w:rPr>
          <w:rFonts w:asciiTheme="minorHAnsi" w:hAnsiTheme="minorHAnsi" w:cstheme="minorHAnsi"/>
          <w:sz w:val="22"/>
          <w:szCs w:val="22"/>
          <w:lang w:val="en-US"/>
        </w:rPr>
        <w:t>UNICEF’s Children’s Climate Risk Index reveals that 1 billion children are at ‘extremely high risk’ of the impacts of climate change. That is nearly half of all children. And it is happening today</w:t>
      </w:r>
      <w:r w:rsidR="03EB5461" w:rsidRPr="00DA3769">
        <w:rPr>
          <w:rFonts w:asciiTheme="minorHAnsi" w:hAnsiTheme="minorHAnsi" w:cstheme="minorHAnsi"/>
          <w:sz w:val="22"/>
          <w:szCs w:val="22"/>
          <w:lang w:val="en-US"/>
        </w:rPr>
        <w:t xml:space="preserve">. </w:t>
      </w:r>
    </w:p>
    <w:p w14:paraId="7EBED549" w14:textId="60846137" w:rsidR="00B75A6F" w:rsidRPr="00DA3769" w:rsidRDefault="03EB5461" w:rsidP="00DA3769">
      <w:pPr>
        <w:pStyle w:val="paragraph"/>
        <w:numPr>
          <w:ilvl w:val="0"/>
          <w:numId w:val="21"/>
        </w:numPr>
        <w:spacing w:after="120" w:afterAutospacing="0"/>
        <w:jc w:val="both"/>
        <w:textAlignment w:val="baseline"/>
        <w:rPr>
          <w:rFonts w:asciiTheme="minorHAnsi" w:hAnsiTheme="minorHAnsi" w:cstheme="minorHAnsi"/>
          <w:sz w:val="22"/>
          <w:szCs w:val="22"/>
          <w:lang w:val="en-US"/>
        </w:rPr>
      </w:pPr>
      <w:r w:rsidRPr="00DA3769">
        <w:rPr>
          <w:rFonts w:asciiTheme="minorHAnsi" w:hAnsiTheme="minorHAnsi" w:cstheme="minorHAnsi"/>
          <w:sz w:val="22"/>
          <w:szCs w:val="22"/>
          <w:lang w:val="en-US"/>
        </w:rPr>
        <w:t xml:space="preserve">Children bear the greatest burden of climate change. Not only are they more vulnerable than adults to the extreme weather, toxic hazards and diseases it causes, but the planet is becoming a more dangerous place to live. Increasingly catastrophic droughts, fires and storms are forecast to become even worse as our planet continues to warm. Important food and water systems will </w:t>
      </w:r>
      <w:proofErr w:type="gramStart"/>
      <w:r w:rsidRPr="00DA3769">
        <w:rPr>
          <w:rFonts w:asciiTheme="minorHAnsi" w:hAnsiTheme="minorHAnsi" w:cstheme="minorHAnsi"/>
          <w:sz w:val="22"/>
          <w:szCs w:val="22"/>
          <w:lang w:val="en-US"/>
        </w:rPr>
        <w:t>fail</w:t>
      </w:r>
      <w:proofErr w:type="gramEnd"/>
      <w:r w:rsidRPr="00DA3769">
        <w:rPr>
          <w:rFonts w:asciiTheme="minorHAnsi" w:hAnsiTheme="minorHAnsi" w:cstheme="minorHAnsi"/>
          <w:sz w:val="22"/>
          <w:szCs w:val="22"/>
          <w:lang w:val="en-US"/>
        </w:rPr>
        <w:t xml:space="preserve"> and entire cities are expected to succumb to destructive floods. Climate </w:t>
      </w:r>
      <w:r w:rsidRPr="00DA3769">
        <w:rPr>
          <w:rFonts w:asciiTheme="minorHAnsi" w:hAnsiTheme="minorHAnsi" w:cstheme="minorHAnsi"/>
          <w:sz w:val="22"/>
          <w:szCs w:val="22"/>
          <w:lang w:val="en-US"/>
        </w:rPr>
        <w:lastRenderedPageBreak/>
        <w:t xml:space="preserve">change is the greatest threat facing the world’s children and young people. And </w:t>
      </w:r>
      <w:proofErr w:type="gramStart"/>
      <w:r w:rsidRPr="00DA3769">
        <w:rPr>
          <w:rFonts w:asciiTheme="minorHAnsi" w:hAnsiTheme="minorHAnsi" w:cstheme="minorHAnsi"/>
          <w:sz w:val="22"/>
          <w:szCs w:val="22"/>
          <w:lang w:val="en-US"/>
        </w:rPr>
        <w:t>so</w:t>
      </w:r>
      <w:proofErr w:type="gramEnd"/>
      <w:r w:rsidRPr="00DA3769">
        <w:rPr>
          <w:rFonts w:asciiTheme="minorHAnsi" w:hAnsiTheme="minorHAnsi" w:cstheme="minorHAnsi"/>
          <w:sz w:val="22"/>
          <w:szCs w:val="22"/>
          <w:lang w:val="en-US"/>
        </w:rPr>
        <w:t xml:space="preserve"> we too are rising.</w:t>
      </w:r>
      <w:r w:rsidR="00B75A6F" w:rsidRPr="00DA3769">
        <w:rPr>
          <w:rStyle w:val="FootnoteReference"/>
          <w:rFonts w:asciiTheme="minorHAnsi" w:hAnsiTheme="minorHAnsi" w:cstheme="minorHAnsi"/>
          <w:sz w:val="22"/>
          <w:szCs w:val="22"/>
          <w:lang w:val="en-US"/>
        </w:rPr>
        <w:footnoteReference w:id="9"/>
      </w:r>
    </w:p>
    <w:p w14:paraId="536E4DEC" w14:textId="12F47F00" w:rsidR="00B75A6F" w:rsidRPr="00DA3769" w:rsidRDefault="00B75A6F" w:rsidP="00DA3769">
      <w:pPr>
        <w:pStyle w:val="Heading3"/>
      </w:pPr>
      <w:r w:rsidRPr="00DA3769">
        <w:t>Evidenced-base</w:t>
      </w:r>
      <w:r w:rsidR="002B2A6B" w:rsidRPr="00DA3769">
        <w:t>d</w:t>
      </w:r>
      <w:r w:rsidRPr="00DA3769">
        <w:t xml:space="preserve"> policy solutions</w:t>
      </w:r>
    </w:p>
    <w:p w14:paraId="53256FD3" w14:textId="27CA4510" w:rsidR="002B2A6B" w:rsidRPr="00DA3769" w:rsidRDefault="002B2A6B" w:rsidP="00DA3769">
      <w:pPr>
        <w:pStyle w:val="paragraph"/>
        <w:numPr>
          <w:ilvl w:val="0"/>
          <w:numId w:val="21"/>
        </w:numPr>
        <w:spacing w:after="120" w:afterAutospacing="0"/>
        <w:jc w:val="both"/>
        <w:rPr>
          <w:rFonts w:asciiTheme="minorHAnsi" w:hAnsiTheme="minorHAnsi" w:cstheme="minorHAnsi"/>
          <w:sz w:val="22"/>
          <w:szCs w:val="22"/>
        </w:rPr>
      </w:pPr>
      <w:r w:rsidRPr="00DA3769">
        <w:rPr>
          <w:rFonts w:asciiTheme="minorHAnsi" w:hAnsiTheme="minorHAnsi" w:cstheme="minorHAnsi"/>
          <w:sz w:val="22"/>
          <w:szCs w:val="22"/>
        </w:rPr>
        <w:t>To address the learning crisis, governments must focus efforts on ensuring children acquire foundational skills by age 10, implement evidence-based policy solutions</w:t>
      </w:r>
      <w:r w:rsidRPr="00DA3769">
        <w:rPr>
          <w:rFonts w:asciiTheme="minorHAnsi" w:hAnsiTheme="minorHAnsi" w:cstheme="minorHAnsi"/>
          <w:sz w:val="22"/>
          <w:szCs w:val="22"/>
          <w:vertAlign w:val="superscript"/>
        </w:rPr>
        <w:footnoteReference w:id="10"/>
      </w:r>
      <w:r w:rsidRPr="00DA3769">
        <w:rPr>
          <w:rFonts w:asciiTheme="minorHAnsi" w:hAnsiTheme="minorHAnsi" w:cstheme="minorHAnsi"/>
          <w:sz w:val="22"/>
          <w:szCs w:val="22"/>
        </w:rPr>
        <w:t xml:space="preserve">, and increase and improve the efficiency of education financing. </w:t>
      </w:r>
    </w:p>
    <w:p w14:paraId="5CFF5A37" w14:textId="77777777" w:rsidR="007961FE" w:rsidRPr="00DA3769" w:rsidRDefault="007961FE" w:rsidP="00DA3769">
      <w:pPr>
        <w:pStyle w:val="paragraph"/>
        <w:numPr>
          <w:ilvl w:val="0"/>
          <w:numId w:val="21"/>
        </w:numPr>
        <w:spacing w:after="120" w:afterAutospacing="0"/>
        <w:jc w:val="both"/>
        <w:rPr>
          <w:rFonts w:asciiTheme="minorHAnsi" w:hAnsiTheme="minorHAnsi" w:cstheme="minorHAnsi"/>
          <w:sz w:val="22"/>
          <w:szCs w:val="22"/>
        </w:rPr>
      </w:pPr>
      <w:r w:rsidRPr="00DA3769">
        <w:rPr>
          <w:rFonts w:asciiTheme="minorHAnsi" w:hAnsiTheme="minorHAnsi" w:cstheme="minorHAnsi"/>
          <w:color w:val="333333"/>
          <w:sz w:val="22"/>
          <w:szCs w:val="22"/>
        </w:rPr>
        <w:t xml:space="preserve">Worryingly, few countries appear to be investing in proven measures to mitigate learning loss: Only 39 per cent reported implementing measures on increased instructional time, 29 per cent on tutoring programmes, and 16 per cent on targeted instruction. </w:t>
      </w:r>
    </w:p>
    <w:p w14:paraId="52A39A86" w14:textId="61538AC4" w:rsidR="007961FE" w:rsidRPr="00DA3769" w:rsidRDefault="007961FE" w:rsidP="00DA3769">
      <w:pPr>
        <w:pStyle w:val="paragraph"/>
        <w:numPr>
          <w:ilvl w:val="0"/>
          <w:numId w:val="21"/>
        </w:numPr>
        <w:spacing w:after="120" w:afterAutospacing="0"/>
        <w:jc w:val="both"/>
        <w:rPr>
          <w:rFonts w:asciiTheme="minorHAnsi" w:hAnsiTheme="minorHAnsi" w:cstheme="minorHAnsi"/>
          <w:sz w:val="22"/>
          <w:szCs w:val="22"/>
        </w:rPr>
      </w:pPr>
      <w:r w:rsidRPr="00DA3769">
        <w:rPr>
          <w:rFonts w:asciiTheme="minorHAnsi" w:hAnsiTheme="minorHAnsi" w:cstheme="minorHAnsi"/>
          <w:color w:val="333333"/>
          <w:sz w:val="22"/>
          <w:szCs w:val="22"/>
        </w:rPr>
        <w:t>Instead of ad hoc programmes or fragmented policy interventions, countries must implement multi-year, evidence-based interventions and provide extensive support to teachers, who are on the frontlines of driving recovery in classrooms.</w:t>
      </w:r>
    </w:p>
    <w:p w14:paraId="187754E9" w14:textId="77777777" w:rsidR="00B4215F" w:rsidRPr="00DA3769" w:rsidRDefault="00B75A6F" w:rsidP="00DA3769">
      <w:pPr>
        <w:pStyle w:val="Heading3"/>
      </w:pPr>
      <w:r w:rsidRPr="00DA3769">
        <w:t>Bridging the digital divide</w:t>
      </w:r>
    </w:p>
    <w:p w14:paraId="6F182A4B" w14:textId="77777777" w:rsidR="00D37390" w:rsidRPr="00DA3769" w:rsidRDefault="00D37390" w:rsidP="00DA3769">
      <w:pPr>
        <w:pStyle w:val="ListParagraph"/>
        <w:numPr>
          <w:ilvl w:val="0"/>
          <w:numId w:val="21"/>
        </w:numPr>
        <w:spacing w:after="120" w:line="259" w:lineRule="auto"/>
        <w:contextualSpacing w:val="0"/>
        <w:jc w:val="both"/>
        <w:rPr>
          <w:rFonts w:asciiTheme="minorHAnsi" w:hAnsiTheme="minorHAnsi" w:cstheme="minorHAnsi"/>
          <w:sz w:val="22"/>
          <w:szCs w:val="22"/>
        </w:rPr>
      </w:pPr>
      <w:r w:rsidRPr="00DA3769">
        <w:rPr>
          <w:rFonts w:asciiTheme="minorHAnsi" w:hAnsiTheme="minorHAnsi" w:cstheme="minorHAnsi"/>
          <w:sz w:val="22"/>
          <w:szCs w:val="22"/>
        </w:rPr>
        <w:t>Digital connectivity plays an increasingly vital role in our everyday lives and has fundamentally changed the way people exchange and acquire information.</w:t>
      </w:r>
    </w:p>
    <w:p w14:paraId="1F51EEDF" w14:textId="77777777" w:rsidR="0072379B" w:rsidRPr="00DA3769" w:rsidRDefault="0072379B" w:rsidP="00DA3769">
      <w:pPr>
        <w:pStyle w:val="ListParagraph"/>
        <w:numPr>
          <w:ilvl w:val="0"/>
          <w:numId w:val="21"/>
        </w:numPr>
        <w:spacing w:after="120" w:line="259" w:lineRule="auto"/>
        <w:contextualSpacing w:val="0"/>
        <w:jc w:val="both"/>
        <w:rPr>
          <w:rFonts w:asciiTheme="minorHAnsi" w:hAnsiTheme="minorHAnsi" w:cstheme="minorHAnsi"/>
          <w:sz w:val="22"/>
          <w:szCs w:val="22"/>
        </w:rPr>
      </w:pPr>
      <w:r w:rsidRPr="00DA3769">
        <w:rPr>
          <w:rFonts w:asciiTheme="minorHAnsi" w:hAnsiTheme="minorHAnsi" w:cstheme="minorHAnsi"/>
          <w:sz w:val="22"/>
          <w:szCs w:val="22"/>
        </w:rPr>
        <w:t>The COVID-19 pandemic further highlights that well-established digital networks and supportive remote learning policies provide flexibility and resilience to the education system. However, the pandemic also brought attention to the digital divide – the gap between those who have computers and online access and those who do not – and its resulting impact on equity. </w:t>
      </w:r>
    </w:p>
    <w:p w14:paraId="49B025C9" w14:textId="630E713B" w:rsidR="00B75A6F" w:rsidRPr="00DA3769" w:rsidRDefault="0072379B" w:rsidP="00DA3769">
      <w:pPr>
        <w:pStyle w:val="ListParagraph"/>
        <w:numPr>
          <w:ilvl w:val="0"/>
          <w:numId w:val="21"/>
        </w:numPr>
        <w:spacing w:after="120" w:line="259" w:lineRule="auto"/>
        <w:contextualSpacing w:val="0"/>
        <w:jc w:val="both"/>
        <w:rPr>
          <w:rFonts w:asciiTheme="minorHAnsi" w:hAnsiTheme="minorHAnsi" w:cstheme="minorHAnsi"/>
          <w:sz w:val="22"/>
          <w:szCs w:val="22"/>
        </w:rPr>
      </w:pPr>
      <w:r w:rsidRPr="00DA3769">
        <w:rPr>
          <w:rFonts w:asciiTheme="minorHAnsi" w:hAnsiTheme="minorHAnsi" w:cstheme="minorHAnsi"/>
          <w:sz w:val="22"/>
          <w:szCs w:val="22"/>
          <w:lang w:val="en-US"/>
        </w:rPr>
        <w:t>W</w:t>
      </w:r>
      <w:r w:rsidR="791AF476" w:rsidRPr="00DA3769">
        <w:rPr>
          <w:rFonts w:asciiTheme="minorHAnsi" w:hAnsiTheme="minorHAnsi" w:cstheme="minorHAnsi"/>
          <w:sz w:val="22"/>
          <w:szCs w:val="22"/>
          <w:lang w:val="en-US"/>
        </w:rPr>
        <w:t>hile most countries implemented remote learning solutions during the COVID19 pandemic, nearly 500 million learners could not be reached by any of th</w:t>
      </w:r>
      <w:r w:rsidR="60119854" w:rsidRPr="00DA3769">
        <w:rPr>
          <w:rFonts w:asciiTheme="minorHAnsi" w:hAnsiTheme="minorHAnsi" w:cstheme="minorHAnsi"/>
          <w:sz w:val="22"/>
          <w:szCs w:val="22"/>
          <w:lang w:val="en-US"/>
        </w:rPr>
        <w:t xml:space="preserve">em, out of a total of 1.6 billion learners </w:t>
      </w:r>
      <w:r w:rsidR="0FE1039E" w:rsidRPr="00DA3769">
        <w:rPr>
          <w:rFonts w:asciiTheme="minorHAnsi" w:hAnsiTheme="minorHAnsi" w:cstheme="minorHAnsi"/>
          <w:sz w:val="22"/>
          <w:szCs w:val="22"/>
          <w:lang w:val="en-US"/>
        </w:rPr>
        <w:t>affected</w:t>
      </w:r>
      <w:r w:rsidR="60119854" w:rsidRPr="00DA3769">
        <w:rPr>
          <w:rFonts w:asciiTheme="minorHAnsi" w:hAnsiTheme="minorHAnsi" w:cstheme="minorHAnsi"/>
          <w:sz w:val="22"/>
          <w:szCs w:val="22"/>
          <w:lang w:val="en-US"/>
        </w:rPr>
        <w:t xml:space="preserve"> by school closure at the peak of the pandemic.</w:t>
      </w:r>
    </w:p>
    <w:p w14:paraId="77DF1E20" w14:textId="0D979B0A" w:rsidR="00F4787B" w:rsidRPr="00DA3769" w:rsidRDefault="00F4787B" w:rsidP="005526BE">
      <w:pPr>
        <w:pStyle w:val="paragraph"/>
        <w:spacing w:before="0" w:beforeAutospacing="0" w:after="0" w:afterAutospacing="0"/>
        <w:ind w:left="720"/>
        <w:textAlignment w:val="baseline"/>
        <w:rPr>
          <w:rFonts w:asciiTheme="minorHAnsi" w:hAnsiTheme="minorHAnsi" w:cstheme="minorHAnsi"/>
          <w:sz w:val="22"/>
          <w:szCs w:val="22"/>
        </w:rPr>
      </w:pPr>
    </w:p>
    <w:sectPr w:rsidR="00F4787B" w:rsidRPr="00DA3769" w:rsidSect="007738B9">
      <w:headerReference w:type="default" r:id="rId10"/>
      <w:footerReference w:type="default" r:id="rId11"/>
      <w:pgSz w:w="11906" w:h="16838"/>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4791" w14:textId="77777777" w:rsidR="00B7513F" w:rsidRDefault="00B7513F" w:rsidP="007B6A12">
      <w:r>
        <w:separator/>
      </w:r>
    </w:p>
  </w:endnote>
  <w:endnote w:type="continuationSeparator" w:id="0">
    <w:p w14:paraId="2E9A3583" w14:textId="77777777" w:rsidR="00B7513F" w:rsidRDefault="00B7513F" w:rsidP="007B6A12">
      <w:r>
        <w:continuationSeparator/>
      </w:r>
    </w:p>
  </w:endnote>
  <w:endnote w:type="continuationNotice" w:id="1">
    <w:p w14:paraId="43D67455" w14:textId="77777777" w:rsidR="00B7513F" w:rsidRDefault="00B7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838735"/>
      <w:docPartObj>
        <w:docPartGallery w:val="Page Numbers (Bottom of Page)"/>
        <w:docPartUnique/>
      </w:docPartObj>
    </w:sdtPr>
    <w:sdtEndPr>
      <w:rPr>
        <w:noProof/>
      </w:rPr>
    </w:sdtEndPr>
    <w:sdtContent>
      <w:p w14:paraId="0C4C5056" w14:textId="6DC13D60" w:rsidR="007738B9" w:rsidRDefault="007738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49FA54" w14:textId="77777777" w:rsidR="007738B9" w:rsidRDefault="0077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BAA1" w14:textId="77777777" w:rsidR="00B7513F" w:rsidRDefault="00B7513F" w:rsidP="007B6A12">
      <w:r>
        <w:separator/>
      </w:r>
    </w:p>
  </w:footnote>
  <w:footnote w:type="continuationSeparator" w:id="0">
    <w:p w14:paraId="22156E8D" w14:textId="77777777" w:rsidR="00B7513F" w:rsidRDefault="00B7513F" w:rsidP="007B6A12">
      <w:r>
        <w:continuationSeparator/>
      </w:r>
    </w:p>
  </w:footnote>
  <w:footnote w:type="continuationNotice" w:id="1">
    <w:p w14:paraId="274B74A7" w14:textId="77777777" w:rsidR="00B7513F" w:rsidRDefault="00B7513F"/>
  </w:footnote>
  <w:footnote w:id="2">
    <w:p w14:paraId="71F5030D" w14:textId="77777777" w:rsidR="004250BC" w:rsidRPr="00DA3769" w:rsidRDefault="004250BC" w:rsidP="004250BC">
      <w:pPr>
        <w:pStyle w:val="FootnoteText"/>
        <w:rPr>
          <w:rFonts w:asciiTheme="minorHAnsi" w:hAnsiTheme="minorHAnsi" w:cstheme="minorHAnsi"/>
          <w:sz w:val="18"/>
          <w:szCs w:val="18"/>
          <w:lang w:val="en-US"/>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https://data.unicef.org/topic/education/primary-education/</w:t>
      </w:r>
    </w:p>
  </w:footnote>
  <w:footnote w:id="3">
    <w:p w14:paraId="61BBAC25" w14:textId="77777777" w:rsidR="00313C12" w:rsidRPr="00DA3769" w:rsidRDefault="00313C12" w:rsidP="00313C12">
      <w:pPr>
        <w:pStyle w:val="FootnoteText"/>
        <w:rPr>
          <w:rFonts w:asciiTheme="minorHAnsi" w:hAnsiTheme="minorHAnsi" w:cstheme="minorHAnsi"/>
          <w:sz w:val="18"/>
          <w:szCs w:val="18"/>
          <w:lang w:val="en-US"/>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https://data.unicef.org/topic/education/primary-education/</w:t>
      </w:r>
    </w:p>
  </w:footnote>
  <w:footnote w:id="4">
    <w:p w14:paraId="77C7F356" w14:textId="77777777" w:rsidR="00313C12" w:rsidRPr="00DA3769" w:rsidRDefault="00313C12" w:rsidP="00313C12">
      <w:pPr>
        <w:pStyle w:val="FootnoteText"/>
        <w:rPr>
          <w:rFonts w:asciiTheme="minorHAnsi" w:hAnsiTheme="minorHAnsi" w:cstheme="minorHAnsi"/>
          <w:sz w:val="18"/>
          <w:szCs w:val="18"/>
          <w:lang w:val="en-US"/>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https://data.unicef.org/resources/a-new-era-for-girls-taking-stock-of-25-years-of-progress/</w:t>
      </w:r>
    </w:p>
  </w:footnote>
  <w:footnote w:id="5">
    <w:p w14:paraId="77F2FB57" w14:textId="0D60BE0B" w:rsidR="007052FC" w:rsidRPr="00DA3769" w:rsidRDefault="007052FC">
      <w:pPr>
        <w:pStyle w:val="FootnoteText"/>
        <w:rPr>
          <w:rFonts w:asciiTheme="minorHAnsi" w:hAnsiTheme="minorHAnsi" w:cstheme="minorHAnsi"/>
          <w:sz w:val="18"/>
          <w:szCs w:val="18"/>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w:t>
      </w:r>
      <w:r w:rsidR="001D4C36" w:rsidRPr="00DA3769">
        <w:rPr>
          <w:rFonts w:asciiTheme="minorHAnsi" w:hAnsiTheme="minorHAnsi" w:cstheme="minorHAnsi"/>
          <w:sz w:val="18"/>
          <w:szCs w:val="18"/>
        </w:rPr>
        <w:t>https://www.unicef.org/media/59856/file/UNICEF-education-strategy-2019-2030.pdf</w:t>
      </w:r>
    </w:p>
  </w:footnote>
  <w:footnote w:id="6">
    <w:p w14:paraId="7B3D02D0" w14:textId="60D36615" w:rsidR="00476A53" w:rsidRPr="00DA3769" w:rsidRDefault="00476A53">
      <w:pPr>
        <w:pStyle w:val="FootnoteText"/>
        <w:rPr>
          <w:rFonts w:asciiTheme="minorHAnsi" w:hAnsiTheme="minorHAnsi" w:cstheme="minorHAnsi"/>
          <w:sz w:val="18"/>
          <w:szCs w:val="18"/>
          <w:lang w:val="en-US"/>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https://data.unicef.org/resources/a-new-era-for-girls-taking-stock-of-25-years-of-progress/</w:t>
      </w:r>
    </w:p>
  </w:footnote>
  <w:footnote w:id="7">
    <w:p w14:paraId="279AE95A" w14:textId="4FDDF5A0" w:rsidR="2FD35424" w:rsidRPr="00DA3769" w:rsidRDefault="2FD35424" w:rsidP="00383FB7">
      <w:pPr>
        <w:pStyle w:val="FootnoteText"/>
        <w:rPr>
          <w:rFonts w:asciiTheme="minorHAnsi" w:hAnsiTheme="minorHAnsi" w:cstheme="minorHAnsi"/>
          <w:sz w:val="18"/>
          <w:szCs w:val="18"/>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https://www.worldbank.org/en/topic/education/publication/state-of-global-learning-poverty</w:t>
      </w:r>
    </w:p>
  </w:footnote>
  <w:footnote w:id="8">
    <w:p w14:paraId="67519555" w14:textId="043B04A6" w:rsidR="2FD35424" w:rsidRPr="00DA3769" w:rsidRDefault="2FD35424" w:rsidP="00383FB7">
      <w:pPr>
        <w:pStyle w:val="FootnoteText"/>
        <w:rPr>
          <w:rFonts w:asciiTheme="minorHAnsi" w:hAnsiTheme="minorHAnsi" w:cstheme="minorHAnsi"/>
          <w:sz w:val="18"/>
          <w:szCs w:val="18"/>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https://unesdoc.unesco.org/ark:/48223/pf0000382577</w:t>
      </w:r>
    </w:p>
  </w:footnote>
  <w:footnote w:id="9">
    <w:p w14:paraId="392389E5" w14:textId="195FE1FF" w:rsidR="2FD35424" w:rsidRPr="00DA3769" w:rsidRDefault="2FD35424" w:rsidP="00383FB7">
      <w:pPr>
        <w:pStyle w:val="FootnoteText"/>
        <w:rPr>
          <w:rFonts w:asciiTheme="minorHAnsi" w:hAnsiTheme="minorHAnsi" w:cstheme="minorHAnsi"/>
          <w:sz w:val="18"/>
          <w:szCs w:val="18"/>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https://www.unicef.org/reports/climate-crisis-child-rights-crisis</w:t>
      </w:r>
    </w:p>
  </w:footnote>
  <w:footnote w:id="10">
    <w:p w14:paraId="51FB2099" w14:textId="77777777" w:rsidR="002B2A6B" w:rsidRPr="00DA3769" w:rsidRDefault="002B2A6B" w:rsidP="002B2A6B">
      <w:pPr>
        <w:pStyle w:val="FootnoteText"/>
        <w:rPr>
          <w:rFonts w:asciiTheme="minorHAnsi" w:hAnsiTheme="minorHAnsi" w:cstheme="minorHAnsi"/>
          <w:sz w:val="18"/>
          <w:szCs w:val="18"/>
        </w:rPr>
      </w:pPr>
      <w:r w:rsidRPr="00DA3769">
        <w:rPr>
          <w:rStyle w:val="FootnoteReference"/>
          <w:rFonts w:asciiTheme="minorHAnsi" w:hAnsiTheme="minorHAnsi" w:cstheme="minorHAnsi"/>
          <w:sz w:val="18"/>
          <w:szCs w:val="18"/>
        </w:rPr>
        <w:footnoteRef/>
      </w:r>
      <w:r w:rsidRPr="00DA3769">
        <w:rPr>
          <w:rFonts w:asciiTheme="minorHAnsi" w:hAnsiTheme="minorHAnsi" w:cstheme="minorHAnsi"/>
          <w:sz w:val="18"/>
          <w:szCs w:val="18"/>
        </w:rPr>
        <w:t xml:space="preserve"> See UNICEF and partners’ RAPID agenda: </w:t>
      </w:r>
      <w:hyperlink r:id="rId1" w:history="1">
        <w:r w:rsidRPr="00DA3769">
          <w:rPr>
            <w:rStyle w:val="Hyperlink"/>
            <w:rFonts w:asciiTheme="minorHAnsi" w:hAnsiTheme="minorHAnsi" w:cstheme="minorHAnsi"/>
            <w:color w:val="auto"/>
            <w:sz w:val="18"/>
            <w:szCs w:val="18"/>
          </w:rPr>
          <w:t>https://www.unicef.org/media/117626/file/Where%20are%20we%20in%20Education%20Recovery?.pdf</w:t>
        </w:r>
      </w:hyperlink>
      <w:r w:rsidRPr="00DA3769">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933C" w14:textId="75438A4C" w:rsidR="00DA3769" w:rsidRPr="00DA3769" w:rsidRDefault="00DA3769" w:rsidP="00DA3769">
    <w:pPr>
      <w:pStyle w:val="Header"/>
      <w:jc w:val="right"/>
      <w:rPr>
        <w:rFonts w:asciiTheme="minorHAnsi" w:hAnsiTheme="minorHAnsi" w:cstheme="minorHAnsi"/>
        <w:sz w:val="22"/>
        <w:szCs w:val="22"/>
        <w:lang w:val="en-US"/>
      </w:rPr>
    </w:pPr>
    <w:r w:rsidRPr="00DA3769">
      <w:rPr>
        <w:rFonts w:asciiTheme="minorHAnsi" w:hAnsiTheme="minorHAnsi" w:cstheme="minorHAnsi"/>
        <w:sz w:val="22"/>
        <w:szCs w:val="22"/>
        <w:lang w:val="en-US"/>
      </w:rPr>
      <w:t>UNICEF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078"/>
    <w:multiLevelType w:val="hybridMultilevel"/>
    <w:tmpl w:val="8F5077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F23"/>
    <w:multiLevelType w:val="hybridMultilevel"/>
    <w:tmpl w:val="74E4C8A2"/>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09C7"/>
    <w:multiLevelType w:val="hybridMultilevel"/>
    <w:tmpl w:val="ABE63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F5A"/>
    <w:multiLevelType w:val="hybridMultilevel"/>
    <w:tmpl w:val="4A90F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70268"/>
    <w:multiLevelType w:val="hybridMultilevel"/>
    <w:tmpl w:val="CB02800C"/>
    <w:lvl w:ilvl="0" w:tplc="5896FA80">
      <w:numFmt w:val="bullet"/>
      <w:lvlText w:val="•"/>
      <w:lvlJc w:val="left"/>
      <w:pPr>
        <w:ind w:left="180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0B572C"/>
    <w:multiLevelType w:val="hybridMultilevel"/>
    <w:tmpl w:val="FDB80B0C"/>
    <w:lvl w:ilvl="0" w:tplc="5896FA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760D"/>
    <w:multiLevelType w:val="hybridMultilevel"/>
    <w:tmpl w:val="60225A7A"/>
    <w:lvl w:ilvl="0" w:tplc="CA3AA3A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12424"/>
    <w:multiLevelType w:val="hybridMultilevel"/>
    <w:tmpl w:val="4CEEA8A6"/>
    <w:lvl w:ilvl="0" w:tplc="BC9AD67C">
      <w:start w:val="1"/>
      <w:numFmt w:val="decimal"/>
      <w:lvlText w:val="%1."/>
      <w:lvlJc w:val="left"/>
      <w:pPr>
        <w:ind w:left="720" w:hanging="360"/>
      </w:pPr>
      <w:rPr>
        <w:rFonts w:hint="default"/>
      </w:rPr>
    </w:lvl>
    <w:lvl w:ilvl="1" w:tplc="881E65CA">
      <w:start w:val="1"/>
      <w:numFmt w:val="bullet"/>
      <w:lvlText w:val=""/>
      <w:lvlJc w:val="left"/>
      <w:pPr>
        <w:ind w:left="1440" w:hanging="360"/>
      </w:pPr>
      <w:rPr>
        <w:rFonts w:ascii="Symbol" w:hAnsi="Symbol" w:hint="default"/>
      </w:rPr>
    </w:lvl>
    <w:lvl w:ilvl="2" w:tplc="8A8EE498">
      <w:start w:val="1"/>
      <w:numFmt w:val="bullet"/>
      <w:lvlText w:val=""/>
      <w:lvlJc w:val="left"/>
      <w:pPr>
        <w:ind w:left="2160" w:hanging="360"/>
      </w:pPr>
      <w:rPr>
        <w:rFonts w:ascii="Wingdings" w:hAnsi="Wingdings" w:hint="default"/>
      </w:rPr>
    </w:lvl>
    <w:lvl w:ilvl="3" w:tplc="42B6C57C">
      <w:start w:val="1"/>
      <w:numFmt w:val="bullet"/>
      <w:lvlText w:val=""/>
      <w:lvlJc w:val="left"/>
      <w:pPr>
        <w:ind w:left="2880" w:hanging="360"/>
      </w:pPr>
      <w:rPr>
        <w:rFonts w:ascii="Symbol" w:hAnsi="Symbol" w:hint="default"/>
      </w:rPr>
    </w:lvl>
    <w:lvl w:ilvl="4" w:tplc="D78EDCD4">
      <w:start w:val="1"/>
      <w:numFmt w:val="bullet"/>
      <w:lvlText w:val="o"/>
      <w:lvlJc w:val="left"/>
      <w:pPr>
        <w:ind w:left="3600" w:hanging="360"/>
      </w:pPr>
      <w:rPr>
        <w:rFonts w:ascii="Courier New" w:hAnsi="Courier New" w:hint="default"/>
      </w:rPr>
    </w:lvl>
    <w:lvl w:ilvl="5" w:tplc="2ADA59A0">
      <w:start w:val="1"/>
      <w:numFmt w:val="bullet"/>
      <w:lvlText w:val=""/>
      <w:lvlJc w:val="left"/>
      <w:pPr>
        <w:ind w:left="4320" w:hanging="360"/>
      </w:pPr>
      <w:rPr>
        <w:rFonts w:ascii="Wingdings" w:hAnsi="Wingdings" w:hint="default"/>
      </w:rPr>
    </w:lvl>
    <w:lvl w:ilvl="6" w:tplc="E6003FF4">
      <w:start w:val="1"/>
      <w:numFmt w:val="bullet"/>
      <w:lvlText w:val=""/>
      <w:lvlJc w:val="left"/>
      <w:pPr>
        <w:ind w:left="5040" w:hanging="360"/>
      </w:pPr>
      <w:rPr>
        <w:rFonts w:ascii="Symbol" w:hAnsi="Symbol" w:hint="default"/>
      </w:rPr>
    </w:lvl>
    <w:lvl w:ilvl="7" w:tplc="C0948EEE">
      <w:start w:val="1"/>
      <w:numFmt w:val="bullet"/>
      <w:lvlText w:val="o"/>
      <w:lvlJc w:val="left"/>
      <w:pPr>
        <w:ind w:left="5760" w:hanging="360"/>
      </w:pPr>
      <w:rPr>
        <w:rFonts w:ascii="Courier New" w:hAnsi="Courier New" w:hint="default"/>
      </w:rPr>
    </w:lvl>
    <w:lvl w:ilvl="8" w:tplc="CC7C4834">
      <w:start w:val="1"/>
      <w:numFmt w:val="bullet"/>
      <w:lvlText w:val=""/>
      <w:lvlJc w:val="left"/>
      <w:pPr>
        <w:ind w:left="6480" w:hanging="360"/>
      </w:pPr>
      <w:rPr>
        <w:rFonts w:ascii="Wingdings" w:hAnsi="Wingdings" w:hint="default"/>
      </w:rPr>
    </w:lvl>
  </w:abstractNum>
  <w:abstractNum w:abstractNumId="8" w15:restartNumberingAfterBreak="0">
    <w:nsid w:val="35262D83"/>
    <w:multiLevelType w:val="hybridMultilevel"/>
    <w:tmpl w:val="58841CBC"/>
    <w:lvl w:ilvl="0" w:tplc="BC9AD67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C063F"/>
    <w:multiLevelType w:val="multilevel"/>
    <w:tmpl w:val="A68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33998"/>
    <w:multiLevelType w:val="hybridMultilevel"/>
    <w:tmpl w:val="97AC13FC"/>
    <w:lvl w:ilvl="0" w:tplc="83EA0DEA">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9C384"/>
    <w:multiLevelType w:val="hybridMultilevel"/>
    <w:tmpl w:val="889422E8"/>
    <w:lvl w:ilvl="0" w:tplc="7E7612B8">
      <w:start w:val="1"/>
      <w:numFmt w:val="bullet"/>
      <w:lvlText w:val=""/>
      <w:lvlJc w:val="left"/>
      <w:pPr>
        <w:ind w:left="720" w:hanging="360"/>
      </w:pPr>
      <w:rPr>
        <w:rFonts w:ascii="Symbol" w:hAnsi="Symbol" w:hint="default"/>
      </w:rPr>
    </w:lvl>
    <w:lvl w:ilvl="1" w:tplc="881E65CA">
      <w:start w:val="1"/>
      <w:numFmt w:val="bullet"/>
      <w:lvlText w:val=""/>
      <w:lvlJc w:val="left"/>
      <w:pPr>
        <w:ind w:left="1440" w:hanging="360"/>
      </w:pPr>
      <w:rPr>
        <w:rFonts w:ascii="Symbol" w:hAnsi="Symbol" w:hint="default"/>
      </w:rPr>
    </w:lvl>
    <w:lvl w:ilvl="2" w:tplc="8A8EE498">
      <w:start w:val="1"/>
      <w:numFmt w:val="bullet"/>
      <w:lvlText w:val=""/>
      <w:lvlJc w:val="left"/>
      <w:pPr>
        <w:ind w:left="2160" w:hanging="360"/>
      </w:pPr>
      <w:rPr>
        <w:rFonts w:ascii="Wingdings" w:hAnsi="Wingdings" w:hint="default"/>
      </w:rPr>
    </w:lvl>
    <w:lvl w:ilvl="3" w:tplc="42B6C57C">
      <w:start w:val="1"/>
      <w:numFmt w:val="bullet"/>
      <w:lvlText w:val=""/>
      <w:lvlJc w:val="left"/>
      <w:pPr>
        <w:ind w:left="2880" w:hanging="360"/>
      </w:pPr>
      <w:rPr>
        <w:rFonts w:ascii="Symbol" w:hAnsi="Symbol" w:hint="default"/>
      </w:rPr>
    </w:lvl>
    <w:lvl w:ilvl="4" w:tplc="D78EDCD4">
      <w:start w:val="1"/>
      <w:numFmt w:val="bullet"/>
      <w:lvlText w:val="o"/>
      <w:lvlJc w:val="left"/>
      <w:pPr>
        <w:ind w:left="3600" w:hanging="360"/>
      </w:pPr>
      <w:rPr>
        <w:rFonts w:ascii="Courier New" w:hAnsi="Courier New" w:hint="default"/>
      </w:rPr>
    </w:lvl>
    <w:lvl w:ilvl="5" w:tplc="2ADA59A0">
      <w:start w:val="1"/>
      <w:numFmt w:val="bullet"/>
      <w:lvlText w:val=""/>
      <w:lvlJc w:val="left"/>
      <w:pPr>
        <w:ind w:left="4320" w:hanging="360"/>
      </w:pPr>
      <w:rPr>
        <w:rFonts w:ascii="Wingdings" w:hAnsi="Wingdings" w:hint="default"/>
      </w:rPr>
    </w:lvl>
    <w:lvl w:ilvl="6" w:tplc="E6003FF4">
      <w:start w:val="1"/>
      <w:numFmt w:val="bullet"/>
      <w:lvlText w:val=""/>
      <w:lvlJc w:val="left"/>
      <w:pPr>
        <w:ind w:left="5040" w:hanging="360"/>
      </w:pPr>
      <w:rPr>
        <w:rFonts w:ascii="Symbol" w:hAnsi="Symbol" w:hint="default"/>
      </w:rPr>
    </w:lvl>
    <w:lvl w:ilvl="7" w:tplc="C0948EEE">
      <w:start w:val="1"/>
      <w:numFmt w:val="bullet"/>
      <w:lvlText w:val="o"/>
      <w:lvlJc w:val="left"/>
      <w:pPr>
        <w:ind w:left="5760" w:hanging="360"/>
      </w:pPr>
      <w:rPr>
        <w:rFonts w:ascii="Courier New" w:hAnsi="Courier New" w:hint="default"/>
      </w:rPr>
    </w:lvl>
    <w:lvl w:ilvl="8" w:tplc="CC7C4834">
      <w:start w:val="1"/>
      <w:numFmt w:val="bullet"/>
      <w:lvlText w:val=""/>
      <w:lvlJc w:val="left"/>
      <w:pPr>
        <w:ind w:left="6480" w:hanging="360"/>
      </w:pPr>
      <w:rPr>
        <w:rFonts w:ascii="Wingdings" w:hAnsi="Wingdings" w:hint="default"/>
      </w:rPr>
    </w:lvl>
  </w:abstractNum>
  <w:abstractNum w:abstractNumId="12" w15:restartNumberingAfterBreak="0">
    <w:nsid w:val="3F1B309A"/>
    <w:multiLevelType w:val="hybridMultilevel"/>
    <w:tmpl w:val="66541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C25919"/>
    <w:multiLevelType w:val="hybridMultilevel"/>
    <w:tmpl w:val="C512D35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122FA"/>
    <w:multiLevelType w:val="multilevel"/>
    <w:tmpl w:val="1AF2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6C3A8A"/>
    <w:multiLevelType w:val="hybridMultilevel"/>
    <w:tmpl w:val="3D7A039C"/>
    <w:lvl w:ilvl="0" w:tplc="BBD0AAFA">
      <w:start w:val="1"/>
      <w:numFmt w:val="upperRoman"/>
      <w:pStyle w:val="Heading1"/>
      <w:lvlText w:val="%1."/>
      <w:lvlJc w:val="righ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81463C"/>
    <w:multiLevelType w:val="hybridMultilevel"/>
    <w:tmpl w:val="50D0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D27750"/>
    <w:multiLevelType w:val="hybridMultilevel"/>
    <w:tmpl w:val="04F2F096"/>
    <w:lvl w:ilvl="0" w:tplc="31DE6F0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61758"/>
    <w:multiLevelType w:val="hybridMultilevel"/>
    <w:tmpl w:val="5FDE2D44"/>
    <w:lvl w:ilvl="0" w:tplc="83EA0D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754F7"/>
    <w:multiLevelType w:val="hybridMultilevel"/>
    <w:tmpl w:val="8A6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96979"/>
    <w:multiLevelType w:val="hybridMultilevel"/>
    <w:tmpl w:val="045ED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A72163"/>
    <w:multiLevelType w:val="hybridMultilevel"/>
    <w:tmpl w:val="458EA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14D4E"/>
    <w:multiLevelType w:val="hybridMultilevel"/>
    <w:tmpl w:val="BC742006"/>
    <w:lvl w:ilvl="0" w:tplc="4D2296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C0100"/>
    <w:multiLevelType w:val="hybridMultilevel"/>
    <w:tmpl w:val="69AC6482"/>
    <w:lvl w:ilvl="0" w:tplc="281E8A8A">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42EB1"/>
    <w:multiLevelType w:val="hybridMultilevel"/>
    <w:tmpl w:val="E6CC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46B80"/>
    <w:multiLevelType w:val="hybridMultilevel"/>
    <w:tmpl w:val="CCD6D038"/>
    <w:lvl w:ilvl="0" w:tplc="0409000F">
      <w:start w:val="1"/>
      <w:numFmt w:val="decimal"/>
      <w:lvlText w:val="%1."/>
      <w:lvlJc w:val="left"/>
      <w:pPr>
        <w:ind w:left="720" w:hanging="360"/>
      </w:pPr>
      <w:rPr>
        <w:rFonts w:hint="default"/>
      </w:rPr>
    </w:lvl>
    <w:lvl w:ilvl="1" w:tplc="881E65CA">
      <w:start w:val="1"/>
      <w:numFmt w:val="bullet"/>
      <w:lvlText w:val=""/>
      <w:lvlJc w:val="left"/>
      <w:pPr>
        <w:ind w:left="1440" w:hanging="360"/>
      </w:pPr>
      <w:rPr>
        <w:rFonts w:ascii="Symbol" w:hAnsi="Symbol" w:hint="default"/>
      </w:rPr>
    </w:lvl>
    <w:lvl w:ilvl="2" w:tplc="8A8EE498">
      <w:start w:val="1"/>
      <w:numFmt w:val="bullet"/>
      <w:lvlText w:val=""/>
      <w:lvlJc w:val="left"/>
      <w:pPr>
        <w:ind w:left="2160" w:hanging="360"/>
      </w:pPr>
      <w:rPr>
        <w:rFonts w:ascii="Wingdings" w:hAnsi="Wingdings" w:hint="default"/>
      </w:rPr>
    </w:lvl>
    <w:lvl w:ilvl="3" w:tplc="42B6C57C">
      <w:start w:val="1"/>
      <w:numFmt w:val="bullet"/>
      <w:lvlText w:val=""/>
      <w:lvlJc w:val="left"/>
      <w:pPr>
        <w:ind w:left="2880" w:hanging="360"/>
      </w:pPr>
      <w:rPr>
        <w:rFonts w:ascii="Symbol" w:hAnsi="Symbol" w:hint="default"/>
      </w:rPr>
    </w:lvl>
    <w:lvl w:ilvl="4" w:tplc="D78EDCD4">
      <w:start w:val="1"/>
      <w:numFmt w:val="bullet"/>
      <w:lvlText w:val="o"/>
      <w:lvlJc w:val="left"/>
      <w:pPr>
        <w:ind w:left="3600" w:hanging="360"/>
      </w:pPr>
      <w:rPr>
        <w:rFonts w:ascii="Courier New" w:hAnsi="Courier New" w:hint="default"/>
      </w:rPr>
    </w:lvl>
    <w:lvl w:ilvl="5" w:tplc="2ADA59A0">
      <w:start w:val="1"/>
      <w:numFmt w:val="bullet"/>
      <w:lvlText w:val=""/>
      <w:lvlJc w:val="left"/>
      <w:pPr>
        <w:ind w:left="4320" w:hanging="360"/>
      </w:pPr>
      <w:rPr>
        <w:rFonts w:ascii="Wingdings" w:hAnsi="Wingdings" w:hint="default"/>
      </w:rPr>
    </w:lvl>
    <w:lvl w:ilvl="6" w:tplc="E6003FF4">
      <w:start w:val="1"/>
      <w:numFmt w:val="bullet"/>
      <w:lvlText w:val=""/>
      <w:lvlJc w:val="left"/>
      <w:pPr>
        <w:ind w:left="5040" w:hanging="360"/>
      </w:pPr>
      <w:rPr>
        <w:rFonts w:ascii="Symbol" w:hAnsi="Symbol" w:hint="default"/>
      </w:rPr>
    </w:lvl>
    <w:lvl w:ilvl="7" w:tplc="C0948EEE">
      <w:start w:val="1"/>
      <w:numFmt w:val="bullet"/>
      <w:lvlText w:val="o"/>
      <w:lvlJc w:val="left"/>
      <w:pPr>
        <w:ind w:left="5760" w:hanging="360"/>
      </w:pPr>
      <w:rPr>
        <w:rFonts w:ascii="Courier New" w:hAnsi="Courier New" w:hint="default"/>
      </w:rPr>
    </w:lvl>
    <w:lvl w:ilvl="8" w:tplc="CC7C4834">
      <w:start w:val="1"/>
      <w:numFmt w:val="bullet"/>
      <w:lvlText w:val=""/>
      <w:lvlJc w:val="left"/>
      <w:pPr>
        <w:ind w:left="6480" w:hanging="360"/>
      </w:pPr>
      <w:rPr>
        <w:rFonts w:ascii="Wingdings" w:hAnsi="Wingdings" w:hint="default"/>
      </w:rPr>
    </w:lvl>
  </w:abstractNum>
  <w:abstractNum w:abstractNumId="26" w15:restartNumberingAfterBreak="0">
    <w:nsid w:val="72C54338"/>
    <w:multiLevelType w:val="hybridMultilevel"/>
    <w:tmpl w:val="E46C8168"/>
    <w:lvl w:ilvl="0" w:tplc="5896FA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00A92"/>
    <w:multiLevelType w:val="multilevel"/>
    <w:tmpl w:val="620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D3FC5"/>
    <w:multiLevelType w:val="hybridMultilevel"/>
    <w:tmpl w:val="71E0001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27"/>
  </w:num>
  <w:num w:numId="4">
    <w:abstractNumId w:val="9"/>
  </w:num>
  <w:num w:numId="5">
    <w:abstractNumId w:val="3"/>
  </w:num>
  <w:num w:numId="6">
    <w:abstractNumId w:val="21"/>
  </w:num>
  <w:num w:numId="7">
    <w:abstractNumId w:val="14"/>
  </w:num>
  <w:num w:numId="8">
    <w:abstractNumId w:val="20"/>
  </w:num>
  <w:num w:numId="9">
    <w:abstractNumId w:val="16"/>
  </w:num>
  <w:num w:numId="10">
    <w:abstractNumId w:val="16"/>
  </w:num>
  <w:num w:numId="11">
    <w:abstractNumId w:val="28"/>
  </w:num>
  <w:num w:numId="12">
    <w:abstractNumId w:val="12"/>
  </w:num>
  <w:num w:numId="13">
    <w:abstractNumId w:val="13"/>
  </w:num>
  <w:num w:numId="14">
    <w:abstractNumId w:val="26"/>
  </w:num>
  <w:num w:numId="15">
    <w:abstractNumId w:val="19"/>
  </w:num>
  <w:num w:numId="16">
    <w:abstractNumId w:val="5"/>
  </w:num>
  <w:num w:numId="17">
    <w:abstractNumId w:val="24"/>
  </w:num>
  <w:num w:numId="18">
    <w:abstractNumId w:val="0"/>
  </w:num>
  <w:num w:numId="19">
    <w:abstractNumId w:val="4"/>
  </w:num>
  <w:num w:numId="20">
    <w:abstractNumId w:val="1"/>
  </w:num>
  <w:num w:numId="21">
    <w:abstractNumId w:val="23"/>
  </w:num>
  <w:num w:numId="22">
    <w:abstractNumId w:val="25"/>
  </w:num>
  <w:num w:numId="23">
    <w:abstractNumId w:val="7"/>
  </w:num>
  <w:num w:numId="24">
    <w:abstractNumId w:val="8"/>
  </w:num>
  <w:num w:numId="25">
    <w:abstractNumId w:val="22"/>
  </w:num>
  <w:num w:numId="26">
    <w:abstractNumId w:val="18"/>
  </w:num>
  <w:num w:numId="27">
    <w:abstractNumId w:val="6"/>
  </w:num>
  <w:num w:numId="28">
    <w:abstractNumId w:val="1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7B"/>
    <w:rsid w:val="00097F00"/>
    <w:rsid w:val="000B3202"/>
    <w:rsid w:val="000F071E"/>
    <w:rsid w:val="00154E15"/>
    <w:rsid w:val="00170033"/>
    <w:rsid w:val="00177C81"/>
    <w:rsid w:val="0018261D"/>
    <w:rsid w:val="001C22D4"/>
    <w:rsid w:val="001D4C36"/>
    <w:rsid w:val="002060B1"/>
    <w:rsid w:val="00255EE1"/>
    <w:rsid w:val="00262ACD"/>
    <w:rsid w:val="00297B2A"/>
    <w:rsid w:val="002B2A6B"/>
    <w:rsid w:val="002C12A1"/>
    <w:rsid w:val="002D2447"/>
    <w:rsid w:val="00313C12"/>
    <w:rsid w:val="00371DA5"/>
    <w:rsid w:val="00383FB7"/>
    <w:rsid w:val="0039426B"/>
    <w:rsid w:val="003E6895"/>
    <w:rsid w:val="004250BC"/>
    <w:rsid w:val="00453E18"/>
    <w:rsid w:val="00476A53"/>
    <w:rsid w:val="004F0B96"/>
    <w:rsid w:val="004F5A11"/>
    <w:rsid w:val="00510BF3"/>
    <w:rsid w:val="00532A61"/>
    <w:rsid w:val="00534940"/>
    <w:rsid w:val="005350A3"/>
    <w:rsid w:val="005526BE"/>
    <w:rsid w:val="00571F2B"/>
    <w:rsid w:val="00584E2D"/>
    <w:rsid w:val="00590C80"/>
    <w:rsid w:val="005A650C"/>
    <w:rsid w:val="005E7805"/>
    <w:rsid w:val="00640691"/>
    <w:rsid w:val="00652D42"/>
    <w:rsid w:val="006625F3"/>
    <w:rsid w:val="00677FA7"/>
    <w:rsid w:val="006800ED"/>
    <w:rsid w:val="00681C1B"/>
    <w:rsid w:val="006F7F98"/>
    <w:rsid w:val="007052FC"/>
    <w:rsid w:val="0072379B"/>
    <w:rsid w:val="00745123"/>
    <w:rsid w:val="00745961"/>
    <w:rsid w:val="00751DA2"/>
    <w:rsid w:val="00752198"/>
    <w:rsid w:val="00770905"/>
    <w:rsid w:val="007738B9"/>
    <w:rsid w:val="007938F0"/>
    <w:rsid w:val="007961FE"/>
    <w:rsid w:val="007B6A12"/>
    <w:rsid w:val="007E3BE6"/>
    <w:rsid w:val="00820C22"/>
    <w:rsid w:val="00897B64"/>
    <w:rsid w:val="008C50EE"/>
    <w:rsid w:val="008E7471"/>
    <w:rsid w:val="00911BF4"/>
    <w:rsid w:val="00940EF2"/>
    <w:rsid w:val="00946DC0"/>
    <w:rsid w:val="0094707D"/>
    <w:rsid w:val="009C7316"/>
    <w:rsid w:val="009F4070"/>
    <w:rsid w:val="00A7556C"/>
    <w:rsid w:val="00A85727"/>
    <w:rsid w:val="00AC60D1"/>
    <w:rsid w:val="00AC6DCB"/>
    <w:rsid w:val="00B11DF6"/>
    <w:rsid w:val="00B2455F"/>
    <w:rsid w:val="00B4215F"/>
    <w:rsid w:val="00B4333B"/>
    <w:rsid w:val="00B7513F"/>
    <w:rsid w:val="00B75A6F"/>
    <w:rsid w:val="00B94F1B"/>
    <w:rsid w:val="00C20D1C"/>
    <w:rsid w:val="00C4193C"/>
    <w:rsid w:val="00CB2AC4"/>
    <w:rsid w:val="00CC4834"/>
    <w:rsid w:val="00CF75EA"/>
    <w:rsid w:val="00D37390"/>
    <w:rsid w:val="00D641DE"/>
    <w:rsid w:val="00D9337F"/>
    <w:rsid w:val="00D94EE9"/>
    <w:rsid w:val="00DA3769"/>
    <w:rsid w:val="00DA4496"/>
    <w:rsid w:val="00DC123A"/>
    <w:rsid w:val="00E305CF"/>
    <w:rsid w:val="00E620E0"/>
    <w:rsid w:val="00ED1931"/>
    <w:rsid w:val="00F0336D"/>
    <w:rsid w:val="00F13B61"/>
    <w:rsid w:val="00F24862"/>
    <w:rsid w:val="00F4787B"/>
    <w:rsid w:val="00F6055E"/>
    <w:rsid w:val="00F835BF"/>
    <w:rsid w:val="00FA5ADA"/>
    <w:rsid w:val="00FC4DEE"/>
    <w:rsid w:val="00FD230C"/>
    <w:rsid w:val="00FD509D"/>
    <w:rsid w:val="00FF71EE"/>
    <w:rsid w:val="0279F24D"/>
    <w:rsid w:val="03BD8EC7"/>
    <w:rsid w:val="03D7935B"/>
    <w:rsid w:val="03EB5461"/>
    <w:rsid w:val="0FE1039E"/>
    <w:rsid w:val="12A51993"/>
    <w:rsid w:val="12D40BBF"/>
    <w:rsid w:val="162788EB"/>
    <w:rsid w:val="1C73DCB6"/>
    <w:rsid w:val="1FA5EB0B"/>
    <w:rsid w:val="1FD6B30B"/>
    <w:rsid w:val="265235F8"/>
    <w:rsid w:val="2A7D221C"/>
    <w:rsid w:val="2FD35424"/>
    <w:rsid w:val="33074F41"/>
    <w:rsid w:val="368711C5"/>
    <w:rsid w:val="393063F3"/>
    <w:rsid w:val="3C22A91F"/>
    <w:rsid w:val="3EB3D00A"/>
    <w:rsid w:val="44CC80B1"/>
    <w:rsid w:val="47928C19"/>
    <w:rsid w:val="48E803CA"/>
    <w:rsid w:val="5B74DB87"/>
    <w:rsid w:val="5EA2CD2F"/>
    <w:rsid w:val="5F5C773D"/>
    <w:rsid w:val="60119854"/>
    <w:rsid w:val="6A1A82B0"/>
    <w:rsid w:val="6BA27DEC"/>
    <w:rsid w:val="6C7CFAB2"/>
    <w:rsid w:val="6E2B4D8F"/>
    <w:rsid w:val="6E4EB8CC"/>
    <w:rsid w:val="7383CD2C"/>
    <w:rsid w:val="744AB2CA"/>
    <w:rsid w:val="74E78240"/>
    <w:rsid w:val="791AF476"/>
    <w:rsid w:val="79F417E3"/>
    <w:rsid w:val="7EC7400A"/>
    <w:rsid w:val="7F05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D2EEE"/>
  <w15:chartTrackingRefBased/>
  <w15:docId w15:val="{AC907104-7B7B-4595-A9AB-AC56B3D5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87B"/>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DA3769"/>
    <w:pPr>
      <w:numPr>
        <w:numId w:val="2"/>
      </w:numPr>
      <w:pBdr>
        <w:bottom w:val="single" w:sz="4" w:space="1" w:color="auto"/>
      </w:pBdr>
      <w:jc w:val="both"/>
      <w:outlineLvl w:val="0"/>
    </w:pPr>
    <w:rPr>
      <w:rFonts w:asciiTheme="minorHAnsi" w:hAnsiTheme="minorHAnsi" w:cstheme="minorHAnsi"/>
      <w:b/>
      <w:sz w:val="22"/>
      <w:szCs w:val="22"/>
      <w:lang w:val="en-US"/>
    </w:rPr>
  </w:style>
  <w:style w:type="paragraph" w:styleId="Heading2">
    <w:name w:val="heading 2"/>
    <w:basedOn w:val="paragraph"/>
    <w:next w:val="Normal"/>
    <w:link w:val="Heading2Char"/>
    <w:uiPriority w:val="9"/>
    <w:unhideWhenUsed/>
    <w:qFormat/>
    <w:rsid w:val="00DA3769"/>
    <w:pPr>
      <w:ind w:left="360"/>
      <w:textAlignment w:val="baseline"/>
      <w:outlineLvl w:val="1"/>
    </w:pPr>
    <w:rPr>
      <w:rFonts w:asciiTheme="minorHAnsi" w:hAnsiTheme="minorHAnsi" w:cstheme="minorHAnsi"/>
      <w:b/>
      <w:bCs/>
      <w:sz w:val="22"/>
      <w:szCs w:val="22"/>
      <w:u w:val="single"/>
      <w:lang w:val="en-US"/>
    </w:rPr>
  </w:style>
  <w:style w:type="paragraph" w:styleId="Heading3">
    <w:name w:val="heading 3"/>
    <w:basedOn w:val="paragraph"/>
    <w:next w:val="Normal"/>
    <w:link w:val="Heading3Char"/>
    <w:uiPriority w:val="9"/>
    <w:unhideWhenUsed/>
    <w:qFormat/>
    <w:rsid w:val="00DA3769"/>
    <w:pPr>
      <w:ind w:firstLine="360"/>
      <w:jc w:val="both"/>
      <w:outlineLvl w:val="2"/>
    </w:pPr>
    <w:rPr>
      <w:rFonts w:asciiTheme="minorHAnsi" w:hAnsiTheme="minorHAnsi" w:cstheme="minorHAnsi"/>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4787B"/>
    <w:rPr>
      <w:sz w:val="16"/>
      <w:szCs w:val="16"/>
    </w:rPr>
  </w:style>
  <w:style w:type="paragraph" w:styleId="ListParagraph">
    <w:name w:val="List Paragraph"/>
    <w:basedOn w:val="Normal"/>
    <w:uiPriority w:val="34"/>
    <w:qFormat/>
    <w:rsid w:val="00F4787B"/>
    <w:pPr>
      <w:ind w:left="720"/>
      <w:contextualSpacing/>
    </w:pPr>
  </w:style>
  <w:style w:type="paragraph" w:customStyle="1" w:styleId="paragraph">
    <w:name w:val="paragraph"/>
    <w:basedOn w:val="Normal"/>
    <w:rsid w:val="00F4787B"/>
    <w:pPr>
      <w:spacing w:before="100" w:beforeAutospacing="1" w:after="100" w:afterAutospacing="1"/>
    </w:pPr>
    <w:rPr>
      <w:sz w:val="24"/>
      <w:szCs w:val="24"/>
      <w:lang w:eastAsia="en-GB"/>
    </w:rPr>
  </w:style>
  <w:style w:type="character" w:customStyle="1" w:styleId="normaltextrun">
    <w:name w:val="normaltextrun"/>
    <w:basedOn w:val="DefaultParagraphFont"/>
    <w:rsid w:val="00F4787B"/>
  </w:style>
  <w:style w:type="character" w:customStyle="1" w:styleId="eop">
    <w:name w:val="eop"/>
    <w:basedOn w:val="DefaultParagraphFont"/>
    <w:rsid w:val="00F4787B"/>
  </w:style>
  <w:style w:type="paragraph" w:styleId="FootnoteText">
    <w:name w:val="footnote text"/>
    <w:basedOn w:val="Normal"/>
    <w:link w:val="FootnoteTextChar"/>
    <w:uiPriority w:val="99"/>
    <w:semiHidden/>
    <w:unhideWhenUsed/>
    <w:rsid w:val="007B6A12"/>
  </w:style>
  <w:style w:type="character" w:customStyle="1" w:styleId="FootnoteTextChar">
    <w:name w:val="Footnote Text Char"/>
    <w:basedOn w:val="DefaultParagraphFont"/>
    <w:link w:val="FootnoteText"/>
    <w:uiPriority w:val="99"/>
    <w:semiHidden/>
    <w:rsid w:val="007B6A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6A12"/>
    <w:rPr>
      <w:vertAlign w:val="superscript"/>
    </w:rPr>
  </w:style>
  <w:style w:type="character" w:styleId="Hyperlink">
    <w:name w:val="Hyperlink"/>
    <w:basedOn w:val="DefaultParagraphFont"/>
    <w:uiPriority w:val="99"/>
    <w:unhideWhenUsed/>
    <w:rsid w:val="006800ED"/>
    <w:rPr>
      <w:color w:val="0563C1" w:themeColor="hyperlink"/>
      <w:u w:val="single"/>
    </w:rPr>
  </w:style>
  <w:style w:type="character" w:styleId="UnresolvedMention">
    <w:name w:val="Unresolved Mention"/>
    <w:basedOn w:val="DefaultParagraphFont"/>
    <w:uiPriority w:val="99"/>
    <w:semiHidden/>
    <w:unhideWhenUsed/>
    <w:rsid w:val="006800ED"/>
    <w:rPr>
      <w:color w:val="605E5C"/>
      <w:shd w:val="clear" w:color="auto" w:fill="E1DFDD"/>
    </w:rPr>
  </w:style>
  <w:style w:type="paragraph" w:styleId="CommentText">
    <w:name w:val="annotation text"/>
    <w:basedOn w:val="Normal"/>
    <w:link w:val="CommentTextChar"/>
    <w:uiPriority w:val="99"/>
    <w:unhideWhenUsed/>
    <w:rsid w:val="00584E2D"/>
  </w:style>
  <w:style w:type="character" w:customStyle="1" w:styleId="CommentTextChar">
    <w:name w:val="Comment Text Char"/>
    <w:basedOn w:val="DefaultParagraphFont"/>
    <w:link w:val="CommentText"/>
    <w:uiPriority w:val="99"/>
    <w:rsid w:val="00584E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E2D"/>
    <w:rPr>
      <w:b/>
      <w:bCs/>
    </w:rPr>
  </w:style>
  <w:style w:type="character" w:customStyle="1" w:styleId="CommentSubjectChar">
    <w:name w:val="Comment Subject Char"/>
    <w:basedOn w:val="CommentTextChar"/>
    <w:link w:val="CommentSubject"/>
    <w:uiPriority w:val="99"/>
    <w:semiHidden/>
    <w:rsid w:val="00584E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F5A11"/>
    <w:pPr>
      <w:tabs>
        <w:tab w:val="center" w:pos="4680"/>
        <w:tab w:val="right" w:pos="9360"/>
      </w:tabs>
    </w:pPr>
  </w:style>
  <w:style w:type="character" w:customStyle="1" w:styleId="HeaderChar">
    <w:name w:val="Header Char"/>
    <w:basedOn w:val="DefaultParagraphFont"/>
    <w:link w:val="Header"/>
    <w:uiPriority w:val="99"/>
    <w:rsid w:val="004F5A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A11"/>
    <w:pPr>
      <w:tabs>
        <w:tab w:val="center" w:pos="4680"/>
        <w:tab w:val="right" w:pos="9360"/>
      </w:tabs>
    </w:pPr>
  </w:style>
  <w:style w:type="character" w:customStyle="1" w:styleId="FooterChar">
    <w:name w:val="Footer Char"/>
    <w:basedOn w:val="DefaultParagraphFont"/>
    <w:link w:val="Footer"/>
    <w:uiPriority w:val="99"/>
    <w:rsid w:val="004F5A1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A3769"/>
    <w:rPr>
      <w:rFonts w:eastAsia="Times New Roman" w:cstheme="minorHAnsi"/>
      <w:b/>
      <w:sz w:val="22"/>
      <w:szCs w:val="22"/>
      <w:lang w:val="en-US"/>
    </w:rPr>
  </w:style>
  <w:style w:type="character" w:customStyle="1" w:styleId="Heading2Char">
    <w:name w:val="Heading 2 Char"/>
    <w:basedOn w:val="DefaultParagraphFont"/>
    <w:link w:val="Heading2"/>
    <w:uiPriority w:val="9"/>
    <w:rsid w:val="00DA3769"/>
    <w:rPr>
      <w:rFonts w:eastAsia="Times New Roman" w:cstheme="minorHAnsi"/>
      <w:b/>
      <w:bCs/>
      <w:sz w:val="22"/>
      <w:szCs w:val="22"/>
      <w:u w:val="single"/>
      <w:lang w:val="en-US" w:eastAsia="en-GB"/>
    </w:rPr>
  </w:style>
  <w:style w:type="character" w:customStyle="1" w:styleId="Heading3Char">
    <w:name w:val="Heading 3 Char"/>
    <w:basedOn w:val="DefaultParagraphFont"/>
    <w:link w:val="Heading3"/>
    <w:uiPriority w:val="9"/>
    <w:rsid w:val="00DA3769"/>
    <w:rPr>
      <w:rFonts w:eastAsia="Times New Roman" w:cstheme="minorHAnsi"/>
      <w:bCs/>
      <w:i/>
      <w:i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576">
      <w:bodyDiv w:val="1"/>
      <w:marLeft w:val="0"/>
      <w:marRight w:val="0"/>
      <w:marTop w:val="0"/>
      <w:marBottom w:val="0"/>
      <w:divBdr>
        <w:top w:val="none" w:sz="0" w:space="0" w:color="auto"/>
        <w:left w:val="none" w:sz="0" w:space="0" w:color="auto"/>
        <w:bottom w:val="none" w:sz="0" w:space="0" w:color="auto"/>
        <w:right w:val="none" w:sz="0" w:space="0" w:color="auto"/>
      </w:divBdr>
      <w:divsChild>
        <w:div w:id="582028399">
          <w:marLeft w:val="0"/>
          <w:marRight w:val="0"/>
          <w:marTop w:val="0"/>
          <w:marBottom w:val="0"/>
          <w:divBdr>
            <w:top w:val="none" w:sz="0" w:space="0" w:color="auto"/>
            <w:left w:val="none" w:sz="0" w:space="0" w:color="auto"/>
            <w:bottom w:val="none" w:sz="0" w:space="0" w:color="auto"/>
            <w:right w:val="none" w:sz="0" w:space="0" w:color="auto"/>
          </w:divBdr>
        </w:div>
        <w:div w:id="1520464412">
          <w:marLeft w:val="0"/>
          <w:marRight w:val="0"/>
          <w:marTop w:val="0"/>
          <w:marBottom w:val="0"/>
          <w:divBdr>
            <w:top w:val="none" w:sz="0" w:space="0" w:color="auto"/>
            <w:left w:val="none" w:sz="0" w:space="0" w:color="auto"/>
            <w:bottom w:val="none" w:sz="0" w:space="0" w:color="auto"/>
            <w:right w:val="none" w:sz="0" w:space="0" w:color="auto"/>
          </w:divBdr>
        </w:div>
      </w:divsChild>
    </w:div>
    <w:div w:id="501899972">
      <w:bodyDiv w:val="1"/>
      <w:marLeft w:val="0"/>
      <w:marRight w:val="0"/>
      <w:marTop w:val="0"/>
      <w:marBottom w:val="0"/>
      <w:divBdr>
        <w:top w:val="none" w:sz="0" w:space="0" w:color="auto"/>
        <w:left w:val="none" w:sz="0" w:space="0" w:color="auto"/>
        <w:bottom w:val="none" w:sz="0" w:space="0" w:color="auto"/>
        <w:right w:val="none" w:sz="0" w:space="0" w:color="auto"/>
      </w:divBdr>
    </w:div>
    <w:div w:id="880824955">
      <w:bodyDiv w:val="1"/>
      <w:marLeft w:val="0"/>
      <w:marRight w:val="0"/>
      <w:marTop w:val="0"/>
      <w:marBottom w:val="0"/>
      <w:divBdr>
        <w:top w:val="none" w:sz="0" w:space="0" w:color="auto"/>
        <w:left w:val="none" w:sz="0" w:space="0" w:color="auto"/>
        <w:bottom w:val="none" w:sz="0" w:space="0" w:color="auto"/>
        <w:right w:val="none" w:sz="0" w:space="0" w:color="auto"/>
      </w:divBdr>
      <w:divsChild>
        <w:div w:id="389154416">
          <w:marLeft w:val="0"/>
          <w:marRight w:val="0"/>
          <w:marTop w:val="0"/>
          <w:marBottom w:val="0"/>
          <w:divBdr>
            <w:top w:val="none" w:sz="0" w:space="0" w:color="auto"/>
            <w:left w:val="none" w:sz="0" w:space="0" w:color="auto"/>
            <w:bottom w:val="none" w:sz="0" w:space="0" w:color="auto"/>
            <w:right w:val="none" w:sz="0" w:space="0" w:color="auto"/>
          </w:divBdr>
        </w:div>
        <w:div w:id="431364562">
          <w:marLeft w:val="0"/>
          <w:marRight w:val="0"/>
          <w:marTop w:val="0"/>
          <w:marBottom w:val="0"/>
          <w:divBdr>
            <w:top w:val="none" w:sz="0" w:space="0" w:color="auto"/>
            <w:left w:val="none" w:sz="0" w:space="0" w:color="auto"/>
            <w:bottom w:val="none" w:sz="0" w:space="0" w:color="auto"/>
            <w:right w:val="none" w:sz="0" w:space="0" w:color="auto"/>
          </w:divBdr>
        </w:div>
        <w:div w:id="1052077815">
          <w:marLeft w:val="0"/>
          <w:marRight w:val="0"/>
          <w:marTop w:val="0"/>
          <w:marBottom w:val="0"/>
          <w:divBdr>
            <w:top w:val="none" w:sz="0" w:space="0" w:color="auto"/>
            <w:left w:val="none" w:sz="0" w:space="0" w:color="auto"/>
            <w:bottom w:val="none" w:sz="0" w:space="0" w:color="auto"/>
            <w:right w:val="none" w:sz="0" w:space="0" w:color="auto"/>
          </w:divBdr>
        </w:div>
        <w:div w:id="1125271303">
          <w:marLeft w:val="0"/>
          <w:marRight w:val="0"/>
          <w:marTop w:val="0"/>
          <w:marBottom w:val="0"/>
          <w:divBdr>
            <w:top w:val="none" w:sz="0" w:space="0" w:color="auto"/>
            <w:left w:val="none" w:sz="0" w:space="0" w:color="auto"/>
            <w:bottom w:val="none" w:sz="0" w:space="0" w:color="auto"/>
            <w:right w:val="none" w:sz="0" w:space="0" w:color="auto"/>
          </w:divBdr>
        </w:div>
        <w:div w:id="1229608537">
          <w:marLeft w:val="0"/>
          <w:marRight w:val="0"/>
          <w:marTop w:val="0"/>
          <w:marBottom w:val="0"/>
          <w:divBdr>
            <w:top w:val="none" w:sz="0" w:space="0" w:color="auto"/>
            <w:left w:val="none" w:sz="0" w:space="0" w:color="auto"/>
            <w:bottom w:val="none" w:sz="0" w:space="0" w:color="auto"/>
            <w:right w:val="none" w:sz="0" w:space="0" w:color="auto"/>
          </w:divBdr>
        </w:div>
        <w:div w:id="1791969076">
          <w:marLeft w:val="0"/>
          <w:marRight w:val="0"/>
          <w:marTop w:val="0"/>
          <w:marBottom w:val="0"/>
          <w:divBdr>
            <w:top w:val="none" w:sz="0" w:space="0" w:color="auto"/>
            <w:left w:val="none" w:sz="0" w:space="0" w:color="auto"/>
            <w:bottom w:val="none" w:sz="0" w:space="0" w:color="auto"/>
            <w:right w:val="none" w:sz="0" w:space="0" w:color="auto"/>
          </w:divBdr>
        </w:div>
        <w:div w:id="1841043591">
          <w:marLeft w:val="0"/>
          <w:marRight w:val="0"/>
          <w:marTop w:val="0"/>
          <w:marBottom w:val="0"/>
          <w:divBdr>
            <w:top w:val="none" w:sz="0" w:space="0" w:color="auto"/>
            <w:left w:val="none" w:sz="0" w:space="0" w:color="auto"/>
            <w:bottom w:val="none" w:sz="0" w:space="0" w:color="auto"/>
            <w:right w:val="none" w:sz="0" w:space="0" w:color="auto"/>
          </w:divBdr>
        </w:div>
        <w:div w:id="1874924109">
          <w:marLeft w:val="0"/>
          <w:marRight w:val="0"/>
          <w:marTop w:val="0"/>
          <w:marBottom w:val="0"/>
          <w:divBdr>
            <w:top w:val="none" w:sz="0" w:space="0" w:color="auto"/>
            <w:left w:val="none" w:sz="0" w:space="0" w:color="auto"/>
            <w:bottom w:val="none" w:sz="0" w:space="0" w:color="auto"/>
            <w:right w:val="none" w:sz="0" w:space="0" w:color="auto"/>
          </w:divBdr>
        </w:div>
      </w:divsChild>
    </w:div>
    <w:div w:id="9959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25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ef.org/documents/unicef-financing-education-recovery-and-transform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dia/117626/file/Where%20are%20we%20in%20Education%20Recov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8BB0-DF9A-DF49-ADCA-BD5B1A80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Links>
    <vt:vector size="18" baseType="variant">
      <vt:variant>
        <vt:i4>8192096</vt:i4>
      </vt:variant>
      <vt:variant>
        <vt:i4>3</vt:i4>
      </vt:variant>
      <vt:variant>
        <vt:i4>0</vt:i4>
      </vt:variant>
      <vt:variant>
        <vt:i4>5</vt:i4>
      </vt:variant>
      <vt:variant>
        <vt:lpwstr>https://www.unicef.org/documents/unicef-financing-education-recovery-and-transformation</vt:lpwstr>
      </vt:variant>
      <vt:variant>
        <vt:lpwstr/>
      </vt:variant>
      <vt:variant>
        <vt:i4>7012460</vt:i4>
      </vt:variant>
      <vt:variant>
        <vt:i4>0</vt:i4>
      </vt:variant>
      <vt:variant>
        <vt:i4>0</vt:i4>
      </vt:variant>
      <vt:variant>
        <vt:i4>5</vt:i4>
      </vt:variant>
      <vt:variant>
        <vt:lpwstr>https://unesdoc.unesco.org/ark:/48223/pf0000382577</vt:lpwstr>
      </vt:variant>
      <vt:variant>
        <vt:lpwstr/>
      </vt:variant>
      <vt:variant>
        <vt:i4>5505113</vt:i4>
      </vt:variant>
      <vt:variant>
        <vt:i4>0</vt:i4>
      </vt:variant>
      <vt:variant>
        <vt:i4>0</vt:i4>
      </vt:variant>
      <vt:variant>
        <vt:i4>5</vt:i4>
      </vt:variant>
      <vt:variant>
        <vt:lpwstr>https://www.unicef.org/media/117626/file/Where are we in Education Recovery?.pdf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Nielsen</dc:creator>
  <cp:keywords/>
  <dc:description/>
  <cp:lastModifiedBy>Mylene Bidault Abdulle</cp:lastModifiedBy>
  <cp:revision>2</cp:revision>
  <dcterms:created xsi:type="dcterms:W3CDTF">2023-01-25T14:44:00Z</dcterms:created>
  <dcterms:modified xsi:type="dcterms:W3CDTF">2023-01-25T14:44:00Z</dcterms:modified>
</cp:coreProperties>
</file>