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3739260D" w:rsidR="005C45FB" w:rsidRPr="0067705D" w:rsidRDefault="005C45FB">
      <w:pPr>
        <w:rPr>
          <w:color w:val="000000" w:themeColor="text1"/>
        </w:rPr>
      </w:pPr>
    </w:p>
    <w:p w14:paraId="26758908" w14:textId="0616B640" w:rsidR="00337EDD" w:rsidRPr="0067705D" w:rsidRDefault="00337EDD">
      <w:pPr>
        <w:rPr>
          <w:color w:val="000000" w:themeColor="text1"/>
        </w:rPr>
      </w:pPr>
    </w:p>
    <w:p w14:paraId="305A6D86" w14:textId="182870F8" w:rsidR="00337EDD" w:rsidRPr="0067705D" w:rsidRDefault="00337EDD">
      <w:pPr>
        <w:rPr>
          <w:color w:val="000000" w:themeColor="text1"/>
        </w:rPr>
      </w:pPr>
    </w:p>
    <w:p w14:paraId="628291EA" w14:textId="4624A436" w:rsidR="00337EDD" w:rsidRPr="0067705D" w:rsidRDefault="00337EDD">
      <w:pPr>
        <w:rPr>
          <w:color w:val="000000" w:themeColor="text1"/>
        </w:rPr>
      </w:pPr>
    </w:p>
    <w:p w14:paraId="06BC7C2B" w14:textId="07F43B37" w:rsidR="00337EDD" w:rsidRPr="0067705D" w:rsidRDefault="00337EDD">
      <w:pPr>
        <w:rPr>
          <w:color w:val="000000" w:themeColor="text1"/>
        </w:rPr>
      </w:pPr>
    </w:p>
    <w:p w14:paraId="25270477" w14:textId="02F1E539" w:rsidR="00337EDD" w:rsidRPr="0067705D" w:rsidRDefault="00337EDD" w:rsidP="00337EDD">
      <w:pPr>
        <w:rPr>
          <w:color w:val="000000" w:themeColor="text1"/>
        </w:rPr>
      </w:pPr>
    </w:p>
    <w:p w14:paraId="14F377CD" w14:textId="77777777" w:rsidR="00337EDD" w:rsidRPr="0067705D" w:rsidRDefault="00337EDD" w:rsidP="00337EDD">
      <w:pPr>
        <w:spacing w:after="0"/>
        <w:rPr>
          <w:color w:val="000000" w:themeColor="text1"/>
        </w:rPr>
      </w:pPr>
    </w:p>
    <w:p w14:paraId="7AD4E2BF" w14:textId="7B670E1E" w:rsidR="00337EDD" w:rsidRPr="0067705D" w:rsidRDefault="00337EDD" w:rsidP="00337EDD">
      <w:pPr>
        <w:pBdr>
          <w:top w:val="nil"/>
          <w:left w:val="nil"/>
          <w:bottom w:val="nil"/>
          <w:right w:val="nil"/>
          <w:between w:val="nil"/>
        </w:pBdr>
        <w:jc w:val="both"/>
        <w:rPr>
          <w:rFonts w:asciiTheme="majorHAnsi" w:hAnsiTheme="majorHAnsi" w:cstheme="majorHAnsi"/>
          <w:b/>
          <w:color w:val="000000" w:themeColor="text1"/>
          <w:sz w:val="24"/>
          <w:szCs w:val="24"/>
        </w:rPr>
      </w:pPr>
      <w:r w:rsidRPr="0067705D">
        <w:rPr>
          <w:rFonts w:asciiTheme="majorHAnsi" w:hAnsiTheme="majorHAnsi" w:cstheme="majorHAnsi"/>
          <w:b/>
          <w:color w:val="000000" w:themeColor="text1"/>
          <w:sz w:val="24"/>
          <w:szCs w:val="24"/>
        </w:rPr>
        <w:t>Submission to the United Nations High Commissioner for Human Rights, May 2023</w:t>
      </w:r>
    </w:p>
    <w:p w14:paraId="3B959EFE" w14:textId="7601471E" w:rsidR="00337EDD" w:rsidRPr="0067705D" w:rsidRDefault="00337EDD" w:rsidP="00337EDD">
      <w:pPr>
        <w:pBdr>
          <w:top w:val="nil"/>
          <w:left w:val="nil"/>
          <w:bottom w:val="nil"/>
          <w:right w:val="nil"/>
          <w:between w:val="nil"/>
        </w:pBdr>
        <w:jc w:val="both"/>
        <w:rPr>
          <w:rFonts w:asciiTheme="majorHAnsi" w:hAnsiTheme="majorHAnsi" w:cstheme="majorHAnsi"/>
          <w:b/>
          <w:color w:val="000000" w:themeColor="text1"/>
          <w:sz w:val="24"/>
          <w:szCs w:val="24"/>
        </w:rPr>
      </w:pPr>
    </w:p>
    <w:p w14:paraId="47D63C8F" w14:textId="77777777" w:rsidR="00337EDD" w:rsidRPr="0067705D" w:rsidRDefault="00337EDD" w:rsidP="00337EDD">
      <w:pPr>
        <w:pBdr>
          <w:top w:val="nil"/>
          <w:left w:val="nil"/>
          <w:bottom w:val="nil"/>
          <w:right w:val="nil"/>
          <w:between w:val="nil"/>
        </w:pBdr>
        <w:jc w:val="both"/>
        <w:rPr>
          <w:rFonts w:asciiTheme="majorHAnsi" w:hAnsiTheme="majorHAnsi" w:cstheme="majorHAnsi"/>
          <w:b/>
          <w:color w:val="000000" w:themeColor="text1"/>
          <w:sz w:val="22"/>
          <w:szCs w:val="22"/>
        </w:rPr>
      </w:pPr>
      <w:r w:rsidRPr="0067705D">
        <w:rPr>
          <w:rFonts w:asciiTheme="majorHAnsi" w:hAnsiTheme="majorHAnsi" w:cstheme="majorHAnsi"/>
          <w:b/>
          <w:color w:val="000000" w:themeColor="text1"/>
          <w:sz w:val="22"/>
          <w:szCs w:val="22"/>
        </w:rPr>
        <w:t xml:space="preserve">Submitting </w:t>
      </w:r>
      <w:proofErr w:type="spellStart"/>
      <w:r w:rsidRPr="0067705D">
        <w:rPr>
          <w:rFonts w:asciiTheme="majorHAnsi" w:hAnsiTheme="majorHAnsi" w:cstheme="majorHAnsi"/>
          <w:b/>
          <w:color w:val="000000" w:themeColor="text1"/>
          <w:sz w:val="22"/>
          <w:szCs w:val="22"/>
        </w:rPr>
        <w:t>organisation</w:t>
      </w:r>
      <w:proofErr w:type="spellEnd"/>
    </w:p>
    <w:p w14:paraId="00DE107F" w14:textId="77777777" w:rsidR="00337EDD" w:rsidRPr="0067705D" w:rsidRDefault="00337EDD" w:rsidP="00337EDD">
      <w:pPr>
        <w:pBdr>
          <w:top w:val="nil"/>
          <w:left w:val="nil"/>
          <w:bottom w:val="nil"/>
          <w:right w:val="nil"/>
          <w:between w:val="nil"/>
        </w:pBdr>
        <w:jc w:val="both"/>
        <w:rPr>
          <w:rFonts w:asciiTheme="majorHAnsi" w:hAnsiTheme="majorHAnsi" w:cstheme="majorHAnsi"/>
          <w:b/>
          <w:color w:val="000000" w:themeColor="text1"/>
          <w:sz w:val="22"/>
          <w:szCs w:val="22"/>
        </w:rPr>
      </w:pPr>
    </w:p>
    <w:p w14:paraId="3A6A054A" w14:textId="754A6866" w:rsidR="00337EDD" w:rsidRPr="0067705D" w:rsidRDefault="00337EDD" w:rsidP="00337EDD">
      <w:pPr>
        <w:pBdr>
          <w:top w:val="nil"/>
          <w:left w:val="nil"/>
          <w:bottom w:val="nil"/>
          <w:right w:val="nil"/>
          <w:between w:val="nil"/>
        </w:pBdr>
        <w:jc w:val="both"/>
        <w:rPr>
          <w:rFonts w:asciiTheme="majorHAnsi" w:hAnsiTheme="majorHAnsi" w:cstheme="majorHAnsi"/>
          <w:b/>
          <w:color w:val="000000" w:themeColor="text1"/>
          <w:sz w:val="22"/>
          <w:szCs w:val="22"/>
        </w:rPr>
      </w:pPr>
      <w:r w:rsidRPr="0067705D">
        <w:rPr>
          <w:rFonts w:asciiTheme="majorHAnsi" w:hAnsiTheme="majorHAnsi" w:cstheme="majorHAnsi"/>
          <w:b/>
          <w:color w:val="000000" w:themeColor="text1"/>
          <w:sz w:val="22"/>
          <w:szCs w:val="22"/>
        </w:rPr>
        <w:t xml:space="preserve">Helsinki Foundation for Human Rights </w:t>
      </w:r>
    </w:p>
    <w:p w14:paraId="1059B117" w14:textId="5F3EFDF9" w:rsidR="00337EDD" w:rsidRPr="0067705D" w:rsidRDefault="00337EDD" w:rsidP="00337EDD">
      <w:pPr>
        <w:pBdr>
          <w:top w:val="nil"/>
          <w:left w:val="nil"/>
          <w:bottom w:val="nil"/>
          <w:right w:val="nil"/>
          <w:between w:val="nil"/>
        </w:pBdr>
        <w:spacing w:after="200" w:line="276" w:lineRule="auto"/>
        <w:jc w:val="both"/>
        <w:rPr>
          <w:rFonts w:asciiTheme="majorHAnsi" w:hAnsiTheme="majorHAnsi" w:cstheme="majorHAnsi"/>
          <w:b/>
          <w:color w:val="000000" w:themeColor="text1"/>
          <w:sz w:val="22"/>
          <w:szCs w:val="22"/>
        </w:rPr>
      </w:pPr>
      <w:r w:rsidRPr="0067705D">
        <w:rPr>
          <w:rFonts w:asciiTheme="majorHAnsi" w:hAnsiTheme="majorHAnsi" w:cstheme="majorHAnsi"/>
          <w:color w:val="000000" w:themeColor="text1"/>
          <w:sz w:val="22"/>
          <w:szCs w:val="22"/>
        </w:rPr>
        <w:t xml:space="preserve">HFHR is a human rights </w:t>
      </w:r>
      <w:proofErr w:type="spellStart"/>
      <w:r w:rsidRPr="0067705D">
        <w:rPr>
          <w:rFonts w:asciiTheme="majorHAnsi" w:hAnsiTheme="majorHAnsi" w:cstheme="majorHAnsi"/>
          <w:color w:val="000000" w:themeColor="text1"/>
          <w:sz w:val="22"/>
          <w:szCs w:val="22"/>
        </w:rPr>
        <w:t>organisation</w:t>
      </w:r>
      <w:proofErr w:type="spellEnd"/>
      <w:r w:rsidRPr="0067705D">
        <w:rPr>
          <w:rFonts w:asciiTheme="majorHAnsi" w:hAnsiTheme="majorHAnsi" w:cstheme="majorHAnsi"/>
          <w:color w:val="000000" w:themeColor="text1"/>
          <w:sz w:val="22"/>
          <w:szCs w:val="22"/>
        </w:rPr>
        <w:t xml:space="preserve"> in Poland that aims </w:t>
      </w:r>
      <w:r w:rsidR="00DC48D1" w:rsidRPr="0067705D">
        <w:rPr>
          <w:rFonts w:asciiTheme="majorHAnsi" w:hAnsiTheme="majorHAnsi" w:cstheme="majorHAnsi"/>
          <w:color w:val="000000" w:themeColor="text1"/>
          <w:sz w:val="22"/>
          <w:szCs w:val="22"/>
        </w:rPr>
        <w:t>to promote the development of a </w:t>
      </w:r>
      <w:r w:rsidRPr="0067705D">
        <w:rPr>
          <w:rFonts w:asciiTheme="majorHAnsi" w:hAnsiTheme="majorHAnsi" w:cstheme="majorHAnsi"/>
          <w:color w:val="000000" w:themeColor="text1"/>
          <w:sz w:val="22"/>
          <w:szCs w:val="22"/>
        </w:rPr>
        <w:t>culture based on respect of freedom and human rights, acts as a watch dog and monitors – among numerous other issues – human rights violations resulting from drug control policy at the national level.</w:t>
      </w:r>
    </w:p>
    <w:p w14:paraId="2A1249BA" w14:textId="593A4BEC" w:rsidR="00337EDD" w:rsidRPr="0067705D" w:rsidRDefault="00337EDD" w:rsidP="00337EDD">
      <w:pPr>
        <w:pBdr>
          <w:top w:val="nil"/>
          <w:left w:val="nil"/>
          <w:bottom w:val="nil"/>
          <w:right w:val="nil"/>
          <w:between w:val="nil"/>
        </w:pBdr>
        <w:jc w:val="both"/>
        <w:rPr>
          <w:rFonts w:asciiTheme="majorHAnsi" w:hAnsiTheme="majorHAnsi" w:cstheme="majorHAnsi"/>
          <w:b/>
          <w:color w:val="000000" w:themeColor="text1"/>
          <w:sz w:val="24"/>
          <w:szCs w:val="24"/>
        </w:rPr>
      </w:pPr>
    </w:p>
    <w:p w14:paraId="32D4C17A" w14:textId="77777777" w:rsidR="00337EDD" w:rsidRPr="0067705D" w:rsidRDefault="00337EDD" w:rsidP="00337EDD">
      <w:pPr>
        <w:pBdr>
          <w:top w:val="nil"/>
          <w:left w:val="nil"/>
          <w:bottom w:val="nil"/>
          <w:right w:val="nil"/>
          <w:between w:val="nil"/>
        </w:pBdr>
        <w:spacing w:after="200" w:line="276" w:lineRule="auto"/>
        <w:jc w:val="both"/>
        <w:rPr>
          <w:rFonts w:asciiTheme="majorHAnsi" w:hAnsiTheme="majorHAnsi" w:cstheme="majorHAnsi"/>
          <w:b/>
          <w:color w:val="000000" w:themeColor="text1"/>
          <w:sz w:val="22"/>
          <w:szCs w:val="22"/>
        </w:rPr>
      </w:pPr>
      <w:r w:rsidRPr="0067705D">
        <w:rPr>
          <w:rFonts w:asciiTheme="majorHAnsi" w:hAnsiTheme="majorHAnsi" w:cstheme="majorHAnsi"/>
          <w:b/>
          <w:color w:val="000000" w:themeColor="text1"/>
          <w:sz w:val="22"/>
          <w:szCs w:val="22"/>
        </w:rPr>
        <w:t>Introduction</w:t>
      </w:r>
    </w:p>
    <w:p w14:paraId="270F4109" w14:textId="0EADA6EE" w:rsidR="00337EDD" w:rsidRPr="0067705D" w:rsidRDefault="00337EDD" w:rsidP="00337EDD">
      <w:pPr>
        <w:pBdr>
          <w:top w:val="nil"/>
          <w:left w:val="nil"/>
          <w:bottom w:val="nil"/>
          <w:right w:val="nil"/>
          <w:between w:val="nil"/>
        </w:pBdr>
        <w:spacing w:after="200" w:line="276" w:lineRule="auto"/>
        <w:jc w:val="both"/>
        <w:rPr>
          <w:rFonts w:asciiTheme="majorHAnsi" w:hAnsiTheme="majorHAnsi" w:cstheme="majorHAnsi"/>
          <w:color w:val="000000" w:themeColor="text1"/>
          <w:sz w:val="22"/>
          <w:szCs w:val="22"/>
        </w:rPr>
      </w:pPr>
      <w:r w:rsidRPr="0067705D">
        <w:rPr>
          <w:rFonts w:asciiTheme="majorHAnsi" w:hAnsiTheme="majorHAnsi" w:cstheme="majorHAnsi"/>
          <w:color w:val="000000" w:themeColor="text1"/>
          <w:sz w:val="22"/>
          <w:szCs w:val="22"/>
        </w:rPr>
        <w:t xml:space="preserve">We welcome the opportunity to provide this submission to the </w:t>
      </w:r>
      <w:r w:rsidR="009D2EEB">
        <w:rPr>
          <w:rFonts w:asciiTheme="majorHAnsi" w:hAnsiTheme="majorHAnsi" w:cstheme="majorHAnsi"/>
          <w:color w:val="000000" w:themeColor="text1"/>
          <w:sz w:val="22"/>
          <w:szCs w:val="22"/>
        </w:rPr>
        <w:t>Office of the</w:t>
      </w:r>
      <w:r w:rsidR="0015092F">
        <w:rPr>
          <w:rFonts w:asciiTheme="majorHAnsi" w:hAnsiTheme="majorHAnsi" w:cstheme="majorHAnsi"/>
          <w:color w:val="000000" w:themeColor="text1"/>
          <w:sz w:val="22"/>
          <w:szCs w:val="22"/>
        </w:rPr>
        <w:t xml:space="preserve"> UN</w:t>
      </w:r>
      <w:bookmarkStart w:id="0" w:name="_GoBack"/>
      <w:bookmarkEnd w:id="0"/>
      <w:r w:rsidRPr="0067705D">
        <w:rPr>
          <w:rFonts w:asciiTheme="majorHAnsi" w:hAnsiTheme="majorHAnsi" w:cstheme="majorHAnsi"/>
          <w:color w:val="000000" w:themeColor="text1"/>
          <w:sz w:val="22"/>
          <w:szCs w:val="22"/>
        </w:rPr>
        <w:t xml:space="preserve"> High Commission</w:t>
      </w:r>
      <w:r w:rsidR="009D2EEB">
        <w:rPr>
          <w:rFonts w:asciiTheme="majorHAnsi" w:hAnsiTheme="majorHAnsi" w:cstheme="majorHAnsi"/>
          <w:color w:val="000000" w:themeColor="text1"/>
          <w:sz w:val="22"/>
          <w:szCs w:val="22"/>
        </w:rPr>
        <w:t>er for Human Rights ahead of its</w:t>
      </w:r>
      <w:r w:rsidRPr="0067705D">
        <w:rPr>
          <w:rFonts w:asciiTheme="majorHAnsi" w:hAnsiTheme="majorHAnsi" w:cstheme="majorHAnsi"/>
          <w:color w:val="000000" w:themeColor="text1"/>
          <w:sz w:val="22"/>
          <w:szCs w:val="22"/>
        </w:rPr>
        <w:t xml:space="preserve"> report on human rights challenges in </w:t>
      </w:r>
      <w:r w:rsidR="0003121A">
        <w:rPr>
          <w:rFonts w:asciiTheme="majorHAnsi" w:hAnsiTheme="majorHAnsi" w:cstheme="majorHAnsi"/>
          <w:color w:val="000000" w:themeColor="text1"/>
          <w:sz w:val="22"/>
          <w:szCs w:val="22"/>
        </w:rPr>
        <w:t>addressing the world drug situation</w:t>
      </w:r>
      <w:r w:rsidRPr="0067705D">
        <w:rPr>
          <w:rFonts w:asciiTheme="majorHAnsi" w:hAnsiTheme="majorHAnsi" w:cstheme="majorHAnsi"/>
          <w:color w:val="000000" w:themeColor="text1"/>
          <w:sz w:val="22"/>
          <w:szCs w:val="22"/>
        </w:rPr>
        <w:t>.</w:t>
      </w:r>
    </w:p>
    <w:p w14:paraId="0F3EB656" w14:textId="77777777" w:rsidR="00337EDD" w:rsidRPr="0067705D" w:rsidRDefault="00337EDD" w:rsidP="00337EDD">
      <w:pPr>
        <w:jc w:val="both"/>
        <w:rPr>
          <w:rFonts w:asciiTheme="majorHAnsi" w:hAnsiTheme="majorHAnsi" w:cstheme="majorHAnsi"/>
          <w:color w:val="000000" w:themeColor="text1"/>
          <w:sz w:val="22"/>
          <w:szCs w:val="22"/>
        </w:rPr>
      </w:pPr>
      <w:r w:rsidRPr="0067705D">
        <w:rPr>
          <w:rFonts w:asciiTheme="majorHAnsi" w:hAnsiTheme="majorHAnsi" w:cstheme="majorHAnsi"/>
          <w:color w:val="000000" w:themeColor="text1"/>
          <w:sz w:val="22"/>
          <w:szCs w:val="22"/>
        </w:rPr>
        <w:t xml:space="preserve">In February 2022, we provided contribution to the report of the United Nations High Commissioner for Human Rights on human rights in the context of HIV and AIDS. Our submission focused primarily on people who use psychoactive substances in Poland and as such face stigma, discrimination, and other barriers to the full exercise of their human rights. With this current submission we would like to re-emphasize how serious and negative the consequences of </w:t>
      </w:r>
      <w:proofErr w:type="spellStart"/>
      <w:r w:rsidRPr="0067705D">
        <w:rPr>
          <w:rFonts w:asciiTheme="majorHAnsi" w:hAnsiTheme="majorHAnsi" w:cstheme="majorHAnsi"/>
          <w:color w:val="000000" w:themeColor="text1"/>
          <w:sz w:val="22"/>
          <w:szCs w:val="22"/>
        </w:rPr>
        <w:t>criminalising</w:t>
      </w:r>
      <w:proofErr w:type="spellEnd"/>
      <w:r w:rsidRPr="0067705D">
        <w:rPr>
          <w:rFonts w:asciiTheme="majorHAnsi" w:hAnsiTheme="majorHAnsi" w:cstheme="majorHAnsi"/>
          <w:color w:val="000000" w:themeColor="text1"/>
          <w:sz w:val="22"/>
          <w:szCs w:val="22"/>
        </w:rPr>
        <w:t xml:space="preserve"> drug possession are for those who use psychoactive substances in our country, and share five key recommendations on this matter. </w:t>
      </w:r>
    </w:p>
    <w:p w14:paraId="2C7F8317" w14:textId="1B8DFBC4" w:rsidR="00337EDD" w:rsidRPr="0067705D" w:rsidRDefault="00337EDD" w:rsidP="00337EDD">
      <w:pPr>
        <w:pBdr>
          <w:top w:val="nil"/>
          <w:left w:val="nil"/>
          <w:bottom w:val="nil"/>
          <w:right w:val="nil"/>
          <w:between w:val="nil"/>
        </w:pBdr>
        <w:jc w:val="both"/>
        <w:rPr>
          <w:rFonts w:asciiTheme="majorHAnsi" w:hAnsiTheme="majorHAnsi" w:cstheme="majorHAnsi"/>
          <w:b/>
          <w:color w:val="000000" w:themeColor="text1"/>
          <w:sz w:val="24"/>
          <w:szCs w:val="24"/>
        </w:rPr>
      </w:pPr>
    </w:p>
    <w:p w14:paraId="76794D1D" w14:textId="77777777" w:rsidR="00337EDD" w:rsidRPr="0067705D" w:rsidRDefault="00337EDD" w:rsidP="00337EDD">
      <w:pPr>
        <w:pBdr>
          <w:top w:val="nil"/>
          <w:left w:val="nil"/>
          <w:bottom w:val="nil"/>
          <w:right w:val="nil"/>
          <w:between w:val="nil"/>
        </w:pBdr>
        <w:spacing w:after="200" w:line="276" w:lineRule="auto"/>
        <w:jc w:val="both"/>
        <w:rPr>
          <w:rFonts w:asciiTheme="majorHAnsi" w:hAnsiTheme="majorHAnsi" w:cstheme="majorHAnsi"/>
          <w:b/>
          <w:color w:val="000000" w:themeColor="text1"/>
          <w:sz w:val="22"/>
          <w:szCs w:val="22"/>
        </w:rPr>
      </w:pPr>
      <w:r w:rsidRPr="0067705D">
        <w:rPr>
          <w:rFonts w:asciiTheme="majorHAnsi" w:hAnsiTheme="majorHAnsi" w:cstheme="majorHAnsi"/>
          <w:b/>
          <w:color w:val="000000" w:themeColor="text1"/>
          <w:sz w:val="22"/>
          <w:szCs w:val="22"/>
        </w:rPr>
        <w:t>Findings</w:t>
      </w:r>
    </w:p>
    <w:p w14:paraId="269057E2" w14:textId="77777777" w:rsidR="00337EDD" w:rsidRPr="0067705D" w:rsidRDefault="00337EDD" w:rsidP="00337EDD">
      <w:pPr>
        <w:pStyle w:val="Akapitzlist"/>
        <w:numPr>
          <w:ilvl w:val="0"/>
          <w:numId w:val="1"/>
        </w:numPr>
        <w:spacing w:after="160" w:line="259" w:lineRule="auto"/>
        <w:jc w:val="both"/>
        <w:rPr>
          <w:rFonts w:asciiTheme="majorHAnsi" w:hAnsiTheme="majorHAnsi" w:cstheme="majorHAnsi"/>
          <w:color w:val="000000" w:themeColor="text1"/>
          <w:sz w:val="22"/>
          <w:szCs w:val="22"/>
        </w:rPr>
      </w:pPr>
      <w:r w:rsidRPr="0067705D">
        <w:rPr>
          <w:rFonts w:asciiTheme="majorHAnsi" w:hAnsiTheme="majorHAnsi" w:cstheme="majorHAnsi"/>
          <w:color w:val="000000" w:themeColor="text1"/>
          <w:sz w:val="22"/>
          <w:szCs w:val="22"/>
        </w:rPr>
        <w:t xml:space="preserve">Consequences of the punitive drug law, which criminalises drugs possession </w:t>
      </w:r>
    </w:p>
    <w:p w14:paraId="29110E2D" w14:textId="7E89418D" w:rsidR="00337EDD" w:rsidRPr="0067705D" w:rsidRDefault="00337EDD" w:rsidP="00DC48D1">
      <w:pPr>
        <w:ind w:left="360"/>
        <w:jc w:val="both"/>
        <w:rPr>
          <w:rFonts w:asciiTheme="majorHAnsi" w:hAnsiTheme="majorHAnsi" w:cstheme="majorHAnsi"/>
          <w:color w:val="000000" w:themeColor="text1"/>
          <w:sz w:val="22"/>
          <w:szCs w:val="22"/>
          <w:u w:val="single"/>
        </w:rPr>
      </w:pPr>
      <w:r w:rsidRPr="0067705D">
        <w:rPr>
          <w:rFonts w:asciiTheme="majorHAnsi" w:hAnsiTheme="majorHAnsi" w:cstheme="majorHAnsi"/>
          <w:color w:val="000000" w:themeColor="text1"/>
          <w:sz w:val="22"/>
          <w:szCs w:val="22"/>
        </w:rPr>
        <w:t xml:space="preserve">Despite the fact that around the world </w:t>
      </w:r>
      <w:proofErr w:type="spellStart"/>
      <w:r w:rsidRPr="0067705D">
        <w:rPr>
          <w:rFonts w:asciiTheme="majorHAnsi" w:hAnsiTheme="majorHAnsi" w:cstheme="majorHAnsi"/>
          <w:color w:val="000000" w:themeColor="text1"/>
          <w:sz w:val="22"/>
          <w:szCs w:val="22"/>
        </w:rPr>
        <w:t>criminalisation</w:t>
      </w:r>
      <w:proofErr w:type="spellEnd"/>
      <w:r w:rsidRPr="0067705D">
        <w:rPr>
          <w:rFonts w:asciiTheme="majorHAnsi" w:hAnsiTheme="majorHAnsi" w:cstheme="majorHAnsi"/>
          <w:color w:val="000000" w:themeColor="text1"/>
          <w:sz w:val="22"/>
          <w:szCs w:val="22"/>
        </w:rPr>
        <w:t xml:space="preserve"> has proven ineffective and having numerus negative consequences, including for public health and human rights, and that the UN encourages member states to seek alternatives to punishment</w:t>
      </w:r>
      <w:r w:rsidRPr="0067705D">
        <w:rPr>
          <w:rStyle w:val="Odwoanieprzypisudolnego"/>
          <w:rFonts w:asciiTheme="majorHAnsi" w:hAnsiTheme="majorHAnsi" w:cstheme="majorHAnsi"/>
          <w:color w:val="000000" w:themeColor="text1"/>
          <w:sz w:val="22"/>
          <w:szCs w:val="22"/>
        </w:rPr>
        <w:footnoteReference w:id="1"/>
      </w:r>
      <w:r w:rsidRPr="0067705D">
        <w:rPr>
          <w:rFonts w:asciiTheme="majorHAnsi" w:hAnsiTheme="majorHAnsi" w:cstheme="majorHAnsi"/>
          <w:color w:val="000000" w:themeColor="text1"/>
          <w:sz w:val="22"/>
          <w:szCs w:val="22"/>
        </w:rPr>
        <w:t xml:space="preserve">, Poland’s drug law </w:t>
      </w:r>
      <w:r w:rsidRPr="0067705D">
        <w:rPr>
          <w:rFonts w:asciiTheme="majorHAnsi" w:hAnsiTheme="majorHAnsi" w:cstheme="majorHAnsi"/>
          <w:color w:val="000000" w:themeColor="text1"/>
          <w:sz w:val="22"/>
          <w:szCs w:val="22"/>
        </w:rPr>
        <w:lastRenderedPageBreak/>
        <w:t xml:space="preserve">remains one of the most restrictive models in Europe. It is defined by the Act on Counteracting Drug Addiction, according to which possession of drugs (even small amounts for personal use) is a criminal offence punishable by up to 3 years imprisonment. We believe that </w:t>
      </w:r>
      <w:r w:rsidRPr="0067705D">
        <w:rPr>
          <w:rFonts w:asciiTheme="majorHAnsi" w:hAnsiTheme="majorHAnsi" w:cstheme="majorHAnsi"/>
          <w:color w:val="000000" w:themeColor="text1"/>
          <w:sz w:val="22"/>
          <w:szCs w:val="22"/>
          <w:u w:val="single"/>
        </w:rPr>
        <w:t xml:space="preserve">this violates the principle of proportionality in sentencing and reinforces the stigmatization of people who use drugs.  </w:t>
      </w:r>
    </w:p>
    <w:p w14:paraId="0E5996D0" w14:textId="00EFDDFD" w:rsidR="00337EDD" w:rsidRPr="0067705D" w:rsidRDefault="00337EDD" w:rsidP="00337EDD">
      <w:pPr>
        <w:ind w:left="360"/>
        <w:jc w:val="both"/>
        <w:rPr>
          <w:rFonts w:asciiTheme="majorHAnsi" w:hAnsiTheme="majorHAnsi" w:cstheme="majorHAnsi"/>
          <w:color w:val="000000" w:themeColor="text1"/>
          <w:sz w:val="22"/>
          <w:szCs w:val="22"/>
        </w:rPr>
      </w:pPr>
      <w:r w:rsidRPr="0067705D">
        <w:rPr>
          <w:rFonts w:asciiTheme="majorHAnsi" w:hAnsiTheme="majorHAnsi" w:cstheme="majorHAnsi"/>
          <w:color w:val="000000" w:themeColor="text1"/>
          <w:sz w:val="22"/>
          <w:szCs w:val="22"/>
        </w:rPr>
        <w:t>Every year, Polish police officers arrest around 30,000 persons on suspicion of drug possession alone.</w:t>
      </w:r>
      <w:r w:rsidRPr="0067705D">
        <w:rPr>
          <w:rStyle w:val="Odwoanieprzypisudolnego"/>
          <w:rFonts w:asciiTheme="majorHAnsi" w:hAnsiTheme="majorHAnsi" w:cstheme="majorHAnsi"/>
          <w:color w:val="000000" w:themeColor="text1"/>
          <w:sz w:val="22"/>
          <w:szCs w:val="22"/>
        </w:rPr>
        <w:footnoteReference w:id="2"/>
      </w:r>
      <w:r w:rsidRPr="0067705D">
        <w:rPr>
          <w:rFonts w:asciiTheme="majorHAnsi" w:hAnsiTheme="majorHAnsi" w:cstheme="majorHAnsi"/>
          <w:color w:val="000000" w:themeColor="text1"/>
          <w:sz w:val="22"/>
          <w:szCs w:val="22"/>
        </w:rPr>
        <w:t xml:space="preserve"> While Poland is ethnically fairly homogenous and therefore we do not see </w:t>
      </w:r>
      <w:r w:rsidRPr="0067705D">
        <w:rPr>
          <w:rFonts w:asciiTheme="majorHAnsi" w:hAnsiTheme="majorHAnsi" w:cstheme="majorHAnsi"/>
          <w:color w:val="000000" w:themeColor="text1"/>
          <w:sz w:val="22"/>
          <w:szCs w:val="22"/>
          <w:u w:val="single"/>
        </w:rPr>
        <w:t>police profiling</w:t>
      </w:r>
      <w:r w:rsidRPr="0067705D">
        <w:rPr>
          <w:rFonts w:asciiTheme="majorHAnsi" w:hAnsiTheme="majorHAnsi" w:cstheme="majorHAnsi"/>
          <w:color w:val="000000" w:themeColor="text1"/>
          <w:sz w:val="22"/>
          <w:szCs w:val="22"/>
        </w:rPr>
        <w:t xml:space="preserve"> contributing to racial injustice as it  is in some other jurisdictions, it is clear that the police do not intervene with the same scrupulousness in every case of possible drug possession. Young men, especially in less affluent </w:t>
      </w:r>
      <w:proofErr w:type="spellStart"/>
      <w:r w:rsidRPr="0067705D">
        <w:rPr>
          <w:rFonts w:asciiTheme="majorHAnsi" w:hAnsiTheme="majorHAnsi" w:cstheme="majorHAnsi"/>
          <w:color w:val="000000" w:themeColor="text1"/>
          <w:sz w:val="22"/>
          <w:szCs w:val="22"/>
        </w:rPr>
        <w:t>neighbourhoods</w:t>
      </w:r>
      <w:proofErr w:type="spellEnd"/>
      <w:r w:rsidRPr="0067705D">
        <w:rPr>
          <w:rFonts w:asciiTheme="majorHAnsi" w:hAnsiTheme="majorHAnsi" w:cstheme="majorHAnsi"/>
          <w:color w:val="000000" w:themeColor="text1"/>
          <w:sz w:val="22"/>
          <w:szCs w:val="22"/>
        </w:rPr>
        <w:t xml:space="preserve"> or in the nightlife areas of the cities, are more likely to be stopped and searched by the police than other citizens. The vast majority of them are arrested for possession of small amounts of cannabis.</w:t>
      </w:r>
    </w:p>
    <w:p w14:paraId="07170B33" w14:textId="2146C482" w:rsidR="00337EDD" w:rsidRPr="0067705D" w:rsidRDefault="00337EDD" w:rsidP="00DC48D1">
      <w:pPr>
        <w:ind w:left="360"/>
        <w:jc w:val="both"/>
        <w:rPr>
          <w:rFonts w:asciiTheme="majorHAnsi" w:hAnsiTheme="majorHAnsi" w:cstheme="majorHAnsi"/>
          <w:color w:val="000000" w:themeColor="text1"/>
          <w:sz w:val="22"/>
          <w:szCs w:val="22"/>
        </w:rPr>
      </w:pPr>
      <w:r w:rsidRPr="0067705D">
        <w:rPr>
          <w:rFonts w:asciiTheme="majorHAnsi" w:hAnsiTheme="majorHAnsi" w:cstheme="majorHAnsi"/>
          <w:color w:val="000000" w:themeColor="text1"/>
          <w:sz w:val="22"/>
          <w:szCs w:val="22"/>
        </w:rPr>
        <w:t>Interestingly, there are also visible differences in the way drug law is implemented in different regions of Poland. The data shows that prosecutors from western provinces are more eager to drop cases of possession of small amounts of drugs for personal use, while those from eastern provinces of the country rarely use the provision that exists in the Polish law and allows to discretionally dismiss the case if the quantity of drugs in possession is limited and intended for personal use only, therefore if the social harm is very small.</w:t>
      </w:r>
      <w:r w:rsidR="00C823DD">
        <w:rPr>
          <w:rStyle w:val="Odwoanieprzypisudolnego"/>
          <w:rFonts w:asciiTheme="majorHAnsi" w:hAnsiTheme="majorHAnsi" w:cstheme="majorHAnsi"/>
          <w:color w:val="000000" w:themeColor="text1"/>
          <w:sz w:val="22"/>
          <w:szCs w:val="22"/>
        </w:rPr>
        <w:footnoteReference w:id="3"/>
      </w:r>
      <w:r w:rsidRPr="0067705D">
        <w:rPr>
          <w:rFonts w:asciiTheme="majorHAnsi" w:hAnsiTheme="majorHAnsi" w:cstheme="majorHAnsi"/>
          <w:color w:val="000000" w:themeColor="text1"/>
          <w:sz w:val="22"/>
          <w:szCs w:val="22"/>
        </w:rPr>
        <w:t xml:space="preserve"> Regional differences in the way the Act on Counteracting Drug Addiction is enforced </w:t>
      </w:r>
      <w:r w:rsidRPr="0067705D">
        <w:rPr>
          <w:rFonts w:asciiTheme="majorHAnsi" w:hAnsiTheme="majorHAnsi" w:cstheme="majorHAnsi"/>
          <w:color w:val="000000" w:themeColor="text1"/>
          <w:sz w:val="22"/>
          <w:szCs w:val="22"/>
          <w:u w:val="single"/>
        </w:rPr>
        <w:t>violate the principle of equality of all before the law</w:t>
      </w:r>
      <w:r w:rsidRPr="0067705D">
        <w:rPr>
          <w:rFonts w:asciiTheme="majorHAnsi" w:hAnsiTheme="majorHAnsi" w:cstheme="majorHAnsi"/>
          <w:color w:val="000000" w:themeColor="text1"/>
          <w:sz w:val="22"/>
          <w:szCs w:val="22"/>
        </w:rPr>
        <w:t xml:space="preserve">. </w:t>
      </w:r>
    </w:p>
    <w:p w14:paraId="402A8DDD" w14:textId="12F57573" w:rsidR="00337EDD" w:rsidRPr="0067705D" w:rsidRDefault="00337EDD" w:rsidP="00DC48D1">
      <w:pPr>
        <w:ind w:left="360"/>
        <w:jc w:val="both"/>
        <w:rPr>
          <w:rFonts w:asciiTheme="majorHAnsi" w:hAnsiTheme="majorHAnsi" w:cstheme="majorHAnsi"/>
          <w:color w:val="000000" w:themeColor="text1"/>
          <w:sz w:val="22"/>
          <w:szCs w:val="22"/>
        </w:rPr>
      </w:pPr>
      <w:r w:rsidRPr="0067705D">
        <w:rPr>
          <w:rFonts w:asciiTheme="majorHAnsi" w:hAnsiTheme="majorHAnsi" w:cstheme="majorHAnsi"/>
          <w:color w:val="000000" w:themeColor="text1"/>
          <w:sz w:val="22"/>
          <w:szCs w:val="22"/>
        </w:rPr>
        <w:t xml:space="preserve">While few people arrested for drugs possession are immediately incarcerated, those who develop a drug use disorder and are repeatedly stopped by the police, are at greater risk of being sentences to prison, where harm reduction services such as needle and syringe exchange programs do not exist.  </w:t>
      </w:r>
    </w:p>
    <w:p w14:paraId="03836447" w14:textId="7445824F" w:rsidR="00337EDD" w:rsidRPr="0067705D" w:rsidRDefault="00337EDD" w:rsidP="00C823DD">
      <w:pPr>
        <w:ind w:left="360"/>
        <w:jc w:val="both"/>
        <w:rPr>
          <w:rFonts w:asciiTheme="majorHAnsi" w:hAnsiTheme="majorHAnsi" w:cstheme="majorHAnsi"/>
          <w:color w:val="000000" w:themeColor="text1"/>
          <w:sz w:val="22"/>
          <w:szCs w:val="22"/>
        </w:rPr>
      </w:pPr>
      <w:r w:rsidRPr="0067705D">
        <w:rPr>
          <w:rFonts w:asciiTheme="majorHAnsi" w:hAnsiTheme="majorHAnsi" w:cstheme="majorHAnsi"/>
          <w:color w:val="000000" w:themeColor="text1"/>
          <w:sz w:val="22"/>
          <w:szCs w:val="22"/>
        </w:rPr>
        <w:t xml:space="preserve">But even if they are unlikely to face jail time - research shows - people who are stigmatized, marginalized, and perceived as criminals are less likely to seek professional help and medical treatment. They tend to avoid harm reduction services or medical facilities for fear of police harassment, arrest, punishment, and further stigmatization. This seems </w:t>
      </w:r>
      <w:r w:rsidR="00DC48D1" w:rsidRPr="0067705D">
        <w:rPr>
          <w:rFonts w:asciiTheme="majorHAnsi" w:hAnsiTheme="majorHAnsi" w:cstheme="majorHAnsi"/>
          <w:color w:val="000000" w:themeColor="text1"/>
          <w:sz w:val="22"/>
          <w:szCs w:val="22"/>
        </w:rPr>
        <w:t>to be a </w:t>
      </w:r>
      <w:r w:rsidRPr="0067705D">
        <w:rPr>
          <w:rFonts w:asciiTheme="majorHAnsi" w:hAnsiTheme="majorHAnsi" w:cstheme="majorHAnsi"/>
          <w:color w:val="000000" w:themeColor="text1"/>
          <w:sz w:val="22"/>
          <w:szCs w:val="22"/>
        </w:rPr>
        <w:t>valid concern. NGOs involved in harm reduction, outreach work, and</w:t>
      </w:r>
      <w:r w:rsidR="00DC48D1" w:rsidRPr="0067705D">
        <w:rPr>
          <w:rFonts w:asciiTheme="majorHAnsi" w:hAnsiTheme="majorHAnsi" w:cstheme="majorHAnsi"/>
          <w:color w:val="000000" w:themeColor="text1"/>
          <w:sz w:val="22"/>
          <w:szCs w:val="22"/>
        </w:rPr>
        <w:t xml:space="preserve"> running drop-in community cent</w:t>
      </w:r>
      <w:r w:rsidRPr="0067705D">
        <w:rPr>
          <w:rFonts w:asciiTheme="majorHAnsi" w:hAnsiTheme="majorHAnsi" w:cstheme="majorHAnsi"/>
          <w:color w:val="000000" w:themeColor="text1"/>
          <w:sz w:val="22"/>
          <w:szCs w:val="22"/>
        </w:rPr>
        <w:t>e</w:t>
      </w:r>
      <w:r w:rsidR="00DC48D1" w:rsidRPr="0067705D">
        <w:rPr>
          <w:rFonts w:asciiTheme="majorHAnsi" w:hAnsiTheme="majorHAnsi" w:cstheme="majorHAnsi"/>
          <w:color w:val="000000" w:themeColor="text1"/>
          <w:sz w:val="22"/>
          <w:szCs w:val="22"/>
        </w:rPr>
        <w:t>r</w:t>
      </w:r>
      <w:r w:rsidRPr="0067705D">
        <w:rPr>
          <w:rFonts w:asciiTheme="majorHAnsi" w:hAnsiTheme="majorHAnsi" w:cstheme="majorHAnsi"/>
          <w:color w:val="000000" w:themeColor="text1"/>
          <w:sz w:val="22"/>
          <w:szCs w:val="22"/>
        </w:rPr>
        <w:t xml:space="preserve">s in Poland report that persons who inject psychoactive substances or struggle with drug use disorders and decide to seek help, face difficulties accessing appropriate health care, including HIV treatment. For example, they are placed at the end of waiting lists for medical consultations or are disqualified from treatment because of active substance use. According to respondents to the survey conducted in five large Polish cities, </w:t>
      </w:r>
      <w:r w:rsidRPr="0067705D">
        <w:rPr>
          <w:rFonts w:asciiTheme="majorHAnsi" w:hAnsiTheme="majorHAnsi" w:cstheme="majorHAnsi"/>
          <w:i/>
          <w:color w:val="000000" w:themeColor="text1"/>
          <w:sz w:val="22"/>
          <w:szCs w:val="22"/>
        </w:rPr>
        <w:t>this is because doctors do not trust drug users and are afraid that one day they may simply not show up for treatment, which would entail the need to return the money received from the National Health Fund</w:t>
      </w:r>
      <w:r w:rsidRPr="0067705D">
        <w:rPr>
          <w:rStyle w:val="Odwoanieprzypisudolnego"/>
          <w:rFonts w:asciiTheme="majorHAnsi" w:hAnsiTheme="majorHAnsi" w:cstheme="majorHAnsi"/>
          <w:i/>
          <w:color w:val="000000" w:themeColor="text1"/>
          <w:sz w:val="22"/>
          <w:szCs w:val="22"/>
        </w:rPr>
        <w:footnoteReference w:id="4"/>
      </w:r>
      <w:r w:rsidRPr="0067705D">
        <w:rPr>
          <w:rFonts w:asciiTheme="majorHAnsi" w:hAnsiTheme="majorHAnsi" w:cstheme="majorHAnsi"/>
          <w:i/>
          <w:color w:val="000000" w:themeColor="text1"/>
          <w:sz w:val="22"/>
          <w:szCs w:val="22"/>
        </w:rPr>
        <w:t>.</w:t>
      </w:r>
    </w:p>
    <w:p w14:paraId="62AAB130" w14:textId="77777777" w:rsidR="00337EDD" w:rsidRPr="0067705D" w:rsidRDefault="00337EDD" w:rsidP="00337EDD">
      <w:pPr>
        <w:pStyle w:val="Akapitzlist"/>
        <w:numPr>
          <w:ilvl w:val="0"/>
          <w:numId w:val="1"/>
        </w:numPr>
        <w:spacing w:after="160" w:line="259" w:lineRule="auto"/>
        <w:jc w:val="both"/>
        <w:rPr>
          <w:rFonts w:asciiTheme="majorHAnsi" w:hAnsiTheme="majorHAnsi" w:cstheme="majorHAnsi"/>
          <w:color w:val="000000" w:themeColor="text1"/>
          <w:sz w:val="22"/>
          <w:szCs w:val="22"/>
        </w:rPr>
      </w:pPr>
      <w:r w:rsidRPr="0067705D">
        <w:rPr>
          <w:rFonts w:asciiTheme="majorHAnsi" w:hAnsiTheme="majorHAnsi" w:cstheme="majorHAnsi"/>
          <w:color w:val="000000" w:themeColor="text1"/>
          <w:sz w:val="22"/>
          <w:szCs w:val="22"/>
        </w:rPr>
        <w:lastRenderedPageBreak/>
        <w:t xml:space="preserve">Limited access to harm reduction services </w:t>
      </w:r>
    </w:p>
    <w:p w14:paraId="777CA469" w14:textId="6477B19A" w:rsidR="00337EDD" w:rsidRPr="0067705D" w:rsidRDefault="00337EDD" w:rsidP="00337EDD">
      <w:pPr>
        <w:ind w:left="360"/>
        <w:jc w:val="both"/>
        <w:rPr>
          <w:rFonts w:asciiTheme="majorHAnsi" w:hAnsiTheme="majorHAnsi" w:cstheme="majorHAnsi"/>
          <w:color w:val="000000" w:themeColor="text1"/>
          <w:sz w:val="22"/>
          <w:szCs w:val="22"/>
        </w:rPr>
      </w:pPr>
      <w:r w:rsidRPr="0067705D">
        <w:rPr>
          <w:rFonts w:asciiTheme="majorHAnsi" w:hAnsiTheme="majorHAnsi" w:cstheme="majorHAnsi"/>
          <w:color w:val="000000" w:themeColor="text1"/>
          <w:sz w:val="22"/>
          <w:szCs w:val="22"/>
        </w:rPr>
        <w:t xml:space="preserve">The Political Declaration on HIV and AIDS adopted by the UN General Assembly in 2021, as well as numerous other international documents, recognize harm reduction interventions as an effective method of HIV prevention (also protecting against other blood-borne diseases and fatal overdoses). Harm reduction has been acknowledged and recommended by OHCHR, UNODC, UNAIDS, and WHO. Access to the evidence-based, cost-effective and – most importantly – life saving harm reduction services is a fundamental form of exercising </w:t>
      </w:r>
      <w:r w:rsidRPr="0067705D">
        <w:rPr>
          <w:rFonts w:asciiTheme="majorHAnsi" w:hAnsiTheme="majorHAnsi" w:cstheme="majorHAnsi"/>
          <w:color w:val="000000" w:themeColor="text1"/>
          <w:sz w:val="22"/>
          <w:szCs w:val="22"/>
          <w:u w:val="single"/>
        </w:rPr>
        <w:t>the right to the highest attainable standards of health</w:t>
      </w:r>
      <w:r w:rsidRPr="0067705D">
        <w:rPr>
          <w:rFonts w:asciiTheme="majorHAnsi" w:hAnsiTheme="majorHAnsi" w:cstheme="majorHAnsi"/>
          <w:color w:val="000000" w:themeColor="text1"/>
          <w:sz w:val="22"/>
          <w:szCs w:val="22"/>
        </w:rPr>
        <w:t xml:space="preserve"> for people who use psychoactive substances.  </w:t>
      </w:r>
    </w:p>
    <w:p w14:paraId="67555B41" w14:textId="02BF9EF8" w:rsidR="00337EDD" w:rsidRPr="0067705D" w:rsidRDefault="00337EDD" w:rsidP="00337EDD">
      <w:pPr>
        <w:ind w:left="360"/>
        <w:jc w:val="both"/>
        <w:rPr>
          <w:rFonts w:asciiTheme="majorHAnsi" w:hAnsiTheme="majorHAnsi" w:cstheme="majorHAnsi"/>
          <w:color w:val="000000" w:themeColor="text1"/>
          <w:sz w:val="22"/>
          <w:szCs w:val="22"/>
        </w:rPr>
      </w:pPr>
      <w:r w:rsidRPr="0067705D">
        <w:rPr>
          <w:rFonts w:asciiTheme="majorHAnsi" w:hAnsiTheme="majorHAnsi" w:cstheme="majorHAnsi"/>
          <w:color w:val="000000" w:themeColor="text1"/>
          <w:sz w:val="22"/>
          <w:szCs w:val="22"/>
        </w:rPr>
        <w:t xml:space="preserve">In Poland, the national drug policy and HIV prevention strategies include harm reduction measures, but in practice access to services remains scarce, and outside urban areas – non-existent. </w:t>
      </w:r>
    </w:p>
    <w:p w14:paraId="661D928F" w14:textId="100C8DCC" w:rsidR="00337EDD" w:rsidRPr="0067705D" w:rsidRDefault="00337EDD" w:rsidP="00337EDD">
      <w:pPr>
        <w:ind w:left="360"/>
        <w:jc w:val="both"/>
        <w:rPr>
          <w:rFonts w:asciiTheme="majorHAnsi" w:hAnsiTheme="majorHAnsi" w:cstheme="majorHAnsi"/>
          <w:color w:val="000000" w:themeColor="text1"/>
          <w:sz w:val="22"/>
          <w:szCs w:val="22"/>
        </w:rPr>
      </w:pPr>
      <w:r w:rsidRPr="0067705D">
        <w:rPr>
          <w:rFonts w:asciiTheme="majorHAnsi" w:hAnsiTheme="majorHAnsi" w:cstheme="majorHAnsi"/>
          <w:color w:val="000000" w:themeColor="text1"/>
          <w:sz w:val="22"/>
          <w:szCs w:val="22"/>
        </w:rPr>
        <w:t>According to the estimates of the National Bureau for Drug Prevention (recently replaced by the National Centre for Counteracting Addictions), approximately 15,000 people in Poland qualify as problem opioid users</w:t>
      </w:r>
      <w:r w:rsidRPr="0067705D">
        <w:rPr>
          <w:rStyle w:val="Odwoanieprzypisudolnego"/>
          <w:rFonts w:asciiTheme="majorHAnsi" w:hAnsiTheme="majorHAnsi" w:cstheme="majorHAnsi"/>
          <w:color w:val="000000" w:themeColor="text1"/>
          <w:sz w:val="22"/>
          <w:szCs w:val="22"/>
        </w:rPr>
        <w:footnoteReference w:id="5"/>
      </w:r>
      <w:r w:rsidRPr="0067705D">
        <w:rPr>
          <w:rFonts w:asciiTheme="majorHAnsi" w:hAnsiTheme="majorHAnsi" w:cstheme="majorHAnsi"/>
          <w:color w:val="000000" w:themeColor="text1"/>
          <w:sz w:val="22"/>
          <w:szCs w:val="22"/>
        </w:rPr>
        <w:t>. Presumably, this includes mainly people who inject opioids. But the total number of people who inject various psychoactive substances is undoubtedly significantly higher (as only 28% of clients of the needle and syringe exchange programs report using heroin</w:t>
      </w:r>
      <w:r w:rsidRPr="0067705D">
        <w:rPr>
          <w:rStyle w:val="Odwoanieprzypisudolnego"/>
          <w:rFonts w:asciiTheme="majorHAnsi" w:hAnsiTheme="majorHAnsi" w:cstheme="majorHAnsi"/>
          <w:color w:val="000000" w:themeColor="text1"/>
          <w:sz w:val="22"/>
          <w:szCs w:val="22"/>
        </w:rPr>
        <w:footnoteReference w:id="6"/>
      </w:r>
      <w:r w:rsidRPr="0067705D">
        <w:rPr>
          <w:rFonts w:asciiTheme="majorHAnsi" w:hAnsiTheme="majorHAnsi" w:cstheme="majorHAnsi"/>
          <w:color w:val="000000" w:themeColor="text1"/>
          <w:sz w:val="22"/>
          <w:szCs w:val="22"/>
        </w:rPr>
        <w:t xml:space="preserve">). </w:t>
      </w:r>
    </w:p>
    <w:p w14:paraId="1E2B987A" w14:textId="11038FB5" w:rsidR="00337EDD" w:rsidRPr="0067705D" w:rsidRDefault="00337EDD" w:rsidP="00337EDD">
      <w:pPr>
        <w:ind w:left="360"/>
        <w:jc w:val="both"/>
        <w:rPr>
          <w:rFonts w:asciiTheme="majorHAnsi" w:hAnsiTheme="majorHAnsi" w:cstheme="majorHAnsi"/>
          <w:color w:val="000000" w:themeColor="text1"/>
          <w:sz w:val="22"/>
          <w:szCs w:val="22"/>
        </w:rPr>
      </w:pPr>
      <w:r w:rsidRPr="0067705D">
        <w:rPr>
          <w:rFonts w:asciiTheme="majorHAnsi" w:hAnsiTheme="majorHAnsi" w:cstheme="majorHAnsi"/>
          <w:color w:val="000000" w:themeColor="text1"/>
          <w:sz w:val="22"/>
          <w:szCs w:val="22"/>
        </w:rPr>
        <w:t>As estimated by UNAIDS, the risk of acquiring HIV is 29 times higher among people who inject drugs</w:t>
      </w:r>
      <w:r w:rsidRPr="0067705D">
        <w:rPr>
          <w:rStyle w:val="Odwoanieprzypisudolnego"/>
          <w:rFonts w:asciiTheme="majorHAnsi" w:hAnsiTheme="majorHAnsi" w:cstheme="majorHAnsi"/>
          <w:color w:val="000000" w:themeColor="text1"/>
          <w:sz w:val="22"/>
          <w:szCs w:val="22"/>
        </w:rPr>
        <w:footnoteReference w:id="7"/>
      </w:r>
      <w:r w:rsidRPr="0067705D">
        <w:rPr>
          <w:rFonts w:asciiTheme="majorHAnsi" w:hAnsiTheme="majorHAnsi" w:cstheme="majorHAnsi"/>
          <w:color w:val="000000" w:themeColor="text1"/>
          <w:sz w:val="22"/>
          <w:szCs w:val="22"/>
        </w:rPr>
        <w:t xml:space="preserve">. Harm reduction services are life-saving interventions that reduce the vulnerability of this key population to blood-borne diseases as well as overdose. </w:t>
      </w:r>
    </w:p>
    <w:p w14:paraId="572ACED1" w14:textId="7882C159" w:rsidR="00337EDD" w:rsidRPr="0067705D" w:rsidRDefault="00337EDD" w:rsidP="00337EDD">
      <w:pPr>
        <w:ind w:left="360"/>
        <w:jc w:val="both"/>
        <w:rPr>
          <w:rFonts w:asciiTheme="majorHAnsi" w:hAnsiTheme="majorHAnsi" w:cstheme="majorHAnsi"/>
          <w:color w:val="000000" w:themeColor="text1"/>
          <w:sz w:val="22"/>
          <w:szCs w:val="22"/>
        </w:rPr>
      </w:pPr>
      <w:r w:rsidRPr="0067705D">
        <w:rPr>
          <w:rFonts w:asciiTheme="majorHAnsi" w:hAnsiTheme="majorHAnsi" w:cstheme="majorHAnsi"/>
          <w:color w:val="000000" w:themeColor="text1"/>
          <w:sz w:val="22"/>
          <w:szCs w:val="22"/>
        </w:rPr>
        <w:t>In Poland, however, a decrease in the number of needle and syringe programs can be observed between 2002 and 2020 - from 21 NSP operating in 23 towns to 13 in 12 towns</w:t>
      </w:r>
      <w:r w:rsidRPr="0067705D">
        <w:rPr>
          <w:rStyle w:val="Odwoanieprzypisudolnego"/>
          <w:rFonts w:asciiTheme="majorHAnsi" w:hAnsiTheme="majorHAnsi" w:cstheme="majorHAnsi"/>
          <w:color w:val="000000" w:themeColor="text1"/>
          <w:sz w:val="22"/>
          <w:szCs w:val="22"/>
        </w:rPr>
        <w:footnoteReference w:id="8"/>
      </w:r>
      <w:r w:rsidRPr="0067705D">
        <w:rPr>
          <w:rFonts w:asciiTheme="majorHAnsi" w:hAnsiTheme="majorHAnsi" w:cstheme="majorHAnsi"/>
          <w:color w:val="000000" w:themeColor="text1"/>
          <w:sz w:val="22"/>
          <w:szCs w:val="22"/>
        </w:rPr>
        <w:t>. They provide services to about 2,500 clients (latest data from 2019</w:t>
      </w:r>
      <w:r w:rsidRPr="0067705D">
        <w:rPr>
          <w:rStyle w:val="Odwoanieprzypisudolnego"/>
          <w:rFonts w:asciiTheme="majorHAnsi" w:hAnsiTheme="majorHAnsi" w:cstheme="majorHAnsi"/>
          <w:color w:val="000000" w:themeColor="text1"/>
          <w:sz w:val="22"/>
          <w:szCs w:val="22"/>
        </w:rPr>
        <w:footnoteReference w:id="9"/>
      </w:r>
      <w:r w:rsidRPr="0067705D">
        <w:rPr>
          <w:rFonts w:asciiTheme="majorHAnsi" w:hAnsiTheme="majorHAnsi" w:cstheme="majorHAnsi"/>
          <w:color w:val="000000" w:themeColor="text1"/>
          <w:sz w:val="22"/>
          <w:szCs w:val="22"/>
        </w:rPr>
        <w:t xml:space="preserve">). </w:t>
      </w:r>
    </w:p>
    <w:p w14:paraId="4875994E" w14:textId="7E0320DD" w:rsidR="00337EDD" w:rsidRPr="0067705D" w:rsidRDefault="00337EDD" w:rsidP="00337EDD">
      <w:pPr>
        <w:ind w:left="360"/>
        <w:jc w:val="both"/>
        <w:rPr>
          <w:rFonts w:asciiTheme="majorHAnsi" w:hAnsiTheme="majorHAnsi" w:cstheme="majorHAnsi"/>
          <w:color w:val="000000" w:themeColor="text1"/>
          <w:sz w:val="22"/>
          <w:szCs w:val="22"/>
        </w:rPr>
      </w:pPr>
      <w:r w:rsidRPr="0067705D">
        <w:rPr>
          <w:rFonts w:asciiTheme="majorHAnsi" w:hAnsiTheme="majorHAnsi" w:cstheme="majorHAnsi"/>
          <w:color w:val="000000" w:themeColor="text1"/>
          <w:sz w:val="22"/>
          <w:szCs w:val="22"/>
        </w:rPr>
        <w:t>Opioid substitution treatment is available both outside and inside prison. The number of OST patients increased from 750 in 2005 to 3453 clients in 2021</w:t>
      </w:r>
      <w:r w:rsidRPr="0067705D">
        <w:rPr>
          <w:rStyle w:val="Odwoanieprzypisudolnego"/>
          <w:rFonts w:asciiTheme="majorHAnsi" w:hAnsiTheme="majorHAnsi" w:cstheme="majorHAnsi"/>
          <w:color w:val="000000" w:themeColor="text1"/>
          <w:sz w:val="22"/>
          <w:szCs w:val="22"/>
        </w:rPr>
        <w:footnoteReference w:id="10"/>
      </w:r>
      <w:r w:rsidRPr="0067705D">
        <w:rPr>
          <w:rFonts w:asciiTheme="majorHAnsi" w:hAnsiTheme="majorHAnsi" w:cstheme="majorHAnsi"/>
          <w:color w:val="000000" w:themeColor="text1"/>
          <w:sz w:val="22"/>
          <w:szCs w:val="22"/>
        </w:rPr>
        <w:t xml:space="preserve">, but it still ensures that OST is only available to 20-25% of problem opioid users. </w:t>
      </w:r>
    </w:p>
    <w:p w14:paraId="722EB0C3" w14:textId="70016ED4" w:rsidR="00337EDD" w:rsidRPr="0067705D" w:rsidRDefault="00337EDD" w:rsidP="00337EDD">
      <w:pPr>
        <w:ind w:left="360"/>
        <w:jc w:val="both"/>
        <w:rPr>
          <w:rFonts w:asciiTheme="majorHAnsi" w:hAnsiTheme="majorHAnsi" w:cstheme="majorHAnsi"/>
          <w:color w:val="000000" w:themeColor="text1"/>
          <w:sz w:val="22"/>
          <w:szCs w:val="22"/>
        </w:rPr>
      </w:pPr>
      <w:r w:rsidRPr="0067705D">
        <w:rPr>
          <w:rFonts w:asciiTheme="majorHAnsi" w:hAnsiTheme="majorHAnsi" w:cstheme="majorHAnsi"/>
          <w:color w:val="000000" w:themeColor="text1"/>
          <w:sz w:val="22"/>
          <w:szCs w:val="22"/>
        </w:rPr>
        <w:t xml:space="preserve">The country lacks gender-sensitive harm reduction and health services at scale. </w:t>
      </w:r>
    </w:p>
    <w:p w14:paraId="2AB2F0EB" w14:textId="35352A1E" w:rsidR="00337EDD" w:rsidRPr="0067705D" w:rsidRDefault="00337EDD" w:rsidP="00337EDD">
      <w:pPr>
        <w:ind w:left="360"/>
        <w:jc w:val="both"/>
        <w:rPr>
          <w:rFonts w:asciiTheme="majorHAnsi" w:hAnsiTheme="majorHAnsi" w:cstheme="majorHAnsi"/>
          <w:color w:val="000000" w:themeColor="text1"/>
          <w:sz w:val="22"/>
          <w:szCs w:val="22"/>
        </w:rPr>
      </w:pPr>
      <w:r w:rsidRPr="0067705D">
        <w:rPr>
          <w:rFonts w:asciiTheme="majorHAnsi" w:hAnsiTheme="majorHAnsi" w:cstheme="majorHAnsi"/>
          <w:color w:val="000000" w:themeColor="text1"/>
          <w:sz w:val="22"/>
          <w:szCs w:val="22"/>
        </w:rPr>
        <w:t xml:space="preserve">There are no drug consumption rooms in Poland. </w:t>
      </w:r>
    </w:p>
    <w:p w14:paraId="4F552B13" w14:textId="54DB1B1F" w:rsidR="00337EDD" w:rsidRPr="0067705D" w:rsidRDefault="00337EDD" w:rsidP="00337EDD">
      <w:pPr>
        <w:ind w:left="360"/>
        <w:jc w:val="both"/>
        <w:rPr>
          <w:rFonts w:asciiTheme="majorHAnsi" w:hAnsiTheme="majorHAnsi" w:cstheme="majorHAnsi"/>
          <w:color w:val="000000" w:themeColor="text1"/>
          <w:sz w:val="22"/>
          <w:szCs w:val="22"/>
        </w:rPr>
      </w:pPr>
      <w:r w:rsidRPr="0067705D">
        <w:rPr>
          <w:rFonts w:asciiTheme="majorHAnsi" w:hAnsiTheme="majorHAnsi" w:cstheme="majorHAnsi"/>
          <w:color w:val="000000" w:themeColor="text1"/>
          <w:sz w:val="22"/>
          <w:szCs w:val="22"/>
        </w:rPr>
        <w:t xml:space="preserve">Naloxone is not available outside of the institutionalized healthcare. There is no take-home or in-community distribution option. </w:t>
      </w:r>
    </w:p>
    <w:p w14:paraId="11625052" w14:textId="40627A34" w:rsidR="00337EDD" w:rsidRDefault="00337EDD" w:rsidP="00337EDD">
      <w:pPr>
        <w:ind w:left="360"/>
        <w:jc w:val="both"/>
        <w:rPr>
          <w:rFonts w:asciiTheme="majorHAnsi" w:hAnsiTheme="majorHAnsi" w:cstheme="majorHAnsi"/>
          <w:color w:val="000000" w:themeColor="text1"/>
          <w:sz w:val="22"/>
          <w:szCs w:val="22"/>
        </w:rPr>
      </w:pPr>
      <w:r w:rsidRPr="0067705D">
        <w:rPr>
          <w:rFonts w:asciiTheme="majorHAnsi" w:hAnsiTheme="majorHAnsi" w:cstheme="majorHAnsi"/>
          <w:color w:val="000000" w:themeColor="text1"/>
          <w:sz w:val="22"/>
          <w:szCs w:val="22"/>
        </w:rPr>
        <w:t xml:space="preserve">In general, harm reduction in Poland lacks proper recognition and adequate funding. </w:t>
      </w:r>
    </w:p>
    <w:p w14:paraId="1CF6EB31" w14:textId="77777777" w:rsidR="0067705D" w:rsidRPr="0067705D" w:rsidRDefault="0067705D" w:rsidP="00337EDD">
      <w:pPr>
        <w:ind w:left="360"/>
        <w:jc w:val="both"/>
        <w:rPr>
          <w:rFonts w:asciiTheme="majorHAnsi" w:hAnsiTheme="majorHAnsi" w:cstheme="majorHAnsi"/>
          <w:color w:val="000000" w:themeColor="text1"/>
          <w:sz w:val="22"/>
          <w:szCs w:val="22"/>
        </w:rPr>
      </w:pPr>
    </w:p>
    <w:p w14:paraId="067BB168" w14:textId="77777777" w:rsidR="00DC48D1" w:rsidRPr="0067705D" w:rsidRDefault="00DC48D1" w:rsidP="00DC48D1">
      <w:pPr>
        <w:pBdr>
          <w:top w:val="nil"/>
          <w:left w:val="nil"/>
          <w:bottom w:val="nil"/>
          <w:right w:val="nil"/>
          <w:between w:val="nil"/>
        </w:pBdr>
        <w:spacing w:after="200" w:line="276" w:lineRule="auto"/>
        <w:jc w:val="both"/>
        <w:rPr>
          <w:rFonts w:asciiTheme="majorHAnsi" w:hAnsiTheme="majorHAnsi" w:cstheme="majorHAnsi"/>
          <w:b/>
          <w:color w:val="000000" w:themeColor="text1"/>
          <w:sz w:val="22"/>
          <w:szCs w:val="22"/>
        </w:rPr>
      </w:pPr>
      <w:r w:rsidRPr="0067705D">
        <w:rPr>
          <w:rFonts w:asciiTheme="majorHAnsi" w:hAnsiTheme="majorHAnsi" w:cstheme="majorHAnsi"/>
          <w:b/>
          <w:color w:val="000000" w:themeColor="text1"/>
          <w:sz w:val="22"/>
          <w:szCs w:val="22"/>
        </w:rPr>
        <w:t>Recommendations</w:t>
      </w:r>
    </w:p>
    <w:p w14:paraId="525198A7" w14:textId="77777777" w:rsidR="00DC48D1" w:rsidRPr="0067705D" w:rsidRDefault="00DC48D1" w:rsidP="00DC48D1">
      <w:pPr>
        <w:pBdr>
          <w:top w:val="nil"/>
          <w:left w:val="nil"/>
          <w:bottom w:val="nil"/>
          <w:right w:val="nil"/>
          <w:between w:val="nil"/>
        </w:pBdr>
        <w:spacing w:after="200" w:line="276" w:lineRule="auto"/>
        <w:jc w:val="both"/>
        <w:rPr>
          <w:rFonts w:asciiTheme="majorHAnsi" w:hAnsiTheme="majorHAnsi" w:cstheme="majorHAnsi"/>
          <w:color w:val="000000" w:themeColor="text1"/>
          <w:sz w:val="22"/>
          <w:szCs w:val="22"/>
        </w:rPr>
      </w:pPr>
      <w:r w:rsidRPr="0067705D">
        <w:rPr>
          <w:rFonts w:asciiTheme="majorHAnsi" w:hAnsiTheme="majorHAnsi" w:cstheme="majorHAnsi"/>
          <w:color w:val="000000" w:themeColor="text1"/>
          <w:sz w:val="22"/>
          <w:szCs w:val="22"/>
        </w:rPr>
        <w:t>In light of the above, we urge the UN High Commissioner for Human Rights to recommend in his report that Member States and stakeholders:</w:t>
      </w:r>
    </w:p>
    <w:p w14:paraId="1F5A2F83" w14:textId="77777777" w:rsidR="00DC48D1" w:rsidRPr="0067705D" w:rsidRDefault="00DC48D1" w:rsidP="00DC48D1">
      <w:pPr>
        <w:pStyle w:val="Akapitzlist"/>
        <w:numPr>
          <w:ilvl w:val="0"/>
          <w:numId w:val="2"/>
        </w:numPr>
        <w:spacing w:after="160" w:line="259" w:lineRule="auto"/>
        <w:jc w:val="both"/>
        <w:rPr>
          <w:rFonts w:asciiTheme="majorHAnsi" w:hAnsiTheme="majorHAnsi" w:cstheme="majorHAnsi"/>
          <w:color w:val="000000" w:themeColor="text1"/>
          <w:sz w:val="22"/>
          <w:szCs w:val="22"/>
        </w:rPr>
      </w:pPr>
      <w:r w:rsidRPr="0067705D">
        <w:rPr>
          <w:rFonts w:asciiTheme="majorHAnsi" w:hAnsiTheme="majorHAnsi" w:cstheme="majorHAnsi"/>
          <w:color w:val="000000" w:themeColor="text1"/>
          <w:sz w:val="22"/>
          <w:szCs w:val="22"/>
        </w:rPr>
        <w:t xml:space="preserve">decriminalise and remove all sanctions for drug use and possession and seek alternatives to punitive drug polices; </w:t>
      </w:r>
    </w:p>
    <w:p w14:paraId="61DD7D32" w14:textId="77777777" w:rsidR="00DC48D1" w:rsidRPr="0067705D" w:rsidRDefault="00DC48D1" w:rsidP="00DC48D1">
      <w:pPr>
        <w:pStyle w:val="Akapitzlist"/>
        <w:numPr>
          <w:ilvl w:val="0"/>
          <w:numId w:val="2"/>
        </w:numPr>
        <w:spacing w:after="160" w:line="259" w:lineRule="auto"/>
        <w:jc w:val="both"/>
        <w:rPr>
          <w:rFonts w:asciiTheme="majorHAnsi" w:hAnsiTheme="majorHAnsi" w:cstheme="majorHAnsi"/>
          <w:color w:val="000000" w:themeColor="text1"/>
          <w:sz w:val="22"/>
          <w:szCs w:val="22"/>
        </w:rPr>
      </w:pPr>
      <w:r w:rsidRPr="0067705D">
        <w:rPr>
          <w:rFonts w:asciiTheme="majorHAnsi" w:hAnsiTheme="majorHAnsi" w:cstheme="majorHAnsi"/>
          <w:color w:val="000000" w:themeColor="text1"/>
          <w:sz w:val="22"/>
          <w:szCs w:val="22"/>
        </w:rPr>
        <w:t xml:space="preserve">ground their drug policies in human rights, scientific evidence and reliable data; </w:t>
      </w:r>
    </w:p>
    <w:p w14:paraId="0918C162" w14:textId="77777777" w:rsidR="00DC48D1" w:rsidRPr="0067705D" w:rsidRDefault="00DC48D1" w:rsidP="00DC48D1">
      <w:pPr>
        <w:pStyle w:val="Akapitzlist"/>
        <w:numPr>
          <w:ilvl w:val="0"/>
          <w:numId w:val="2"/>
        </w:numPr>
        <w:spacing w:after="160" w:line="259" w:lineRule="auto"/>
        <w:jc w:val="both"/>
        <w:rPr>
          <w:rFonts w:asciiTheme="majorHAnsi" w:hAnsiTheme="majorHAnsi" w:cstheme="majorHAnsi"/>
          <w:color w:val="000000" w:themeColor="text1"/>
          <w:sz w:val="22"/>
          <w:szCs w:val="22"/>
        </w:rPr>
      </w:pPr>
      <w:r w:rsidRPr="0067705D">
        <w:rPr>
          <w:rFonts w:asciiTheme="majorHAnsi" w:hAnsiTheme="majorHAnsi" w:cstheme="majorHAnsi"/>
          <w:color w:val="000000" w:themeColor="text1"/>
          <w:sz w:val="22"/>
          <w:szCs w:val="22"/>
        </w:rPr>
        <w:t xml:space="preserve">invest in increasing coverage and diversifying the range of harm reduction measures; </w:t>
      </w:r>
    </w:p>
    <w:p w14:paraId="15BF7464" w14:textId="77777777" w:rsidR="00DC48D1" w:rsidRPr="0067705D" w:rsidRDefault="00DC48D1" w:rsidP="00DC48D1">
      <w:pPr>
        <w:pStyle w:val="Akapitzlist"/>
        <w:numPr>
          <w:ilvl w:val="0"/>
          <w:numId w:val="2"/>
        </w:numPr>
        <w:spacing w:after="160" w:line="259" w:lineRule="auto"/>
        <w:jc w:val="both"/>
        <w:rPr>
          <w:rFonts w:asciiTheme="majorHAnsi" w:hAnsiTheme="majorHAnsi" w:cstheme="majorHAnsi"/>
          <w:color w:val="000000" w:themeColor="text1"/>
          <w:sz w:val="22"/>
          <w:szCs w:val="22"/>
        </w:rPr>
      </w:pPr>
      <w:r w:rsidRPr="0067705D">
        <w:rPr>
          <w:rFonts w:asciiTheme="majorHAnsi" w:hAnsiTheme="majorHAnsi" w:cstheme="majorHAnsi"/>
          <w:color w:val="000000" w:themeColor="text1"/>
          <w:sz w:val="22"/>
          <w:szCs w:val="22"/>
        </w:rPr>
        <w:t>ensure equal access to prevention and treatment for all;</w:t>
      </w:r>
    </w:p>
    <w:p w14:paraId="2DA1E884" w14:textId="5FBDD686" w:rsidR="00DC48D1" w:rsidRPr="0067705D" w:rsidRDefault="00DC48D1" w:rsidP="00DC48D1">
      <w:pPr>
        <w:pStyle w:val="Akapitzlist"/>
        <w:numPr>
          <w:ilvl w:val="0"/>
          <w:numId w:val="2"/>
        </w:numPr>
        <w:spacing w:after="160" w:line="259" w:lineRule="auto"/>
        <w:jc w:val="both"/>
        <w:rPr>
          <w:rFonts w:asciiTheme="majorHAnsi" w:hAnsiTheme="majorHAnsi" w:cstheme="majorHAnsi"/>
          <w:color w:val="000000" w:themeColor="text1"/>
          <w:sz w:val="22"/>
          <w:szCs w:val="22"/>
        </w:rPr>
      </w:pPr>
      <w:r w:rsidRPr="0067705D">
        <w:rPr>
          <w:rFonts w:asciiTheme="majorHAnsi" w:hAnsiTheme="majorHAnsi" w:cstheme="majorHAnsi"/>
          <w:color w:val="000000" w:themeColor="text1"/>
          <w:sz w:val="22"/>
          <w:szCs w:val="22"/>
        </w:rPr>
        <w:t xml:space="preserve">and actively combat stigma and discrimination against people who use psychoactive substances. </w:t>
      </w:r>
    </w:p>
    <w:p w14:paraId="10DBBFEE" w14:textId="1F9E58C8" w:rsidR="00DC48D1" w:rsidRPr="0067705D" w:rsidRDefault="00DC48D1" w:rsidP="00DC48D1">
      <w:pPr>
        <w:pStyle w:val="Akapitzlist"/>
        <w:spacing w:after="160" w:line="259" w:lineRule="auto"/>
        <w:jc w:val="both"/>
        <w:rPr>
          <w:rFonts w:asciiTheme="majorHAnsi" w:hAnsiTheme="majorHAnsi" w:cstheme="majorHAnsi"/>
          <w:color w:val="000000" w:themeColor="text1"/>
          <w:sz w:val="22"/>
          <w:szCs w:val="22"/>
        </w:rPr>
      </w:pPr>
    </w:p>
    <w:p w14:paraId="18C0BF8F" w14:textId="47A98985" w:rsidR="00DC48D1" w:rsidRDefault="00DC48D1" w:rsidP="00DC48D1">
      <w:pPr>
        <w:pStyle w:val="Akapitzlist"/>
        <w:spacing w:after="160" w:line="259" w:lineRule="auto"/>
        <w:jc w:val="both"/>
        <w:rPr>
          <w:rFonts w:asciiTheme="majorHAnsi" w:hAnsiTheme="majorHAnsi" w:cstheme="majorHAnsi"/>
          <w:color w:val="000000" w:themeColor="text1"/>
          <w:sz w:val="22"/>
          <w:szCs w:val="22"/>
        </w:rPr>
      </w:pPr>
    </w:p>
    <w:p w14:paraId="4E0DA189" w14:textId="77777777" w:rsidR="0067705D" w:rsidRPr="0067705D" w:rsidRDefault="0067705D" w:rsidP="00DC48D1">
      <w:pPr>
        <w:pStyle w:val="Akapitzlist"/>
        <w:spacing w:after="160" w:line="259" w:lineRule="auto"/>
        <w:jc w:val="both"/>
        <w:rPr>
          <w:rFonts w:asciiTheme="majorHAnsi" w:hAnsiTheme="majorHAnsi" w:cstheme="majorHAnsi"/>
          <w:color w:val="000000" w:themeColor="text1"/>
          <w:sz w:val="22"/>
          <w:szCs w:val="22"/>
        </w:rPr>
      </w:pPr>
    </w:p>
    <w:p w14:paraId="7593EF60" w14:textId="6AEF38FC" w:rsidR="00DC48D1" w:rsidRPr="0067705D" w:rsidRDefault="00DC48D1" w:rsidP="00DC48D1">
      <w:pPr>
        <w:spacing w:line="259" w:lineRule="auto"/>
        <w:jc w:val="both"/>
        <w:rPr>
          <w:rFonts w:asciiTheme="majorHAnsi" w:hAnsiTheme="majorHAnsi" w:cstheme="majorHAnsi"/>
          <w:b/>
          <w:color w:val="000000" w:themeColor="text1"/>
          <w:sz w:val="22"/>
          <w:szCs w:val="22"/>
        </w:rPr>
      </w:pPr>
      <w:r w:rsidRPr="0067705D">
        <w:rPr>
          <w:rFonts w:asciiTheme="majorHAnsi" w:hAnsiTheme="majorHAnsi" w:cstheme="majorHAnsi"/>
          <w:b/>
          <w:color w:val="000000" w:themeColor="text1"/>
          <w:sz w:val="22"/>
          <w:szCs w:val="22"/>
        </w:rPr>
        <w:t>Contact details for this submission:</w:t>
      </w:r>
    </w:p>
    <w:p w14:paraId="766A0AAA" w14:textId="35818EB1" w:rsidR="00DC48D1" w:rsidRPr="0067705D" w:rsidRDefault="00DC48D1" w:rsidP="00DC48D1">
      <w:pPr>
        <w:spacing w:line="259" w:lineRule="auto"/>
        <w:jc w:val="both"/>
        <w:rPr>
          <w:rFonts w:asciiTheme="majorHAnsi" w:hAnsiTheme="majorHAnsi" w:cstheme="majorHAnsi"/>
          <w:b/>
          <w:color w:val="000000" w:themeColor="text1"/>
          <w:sz w:val="22"/>
          <w:szCs w:val="22"/>
          <w:lang w:val="pl-PL"/>
        </w:rPr>
      </w:pPr>
      <w:r w:rsidRPr="0067705D">
        <w:rPr>
          <w:rFonts w:asciiTheme="majorHAnsi" w:hAnsiTheme="majorHAnsi" w:cstheme="majorHAnsi"/>
          <w:b/>
          <w:color w:val="000000" w:themeColor="text1"/>
          <w:sz w:val="22"/>
          <w:szCs w:val="22"/>
          <w:lang w:val="pl-PL"/>
        </w:rPr>
        <w:t xml:space="preserve">Magdalena Dąbkowska </w:t>
      </w:r>
    </w:p>
    <w:p w14:paraId="464BE98D" w14:textId="194A031B" w:rsidR="00DC48D1" w:rsidRPr="0003121A" w:rsidRDefault="00DC48D1" w:rsidP="00DC48D1">
      <w:pPr>
        <w:spacing w:line="259" w:lineRule="auto"/>
        <w:jc w:val="both"/>
        <w:rPr>
          <w:rFonts w:asciiTheme="majorHAnsi" w:hAnsiTheme="majorHAnsi" w:cstheme="majorHAnsi"/>
          <w:color w:val="000000" w:themeColor="text1"/>
          <w:sz w:val="22"/>
          <w:szCs w:val="22"/>
          <w:lang w:val="pl-PL"/>
        </w:rPr>
      </w:pPr>
      <w:proofErr w:type="spellStart"/>
      <w:r w:rsidRPr="0003121A">
        <w:rPr>
          <w:rFonts w:asciiTheme="majorHAnsi" w:hAnsiTheme="majorHAnsi" w:cstheme="majorHAnsi"/>
          <w:color w:val="000000" w:themeColor="text1"/>
          <w:sz w:val="22"/>
          <w:szCs w:val="22"/>
          <w:lang w:val="pl-PL"/>
        </w:rPr>
        <w:t>Drug</w:t>
      </w:r>
      <w:proofErr w:type="spellEnd"/>
      <w:r w:rsidRPr="0003121A">
        <w:rPr>
          <w:rFonts w:asciiTheme="majorHAnsi" w:hAnsiTheme="majorHAnsi" w:cstheme="majorHAnsi"/>
          <w:color w:val="000000" w:themeColor="text1"/>
          <w:sz w:val="22"/>
          <w:szCs w:val="22"/>
          <w:lang w:val="pl-PL"/>
        </w:rPr>
        <w:t xml:space="preserve"> Policy Program </w:t>
      </w:r>
      <w:proofErr w:type="spellStart"/>
      <w:r w:rsidRPr="0003121A">
        <w:rPr>
          <w:rFonts w:asciiTheme="majorHAnsi" w:hAnsiTheme="majorHAnsi" w:cstheme="majorHAnsi"/>
          <w:color w:val="000000" w:themeColor="text1"/>
          <w:sz w:val="22"/>
          <w:szCs w:val="22"/>
          <w:lang w:val="pl-PL"/>
        </w:rPr>
        <w:t>Coordinator</w:t>
      </w:r>
      <w:proofErr w:type="spellEnd"/>
      <w:r w:rsidRPr="0003121A">
        <w:rPr>
          <w:rFonts w:asciiTheme="majorHAnsi" w:hAnsiTheme="majorHAnsi" w:cstheme="majorHAnsi"/>
          <w:color w:val="000000" w:themeColor="text1"/>
          <w:sz w:val="22"/>
          <w:szCs w:val="22"/>
          <w:lang w:val="pl-PL"/>
        </w:rPr>
        <w:t xml:space="preserve"> </w:t>
      </w:r>
    </w:p>
    <w:p w14:paraId="4994E790" w14:textId="068B1543" w:rsidR="00DC48D1" w:rsidRPr="0067705D" w:rsidRDefault="00DC48D1" w:rsidP="00DC48D1">
      <w:pPr>
        <w:spacing w:line="259" w:lineRule="auto"/>
        <w:jc w:val="both"/>
        <w:rPr>
          <w:rFonts w:asciiTheme="majorHAnsi" w:hAnsiTheme="majorHAnsi" w:cstheme="majorHAnsi"/>
          <w:color w:val="000000" w:themeColor="text1"/>
          <w:sz w:val="22"/>
          <w:szCs w:val="22"/>
        </w:rPr>
      </w:pPr>
      <w:r w:rsidRPr="0067705D">
        <w:rPr>
          <w:rFonts w:asciiTheme="majorHAnsi" w:hAnsiTheme="majorHAnsi" w:cstheme="majorHAnsi"/>
          <w:color w:val="000000" w:themeColor="text1"/>
          <w:sz w:val="22"/>
          <w:szCs w:val="22"/>
        </w:rPr>
        <w:t>Helsinki Foundation for Human Rights</w:t>
      </w:r>
    </w:p>
    <w:p w14:paraId="23315E40" w14:textId="20BB711A" w:rsidR="00DC48D1" w:rsidRPr="0067705D" w:rsidRDefault="00DC48D1" w:rsidP="00DC48D1">
      <w:pPr>
        <w:spacing w:line="259" w:lineRule="auto"/>
        <w:jc w:val="both"/>
        <w:rPr>
          <w:rFonts w:asciiTheme="majorHAnsi" w:hAnsiTheme="majorHAnsi" w:cstheme="majorHAnsi"/>
          <w:color w:val="000000" w:themeColor="text1"/>
          <w:sz w:val="22"/>
          <w:szCs w:val="22"/>
        </w:rPr>
      </w:pPr>
      <w:proofErr w:type="spellStart"/>
      <w:r w:rsidRPr="0067705D">
        <w:rPr>
          <w:rFonts w:asciiTheme="majorHAnsi" w:hAnsiTheme="majorHAnsi" w:cstheme="majorHAnsi"/>
          <w:color w:val="000000" w:themeColor="text1"/>
          <w:sz w:val="22"/>
          <w:szCs w:val="22"/>
        </w:rPr>
        <w:t>Wiejska</w:t>
      </w:r>
      <w:proofErr w:type="spellEnd"/>
      <w:r w:rsidRPr="0067705D">
        <w:rPr>
          <w:rFonts w:asciiTheme="majorHAnsi" w:hAnsiTheme="majorHAnsi" w:cstheme="majorHAnsi"/>
          <w:color w:val="000000" w:themeColor="text1"/>
          <w:sz w:val="22"/>
          <w:szCs w:val="22"/>
        </w:rPr>
        <w:t xml:space="preserve"> 16, 00-490 Warsaw, Poland</w:t>
      </w:r>
    </w:p>
    <w:p w14:paraId="51EEAA0B" w14:textId="681711A6" w:rsidR="00DC48D1" w:rsidRPr="0067705D" w:rsidRDefault="00303778" w:rsidP="00DC48D1">
      <w:pPr>
        <w:spacing w:line="259" w:lineRule="auto"/>
        <w:jc w:val="both"/>
        <w:rPr>
          <w:rFonts w:asciiTheme="majorHAnsi" w:hAnsiTheme="majorHAnsi" w:cstheme="majorHAnsi"/>
          <w:color w:val="000000" w:themeColor="text1"/>
          <w:sz w:val="22"/>
          <w:szCs w:val="22"/>
        </w:rPr>
      </w:pPr>
      <w:hyperlink r:id="rId11" w:history="1">
        <w:r w:rsidR="00DC48D1" w:rsidRPr="0067705D">
          <w:rPr>
            <w:rStyle w:val="Hipercze"/>
            <w:rFonts w:asciiTheme="majorHAnsi" w:hAnsiTheme="majorHAnsi" w:cstheme="majorHAnsi"/>
            <w:color w:val="000000" w:themeColor="text1"/>
            <w:sz w:val="22"/>
            <w:szCs w:val="22"/>
          </w:rPr>
          <w:t>magdalena.dabkowska@hfhr.pl</w:t>
        </w:r>
      </w:hyperlink>
      <w:r w:rsidR="00DC48D1" w:rsidRPr="0067705D">
        <w:rPr>
          <w:rFonts w:asciiTheme="majorHAnsi" w:hAnsiTheme="majorHAnsi" w:cstheme="majorHAnsi"/>
          <w:color w:val="000000" w:themeColor="text1"/>
          <w:sz w:val="22"/>
          <w:szCs w:val="22"/>
        </w:rPr>
        <w:t xml:space="preserve"> </w:t>
      </w:r>
    </w:p>
    <w:p w14:paraId="63AD5E55" w14:textId="77777777" w:rsidR="00DC48D1" w:rsidRPr="0067705D" w:rsidRDefault="00DC48D1" w:rsidP="00DC48D1">
      <w:pPr>
        <w:spacing w:line="259" w:lineRule="auto"/>
        <w:jc w:val="both"/>
        <w:rPr>
          <w:rFonts w:asciiTheme="majorHAnsi" w:hAnsiTheme="majorHAnsi" w:cstheme="majorHAnsi"/>
          <w:color w:val="000000" w:themeColor="text1"/>
          <w:sz w:val="22"/>
          <w:szCs w:val="22"/>
        </w:rPr>
      </w:pPr>
    </w:p>
    <w:p w14:paraId="0B1C62A9" w14:textId="77777777" w:rsidR="00DC48D1" w:rsidRPr="0067705D" w:rsidRDefault="00DC48D1" w:rsidP="00DC48D1">
      <w:pPr>
        <w:spacing w:line="259" w:lineRule="auto"/>
        <w:jc w:val="both"/>
        <w:rPr>
          <w:rFonts w:asciiTheme="majorHAnsi" w:hAnsiTheme="majorHAnsi" w:cstheme="majorHAnsi"/>
          <w:color w:val="000000" w:themeColor="text1"/>
          <w:sz w:val="22"/>
          <w:szCs w:val="22"/>
        </w:rPr>
      </w:pPr>
    </w:p>
    <w:p w14:paraId="00ED78BC" w14:textId="59B8F301" w:rsidR="00337EDD" w:rsidRPr="0067705D" w:rsidRDefault="00337EDD" w:rsidP="00337EDD">
      <w:pPr>
        <w:ind w:left="360"/>
        <w:jc w:val="both"/>
        <w:rPr>
          <w:rFonts w:asciiTheme="majorHAnsi" w:hAnsiTheme="majorHAnsi" w:cstheme="majorHAnsi"/>
          <w:color w:val="000000" w:themeColor="text1"/>
          <w:sz w:val="22"/>
          <w:szCs w:val="22"/>
          <w:lang w:val="en-GB"/>
        </w:rPr>
      </w:pPr>
    </w:p>
    <w:p w14:paraId="274F5225" w14:textId="77777777" w:rsidR="00DC48D1" w:rsidRPr="0067705D" w:rsidRDefault="00DC48D1" w:rsidP="00337EDD">
      <w:pPr>
        <w:ind w:left="360"/>
        <w:jc w:val="both"/>
        <w:rPr>
          <w:rFonts w:asciiTheme="majorHAnsi" w:hAnsiTheme="majorHAnsi" w:cstheme="majorHAnsi"/>
          <w:color w:val="000000" w:themeColor="text1"/>
          <w:sz w:val="22"/>
          <w:szCs w:val="22"/>
        </w:rPr>
      </w:pPr>
    </w:p>
    <w:p w14:paraId="5A2C8813" w14:textId="77777777" w:rsidR="00337EDD" w:rsidRPr="0067705D" w:rsidRDefault="00337EDD" w:rsidP="00337EDD">
      <w:pPr>
        <w:ind w:left="360"/>
        <w:jc w:val="both"/>
        <w:rPr>
          <w:rFonts w:asciiTheme="majorHAnsi" w:hAnsiTheme="majorHAnsi" w:cstheme="majorHAnsi"/>
          <w:color w:val="000000" w:themeColor="text1"/>
          <w:sz w:val="22"/>
          <w:szCs w:val="22"/>
        </w:rPr>
      </w:pPr>
    </w:p>
    <w:p w14:paraId="3B0A0DD2" w14:textId="77777777" w:rsidR="00337EDD" w:rsidRPr="0067705D" w:rsidRDefault="00337EDD" w:rsidP="00337EDD">
      <w:pPr>
        <w:ind w:left="360"/>
        <w:jc w:val="both"/>
        <w:rPr>
          <w:rFonts w:asciiTheme="majorHAnsi" w:hAnsiTheme="majorHAnsi" w:cstheme="majorHAnsi"/>
          <w:color w:val="000000" w:themeColor="text1"/>
          <w:sz w:val="22"/>
          <w:szCs w:val="22"/>
        </w:rPr>
      </w:pPr>
    </w:p>
    <w:p w14:paraId="31006040" w14:textId="18373CBA" w:rsidR="00337EDD" w:rsidRPr="0067705D" w:rsidRDefault="00337EDD" w:rsidP="00337EDD">
      <w:pPr>
        <w:pBdr>
          <w:top w:val="nil"/>
          <w:left w:val="nil"/>
          <w:bottom w:val="nil"/>
          <w:right w:val="nil"/>
          <w:between w:val="nil"/>
        </w:pBdr>
        <w:jc w:val="both"/>
        <w:rPr>
          <w:rFonts w:asciiTheme="majorHAnsi" w:hAnsiTheme="majorHAnsi" w:cstheme="majorHAnsi"/>
          <w:b/>
          <w:color w:val="000000" w:themeColor="text1"/>
          <w:sz w:val="24"/>
          <w:szCs w:val="24"/>
        </w:rPr>
      </w:pPr>
    </w:p>
    <w:p w14:paraId="763CFA36" w14:textId="77777777" w:rsidR="00337EDD" w:rsidRPr="0067705D" w:rsidRDefault="00337EDD" w:rsidP="00337EDD">
      <w:pPr>
        <w:jc w:val="both"/>
        <w:rPr>
          <w:color w:val="000000" w:themeColor="text1"/>
        </w:rPr>
      </w:pPr>
    </w:p>
    <w:p w14:paraId="0BEFF234" w14:textId="77777777" w:rsidR="00337EDD" w:rsidRPr="0067705D" w:rsidRDefault="00337EDD">
      <w:pPr>
        <w:rPr>
          <w:color w:val="000000" w:themeColor="text1"/>
        </w:rPr>
      </w:pPr>
    </w:p>
    <w:sectPr w:rsidR="00337EDD" w:rsidRPr="0067705D">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720" w:footer="720" w:gutter="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647359" w14:textId="77777777" w:rsidR="00303778" w:rsidRDefault="00303778">
      <w:pPr>
        <w:spacing w:after="0" w:line="240" w:lineRule="auto"/>
      </w:pPr>
      <w:r>
        <w:separator/>
      </w:r>
    </w:p>
  </w:endnote>
  <w:endnote w:type="continuationSeparator" w:id="0">
    <w:p w14:paraId="4BFE83E5" w14:textId="77777777" w:rsidR="00303778" w:rsidRDefault="00303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ËÎĚĺ"/>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7B00A" w14:textId="77777777" w:rsidR="005D3855" w:rsidRDefault="005D3855">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28261" w14:textId="77777777" w:rsidR="005D3855" w:rsidRDefault="005D3855">
    <w:pPr>
      <w:pStyle w:val="Stopk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4D5A5" w14:textId="77777777" w:rsidR="009553D3" w:rsidRDefault="009553D3">
    <w:pPr>
      <w:pStyle w:val="Stopka"/>
      <w:tabs>
        <w:tab w:val="clear" w:pos="4153"/>
        <w:tab w:val="clear" w:pos="8306"/>
        <w:tab w:val="left" w:pos="294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EC1462" w14:textId="77777777" w:rsidR="00303778" w:rsidRDefault="00303778">
      <w:pPr>
        <w:spacing w:after="0" w:line="240" w:lineRule="auto"/>
      </w:pPr>
      <w:r>
        <w:rPr>
          <w:color w:val="000000"/>
        </w:rPr>
        <w:separator/>
      </w:r>
    </w:p>
  </w:footnote>
  <w:footnote w:type="continuationSeparator" w:id="0">
    <w:p w14:paraId="02804624" w14:textId="77777777" w:rsidR="00303778" w:rsidRDefault="00303778">
      <w:pPr>
        <w:spacing w:after="0" w:line="240" w:lineRule="auto"/>
      </w:pPr>
      <w:r>
        <w:continuationSeparator/>
      </w:r>
    </w:p>
  </w:footnote>
  <w:footnote w:id="1">
    <w:p w14:paraId="1DFB6176" w14:textId="77777777" w:rsidR="00337EDD" w:rsidRPr="0067705D" w:rsidRDefault="00337EDD" w:rsidP="00337EDD">
      <w:pPr>
        <w:pStyle w:val="Tekstprzypisudolnego"/>
        <w:rPr>
          <w:rFonts w:asciiTheme="minorHAnsi" w:hAnsiTheme="minorHAnsi" w:cstheme="minorHAnsi"/>
          <w:sz w:val="18"/>
          <w:szCs w:val="18"/>
          <w:lang w:val="en-US"/>
        </w:rPr>
      </w:pPr>
      <w:r w:rsidRPr="0067705D">
        <w:rPr>
          <w:rStyle w:val="Odwoanieprzypisudolnego"/>
          <w:rFonts w:asciiTheme="minorHAnsi" w:hAnsiTheme="minorHAnsi" w:cstheme="minorHAnsi"/>
          <w:sz w:val="18"/>
          <w:szCs w:val="18"/>
        </w:rPr>
        <w:footnoteRef/>
      </w:r>
      <w:r w:rsidRPr="0067705D">
        <w:rPr>
          <w:rFonts w:asciiTheme="minorHAnsi" w:hAnsiTheme="minorHAnsi" w:cstheme="minorHAnsi"/>
          <w:sz w:val="18"/>
          <w:szCs w:val="18"/>
          <w:lang w:val="en-US"/>
        </w:rPr>
        <w:t xml:space="preserve"> Among others, in the UN System Common Position Supporting the Implementation of the International Drug Control Policy Through Effective Inter-agency Collaboration. </w:t>
      </w:r>
    </w:p>
  </w:footnote>
  <w:footnote w:id="2">
    <w:p w14:paraId="4FD6B2AC" w14:textId="77777777" w:rsidR="00337EDD" w:rsidRPr="0067705D" w:rsidRDefault="00337EDD" w:rsidP="00337EDD">
      <w:pPr>
        <w:pStyle w:val="Tekstprzypisudolnego"/>
        <w:rPr>
          <w:rFonts w:asciiTheme="minorHAnsi" w:hAnsiTheme="minorHAnsi" w:cstheme="minorHAnsi"/>
          <w:sz w:val="18"/>
          <w:szCs w:val="18"/>
          <w:lang w:val="en-US"/>
        </w:rPr>
      </w:pPr>
      <w:r w:rsidRPr="0067705D">
        <w:rPr>
          <w:rStyle w:val="Odwoanieprzypisudolnego"/>
          <w:rFonts w:asciiTheme="minorHAnsi" w:hAnsiTheme="minorHAnsi" w:cstheme="minorHAnsi"/>
          <w:sz w:val="18"/>
          <w:szCs w:val="18"/>
        </w:rPr>
        <w:footnoteRef/>
      </w:r>
      <w:r w:rsidRPr="0067705D">
        <w:rPr>
          <w:rFonts w:asciiTheme="minorHAnsi" w:hAnsiTheme="minorHAnsi" w:cstheme="minorHAnsi"/>
          <w:sz w:val="18"/>
          <w:szCs w:val="18"/>
          <w:lang w:val="en-US"/>
        </w:rPr>
        <w:t xml:space="preserve"> EMCDDA Statistical Bulletin 2022 – drug law offences: </w:t>
      </w:r>
      <w:hyperlink r:id="rId1" w:history="1">
        <w:r w:rsidRPr="0067705D">
          <w:rPr>
            <w:rStyle w:val="Hipercze"/>
            <w:rFonts w:asciiTheme="minorHAnsi" w:hAnsiTheme="minorHAnsi" w:cstheme="minorHAnsi"/>
            <w:sz w:val="18"/>
            <w:szCs w:val="18"/>
            <w:lang w:val="en-US"/>
          </w:rPr>
          <w:t>https://www.emcdda.europa.eu/data/stats2022/dlo_en</w:t>
        </w:r>
      </w:hyperlink>
      <w:r w:rsidRPr="0067705D">
        <w:rPr>
          <w:rFonts w:asciiTheme="minorHAnsi" w:hAnsiTheme="minorHAnsi" w:cstheme="minorHAnsi"/>
          <w:sz w:val="18"/>
          <w:szCs w:val="18"/>
          <w:lang w:val="en-US"/>
        </w:rPr>
        <w:t xml:space="preserve"> </w:t>
      </w:r>
    </w:p>
  </w:footnote>
  <w:footnote w:id="3">
    <w:p w14:paraId="32ED64CD" w14:textId="0D23D71B" w:rsidR="00C823DD" w:rsidRPr="00C823DD" w:rsidRDefault="00C823DD" w:rsidP="00C823DD">
      <w:pPr>
        <w:pStyle w:val="Tekstprzypisudolnego"/>
      </w:pPr>
      <w:r>
        <w:rPr>
          <w:rStyle w:val="Odwoanieprzypisudolnego"/>
        </w:rPr>
        <w:footnoteRef/>
      </w:r>
      <w:r w:rsidRPr="00C823DD">
        <w:rPr>
          <w:lang w:val="pl-PL"/>
        </w:rPr>
        <w:t xml:space="preserve"> </w:t>
      </w:r>
      <w:r w:rsidRPr="0067705D">
        <w:rPr>
          <w:rFonts w:asciiTheme="minorHAnsi" w:hAnsiTheme="minorHAnsi" w:cstheme="minorHAnsi"/>
          <w:sz w:val="18"/>
          <w:szCs w:val="18"/>
          <w:lang w:val="pl-PL"/>
        </w:rPr>
        <w:t xml:space="preserve">Piotr </w:t>
      </w:r>
      <w:proofErr w:type="spellStart"/>
      <w:r w:rsidRPr="0067705D">
        <w:rPr>
          <w:rFonts w:asciiTheme="minorHAnsi" w:hAnsiTheme="minorHAnsi" w:cstheme="minorHAnsi"/>
          <w:sz w:val="18"/>
          <w:szCs w:val="18"/>
          <w:lang w:val="pl-PL"/>
        </w:rPr>
        <w:t>Kładoczny</w:t>
      </w:r>
      <w:proofErr w:type="spellEnd"/>
      <w:r w:rsidRPr="0067705D">
        <w:rPr>
          <w:rFonts w:asciiTheme="minorHAnsi" w:hAnsiTheme="minorHAnsi" w:cstheme="minorHAnsi"/>
          <w:sz w:val="18"/>
          <w:szCs w:val="18"/>
          <w:lang w:val="pl-PL"/>
        </w:rPr>
        <w:t>, Krzysztof Krajewski, Agnieszka Sieniawska, Barbara Wilamowska „Karanie za posiadanie narkotyków. Ewaluacja stosowania art. 62a ustawy o przeciwdziałaniu narkomanii. Raport z projektu badawczego 2022” (‘</w:t>
      </w:r>
      <w:proofErr w:type="spellStart"/>
      <w:r w:rsidRPr="0067705D">
        <w:rPr>
          <w:rFonts w:asciiTheme="minorHAnsi" w:hAnsiTheme="minorHAnsi" w:cstheme="minorHAnsi"/>
          <w:sz w:val="18"/>
          <w:szCs w:val="18"/>
          <w:lang w:val="pl-PL"/>
        </w:rPr>
        <w:t>Punishment</w:t>
      </w:r>
      <w:proofErr w:type="spellEnd"/>
      <w:r w:rsidRPr="0067705D">
        <w:rPr>
          <w:rFonts w:asciiTheme="minorHAnsi" w:hAnsiTheme="minorHAnsi" w:cstheme="minorHAnsi"/>
          <w:sz w:val="18"/>
          <w:szCs w:val="18"/>
          <w:lang w:val="pl-PL"/>
        </w:rPr>
        <w:t xml:space="preserve"> for </w:t>
      </w:r>
      <w:proofErr w:type="spellStart"/>
      <w:r w:rsidRPr="0067705D">
        <w:rPr>
          <w:rFonts w:asciiTheme="minorHAnsi" w:hAnsiTheme="minorHAnsi" w:cstheme="minorHAnsi"/>
          <w:sz w:val="18"/>
          <w:szCs w:val="18"/>
          <w:lang w:val="pl-PL"/>
        </w:rPr>
        <w:t>possession</w:t>
      </w:r>
      <w:proofErr w:type="spellEnd"/>
      <w:r w:rsidRPr="0067705D">
        <w:rPr>
          <w:rFonts w:asciiTheme="minorHAnsi" w:hAnsiTheme="minorHAnsi" w:cstheme="minorHAnsi"/>
          <w:sz w:val="18"/>
          <w:szCs w:val="18"/>
          <w:lang w:val="pl-PL"/>
        </w:rPr>
        <w:t xml:space="preserve"> of </w:t>
      </w:r>
      <w:proofErr w:type="spellStart"/>
      <w:r w:rsidRPr="0067705D">
        <w:rPr>
          <w:rFonts w:asciiTheme="minorHAnsi" w:hAnsiTheme="minorHAnsi" w:cstheme="minorHAnsi"/>
          <w:sz w:val="18"/>
          <w:szCs w:val="18"/>
          <w:lang w:val="pl-PL"/>
        </w:rPr>
        <w:t>drugs</w:t>
      </w:r>
      <w:proofErr w:type="spellEnd"/>
      <w:r w:rsidRPr="0067705D">
        <w:rPr>
          <w:rFonts w:asciiTheme="minorHAnsi" w:hAnsiTheme="minorHAnsi" w:cstheme="minorHAnsi"/>
          <w:sz w:val="18"/>
          <w:szCs w:val="18"/>
          <w:lang w:val="pl-PL"/>
        </w:rPr>
        <w:t xml:space="preserve">. </w:t>
      </w:r>
      <w:r w:rsidRPr="0067705D">
        <w:rPr>
          <w:rFonts w:asciiTheme="minorHAnsi" w:hAnsiTheme="minorHAnsi" w:cstheme="minorHAnsi"/>
          <w:sz w:val="18"/>
          <w:szCs w:val="18"/>
          <w:lang w:val="en-US"/>
        </w:rPr>
        <w:t xml:space="preserve">Evaluation of the application of Art. 62a of the Act on counteracting drug addiction. Research project report 2022): </w:t>
      </w:r>
      <w:hyperlink r:id="rId2" w:history="1">
        <w:r w:rsidRPr="0067705D">
          <w:rPr>
            <w:rStyle w:val="Hipercze"/>
            <w:rFonts w:asciiTheme="minorHAnsi" w:hAnsiTheme="minorHAnsi" w:cstheme="minorHAnsi"/>
            <w:sz w:val="18"/>
            <w:szCs w:val="18"/>
            <w:lang w:val="en-US"/>
          </w:rPr>
          <w:t>https://politykanarkotykowa.pl/wp-content/uploads/2022/09/ebook_karanie-za-posiadanie-2.pdf</w:t>
        </w:r>
      </w:hyperlink>
    </w:p>
  </w:footnote>
  <w:footnote w:id="4">
    <w:p w14:paraId="796D3231" w14:textId="082CCBCE" w:rsidR="00337EDD" w:rsidRPr="00C823DD" w:rsidRDefault="00337EDD" w:rsidP="00337EDD">
      <w:pPr>
        <w:pStyle w:val="Tekstprzypisudolnego"/>
        <w:rPr>
          <w:rFonts w:asciiTheme="minorHAnsi" w:hAnsiTheme="minorHAnsi" w:cstheme="minorHAnsi"/>
          <w:sz w:val="18"/>
          <w:szCs w:val="18"/>
          <w:lang w:val="en-US"/>
        </w:rPr>
      </w:pPr>
      <w:r w:rsidRPr="0067705D">
        <w:rPr>
          <w:rStyle w:val="Odwoanieprzypisudolnego"/>
          <w:rFonts w:asciiTheme="minorHAnsi" w:hAnsiTheme="minorHAnsi" w:cstheme="minorHAnsi"/>
          <w:sz w:val="18"/>
          <w:szCs w:val="18"/>
        </w:rPr>
        <w:footnoteRef/>
      </w:r>
      <w:r w:rsidRPr="00C823DD">
        <w:rPr>
          <w:rFonts w:asciiTheme="minorHAnsi" w:hAnsiTheme="minorHAnsi" w:cstheme="minorHAnsi"/>
          <w:sz w:val="18"/>
          <w:szCs w:val="18"/>
          <w:lang w:val="pl-PL"/>
        </w:rPr>
        <w:t xml:space="preserve"> </w:t>
      </w:r>
      <w:r w:rsidR="00C823DD" w:rsidRPr="00C823DD">
        <w:rPr>
          <w:rFonts w:asciiTheme="minorHAnsi" w:hAnsiTheme="minorHAnsi" w:cstheme="minorHAnsi"/>
          <w:sz w:val="18"/>
          <w:szCs w:val="18"/>
          <w:lang w:val="pl-PL"/>
        </w:rPr>
        <w:t xml:space="preserve">„Iniekcyjni użytkownicy substancji psychoaktywnych. Identyfikacja problemów i potrzeb na przykładzie pięciu polskich miast: Warszawa, Kraków, Gdańsk, Poznań i Lublin. </w:t>
      </w:r>
      <w:proofErr w:type="spellStart"/>
      <w:r w:rsidR="00C823DD" w:rsidRPr="00C823DD">
        <w:rPr>
          <w:rFonts w:asciiTheme="minorHAnsi" w:hAnsiTheme="minorHAnsi" w:cstheme="minorHAnsi"/>
          <w:sz w:val="18"/>
          <w:szCs w:val="18"/>
          <w:lang w:val="en-US"/>
        </w:rPr>
        <w:t>Raport</w:t>
      </w:r>
      <w:proofErr w:type="spellEnd"/>
      <w:r w:rsidR="00C823DD" w:rsidRPr="00C823DD">
        <w:rPr>
          <w:rFonts w:asciiTheme="minorHAnsi" w:hAnsiTheme="minorHAnsi" w:cstheme="minorHAnsi"/>
          <w:sz w:val="18"/>
          <w:szCs w:val="18"/>
          <w:lang w:val="en-US"/>
        </w:rPr>
        <w:t xml:space="preserve"> </w:t>
      </w:r>
      <w:proofErr w:type="spellStart"/>
      <w:r w:rsidR="00C823DD" w:rsidRPr="00C823DD">
        <w:rPr>
          <w:rFonts w:asciiTheme="minorHAnsi" w:hAnsiTheme="minorHAnsi" w:cstheme="minorHAnsi"/>
          <w:sz w:val="18"/>
          <w:szCs w:val="18"/>
          <w:lang w:val="en-US"/>
        </w:rPr>
        <w:t>końcowy</w:t>
      </w:r>
      <w:proofErr w:type="spellEnd"/>
      <w:r w:rsidR="00C823DD" w:rsidRPr="00C823DD">
        <w:rPr>
          <w:rFonts w:asciiTheme="minorHAnsi" w:hAnsiTheme="minorHAnsi" w:cstheme="minorHAnsi"/>
          <w:sz w:val="18"/>
          <w:szCs w:val="18"/>
          <w:lang w:val="en-US"/>
        </w:rPr>
        <w:t xml:space="preserve">” (People who inject psychoactive substances. Identification of problems and needs on the example of five Polish cities: Warsaw, Cracow, Gdansk, </w:t>
      </w:r>
      <w:proofErr w:type="spellStart"/>
      <w:r w:rsidR="00C823DD" w:rsidRPr="00C823DD">
        <w:rPr>
          <w:rFonts w:asciiTheme="minorHAnsi" w:hAnsiTheme="minorHAnsi" w:cstheme="minorHAnsi"/>
          <w:sz w:val="18"/>
          <w:szCs w:val="18"/>
          <w:lang w:val="en-US"/>
        </w:rPr>
        <w:t>Poznań</w:t>
      </w:r>
      <w:proofErr w:type="spellEnd"/>
      <w:r w:rsidR="00C823DD" w:rsidRPr="00C823DD">
        <w:rPr>
          <w:rFonts w:asciiTheme="minorHAnsi" w:hAnsiTheme="minorHAnsi" w:cstheme="minorHAnsi"/>
          <w:sz w:val="18"/>
          <w:szCs w:val="18"/>
          <w:lang w:val="en-US"/>
        </w:rPr>
        <w:t xml:space="preserve"> and Lublin. Final Report), Warsaw 2015</w:t>
      </w:r>
      <w:r w:rsidR="00DD03D7">
        <w:rPr>
          <w:rFonts w:asciiTheme="minorHAnsi" w:hAnsiTheme="minorHAnsi" w:cstheme="minorHAnsi"/>
          <w:sz w:val="18"/>
          <w:szCs w:val="18"/>
          <w:lang w:val="en-US"/>
        </w:rPr>
        <w:t xml:space="preserve">, </w:t>
      </w:r>
      <w:r w:rsidRPr="00C823DD">
        <w:rPr>
          <w:rFonts w:asciiTheme="minorHAnsi" w:hAnsiTheme="minorHAnsi" w:cstheme="minorHAnsi"/>
          <w:sz w:val="18"/>
          <w:szCs w:val="18"/>
          <w:lang w:val="en-US"/>
        </w:rPr>
        <w:t>p. 18.</w:t>
      </w:r>
    </w:p>
  </w:footnote>
  <w:footnote w:id="5">
    <w:p w14:paraId="6D2B7437" w14:textId="77777777" w:rsidR="00337EDD" w:rsidRPr="0067705D" w:rsidRDefault="00337EDD" w:rsidP="00337EDD">
      <w:pPr>
        <w:pStyle w:val="Tekstprzypisudolnego"/>
        <w:rPr>
          <w:rFonts w:asciiTheme="minorHAnsi" w:hAnsiTheme="minorHAnsi" w:cstheme="minorHAnsi"/>
          <w:sz w:val="18"/>
          <w:szCs w:val="18"/>
          <w:lang w:val="en-US"/>
        </w:rPr>
      </w:pPr>
      <w:r w:rsidRPr="0067705D">
        <w:rPr>
          <w:rStyle w:val="Odwoanieprzypisudolnego"/>
          <w:rFonts w:asciiTheme="minorHAnsi" w:hAnsiTheme="minorHAnsi" w:cstheme="minorHAnsi"/>
          <w:sz w:val="18"/>
          <w:szCs w:val="18"/>
        </w:rPr>
        <w:footnoteRef/>
      </w:r>
      <w:r w:rsidRPr="0067705D">
        <w:rPr>
          <w:rFonts w:asciiTheme="minorHAnsi" w:hAnsiTheme="minorHAnsi" w:cstheme="minorHAnsi"/>
          <w:sz w:val="18"/>
          <w:szCs w:val="18"/>
          <w:lang w:val="en-US"/>
        </w:rPr>
        <w:t xml:space="preserve"> National Bureau for Drug Prevention „</w:t>
      </w:r>
      <w:proofErr w:type="spellStart"/>
      <w:r w:rsidRPr="0067705D">
        <w:rPr>
          <w:rFonts w:asciiTheme="minorHAnsi" w:hAnsiTheme="minorHAnsi" w:cstheme="minorHAnsi"/>
          <w:sz w:val="18"/>
          <w:szCs w:val="18"/>
          <w:lang w:val="en-US"/>
        </w:rPr>
        <w:t>Raport</w:t>
      </w:r>
      <w:proofErr w:type="spellEnd"/>
      <w:r w:rsidRPr="0067705D">
        <w:rPr>
          <w:rFonts w:asciiTheme="minorHAnsi" w:hAnsiTheme="minorHAnsi" w:cstheme="minorHAnsi"/>
          <w:sz w:val="18"/>
          <w:szCs w:val="18"/>
          <w:lang w:val="en-US"/>
        </w:rPr>
        <w:t xml:space="preserve"> o </w:t>
      </w:r>
      <w:proofErr w:type="spellStart"/>
      <w:r w:rsidRPr="0067705D">
        <w:rPr>
          <w:rFonts w:asciiTheme="minorHAnsi" w:hAnsiTheme="minorHAnsi" w:cstheme="minorHAnsi"/>
          <w:sz w:val="18"/>
          <w:szCs w:val="18"/>
          <w:lang w:val="en-US"/>
        </w:rPr>
        <w:t>stanie</w:t>
      </w:r>
      <w:proofErr w:type="spellEnd"/>
      <w:r w:rsidRPr="0067705D">
        <w:rPr>
          <w:rFonts w:asciiTheme="minorHAnsi" w:hAnsiTheme="minorHAnsi" w:cstheme="minorHAnsi"/>
          <w:sz w:val="18"/>
          <w:szCs w:val="18"/>
          <w:lang w:val="en-US"/>
        </w:rPr>
        <w:t xml:space="preserve"> </w:t>
      </w:r>
      <w:proofErr w:type="spellStart"/>
      <w:r w:rsidRPr="0067705D">
        <w:rPr>
          <w:rFonts w:asciiTheme="minorHAnsi" w:hAnsiTheme="minorHAnsi" w:cstheme="minorHAnsi"/>
          <w:sz w:val="18"/>
          <w:szCs w:val="18"/>
          <w:lang w:val="en-US"/>
        </w:rPr>
        <w:t>narkomanii</w:t>
      </w:r>
      <w:proofErr w:type="spellEnd"/>
      <w:r w:rsidRPr="0067705D">
        <w:rPr>
          <w:rFonts w:asciiTheme="minorHAnsi" w:hAnsiTheme="minorHAnsi" w:cstheme="minorHAnsi"/>
          <w:sz w:val="18"/>
          <w:szCs w:val="18"/>
          <w:lang w:val="en-US"/>
        </w:rPr>
        <w:t xml:space="preserve"> w </w:t>
      </w:r>
      <w:proofErr w:type="spellStart"/>
      <w:r w:rsidRPr="0067705D">
        <w:rPr>
          <w:rFonts w:asciiTheme="minorHAnsi" w:hAnsiTheme="minorHAnsi" w:cstheme="minorHAnsi"/>
          <w:sz w:val="18"/>
          <w:szCs w:val="18"/>
          <w:lang w:val="en-US"/>
        </w:rPr>
        <w:t>Polsce</w:t>
      </w:r>
      <w:proofErr w:type="spellEnd"/>
      <w:r w:rsidRPr="0067705D">
        <w:rPr>
          <w:rFonts w:asciiTheme="minorHAnsi" w:hAnsiTheme="minorHAnsi" w:cstheme="minorHAnsi"/>
          <w:sz w:val="18"/>
          <w:szCs w:val="18"/>
          <w:lang w:val="en-US"/>
        </w:rPr>
        <w:t xml:space="preserve"> 2020” (Annual National Report 2020), p. 22; or European Monitoring Centre for Drugs and Drug Addiction (EMCDDA), Statistical Bulletin 2021, </w:t>
      </w:r>
      <w:hyperlink r:id="rId3" w:history="1">
        <w:r w:rsidRPr="0067705D">
          <w:rPr>
            <w:rStyle w:val="Hipercze"/>
            <w:rFonts w:asciiTheme="minorHAnsi" w:hAnsiTheme="minorHAnsi" w:cstheme="minorHAnsi"/>
            <w:sz w:val="18"/>
            <w:szCs w:val="18"/>
            <w:lang w:val="en-US"/>
          </w:rPr>
          <w:t>https://www.emcdda.europa.eu/data/stats2021/pdu_en</w:t>
        </w:r>
      </w:hyperlink>
      <w:r w:rsidRPr="0067705D">
        <w:rPr>
          <w:rFonts w:asciiTheme="minorHAnsi" w:hAnsiTheme="minorHAnsi" w:cstheme="minorHAnsi"/>
          <w:sz w:val="18"/>
          <w:szCs w:val="18"/>
          <w:lang w:val="en-US"/>
        </w:rPr>
        <w:t>.</w:t>
      </w:r>
    </w:p>
  </w:footnote>
  <w:footnote w:id="6">
    <w:p w14:paraId="371649E8" w14:textId="77777777" w:rsidR="00337EDD" w:rsidRPr="0067705D" w:rsidRDefault="00337EDD" w:rsidP="00337EDD">
      <w:pPr>
        <w:pStyle w:val="Tekstprzypisudolnego"/>
        <w:rPr>
          <w:rFonts w:asciiTheme="minorHAnsi" w:hAnsiTheme="minorHAnsi" w:cstheme="minorHAnsi"/>
          <w:sz w:val="18"/>
          <w:szCs w:val="18"/>
          <w:lang w:val="en-US"/>
        </w:rPr>
      </w:pPr>
      <w:r w:rsidRPr="0067705D">
        <w:rPr>
          <w:rStyle w:val="Odwoanieprzypisudolnego"/>
          <w:rFonts w:asciiTheme="minorHAnsi" w:hAnsiTheme="minorHAnsi" w:cstheme="minorHAnsi"/>
          <w:sz w:val="18"/>
          <w:szCs w:val="18"/>
        </w:rPr>
        <w:footnoteRef/>
      </w:r>
      <w:r w:rsidRPr="0067705D">
        <w:rPr>
          <w:rFonts w:asciiTheme="minorHAnsi" w:hAnsiTheme="minorHAnsi" w:cstheme="minorHAnsi"/>
          <w:sz w:val="18"/>
          <w:szCs w:val="18"/>
          <w:lang w:val="en-US"/>
        </w:rPr>
        <w:t xml:space="preserve"> Annual National Report 2020, op. cit., p. 23. </w:t>
      </w:r>
    </w:p>
  </w:footnote>
  <w:footnote w:id="7">
    <w:p w14:paraId="03B01A28" w14:textId="77777777" w:rsidR="00337EDD" w:rsidRPr="0067705D" w:rsidRDefault="00337EDD" w:rsidP="00337EDD">
      <w:pPr>
        <w:pStyle w:val="Tekstprzypisudolnego"/>
        <w:rPr>
          <w:rFonts w:asciiTheme="minorHAnsi" w:hAnsiTheme="minorHAnsi" w:cstheme="minorHAnsi"/>
          <w:sz w:val="18"/>
          <w:szCs w:val="18"/>
          <w:lang w:val="en-US"/>
        </w:rPr>
      </w:pPr>
      <w:r w:rsidRPr="0067705D">
        <w:rPr>
          <w:rStyle w:val="Odwoanieprzypisudolnego"/>
          <w:rFonts w:asciiTheme="minorHAnsi" w:hAnsiTheme="minorHAnsi" w:cstheme="minorHAnsi"/>
          <w:sz w:val="18"/>
          <w:szCs w:val="18"/>
        </w:rPr>
        <w:footnoteRef/>
      </w:r>
      <w:r w:rsidRPr="0067705D">
        <w:rPr>
          <w:rFonts w:asciiTheme="minorHAnsi" w:hAnsiTheme="minorHAnsi" w:cstheme="minorHAnsi"/>
          <w:sz w:val="18"/>
          <w:szCs w:val="18"/>
          <w:lang w:val="en-US"/>
        </w:rPr>
        <w:t xml:space="preserve"> Global AIDS Strategy 2021-2026. Executive Summary, p. 10, </w:t>
      </w:r>
      <w:hyperlink r:id="rId4" w:history="1">
        <w:r w:rsidRPr="0067705D">
          <w:rPr>
            <w:rStyle w:val="Hipercze"/>
            <w:rFonts w:asciiTheme="minorHAnsi" w:hAnsiTheme="minorHAnsi" w:cstheme="minorHAnsi"/>
            <w:sz w:val="18"/>
            <w:szCs w:val="18"/>
          </w:rPr>
          <w:t>https://www.unaids.org/sites/default/files/media_asset/global-AIDS-strategy-2021-2026-summary_en.pdf</w:t>
        </w:r>
      </w:hyperlink>
      <w:r w:rsidRPr="0067705D">
        <w:rPr>
          <w:rStyle w:val="Hipercze"/>
          <w:rFonts w:asciiTheme="minorHAnsi" w:hAnsiTheme="minorHAnsi" w:cstheme="minorHAnsi"/>
          <w:sz w:val="18"/>
          <w:szCs w:val="18"/>
        </w:rPr>
        <w:t>.</w:t>
      </w:r>
    </w:p>
  </w:footnote>
  <w:footnote w:id="8">
    <w:p w14:paraId="15E82522" w14:textId="77777777" w:rsidR="00337EDD" w:rsidRPr="0067705D" w:rsidRDefault="00337EDD" w:rsidP="00337EDD">
      <w:pPr>
        <w:pStyle w:val="Tekstprzypisudolnego"/>
        <w:rPr>
          <w:rFonts w:asciiTheme="minorHAnsi" w:hAnsiTheme="minorHAnsi" w:cstheme="minorHAnsi"/>
          <w:sz w:val="18"/>
          <w:szCs w:val="18"/>
          <w:lang w:val="en-US"/>
        </w:rPr>
      </w:pPr>
      <w:r w:rsidRPr="0067705D">
        <w:rPr>
          <w:rStyle w:val="Odwoanieprzypisudolnego"/>
          <w:rFonts w:asciiTheme="minorHAnsi" w:hAnsiTheme="minorHAnsi" w:cstheme="minorHAnsi"/>
          <w:sz w:val="18"/>
          <w:szCs w:val="18"/>
        </w:rPr>
        <w:footnoteRef/>
      </w:r>
      <w:r w:rsidRPr="0067705D">
        <w:rPr>
          <w:rFonts w:asciiTheme="minorHAnsi" w:hAnsiTheme="minorHAnsi" w:cstheme="minorHAnsi"/>
          <w:sz w:val="18"/>
          <w:szCs w:val="18"/>
          <w:lang w:val="en-US"/>
        </w:rPr>
        <w:t xml:space="preserve"> Annual National Report 2020, op. cit., p. 21. </w:t>
      </w:r>
    </w:p>
  </w:footnote>
  <w:footnote w:id="9">
    <w:p w14:paraId="05E55076" w14:textId="77777777" w:rsidR="00337EDD" w:rsidRPr="0067705D" w:rsidRDefault="00337EDD" w:rsidP="00337EDD">
      <w:pPr>
        <w:pStyle w:val="Tekstprzypisudolnego"/>
        <w:rPr>
          <w:rFonts w:asciiTheme="minorHAnsi" w:hAnsiTheme="minorHAnsi" w:cstheme="minorHAnsi"/>
          <w:sz w:val="18"/>
          <w:szCs w:val="18"/>
          <w:lang w:val="en-US"/>
        </w:rPr>
      </w:pPr>
      <w:r w:rsidRPr="0067705D">
        <w:rPr>
          <w:rStyle w:val="Odwoanieprzypisudolnego"/>
          <w:rFonts w:asciiTheme="minorHAnsi" w:hAnsiTheme="minorHAnsi" w:cstheme="minorHAnsi"/>
          <w:sz w:val="18"/>
          <w:szCs w:val="18"/>
        </w:rPr>
        <w:footnoteRef/>
      </w:r>
      <w:r w:rsidRPr="0067705D">
        <w:rPr>
          <w:rFonts w:asciiTheme="minorHAnsi" w:hAnsiTheme="minorHAnsi" w:cstheme="minorHAnsi"/>
          <w:sz w:val="18"/>
          <w:szCs w:val="18"/>
          <w:lang w:val="en-US"/>
        </w:rPr>
        <w:t xml:space="preserve"> Ibid., p. 38; or EMCDDA, Statistical Bulletin 2021, </w:t>
      </w:r>
      <w:hyperlink r:id="rId5" w:history="1">
        <w:r w:rsidRPr="0067705D">
          <w:rPr>
            <w:rStyle w:val="Hipercze"/>
            <w:rFonts w:asciiTheme="minorHAnsi" w:hAnsiTheme="minorHAnsi" w:cstheme="minorHAnsi"/>
            <w:sz w:val="18"/>
            <w:szCs w:val="18"/>
            <w:lang w:val="en-US"/>
          </w:rPr>
          <w:t>https://www.emcdda.europa.eu/data/stats2021/hsr_en</w:t>
        </w:r>
      </w:hyperlink>
      <w:r w:rsidRPr="0067705D">
        <w:rPr>
          <w:rStyle w:val="Hipercze"/>
          <w:rFonts w:asciiTheme="minorHAnsi" w:hAnsiTheme="minorHAnsi" w:cstheme="minorHAnsi"/>
          <w:sz w:val="18"/>
          <w:szCs w:val="18"/>
          <w:lang w:val="en-US"/>
        </w:rPr>
        <w:t>.</w:t>
      </w:r>
      <w:r w:rsidRPr="0067705D">
        <w:rPr>
          <w:rFonts w:asciiTheme="minorHAnsi" w:hAnsiTheme="minorHAnsi" w:cstheme="minorHAnsi"/>
          <w:sz w:val="18"/>
          <w:szCs w:val="18"/>
          <w:lang w:val="en-US"/>
        </w:rPr>
        <w:t xml:space="preserve"> </w:t>
      </w:r>
    </w:p>
  </w:footnote>
  <w:footnote w:id="10">
    <w:p w14:paraId="494C80CE" w14:textId="2DDA5156" w:rsidR="00337EDD" w:rsidRPr="00D4650A" w:rsidRDefault="00337EDD" w:rsidP="00337EDD">
      <w:pPr>
        <w:pStyle w:val="Tekstprzypisudolnego"/>
        <w:rPr>
          <w:lang w:val="pl-PL"/>
        </w:rPr>
      </w:pPr>
      <w:r w:rsidRPr="0067705D">
        <w:rPr>
          <w:rStyle w:val="Odwoanieprzypisudolnego"/>
          <w:rFonts w:asciiTheme="minorHAnsi" w:hAnsiTheme="minorHAnsi" w:cstheme="minorHAnsi"/>
          <w:sz w:val="18"/>
          <w:szCs w:val="18"/>
        </w:rPr>
        <w:footnoteRef/>
      </w:r>
      <w:r w:rsidRPr="0067705D">
        <w:rPr>
          <w:rFonts w:asciiTheme="minorHAnsi" w:hAnsiTheme="minorHAnsi" w:cstheme="minorHAnsi"/>
          <w:sz w:val="18"/>
          <w:szCs w:val="18"/>
          <w:lang w:val="pl-PL"/>
        </w:rPr>
        <w:t xml:space="preserve"> Bogusława Bukowska „30 lat leczenia substytucyjnego w Polsce” (</w:t>
      </w:r>
      <w:r w:rsidR="00131397">
        <w:rPr>
          <w:rFonts w:asciiTheme="minorHAnsi" w:hAnsiTheme="minorHAnsi" w:cstheme="minorHAnsi"/>
          <w:sz w:val="18"/>
          <w:szCs w:val="18"/>
          <w:lang w:val="pl-PL"/>
        </w:rPr>
        <w:t>‘</w:t>
      </w:r>
      <w:r w:rsidRPr="0067705D">
        <w:rPr>
          <w:rFonts w:asciiTheme="minorHAnsi" w:hAnsiTheme="minorHAnsi" w:cstheme="minorHAnsi"/>
          <w:sz w:val="18"/>
          <w:szCs w:val="18"/>
          <w:lang w:val="pl-PL"/>
        </w:rPr>
        <w:t xml:space="preserve">30 </w:t>
      </w:r>
      <w:proofErr w:type="spellStart"/>
      <w:r w:rsidRPr="0067705D">
        <w:rPr>
          <w:rFonts w:asciiTheme="minorHAnsi" w:hAnsiTheme="minorHAnsi" w:cstheme="minorHAnsi"/>
          <w:sz w:val="18"/>
          <w:szCs w:val="18"/>
          <w:lang w:val="pl-PL"/>
        </w:rPr>
        <w:t>years</w:t>
      </w:r>
      <w:proofErr w:type="spellEnd"/>
      <w:r w:rsidRPr="0067705D">
        <w:rPr>
          <w:rFonts w:asciiTheme="minorHAnsi" w:hAnsiTheme="minorHAnsi" w:cstheme="minorHAnsi"/>
          <w:sz w:val="18"/>
          <w:szCs w:val="18"/>
          <w:lang w:val="pl-PL"/>
        </w:rPr>
        <w:t xml:space="preserve"> of </w:t>
      </w:r>
      <w:proofErr w:type="spellStart"/>
      <w:r w:rsidRPr="0067705D">
        <w:rPr>
          <w:rFonts w:asciiTheme="minorHAnsi" w:hAnsiTheme="minorHAnsi" w:cstheme="minorHAnsi"/>
          <w:sz w:val="18"/>
          <w:szCs w:val="18"/>
          <w:lang w:val="pl-PL"/>
        </w:rPr>
        <w:t>substitution</w:t>
      </w:r>
      <w:proofErr w:type="spellEnd"/>
      <w:r w:rsidRPr="0067705D">
        <w:rPr>
          <w:rFonts w:asciiTheme="minorHAnsi" w:hAnsiTheme="minorHAnsi" w:cstheme="minorHAnsi"/>
          <w:sz w:val="18"/>
          <w:szCs w:val="18"/>
          <w:lang w:val="pl-PL"/>
        </w:rPr>
        <w:t xml:space="preserve"> </w:t>
      </w:r>
      <w:proofErr w:type="spellStart"/>
      <w:r w:rsidRPr="0067705D">
        <w:rPr>
          <w:rFonts w:asciiTheme="minorHAnsi" w:hAnsiTheme="minorHAnsi" w:cstheme="minorHAnsi"/>
          <w:sz w:val="18"/>
          <w:szCs w:val="18"/>
          <w:lang w:val="pl-PL"/>
        </w:rPr>
        <w:t>treatment</w:t>
      </w:r>
      <w:proofErr w:type="spellEnd"/>
      <w:r w:rsidRPr="0067705D">
        <w:rPr>
          <w:rFonts w:asciiTheme="minorHAnsi" w:hAnsiTheme="minorHAnsi" w:cstheme="minorHAnsi"/>
          <w:sz w:val="18"/>
          <w:szCs w:val="18"/>
          <w:lang w:val="pl-PL"/>
        </w:rPr>
        <w:t xml:space="preserve"> in Poland</w:t>
      </w:r>
      <w:r w:rsidR="00131397">
        <w:rPr>
          <w:rFonts w:asciiTheme="minorHAnsi" w:hAnsiTheme="minorHAnsi" w:cstheme="minorHAnsi"/>
          <w:sz w:val="18"/>
          <w:szCs w:val="18"/>
          <w:lang w:val="pl-PL"/>
        </w:rPr>
        <w:t>’</w:t>
      </w:r>
      <w:r w:rsidRPr="0067705D">
        <w:rPr>
          <w:rFonts w:asciiTheme="minorHAnsi" w:hAnsiTheme="minorHAnsi" w:cstheme="minorHAnsi"/>
          <w:sz w:val="18"/>
          <w:szCs w:val="18"/>
          <w:lang w:val="pl-PL"/>
        </w:rPr>
        <w:t xml:space="preserve">), 14.11.2022; </w:t>
      </w:r>
      <w:hyperlink r:id="rId6" w:history="1">
        <w:r w:rsidRPr="0067705D">
          <w:rPr>
            <w:rStyle w:val="Hipercze"/>
            <w:rFonts w:asciiTheme="minorHAnsi" w:hAnsiTheme="minorHAnsi" w:cstheme="minorHAnsi"/>
            <w:sz w:val="18"/>
            <w:szCs w:val="18"/>
            <w:lang w:val="pl-PL"/>
          </w:rPr>
          <w:t>https://www.narkomania.org.pl/czytelnia/30-lat-leczenia-substytucyjnego-w-polsce/</w:t>
        </w:r>
      </w:hyperlink>
      <w:r>
        <w:rPr>
          <w:lang w:val="pl-PL"/>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AFD9C" w14:textId="77777777" w:rsidR="005D3855" w:rsidRDefault="005D3855">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61E4C" w14:textId="77777777" w:rsidR="005D3855" w:rsidRDefault="005D3855">
    <w:pPr>
      <w:pStyle w:val="Nagwek"/>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07BF2" w14:textId="77777777" w:rsidR="009553D3" w:rsidRPr="001454AD" w:rsidRDefault="00FF1C8C" w:rsidP="001454AD">
    <w:pPr>
      <w:pStyle w:val="Nagwek"/>
    </w:pPr>
    <w:r>
      <w:rPr>
        <w:noProof/>
        <w:lang w:val="pl-PL" w:eastAsia="pl-PL"/>
      </w:rPr>
      <w:drawing>
        <wp:anchor distT="0" distB="0" distL="114300" distR="114300" simplePos="0" relativeHeight="251658240" behindDoc="1" locked="0" layoutInCell="1" allowOverlap="1" wp14:anchorId="1EC2F840" wp14:editId="07777777">
          <wp:simplePos x="0" y="0"/>
          <wp:positionH relativeFrom="column">
            <wp:posOffset>-1155700</wp:posOffset>
          </wp:positionH>
          <wp:positionV relativeFrom="paragraph">
            <wp:posOffset>-482600</wp:posOffset>
          </wp:positionV>
          <wp:extent cx="7632700" cy="10801199"/>
          <wp:effectExtent l="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
                    <a:extLst>
                      <a:ext uri="{28A0092B-C50C-407E-A947-70E740481C1C}">
                        <a14:useLocalDpi xmlns:a14="http://schemas.microsoft.com/office/drawing/2010/main" val="0"/>
                      </a:ext>
                    </a:extLst>
                  </a:blip>
                  <a:stretch>
                    <a:fillRect/>
                  </a:stretch>
                </pic:blipFill>
                <pic:spPr>
                  <a:xfrm>
                    <a:off x="0" y="0"/>
                    <a:ext cx="7654134" cy="10831531"/>
                  </a:xfrm>
                  <a:prstGeom prst="rect">
                    <a:avLst/>
                  </a:prstGeom>
                </pic:spPr>
              </pic:pic>
            </a:graphicData>
          </a:graphic>
          <wp14:sizeRelH relativeFrom="page">
            <wp14:pctWidth>0</wp14:pctWidth>
          </wp14:sizeRelH>
          <wp14:sizeRelV relativeFrom="page">
            <wp14:pctHeight>0</wp14:pctHeight>
          </wp14:sizeRelV>
        </wp:anchor>
      </w:drawing>
    </w:r>
    <w:r w:rsidR="001454AD">
      <w:rPr>
        <w:noProof/>
      </w:rPr>
      <w:softHyphen/>
    </w:r>
    <w:r w:rsidR="001454AD">
      <w:rPr>
        <w:noProof/>
      </w:rPr>
      <w:softHyphen/>
    </w:r>
    <w:r w:rsidR="001454AD">
      <w:rPr>
        <w:noProof/>
      </w:rPr>
      <w:softHyphen/>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C55449"/>
    <w:multiLevelType w:val="hybridMultilevel"/>
    <w:tmpl w:val="93688786"/>
    <w:lvl w:ilvl="0" w:tplc="303CC5FC">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64E1544F"/>
    <w:multiLevelType w:val="hybridMultilevel"/>
    <w:tmpl w:val="0DEEDF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4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5FB"/>
    <w:rsid w:val="0003121A"/>
    <w:rsid w:val="00131397"/>
    <w:rsid w:val="001454AD"/>
    <w:rsid w:val="0015092F"/>
    <w:rsid w:val="002427E1"/>
    <w:rsid w:val="00303778"/>
    <w:rsid w:val="00337EDD"/>
    <w:rsid w:val="00481EA4"/>
    <w:rsid w:val="005C45FB"/>
    <w:rsid w:val="005D3855"/>
    <w:rsid w:val="0067705D"/>
    <w:rsid w:val="009553D3"/>
    <w:rsid w:val="009B5AAC"/>
    <w:rsid w:val="009D2EEB"/>
    <w:rsid w:val="00AC14AC"/>
    <w:rsid w:val="00C823DD"/>
    <w:rsid w:val="00CE226C"/>
    <w:rsid w:val="00DC48D1"/>
    <w:rsid w:val="00DD03D7"/>
    <w:rsid w:val="00FF1C8C"/>
    <w:rsid w:val="179A7D9E"/>
    <w:rsid w:val="1E7BE64E"/>
    <w:rsid w:val="20726AEB"/>
    <w:rsid w:val="233CAB6C"/>
    <w:rsid w:val="28D6096F"/>
    <w:rsid w:val="2BE6588E"/>
    <w:rsid w:val="54C71EE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467C8B"/>
  <w15:docId w15:val="{37F48173-0EA9-D648-B0EC-AED5D935A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uppressAutoHyphens/>
      <w:autoSpaceDN w:val="0"/>
      <w:spacing w:after="160" w:line="256" w:lineRule="auto"/>
      <w:textAlignment w:val="baseline"/>
    </w:pPr>
    <w:rPr>
      <w:rFonts w:ascii="Calibri" w:hAnsi="Calibri"/>
      <w:lang w:val="en-US"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pPr>
      <w:tabs>
        <w:tab w:val="center" w:pos="4153"/>
        <w:tab w:val="right" w:pos="8306"/>
      </w:tabs>
      <w:snapToGrid w:val="0"/>
    </w:pPr>
    <w:rPr>
      <w:sz w:val="18"/>
      <w:szCs w:val="18"/>
    </w:rPr>
  </w:style>
  <w:style w:type="paragraph" w:styleId="Nagwek">
    <w:name w:val="header"/>
    <w:basedOn w:val="Normalny"/>
    <w:pPr>
      <w:tabs>
        <w:tab w:val="center" w:pos="4153"/>
        <w:tab w:val="right" w:pos="8306"/>
      </w:tabs>
      <w:snapToGrid w:val="0"/>
    </w:pPr>
    <w:rPr>
      <w:sz w:val="18"/>
      <w:szCs w:val="18"/>
    </w:rPr>
  </w:style>
  <w:style w:type="paragraph" w:styleId="NormalnyWeb">
    <w:name w:val="Normal (Web)"/>
    <w:pPr>
      <w:suppressAutoHyphens/>
      <w:autoSpaceDN w:val="0"/>
      <w:spacing w:line="256" w:lineRule="auto"/>
      <w:textAlignment w:val="baseline"/>
    </w:pPr>
    <w:rPr>
      <w:sz w:val="24"/>
      <w:szCs w:val="24"/>
      <w:lang w:val="en-US" w:eastAsia="zh-CN"/>
    </w:rPr>
  </w:style>
  <w:style w:type="paragraph" w:styleId="Tekstprzypisudolnego">
    <w:name w:val="footnote text"/>
    <w:basedOn w:val="Normalny"/>
    <w:link w:val="TekstprzypisudolnegoZnak"/>
    <w:uiPriority w:val="99"/>
    <w:unhideWhenUsed/>
    <w:rsid w:val="00337EDD"/>
    <w:pPr>
      <w:widowControl w:val="0"/>
      <w:suppressAutoHyphens w:val="0"/>
      <w:autoSpaceDN/>
      <w:spacing w:after="0" w:line="240" w:lineRule="auto"/>
      <w:textAlignment w:val="auto"/>
    </w:pPr>
    <w:rPr>
      <w:rFonts w:ascii="Times New Roman" w:eastAsia="Times New Roman" w:hAnsi="Times New Roman"/>
      <w:lang w:val="en-GB" w:eastAsia="en-GB"/>
    </w:rPr>
  </w:style>
  <w:style w:type="character" w:customStyle="1" w:styleId="TekstprzypisudolnegoZnak">
    <w:name w:val="Tekst przypisu dolnego Znak"/>
    <w:basedOn w:val="Domylnaczcionkaakapitu"/>
    <w:link w:val="Tekstprzypisudolnego"/>
    <w:uiPriority w:val="99"/>
    <w:rsid w:val="00337EDD"/>
    <w:rPr>
      <w:rFonts w:eastAsia="Times New Roman"/>
      <w:lang w:val="en-GB" w:eastAsia="en-GB"/>
    </w:rPr>
  </w:style>
  <w:style w:type="character" w:styleId="Odwoanieprzypisudolnego">
    <w:name w:val="footnote reference"/>
    <w:basedOn w:val="Domylnaczcionkaakapitu"/>
    <w:uiPriority w:val="99"/>
    <w:semiHidden/>
    <w:unhideWhenUsed/>
    <w:rsid w:val="00337EDD"/>
    <w:rPr>
      <w:vertAlign w:val="superscript"/>
    </w:rPr>
  </w:style>
  <w:style w:type="character" w:styleId="Hipercze">
    <w:name w:val="Hyperlink"/>
    <w:basedOn w:val="Domylnaczcionkaakapitu"/>
    <w:uiPriority w:val="99"/>
    <w:unhideWhenUsed/>
    <w:rsid w:val="00337EDD"/>
    <w:rPr>
      <w:color w:val="0000FF"/>
      <w:u w:val="single"/>
    </w:rPr>
  </w:style>
  <w:style w:type="paragraph" w:styleId="Akapitzlist">
    <w:name w:val="List Paragraph"/>
    <w:basedOn w:val="Normalny"/>
    <w:uiPriority w:val="34"/>
    <w:qFormat/>
    <w:rsid w:val="00337EDD"/>
    <w:pPr>
      <w:suppressAutoHyphens w:val="0"/>
      <w:autoSpaceDN/>
      <w:spacing w:after="0" w:line="240" w:lineRule="auto"/>
      <w:ind w:left="720"/>
      <w:contextualSpacing/>
      <w:textAlignment w:val="auto"/>
    </w:pPr>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gdalena.dabkowska@hfhr.pl"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emcdda.europa.eu/data/stats2021/pdu_en" TargetMode="External"/><Relationship Id="rId2" Type="http://schemas.openxmlformats.org/officeDocument/2006/relationships/hyperlink" Target="https://politykanarkotykowa.pl/wp-content/uploads/2022/09/ebook_karanie-za-posiadanie-2.pdf" TargetMode="External"/><Relationship Id="rId1" Type="http://schemas.openxmlformats.org/officeDocument/2006/relationships/hyperlink" Target="https://www.emcdda.europa.eu/data/stats2022/dlo_en" TargetMode="External"/><Relationship Id="rId6" Type="http://schemas.openxmlformats.org/officeDocument/2006/relationships/hyperlink" Target="https://www.narkomania.org.pl/czytelnia/30-lat-leczenia-substytucyjnego-w-polsce/" TargetMode="External"/><Relationship Id="rId5" Type="http://schemas.openxmlformats.org/officeDocument/2006/relationships/hyperlink" Target="https://www.emcdda.europa.eu/data/stats2021/hsr_en" TargetMode="External"/><Relationship Id="rId4" Type="http://schemas.openxmlformats.org/officeDocument/2006/relationships/hyperlink" Target="https://www.unaids.org/sites/default/files/media_asset/global-AIDS-strategy-2021-2026-summary_en.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2013 — 2022">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C40202FEBBA843BF41687ADE7B54CC" ma:contentTypeVersion="18" ma:contentTypeDescription="Create a new document." ma:contentTypeScope="" ma:versionID="4900c56d6cc844023b5a704a191eaaa0">
  <xsd:schema xmlns:xsd="http://www.w3.org/2001/XMLSchema" xmlns:xs="http://www.w3.org/2001/XMLSchema" xmlns:p="http://schemas.microsoft.com/office/2006/metadata/properties" xmlns:ns2="c8192cb1-67bb-4ce5-82db-0b25b399d117" xmlns:ns3="9c2e4527-2efa-4ade-b3d6-b2418af14986" xmlns:ns4="985ec44e-1bab-4c0b-9df0-6ba128686fc9" targetNamespace="http://schemas.microsoft.com/office/2006/metadata/properties" ma:root="true" ma:fieldsID="db267e4a8e7b5b4ae8d56018296bc408" ns2:_="" ns3:_="" ns4:_="">
    <xsd:import namespace="c8192cb1-67bb-4ce5-82db-0b25b399d117"/>
    <xsd:import namespace="9c2e4527-2efa-4ade-b3d6-b2418af14986"/>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Contributorsname" minOccurs="0"/>
                <xsd:element ref="ns2:Catetory" minOccurs="0"/>
                <xsd:element ref="ns2:Doctype" minOccurs="0"/>
                <xsd:element ref="ns2:Langu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192cb1-67bb-4ce5-82db-0b25b399d1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Contributorsname" ma:index="21" nillable="true" ma:displayName="Contributor" ma:description="Who submitted this document?" ma:format="Dropdown" ma:internalName="Contributorsname">
      <xsd:simpleType>
        <xsd:restriction base="dms:Text">
          <xsd:maxLength value="255"/>
        </xsd:restriction>
      </xsd:simpleType>
    </xsd:element>
    <xsd:element name="Catetory" ma:index="22" nillable="true" ma:displayName="Category" ma:description="The contributor belongs to Member states, NHRIs, UN entities, CSOs, Academia, Individuals, or others?" ma:format="Dropdown" ma:internalName="Catetory">
      <xsd:simpleType>
        <xsd:union memberTypes="dms:Text">
          <xsd:simpleType>
            <xsd:restriction base="dms:Choice">
              <xsd:enumeration value="Member States"/>
              <xsd:enumeration value="NHRIs"/>
              <xsd:enumeration value="UN entities"/>
              <xsd:enumeration value="CSOs"/>
              <xsd:enumeration value="Academia"/>
              <xsd:enumeration value="Individuals"/>
            </xsd:restriction>
          </xsd:simpleType>
        </xsd:union>
      </xsd:simpleType>
    </xsd:element>
    <xsd:element name="Doctype" ma:index="23" nillable="true" ma:displayName="Doc type" ma:default="input" ma:description="Specify the document type (optional)" ma:format="Dropdown" ma:internalName="Doctype">
      <xsd:simpleType>
        <xsd:union memberTypes="dms:Text">
          <xsd:simpleType>
            <xsd:restriction base="dms:Choice">
              <xsd:enumeration value="input"/>
              <xsd:enumeration value="input I"/>
              <xsd:enumeration value="input II"/>
              <xsd:enumeration value="input III"/>
              <xsd:enumeration value="cover letter"/>
              <xsd:enumeration value="note verbale"/>
              <xsd:enumeration value="annex"/>
              <xsd:enumeration value="annex I"/>
              <xsd:enumeration value="annex II"/>
              <xsd:enumeration value="annex III"/>
              <xsd:enumeration value="French translation"/>
              <xsd:enumeration value="Spanish translation"/>
              <xsd:enumeration value="Arabic translation"/>
              <xsd:enumeration value="Russian translation"/>
              <xsd:enumeration value="Chinese translation"/>
            </xsd:restriction>
          </xsd:simpleType>
        </xsd:union>
      </xsd:simpleType>
    </xsd:element>
    <xsd:element name="Language" ma:index="24" nillable="true" ma:displayName="Language" ma:default="English" ma:description="Document language" ma:format="Dropdown" ma:internalName="Language">
      <xsd:simpleType>
        <xsd:union memberTypes="dms:Text">
          <xsd:simpleType>
            <xsd:restriction base="dms:Choice">
              <xsd:enumeration value="English"/>
              <xsd:enumeration value="French"/>
              <xsd:enumeration value="Spanish"/>
              <xsd:enumeration value="Arabic"/>
              <xsd:enumeration value="Russian"/>
              <xsd:enumeration value="Chinese"/>
              <xsd:enumeration value="Choice 7"/>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c8192cb1-67bb-4ce5-82db-0b25b399d117">
      <Terms xmlns="http://schemas.microsoft.com/office/infopath/2007/PartnerControls"/>
    </lcf76f155ced4ddcb4097134ff3c332f>
    <Contributorsname xmlns="c8192cb1-67bb-4ce5-82db-0b25b399d117" xsi:nil="true"/>
    <Doctype xmlns="c8192cb1-67bb-4ce5-82db-0b25b399d117">input</Doctype>
    <Catetory xmlns="c8192cb1-67bb-4ce5-82db-0b25b399d117" xsi:nil="true"/>
    <Language xmlns="c8192cb1-67bb-4ce5-82db-0b25b399d117">English</Languag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E508B0-2B26-4DB2-9792-4E42B7C8585D}"/>
</file>

<file path=customXml/itemProps2.xml><?xml version="1.0" encoding="utf-8"?>
<ds:datastoreItem xmlns:ds="http://schemas.openxmlformats.org/officeDocument/2006/customXml" ds:itemID="{D6818F03-71FC-4FA8-8EDA-F2CD256A905A}">
  <ds:schemaRefs>
    <ds:schemaRef ds:uri="http://schemas.microsoft.com/sharepoint/v3/contenttype/forms"/>
  </ds:schemaRefs>
</ds:datastoreItem>
</file>

<file path=customXml/itemProps3.xml><?xml version="1.0" encoding="utf-8"?>
<ds:datastoreItem xmlns:ds="http://schemas.openxmlformats.org/officeDocument/2006/customXml" ds:itemID="{BE8FD201-F313-4360-87E5-1E2D63D90111}">
  <ds:schemaRefs>
    <ds:schemaRef ds:uri="http://schemas.microsoft.com/office/2006/metadata/properties"/>
    <ds:schemaRef ds:uri="http://schemas.microsoft.com/office/infopath/2007/PartnerControls"/>
    <ds:schemaRef ds:uri="a1082657-b8fe-4572-b38b-324b7d54b124"/>
    <ds:schemaRef ds:uri="32d3f0d3-d5ae-40a8-bf59-fa3b2d852e29"/>
  </ds:schemaRefs>
</ds:datastoreItem>
</file>

<file path=customXml/itemProps4.xml><?xml version="1.0" encoding="utf-8"?>
<ds:datastoreItem xmlns:ds="http://schemas.openxmlformats.org/officeDocument/2006/customXml" ds:itemID="{5908BD21-2E24-484E-BA44-5A71BF897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Pages>
  <Words>1139</Words>
  <Characters>6837</Characters>
  <Application>Microsoft Office Word</Application>
  <DocSecurity>0</DocSecurity>
  <Lines>56</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Borucka</dc:creator>
  <cp:keywords/>
  <cp:lastModifiedBy>Magdalena Dabkowska</cp:lastModifiedBy>
  <cp:revision>19</cp:revision>
  <dcterms:created xsi:type="dcterms:W3CDTF">2023-02-28T07:34:00Z</dcterms:created>
  <dcterms:modified xsi:type="dcterms:W3CDTF">2023-05-20T21:11:00Z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1045-10.2.0.6069</vt:lpwstr>
  </property>
  <property fmtid="{D5CDD505-2E9C-101B-9397-08002B2CF9AE}" pid="3" name="ContentTypeId">
    <vt:lpwstr>0x010100D3257166D5221D45AC4BE86DE2E261D0</vt:lpwstr>
  </property>
  <property fmtid="{D5CDD505-2E9C-101B-9397-08002B2CF9AE}" pid="4" name="MediaServiceImageTags">
    <vt:lpwstr/>
  </property>
</Properties>
</file>