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D80FA" w14:textId="77777777" w:rsidR="003F55CD" w:rsidRDefault="003F55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5AE9EC88" w14:textId="77777777" w:rsidR="003F55CD" w:rsidRDefault="003F55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5B2404F5" w14:textId="77777777" w:rsidR="003F55CD" w:rsidRDefault="00604E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0" distR="0" wp14:anchorId="4C85A614" wp14:editId="3E4128AE">
            <wp:extent cx="1864236" cy="444492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236" cy="4444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DF05E5" w14:textId="77777777" w:rsidR="003F55CD" w:rsidRDefault="003F55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14:paraId="79F1E254" w14:textId="77777777" w:rsidR="003F55CD" w:rsidRDefault="003F55C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2"/>
          <w:szCs w:val="32"/>
        </w:rPr>
      </w:pPr>
    </w:p>
    <w:p w14:paraId="4F849CF0" w14:textId="77777777" w:rsidR="003F55CD" w:rsidRDefault="003F55C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2"/>
          <w:szCs w:val="32"/>
        </w:rPr>
      </w:pPr>
    </w:p>
    <w:p w14:paraId="2D8576BC" w14:textId="77777777" w:rsidR="003F55CD" w:rsidRDefault="003F55C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2"/>
          <w:szCs w:val="32"/>
        </w:rPr>
      </w:pPr>
    </w:p>
    <w:p w14:paraId="7428D213" w14:textId="77777777" w:rsidR="003F55CD" w:rsidRDefault="003F55C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2"/>
          <w:szCs w:val="32"/>
        </w:rPr>
      </w:pPr>
    </w:p>
    <w:p w14:paraId="5D10238E" w14:textId="77777777" w:rsidR="003F55CD" w:rsidRDefault="00604E1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Informe a la Oficina del Alto Comisionado de los Derechos Humanos</w:t>
      </w:r>
    </w:p>
    <w:p w14:paraId="4F30D3C7" w14:textId="77777777" w:rsidR="003F55CD" w:rsidRDefault="003F55C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40"/>
          <w:szCs w:val="40"/>
        </w:rPr>
      </w:pPr>
    </w:p>
    <w:p w14:paraId="1F39674A" w14:textId="77777777" w:rsidR="003F55CD" w:rsidRDefault="003F55C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2"/>
          <w:szCs w:val="32"/>
        </w:rPr>
      </w:pPr>
    </w:p>
    <w:p w14:paraId="783C4E3B" w14:textId="77777777" w:rsidR="003F55CD" w:rsidRDefault="00604E1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Impactos de la política de drogas a los DDHH en Colombia y visión para el futuro</w:t>
      </w:r>
    </w:p>
    <w:p w14:paraId="3C923128" w14:textId="77777777" w:rsidR="003F55CD" w:rsidRDefault="003F55C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F74B1F5" w14:textId="77777777" w:rsidR="003F55CD" w:rsidRDefault="003F55C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ADBE975" w14:textId="77777777" w:rsidR="003F55CD" w:rsidRDefault="003F55C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2"/>
          <w:szCs w:val="32"/>
        </w:rPr>
      </w:pPr>
    </w:p>
    <w:p w14:paraId="71980518" w14:textId="77777777" w:rsidR="003F55CD" w:rsidRDefault="00604E1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Mayo 2023</w:t>
      </w:r>
    </w:p>
    <w:p w14:paraId="70085085" w14:textId="77777777" w:rsidR="003F55CD" w:rsidRDefault="003F55C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A05E040" w14:textId="77777777" w:rsidR="003F55CD" w:rsidRDefault="003F55C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E78BA50" w14:textId="77777777" w:rsidR="003F55CD" w:rsidRDefault="003F55C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8905858" w14:textId="77777777" w:rsidR="003F55CD" w:rsidRDefault="00604E1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Organización:</w:t>
      </w:r>
    </w:p>
    <w:p w14:paraId="7499F42B" w14:textId="77777777" w:rsidR="003F55CD" w:rsidRDefault="00604E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Dejusticia es un centro de estudios jurídicos y sociales localizado en Bogotá, Colombia. Nos dedicamos al fortalecimiento del Estado de Derecho y a la promoción de los derechos humanos en Colombia y en el Sur Global. Nuestro trabajo en política de drogas i</w:t>
      </w:r>
      <w:r>
        <w:rPr>
          <w:color w:val="000000"/>
        </w:rPr>
        <w:t>ncluye temas de construcción de paz y reconciliación, derechos de población cocalera, impactos diferenciados de género, salud y reducción de daños y política criminal.</w:t>
      </w:r>
    </w:p>
    <w:p w14:paraId="51390B68" w14:textId="77777777" w:rsidR="003F55CD" w:rsidRDefault="003F55CD">
      <w:pPr>
        <w:rPr>
          <w:color w:val="000000"/>
        </w:rPr>
      </w:pPr>
    </w:p>
    <w:p w14:paraId="1477834E" w14:textId="77777777" w:rsidR="003F55CD" w:rsidRDefault="003F55C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7F4F7BD" w14:textId="77B06D89" w:rsidR="003F55CD" w:rsidRDefault="00604E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Conteo de palabras: </w:t>
      </w:r>
      <w:r>
        <w:rPr>
          <w:color w:val="000000"/>
        </w:rPr>
        <w:t>1</w:t>
      </w:r>
      <w:r>
        <w:t>4</w:t>
      </w:r>
      <w:r w:rsidR="00DA34CC">
        <w:t>99</w:t>
      </w:r>
      <w:r>
        <w:t xml:space="preserve"> palabras</w:t>
      </w:r>
      <w:r>
        <w:rPr>
          <w:color w:val="000000"/>
        </w:rPr>
        <w:t xml:space="preserve"> </w:t>
      </w:r>
    </w:p>
    <w:p w14:paraId="1BD0F48A" w14:textId="77777777" w:rsidR="003F55CD" w:rsidRDefault="003F55C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A4214AB" w14:textId="77777777" w:rsidR="003F55CD" w:rsidRDefault="003F55C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41FC95A" w14:textId="77777777" w:rsidR="003F55CD" w:rsidRDefault="00604E1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Detalles de contacto:</w:t>
      </w:r>
    </w:p>
    <w:p w14:paraId="227C4462" w14:textId="77777777" w:rsidR="003F55CD" w:rsidRDefault="00604E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Isabel Pereira-Arana</w:t>
      </w:r>
    </w:p>
    <w:p w14:paraId="14583068" w14:textId="77777777" w:rsidR="003F55CD" w:rsidRDefault="00604E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Calle </w:t>
      </w:r>
      <w:r>
        <w:rPr>
          <w:color w:val="000000"/>
        </w:rPr>
        <w:t>35 No. 24-31. Bogotá</w:t>
      </w:r>
    </w:p>
    <w:p w14:paraId="1645C03A" w14:textId="77777777" w:rsidR="003F55CD" w:rsidRDefault="00604E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ipereira@dejusticia.org</w:t>
      </w:r>
    </w:p>
    <w:p w14:paraId="0CEC3EA0" w14:textId="77777777" w:rsidR="003F55CD" w:rsidRDefault="003F55CD"/>
    <w:p w14:paraId="5E2B3386" w14:textId="77777777" w:rsidR="003F55CD" w:rsidRDefault="003F55CD"/>
    <w:p w14:paraId="3A648CBF" w14:textId="77777777" w:rsidR="003F55CD" w:rsidRDefault="003F55CD"/>
    <w:p w14:paraId="3E7858E6" w14:textId="77777777" w:rsidR="003F55CD" w:rsidRDefault="003F55CD"/>
    <w:p w14:paraId="29F73D68" w14:textId="77777777" w:rsidR="003F55CD" w:rsidRDefault="003F55CD"/>
    <w:p w14:paraId="0CFB8E0F" w14:textId="77777777" w:rsidR="003F55CD" w:rsidRDefault="00604E1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lastRenderedPageBreak/>
        <w:t>Introducción</w:t>
      </w:r>
      <w:r>
        <w:rPr>
          <w:b/>
          <w:color w:val="000000"/>
          <w:vertAlign w:val="superscript"/>
        </w:rPr>
        <w:footnoteReference w:id="1"/>
      </w:r>
    </w:p>
    <w:p w14:paraId="29858FAC" w14:textId="7BB4B2EE" w:rsidR="003F55CD" w:rsidRDefault="00604E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Celebramos la oportunidad de presentar insumos a la Oficina del Alto Comisionado para los Derechos Humanos, y confiamos que promoverá un proceso de revisión de medio término en Viena con enfo</w:t>
      </w:r>
      <w:r>
        <w:rPr>
          <w:color w:val="000000"/>
        </w:rPr>
        <w:t xml:space="preserve">que de derechos humanos, </w:t>
      </w:r>
      <w:r w:rsidR="00DA34CC">
        <w:rPr>
          <w:color w:val="000000"/>
        </w:rPr>
        <w:t>y</w:t>
      </w:r>
      <w:r>
        <w:rPr>
          <w:color w:val="000000"/>
        </w:rPr>
        <w:t xml:space="preserve"> mayor atención a </w:t>
      </w:r>
      <w:r w:rsidR="00DA34CC">
        <w:rPr>
          <w:color w:val="000000"/>
        </w:rPr>
        <w:t>la</w:t>
      </w:r>
      <w:r>
        <w:rPr>
          <w:color w:val="000000"/>
        </w:rPr>
        <w:t xml:space="preserve"> política de drogas en Ginebra. </w:t>
      </w:r>
    </w:p>
    <w:p w14:paraId="03E57222" w14:textId="77777777" w:rsidR="003F55CD" w:rsidRDefault="003F55C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458421E" w14:textId="146C2BA9" w:rsidR="003F55CD" w:rsidRDefault="00604E1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  <w:r>
        <w:t>En este insumo</w:t>
      </w:r>
      <w:r>
        <w:rPr>
          <w:color w:val="000000"/>
        </w:rPr>
        <w:t xml:space="preserve"> Dejusticia </w:t>
      </w:r>
      <w:r>
        <w:t xml:space="preserve">presenta </w:t>
      </w:r>
      <w:r>
        <w:t xml:space="preserve">temas prioritarios </w:t>
      </w:r>
      <w:r w:rsidR="00DA34CC">
        <w:rPr>
          <w:color w:val="000000"/>
        </w:rPr>
        <w:t>para</w:t>
      </w:r>
      <w:r>
        <w:rPr>
          <w:color w:val="000000"/>
        </w:rPr>
        <w:t xml:space="preserve"> Colombia y </w:t>
      </w:r>
      <w:r>
        <w:rPr>
          <w:color w:val="000000"/>
        </w:rPr>
        <w:t>la región. Además de proveer información de context</w:t>
      </w:r>
      <w:r>
        <w:rPr>
          <w:color w:val="000000"/>
        </w:rPr>
        <w:t>o, al final presentamos nuestras recomendaciones.</w:t>
      </w:r>
    </w:p>
    <w:p w14:paraId="18ED427B" w14:textId="77777777" w:rsidR="003F55CD" w:rsidRDefault="003F55C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</w:p>
    <w:p w14:paraId="611C2A65" w14:textId="77777777" w:rsidR="003F55CD" w:rsidRDefault="00604E1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  <w:color w:val="000000"/>
        </w:rPr>
      </w:pPr>
      <w:r>
        <w:rPr>
          <w:b/>
          <w:color w:val="000000"/>
        </w:rPr>
        <w:t>Las estrategias de erradicación de cultivos de uso ilícito</w:t>
      </w:r>
      <w:r>
        <w:rPr>
          <w:b/>
        </w:rPr>
        <w:t xml:space="preserve"> y sus impactos</w:t>
      </w:r>
      <w:r>
        <w:rPr>
          <w:b/>
          <w:color w:val="000000"/>
        </w:rPr>
        <w:t>:</w:t>
      </w:r>
    </w:p>
    <w:p w14:paraId="109349FF" w14:textId="72F79AEE" w:rsidR="003F55CD" w:rsidRDefault="00604E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En Colombia se han implementado cinco estrategias para reducir l</w:t>
      </w:r>
      <w:r>
        <w:t xml:space="preserve">os </w:t>
      </w:r>
      <w:r>
        <w:rPr>
          <w:color w:val="000000"/>
        </w:rPr>
        <w:t>cultivos declarados ilícitos. La primera, entre 1990 y 2015, fue el “Programa de Erradicación de Cultivos Ilícitos mediante Aspersión Aérea con el herbicida Glifosato” (PECIG), que dejó casi 2 millones de hectáreas asperjadas</w:t>
      </w:r>
      <w:r>
        <w:rPr>
          <w:color w:val="000000"/>
          <w:vertAlign w:val="superscript"/>
        </w:rPr>
        <w:footnoteReference w:id="2"/>
      </w:r>
      <w:r>
        <w:rPr>
          <w:color w:val="000000"/>
        </w:rPr>
        <w:t xml:space="preserve"> y expuso a las comunidades </w:t>
      </w:r>
      <w:r w:rsidR="00DA34CC">
        <w:rPr>
          <w:color w:val="000000"/>
        </w:rPr>
        <w:t>riesgos</w:t>
      </w:r>
      <w:r>
        <w:rPr>
          <w:color w:val="000000"/>
        </w:rPr>
        <w:t xml:space="preserve"> para la salud física y mental, daños a los ecosistemas, deforestación, desplazamiento, quiebre de organizaciones sociales y </w:t>
      </w:r>
      <w:r>
        <w:t>crisis</w:t>
      </w:r>
      <w:r>
        <w:rPr>
          <w:color w:val="000000"/>
        </w:rPr>
        <w:t xml:space="preserve"> económica</w:t>
      </w:r>
      <w:r>
        <w:rPr>
          <w:color w:val="000000"/>
          <w:vertAlign w:val="superscript"/>
        </w:rPr>
        <w:footnoteReference w:id="3"/>
      </w:r>
      <w:r>
        <w:rPr>
          <w:color w:val="000000"/>
        </w:rPr>
        <w:t xml:space="preserve">. </w:t>
      </w:r>
      <w:r>
        <w:t>En</w:t>
      </w:r>
      <w:r>
        <w:rPr>
          <w:color w:val="000000"/>
        </w:rPr>
        <w:t xml:space="preserve"> Caquetá muchas familias perdieron el acceso a la tierra, </w:t>
      </w:r>
      <w:r>
        <w:t>y se afectó</w:t>
      </w:r>
      <w:r>
        <w:rPr>
          <w:color w:val="000000"/>
        </w:rPr>
        <w:t xml:space="preserve"> la vida comunitaria </w:t>
      </w:r>
      <w:r>
        <w:t>al quedar</w:t>
      </w:r>
      <w:r>
        <w:rPr>
          <w:color w:val="000000"/>
        </w:rPr>
        <w:t xml:space="preserve"> sin recursos las obras comunitarias que se construían con los excedentes de la coca</w:t>
      </w:r>
      <w:r>
        <w:rPr>
          <w:color w:val="000000"/>
          <w:vertAlign w:val="superscript"/>
        </w:rPr>
        <w:footnoteReference w:id="4"/>
      </w:r>
      <w:r>
        <w:rPr>
          <w:color w:val="000000"/>
        </w:rPr>
        <w:t xml:space="preserve">. </w:t>
      </w:r>
    </w:p>
    <w:p w14:paraId="7D8A854A" w14:textId="77777777" w:rsidR="003F55CD" w:rsidRDefault="00604E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Las fumigaciones fueron suspendidas en 2015 por decisión del Consejo Nacional de Estupefacientes, tras la clasificación del glifosato como posiblemente cancer</w:t>
      </w:r>
      <w:r>
        <w:rPr>
          <w:color w:val="000000"/>
        </w:rPr>
        <w:t>ígeno por el Instituto de investigación sobre el cáncer de la Organización Mundial de la Salud</w:t>
      </w:r>
      <w:r>
        <w:rPr>
          <w:color w:val="000000"/>
          <w:vertAlign w:val="superscript"/>
        </w:rPr>
        <w:footnoteReference w:id="5"/>
      </w:r>
      <w:r>
        <w:rPr>
          <w:color w:val="000000"/>
        </w:rPr>
        <w:t xml:space="preserve">. </w:t>
      </w:r>
    </w:p>
    <w:p w14:paraId="462856ED" w14:textId="77777777" w:rsidR="003F55CD" w:rsidRDefault="00604E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Según un estudio de la Universidad del Valle, hay “una clara consistencia a favor de los efectos nocivos del glifosato en la salud reproductiva” entre los cu</w:t>
      </w:r>
      <w:r>
        <w:rPr>
          <w:color w:val="000000"/>
        </w:rPr>
        <w:t>áles resaltan infertilidad, aborto, efectos perinat</w:t>
      </w:r>
      <w:r>
        <w:t>al</w:t>
      </w:r>
      <w:r>
        <w:rPr>
          <w:color w:val="000000"/>
        </w:rPr>
        <w:t>es y efectos transgeneracionales</w:t>
      </w:r>
      <w:r>
        <w:rPr>
          <w:color w:val="000000"/>
          <w:vertAlign w:val="superscript"/>
        </w:rPr>
        <w:footnoteReference w:id="6"/>
      </w:r>
      <w:r>
        <w:rPr>
          <w:color w:val="000000"/>
        </w:rPr>
        <w:t>. Actualmente cursa en la Comisión Interamericana de Derechos Humanos un caso emblemático: Se trata de Yaneth Valderrama, una mujer campesina del municipio de Solita, Ca</w:t>
      </w:r>
      <w:r>
        <w:rPr>
          <w:color w:val="000000"/>
        </w:rPr>
        <w:t>quetá. Tenía cuatro meses de embarazo cuando fue rociada por la aspersión aérea con glifosato. Al poco tiempo tuvo un aborto, y algunos meses después falleció por falla sistémica</w:t>
      </w:r>
      <w:r>
        <w:rPr>
          <w:vertAlign w:val="superscript"/>
        </w:rPr>
        <w:footnoteReference w:id="7"/>
      </w:r>
      <w:r>
        <w:rPr>
          <w:color w:val="000000"/>
        </w:rPr>
        <w:t xml:space="preserve">. </w:t>
      </w:r>
    </w:p>
    <w:p w14:paraId="149BA36F" w14:textId="2AA8C8D6" w:rsidR="003F55CD" w:rsidRDefault="00604E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La segunda estrategia es la erradicación manual a través de Grupos Móvile</w:t>
      </w:r>
      <w:r>
        <w:rPr>
          <w:color w:val="000000"/>
        </w:rPr>
        <w:t>s de Erradicación (GME), de la Dirección Antinarcóticos (DIRAN) de la Policía Nacional. Los GME son conformados por civiles</w:t>
      </w:r>
      <w:r>
        <w:t xml:space="preserve">, con </w:t>
      </w:r>
      <w:r>
        <w:rPr>
          <w:color w:val="000000"/>
        </w:rPr>
        <w:t>acompañamiento de la Fuerza Pública. La tercera modalidad es desarrollada directamente por las Fuerzas Armadas o la DIRAN. La c</w:t>
      </w:r>
      <w:r>
        <w:rPr>
          <w:color w:val="000000"/>
        </w:rPr>
        <w:t xml:space="preserve">uarta </w:t>
      </w:r>
      <w:r>
        <w:rPr>
          <w:color w:val="000000"/>
        </w:rPr>
        <w:t xml:space="preserve">es el Programa </w:t>
      </w:r>
      <w:r>
        <w:rPr>
          <w:color w:val="000000"/>
        </w:rPr>
        <w:lastRenderedPageBreak/>
        <w:t xml:space="preserve">Erradicación de Cultivos Ilícitos mediante Aspersión Terrestre (PECAT), con </w:t>
      </w:r>
      <w:r>
        <w:rPr>
          <w:color w:val="000000"/>
        </w:rPr>
        <w:t xml:space="preserve">aspersores de espalda. </w:t>
      </w:r>
    </w:p>
    <w:p w14:paraId="31D98AEE" w14:textId="77777777" w:rsidR="003F55CD" w:rsidRDefault="00604E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40"/>
        <w:jc w:val="both"/>
        <w:rPr>
          <w:color w:val="000000"/>
        </w:rPr>
      </w:pPr>
      <w:r>
        <w:rPr>
          <w:color w:val="000000"/>
        </w:rPr>
        <w:t xml:space="preserve">Las estrategias mencionadas se mantuvieron durante la emergencia sanitaria del Covid 19, causando enfrentamientos entre la fuerza pública y las comunidades campesinas, con </w:t>
      </w:r>
      <w:r>
        <w:t>consecuencias</w:t>
      </w:r>
      <w:r>
        <w:rPr>
          <w:color w:val="000000"/>
        </w:rPr>
        <w:t xml:space="preserve"> de seguridad para las comunidades y riesgos de reclutamiento para los </w:t>
      </w:r>
      <w:r>
        <w:rPr>
          <w:color w:val="000000"/>
        </w:rPr>
        <w:t xml:space="preserve">jóvenes. El Estado colombiano ha ejercido extrema violencia en contra de poblaciones </w:t>
      </w:r>
      <w:r>
        <w:t>que cultivan coca, desconociendo que son población campesina y sujeta de derechos</w:t>
      </w:r>
      <w:r>
        <w:rPr>
          <w:color w:val="000000"/>
        </w:rPr>
        <w:t>. De acuerdo con el Observatorio de Tierras entre 2016 y 2020 se presentaron 95 incidentes</w:t>
      </w:r>
      <w:r>
        <w:rPr>
          <w:color w:val="000000"/>
        </w:rPr>
        <w:t xml:space="preserve"> entre comunidades y fuerza pública. En el 20% de estos </w:t>
      </w:r>
      <w:r>
        <w:t>enfrentamientos</w:t>
      </w:r>
      <w:r>
        <w:rPr>
          <w:color w:val="000000"/>
        </w:rPr>
        <w:t xml:space="preserve"> se han usado armas de fuego por parte del ejército, mientras que en el 19% al menos una persona a resultado herida y en un 6% ha registrado al menos una persona muerta</w:t>
      </w:r>
      <w:r>
        <w:rPr>
          <w:color w:val="000000"/>
          <w:vertAlign w:val="superscript"/>
        </w:rPr>
        <w:footnoteReference w:id="8"/>
      </w:r>
      <w:r>
        <w:rPr>
          <w:color w:val="000000"/>
        </w:rPr>
        <w:t>. Debido al inc</w:t>
      </w:r>
      <w:r>
        <w:rPr>
          <w:color w:val="000000"/>
        </w:rPr>
        <w:t xml:space="preserve">remento de los operativos de erradicación, se ha exacerbado la inseguridad en </w:t>
      </w:r>
      <w:r>
        <w:t>estas regiones</w:t>
      </w:r>
      <w:r>
        <w:rPr>
          <w:color w:val="000000"/>
          <w:vertAlign w:val="superscript"/>
        </w:rPr>
        <w:footnoteReference w:id="9"/>
      </w:r>
      <w:r>
        <w:rPr>
          <w:color w:val="000000"/>
        </w:rPr>
        <w:t>. Algunas investigaciones indican su impacto económico en las familias de los cultivadores que se refleja en abandono de la escuela y la reducción del desempeño e</w:t>
      </w:r>
      <w:r>
        <w:rPr>
          <w:color w:val="000000"/>
        </w:rPr>
        <w:t>ducativo, aumentando los riesgos de reclutamiento por parte de grupos armados</w:t>
      </w:r>
      <w:r>
        <w:rPr>
          <w:color w:val="000000"/>
          <w:vertAlign w:val="superscript"/>
        </w:rPr>
        <w:footnoteReference w:id="10"/>
      </w:r>
      <w:r>
        <w:rPr>
          <w:color w:val="000000"/>
        </w:rPr>
        <w:t xml:space="preserve">. </w:t>
      </w:r>
    </w:p>
    <w:p w14:paraId="01B38962" w14:textId="77777777" w:rsidR="003F55CD" w:rsidRDefault="00604E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40"/>
        <w:jc w:val="both"/>
        <w:rPr>
          <w:color w:val="000000"/>
        </w:rPr>
      </w:pPr>
      <w:r>
        <w:rPr>
          <w:color w:val="000000"/>
        </w:rPr>
        <w:t>Desde el 2017 se está implementando la quinta estrategia, liderada por el Programa Nacional Integral de Sustitución de Cultivos Ilícitos (PNIS), derivado del Acuerdo de Paz e</w:t>
      </w:r>
      <w:r>
        <w:rPr>
          <w:color w:val="000000"/>
        </w:rPr>
        <w:t xml:space="preserve">ntre el Gobierno y las FARC – EP. El PNIS supone el reconocimiento de la conexión entre los problemas estructurales del campo y </w:t>
      </w:r>
      <w:r>
        <w:t>el cultivo de</w:t>
      </w:r>
      <w:r>
        <w:rPr>
          <w:color w:val="000000"/>
        </w:rPr>
        <w:t xml:space="preserve"> coca. Sin embargo, la estrategia </w:t>
      </w:r>
      <w:r>
        <w:t xml:space="preserve">se queda corta en </w:t>
      </w:r>
      <w:r>
        <w:rPr>
          <w:color w:val="000000"/>
        </w:rPr>
        <w:t xml:space="preserve">establecer </w:t>
      </w:r>
      <w:r>
        <w:t>mejoras en</w:t>
      </w:r>
      <w:r>
        <w:rPr>
          <w:color w:val="000000"/>
        </w:rPr>
        <w:t xml:space="preserve"> la calidad de vida en los territorios coc</w:t>
      </w:r>
      <w:r>
        <w:rPr>
          <w:color w:val="000000"/>
        </w:rPr>
        <w:t xml:space="preserve">aleros. Según el Observatorio de Tierras, la implementación del programa disminuyó sustancialmente los ingresos de </w:t>
      </w:r>
      <w:r>
        <w:t>sus beneficiarios, pues quienes se acogieron</w:t>
      </w:r>
      <w:r>
        <w:rPr>
          <w:color w:val="000000"/>
        </w:rPr>
        <w:t xml:space="preserve"> “dejaron de recibir en promedio casi $910.000 pesos”</w:t>
      </w:r>
      <w:r>
        <w:rPr>
          <w:color w:val="000000"/>
          <w:vertAlign w:val="superscript"/>
        </w:rPr>
        <w:footnoteReference w:id="11"/>
      </w:r>
      <w:r>
        <w:rPr>
          <w:color w:val="000000"/>
        </w:rPr>
        <w:t xml:space="preserve">, </w:t>
      </w:r>
      <w:r>
        <w:t xml:space="preserve">equivalente </w:t>
      </w:r>
      <w:r>
        <w:rPr>
          <w:color w:val="000000"/>
        </w:rPr>
        <w:t>a USD 200</w:t>
      </w:r>
      <w:r>
        <w:rPr>
          <w:color w:val="000000"/>
          <w:vertAlign w:val="superscript"/>
        </w:rPr>
        <w:footnoteReference w:id="12"/>
      </w:r>
      <w:r>
        <w:rPr>
          <w:color w:val="000000"/>
        </w:rPr>
        <w:t xml:space="preserve">. </w:t>
      </w:r>
    </w:p>
    <w:p w14:paraId="5FAA1B90" w14:textId="77777777" w:rsidR="003F55CD" w:rsidRDefault="00604E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ind w:right="-40"/>
        <w:jc w:val="both"/>
        <w:rPr>
          <w:color w:val="000000"/>
        </w:rPr>
      </w:pPr>
      <w:r>
        <w:rPr>
          <w:color w:val="000000"/>
        </w:rPr>
        <w:t>Debido a que la mitad de los cultivos de coca están en zonas de manejo ambiental especial</w:t>
      </w:r>
      <w:r>
        <w:rPr>
          <w:color w:val="000000"/>
          <w:vertAlign w:val="superscript"/>
        </w:rPr>
        <w:footnoteReference w:id="13"/>
      </w:r>
      <w:r>
        <w:rPr>
          <w:color w:val="000000"/>
        </w:rPr>
        <w:t xml:space="preserve">, el </w:t>
      </w:r>
      <w:r>
        <w:t>E</w:t>
      </w:r>
      <w:r>
        <w:rPr>
          <w:color w:val="000000"/>
        </w:rPr>
        <w:t>stado colombiano debe armonizar las estrategias de sustitución, los derechos de las poblaciones y las metas de conservación de los ecosistemas estratégicos. Si</w:t>
      </w:r>
      <w:r>
        <w:rPr>
          <w:color w:val="000000"/>
        </w:rPr>
        <w:t>n embargo, una encuesta aplicada a las familias que hacen parte del PNIS y residen en estas zonas, muestra que “el 52,7% de los hogares encuestados se encuentran en condición de pobreza multidimensional”</w:t>
      </w:r>
      <w:r>
        <w:rPr>
          <w:color w:val="000000"/>
          <w:vertAlign w:val="superscript"/>
        </w:rPr>
        <w:footnoteReference w:id="14"/>
      </w:r>
      <w:r>
        <w:rPr>
          <w:color w:val="000000"/>
        </w:rPr>
        <w:t xml:space="preserve">. </w:t>
      </w:r>
    </w:p>
    <w:p w14:paraId="1BF04E8A" w14:textId="77777777" w:rsidR="003F55CD" w:rsidRDefault="00604E1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Situación de encarcelamiento y avances en reforma a la política criminal:</w:t>
      </w:r>
    </w:p>
    <w:p w14:paraId="6D01CBD6" w14:textId="77777777" w:rsidR="003F55CD" w:rsidRDefault="00604E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Según el Informe estadístico No. 12 (2022)</w:t>
      </w:r>
      <w:r>
        <w:rPr>
          <w:color w:val="000000"/>
          <w:vertAlign w:val="superscript"/>
        </w:rPr>
        <w:footnoteReference w:id="15"/>
      </w:r>
      <w:r>
        <w:rPr>
          <w:color w:val="000000"/>
        </w:rPr>
        <w:t xml:space="preserve"> del Instituto Nacional Penitenciario y Carcelario (INPEC), había en Colombia 197.642 personas privadas de libertad, 93.4% hombres y 6.6% </w:t>
      </w:r>
      <w:r>
        <w:rPr>
          <w:color w:val="000000"/>
        </w:rPr>
        <w:t>mujeres, en centros carcelarios</w:t>
      </w:r>
      <w:r>
        <w:t>,</w:t>
      </w:r>
      <w:r>
        <w:rPr>
          <w:color w:val="000000"/>
        </w:rPr>
        <w:t xml:space="preserve"> otros tipos de establecimientos (estaciones de policía, unidades transitorias), y detención domiciliaria.</w:t>
      </w:r>
    </w:p>
    <w:p w14:paraId="78F5CA6C" w14:textId="77777777" w:rsidR="003F55CD" w:rsidRDefault="00604E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Del total</w:t>
      </w:r>
      <w:r>
        <w:rPr>
          <w:color w:val="000000"/>
        </w:rPr>
        <w:t>, 21.283 personas estaban en estaciones de policía, lugares que no están diseñados para una reclusión prolon</w:t>
      </w:r>
      <w:r>
        <w:rPr>
          <w:color w:val="000000"/>
        </w:rPr>
        <w:t>gada. El índice global de hacinamiento es del 20.5%, pero al desagregar los datos por establecimientos, se encuentran cárceles con índices de hasta el 140% de hacinamiento.</w:t>
      </w:r>
    </w:p>
    <w:p w14:paraId="086390D7" w14:textId="77777777" w:rsidR="003F55CD" w:rsidRDefault="00604E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En Colombia, mediante la sentencia T-388 (2013) de la Corte Constitucional, se decl</w:t>
      </w:r>
      <w:r>
        <w:rPr>
          <w:color w:val="000000"/>
        </w:rPr>
        <w:t xml:space="preserve">aró un Estado de Cosas Inconstitucional (ECI) en el sistema penitenciario y carcelario. Tras la decisión se creó una Comisión de Seguimiento de la Sociedad Civil a la implementación de dicha sentencia que  monitorea el cumplimiento de las órdenes. </w:t>
      </w:r>
    </w:p>
    <w:p w14:paraId="6EB84877" w14:textId="77777777" w:rsidR="003F55CD" w:rsidRDefault="00604E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En su d</w:t>
      </w:r>
      <w:r>
        <w:t>écimo informe, l</w:t>
      </w:r>
      <w:r>
        <w:rPr>
          <w:color w:val="000000"/>
        </w:rPr>
        <w:t>a Comisión subrayó como avance la aprobación de la ley de servicio de utilidad pública para mujeres cabeza de familia que cometieron delitos asociados a vulnerabilidad socio-económica (a menudo, delitos de drogas), y podrán acceder a altern</w:t>
      </w:r>
      <w:r>
        <w:rPr>
          <w:color w:val="000000"/>
        </w:rPr>
        <w:t>ativas a la prisión para cumplir su pena</w:t>
      </w:r>
      <w:r>
        <w:rPr>
          <w:vertAlign w:val="superscript"/>
        </w:rPr>
        <w:footnoteReference w:id="16"/>
      </w:r>
      <w:r>
        <w:t xml:space="preserve"> </w:t>
      </w:r>
      <w:r>
        <w:rPr>
          <w:color w:val="000000"/>
        </w:rPr>
        <w:t xml:space="preserve">. </w:t>
      </w:r>
    </w:p>
    <w:p w14:paraId="2EC0FE8F" w14:textId="77777777" w:rsidR="003F55CD" w:rsidRDefault="00604E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Los delitos de drogas son la cuarta causa de reclusión en el país - 10.7% del total -, después del homicidio, el hurto y el concierto para delinquir. Se estima que del total de 6.503 mujeres privadas de la libe</w:t>
      </w:r>
      <w:r>
        <w:rPr>
          <w:color w:val="000000"/>
        </w:rPr>
        <w:t xml:space="preserve">rtad en Colombia, el 39% </w:t>
      </w:r>
      <w:r>
        <w:t>están por</w:t>
      </w:r>
      <w:r>
        <w:rPr>
          <w:color w:val="000000"/>
        </w:rPr>
        <w:t xml:space="preserve"> delitos </w:t>
      </w:r>
      <w:r>
        <w:t>de drogas</w:t>
      </w:r>
      <w:r>
        <w:rPr>
          <w:color w:val="000000"/>
        </w:rPr>
        <w:t>,  y que no desempeñaban un rol significativo dentro de las organizaciones criminales. </w:t>
      </w:r>
    </w:p>
    <w:p w14:paraId="3CF27B35" w14:textId="77777777" w:rsidR="003F55CD" w:rsidRDefault="00604E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Según un informe del Comité Internacional  de la Cruz Roja, la Universidad Javeriana, y el </w:t>
      </w:r>
      <w:r>
        <w:t>CIDE</w:t>
      </w:r>
      <w:r>
        <w:rPr>
          <w:color w:val="000000"/>
        </w:rPr>
        <w:t>, la mayoría de las m</w:t>
      </w:r>
      <w:r>
        <w:rPr>
          <w:color w:val="000000"/>
        </w:rPr>
        <w:t xml:space="preserve">ujeres privadas de libertad viven en condiciones de precariedad económica. El 85% de las mujeres entrevistadas son madres y el 75% son cabezas de familia, que tienen bajo su cuidado hijos u otras personas que dependían económica y emocionalmente de ellas. </w:t>
      </w:r>
      <w:r>
        <w:rPr>
          <w:color w:val="000000"/>
        </w:rPr>
        <w:t xml:space="preserve">En la mayoría de los casos, estas mujeres habían cometido delitos por la necesidad de llevar el sustento a sus hogares y poder suplir las necesidades básicas de quienes dependen </w:t>
      </w:r>
      <w:r>
        <w:t>de</w:t>
      </w:r>
      <w:r>
        <w:rPr>
          <w:color w:val="000000"/>
        </w:rPr>
        <w:t xml:space="preserve"> ellas</w:t>
      </w:r>
      <w:r>
        <w:rPr>
          <w:color w:val="000000"/>
          <w:vertAlign w:val="superscript"/>
        </w:rPr>
        <w:footnoteReference w:id="17"/>
      </w:r>
      <w:r>
        <w:rPr>
          <w:color w:val="000000"/>
        </w:rPr>
        <w:t xml:space="preserve">.   </w:t>
      </w:r>
    </w:p>
    <w:p w14:paraId="3D6D7021" w14:textId="77777777" w:rsidR="003F55CD" w:rsidRDefault="003F55C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2A736D98" w14:textId="77777777" w:rsidR="003F55CD" w:rsidRDefault="00604E1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  <w:color w:val="000000"/>
        </w:rPr>
      </w:pPr>
      <w:r>
        <w:rPr>
          <w:b/>
          <w:color w:val="000000"/>
        </w:rPr>
        <w:t>Las recomendaciones de la Comisión de la Verdad sobre la polít</w:t>
      </w:r>
      <w:r>
        <w:rPr>
          <w:b/>
          <w:color w:val="000000"/>
        </w:rPr>
        <w:t>ica de drogas:</w:t>
      </w:r>
    </w:p>
    <w:p w14:paraId="29401E43" w14:textId="77777777" w:rsidR="003F55CD" w:rsidRDefault="00604E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En Colombia la política de drogas y el conflicto armado se viven de manera concurrente y potenciaron entre sí sus impactos negativos. Es por eso que el Informe Final de la Comisión para el Esclarecimiento de la Verdad, la Convivencia y la No Repetición (en</w:t>
      </w:r>
      <w:r>
        <w:rPr>
          <w:color w:val="000000"/>
        </w:rPr>
        <w:t xml:space="preserve"> adelante, CEV)</w:t>
      </w:r>
      <w:r>
        <w:rPr>
          <w:color w:val="000000"/>
          <w:vertAlign w:val="superscript"/>
        </w:rPr>
        <w:footnoteReference w:id="18"/>
      </w:r>
      <w:r>
        <w:rPr>
          <w:color w:val="000000"/>
        </w:rPr>
        <w:t>, organismo de justicia transicional creado por el Acuerdo de Paz de 2016, incorporó un estudio de los impactos de esta política y recomendaciones para la construcción de paz.</w:t>
      </w:r>
    </w:p>
    <w:p w14:paraId="1BD5B31A" w14:textId="77777777" w:rsidR="003F55CD" w:rsidRDefault="00604E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La CEV concluyó que la política actual de lucha contra las drog</w:t>
      </w:r>
      <w:r>
        <w:rPr>
          <w:color w:val="000000"/>
        </w:rPr>
        <w:t xml:space="preserve">as es un factor de persistencia </w:t>
      </w:r>
      <w:r>
        <w:t>del</w:t>
      </w:r>
      <w:r>
        <w:rPr>
          <w:color w:val="000000"/>
        </w:rPr>
        <w:t xml:space="preserve"> conflicto armado interno y un motor de violencia, con impactos negativos a nivel </w:t>
      </w:r>
      <w:r>
        <w:rPr>
          <w:color w:val="000000"/>
        </w:rPr>
        <w:lastRenderedPageBreak/>
        <w:t xml:space="preserve">económico, social, cultural y ambiental. También </w:t>
      </w:r>
      <w:r>
        <w:t>afirman</w:t>
      </w:r>
      <w:r>
        <w:rPr>
          <w:color w:val="000000"/>
        </w:rPr>
        <w:t xml:space="preserve"> que el conflicto armado en Colombia seguirá en cuanto se continúe con el modelo de</w:t>
      </w:r>
      <w:r>
        <w:rPr>
          <w:color w:val="000000"/>
        </w:rPr>
        <w:t xml:space="preserve"> prohibición, </w:t>
      </w:r>
      <w:r>
        <w:t xml:space="preserve">que </w:t>
      </w:r>
      <w:r>
        <w:rPr>
          <w:color w:val="000000"/>
        </w:rPr>
        <w:t xml:space="preserve">provee recursos para hacer la guerra. </w:t>
      </w:r>
    </w:p>
    <w:p w14:paraId="7044C036" w14:textId="77777777" w:rsidR="003F55CD" w:rsidRDefault="00604E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El modelo de ‘guerra contra las drogas’ creó dos enemigos internos: la guerrilla y el campesin</w:t>
      </w:r>
      <w:r>
        <w:t>ado</w:t>
      </w:r>
      <w:r>
        <w:rPr>
          <w:color w:val="000000"/>
        </w:rPr>
        <w:t>, tildado de ser un ‘narco-campesino’. Esta estigmatización impidió el desarrollo de políticas que gar</w:t>
      </w:r>
      <w:r>
        <w:rPr>
          <w:color w:val="000000"/>
        </w:rPr>
        <w:t>antizaran los derechos de población civil campesina en medio del conflicto armado</w:t>
      </w:r>
      <w:r>
        <w:t>, mientras se financiaban estrategias como la fumigación aérea con glifosato.</w:t>
      </w:r>
    </w:p>
    <w:p w14:paraId="188EDAAB" w14:textId="77777777" w:rsidR="003F55CD" w:rsidRDefault="00604E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La política de drogas en Colombia y sus fuentes de cooperación promovieron incentivos perversos e</w:t>
      </w:r>
      <w:r>
        <w:rPr>
          <w:color w:val="000000"/>
        </w:rPr>
        <w:t>n la medición del ‘éxito’ que poco permitían conocer el avance o retroceso del goce de derechos de las poblaciones afectadas.</w:t>
      </w:r>
    </w:p>
    <w:p w14:paraId="3B67A01F" w14:textId="77777777" w:rsidR="003F55CD" w:rsidRDefault="00604E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A partir de estos hallazgos, la CEV recomendó, </w:t>
      </w:r>
      <w:r>
        <w:t>entre</w:t>
      </w:r>
      <w:r>
        <w:rPr>
          <w:color w:val="000000"/>
        </w:rPr>
        <w:t xml:space="preserve"> otras medidas: la regulaci</w:t>
      </w:r>
      <w:r>
        <w:t xml:space="preserve">ón de todas las drogas, la desmilitarización de la </w:t>
      </w:r>
      <w:r>
        <w:t>política frente a los cultivos, la creación de espacios de diálogo sobre los impactos de la política, y un cambio de indicadores.</w:t>
      </w:r>
    </w:p>
    <w:p w14:paraId="1176A27A" w14:textId="77777777" w:rsidR="003F55CD" w:rsidRDefault="003F55C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0F43D44D" w14:textId="77777777" w:rsidR="003F55CD" w:rsidRDefault="00604E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Recomendaciones:</w:t>
      </w:r>
    </w:p>
    <w:p w14:paraId="3834475E" w14:textId="77777777" w:rsidR="003F55CD" w:rsidRDefault="00604E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Apoyar la documentación y esclarecimiento de daños por política de drogas, incluyendo daños por la aspersión aérea con glifosato a </w:t>
      </w:r>
      <w:r>
        <w:t>poblaciones y ecosistemas</w:t>
      </w:r>
      <w:r>
        <w:rPr>
          <w:color w:val="000000"/>
        </w:rPr>
        <w:t xml:space="preserve"> y promover medidas de reparación, en colaboración con los Estados que financiaron dichas políticas.</w:t>
      </w:r>
    </w:p>
    <w:p w14:paraId="48A2C03B" w14:textId="77777777" w:rsidR="003F55CD" w:rsidRDefault="00604E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Desarrollar un cambio en las métricas de la política de drogas, de manera que se pueda evaluar temas estructurales de derechos humanos.</w:t>
      </w:r>
    </w:p>
    <w:p w14:paraId="26B58488" w14:textId="77777777" w:rsidR="003F55CD" w:rsidRDefault="00604E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Promover visitas oficiales de mecanismos especiales e incluir en su agenda los temas de política de drogas.</w:t>
      </w:r>
    </w:p>
    <w:p w14:paraId="1CAA1ADE" w14:textId="77777777" w:rsidR="003F55CD" w:rsidRDefault="00604E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Invitar a l</w:t>
      </w:r>
      <w:r>
        <w:rPr>
          <w:color w:val="000000"/>
        </w:rPr>
        <w:t xml:space="preserve">os Estados a acoger la Declaración de Naciones Unidas  </w:t>
      </w:r>
      <w:r>
        <w:t>sobre</w:t>
      </w:r>
      <w:r>
        <w:rPr>
          <w:color w:val="000000"/>
        </w:rPr>
        <w:t xml:space="preserve"> los Derechos de los campesinos y de otras personas que trabajan en zonas rurales, e incorporar su contenido en el componente de desarrol</w:t>
      </w:r>
      <w:r>
        <w:t xml:space="preserve">lo rural </w:t>
      </w:r>
      <w:r>
        <w:rPr>
          <w:color w:val="000000"/>
        </w:rPr>
        <w:t xml:space="preserve">de la política de drogas. </w:t>
      </w:r>
    </w:p>
    <w:p w14:paraId="44D578BC" w14:textId="77777777" w:rsidR="003F55CD" w:rsidRDefault="003F55CD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/>
        <w:jc w:val="both"/>
        <w:rPr>
          <w:color w:val="000000"/>
          <w:highlight w:val="yellow"/>
        </w:rPr>
      </w:pPr>
    </w:p>
    <w:sectPr w:rsidR="003F55CD">
      <w:headerReference w:type="default" r:id="rId9"/>
      <w:footerReference w:type="default" r:id="rId10"/>
      <w:pgSz w:w="11906" w:h="16838"/>
      <w:pgMar w:top="1701" w:right="1134" w:bottom="130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05CAD" w14:textId="77777777" w:rsidR="00604E10" w:rsidRDefault="00604E10">
      <w:r>
        <w:separator/>
      </w:r>
    </w:p>
  </w:endnote>
  <w:endnote w:type="continuationSeparator" w:id="0">
    <w:p w14:paraId="3054B9DF" w14:textId="77777777" w:rsidR="00604E10" w:rsidRDefault="0060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096C9" w14:textId="77777777" w:rsidR="003F55CD" w:rsidRDefault="00604E1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A34CC">
      <w:rPr>
        <w:color w:val="000000"/>
      </w:rPr>
      <w:fldChar w:fldCharType="separate"/>
    </w:r>
    <w:r w:rsidR="00DA34CC">
      <w:rPr>
        <w:noProof/>
        <w:color w:val="000000"/>
      </w:rPr>
      <w:t>1</w:t>
    </w:r>
    <w:r>
      <w:rPr>
        <w:color w:val="000000"/>
      </w:rPr>
      <w:fldChar w:fldCharType="end"/>
    </w:r>
  </w:p>
  <w:p w14:paraId="55B5828C" w14:textId="77777777" w:rsidR="003F55CD" w:rsidRDefault="003F55C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88640" w14:textId="77777777" w:rsidR="00604E10" w:rsidRDefault="00604E10">
      <w:r>
        <w:separator/>
      </w:r>
    </w:p>
  </w:footnote>
  <w:footnote w:type="continuationSeparator" w:id="0">
    <w:p w14:paraId="287F8C69" w14:textId="77777777" w:rsidR="00604E10" w:rsidRDefault="00604E10">
      <w:r>
        <w:continuationSeparator/>
      </w:r>
    </w:p>
  </w:footnote>
  <w:footnote w:id="1">
    <w:p w14:paraId="11694D88" w14:textId="77777777" w:rsidR="003F55CD" w:rsidRDefault="00604E10">
      <w:pP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El presente informe fue elaborado de manera conjunta entre Dejusticia y Elementa DDHH, organizaciones que colaboran en los espacios de sociedad civil y litigio estratégico en la reforma a la política de drogas en Colombia.</w:t>
      </w:r>
    </w:p>
  </w:footnote>
  <w:footnote w:id="2">
    <w:p w14:paraId="0FD019E0" w14:textId="77777777" w:rsidR="003F55CD" w:rsidRDefault="00604E1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Observatorio de drogas de Colombia (2017). Reporte de drogas de Colombia. Ministerio de Justicia y del Derecho. </w:t>
      </w:r>
      <w:hyperlink r:id="rId1">
        <w:r>
          <w:rPr>
            <w:color w:val="0000FF"/>
            <w:sz w:val="20"/>
            <w:szCs w:val="20"/>
            <w:u w:val="single"/>
          </w:rPr>
          <w:t>http://www.odc.gov.co/Po</w:t>
        </w:r>
        <w:r>
          <w:rPr>
            <w:color w:val="0000FF"/>
            <w:sz w:val="20"/>
            <w:szCs w:val="20"/>
            <w:u w:val="single"/>
          </w:rPr>
          <w:t>rtals/1/publicaciones/pdf/odc-libro-blanco/reporte_drogas_colombia_2017.pdf</w:t>
        </w:r>
      </w:hyperlink>
      <w:r>
        <w:rPr>
          <w:color w:val="0000FF"/>
          <w:sz w:val="20"/>
          <w:szCs w:val="20"/>
          <w:u w:val="single"/>
        </w:rPr>
        <w:t xml:space="preserve">. </w:t>
      </w:r>
    </w:p>
  </w:footnote>
  <w:footnote w:id="3">
    <w:p w14:paraId="3D7D5415" w14:textId="77777777" w:rsidR="003F55CD" w:rsidRDefault="00604E10">
      <w:pP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Cruz, L., Malagón, A., &amp; Castiblanco, C. (2020). </w:t>
      </w:r>
      <w:r>
        <w:rPr>
          <w:i/>
          <w:sz w:val="20"/>
          <w:szCs w:val="20"/>
        </w:rPr>
        <w:t>El daño que nos hacen: Glifosato y guerra en Caquetá / Ejercicio de memoria histórica sobre el territorio caqueteño en medio de la guerra contra las drogas</w:t>
      </w:r>
      <w:r>
        <w:rPr>
          <w:sz w:val="20"/>
          <w:szCs w:val="20"/>
        </w:rPr>
        <w:t xml:space="preserve">. Dejusticia. </w:t>
      </w:r>
      <w:hyperlink r:id="rId2">
        <w:r>
          <w:rPr>
            <w:color w:val="0000FF"/>
            <w:sz w:val="20"/>
            <w:szCs w:val="20"/>
            <w:u w:val="single"/>
          </w:rPr>
          <w:t>https://www.dejusticia.org/lanzamos-informe-sobre-el-glifosato-y-la-guerra-en-caqueta-que-sera-presentado-a-la-comision-de-la-verdad/</w:t>
        </w:r>
      </w:hyperlink>
      <w:r>
        <w:rPr>
          <w:sz w:val="20"/>
          <w:szCs w:val="20"/>
        </w:rPr>
        <w:t xml:space="preserve">, p. 162. </w:t>
      </w:r>
    </w:p>
  </w:footnote>
  <w:footnote w:id="4">
    <w:p w14:paraId="0C0F7BD4" w14:textId="77777777" w:rsidR="003F55CD" w:rsidRDefault="00604E10">
      <w:pP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Cruz, L., Malagón, A., &amp; Castiblanco, C. (20</w:t>
      </w:r>
      <w:r>
        <w:rPr>
          <w:sz w:val="20"/>
          <w:szCs w:val="20"/>
        </w:rPr>
        <w:t xml:space="preserve">20). </w:t>
      </w:r>
      <w:r>
        <w:rPr>
          <w:i/>
          <w:sz w:val="20"/>
          <w:szCs w:val="20"/>
        </w:rPr>
        <w:t>El daño que nos hacen: Glifosato y guerra en Caquetá / Ejercicio de memoria histórica sobre el territorio caqueteño en medio de la guerra contra las drogas</w:t>
      </w:r>
      <w:r>
        <w:rPr>
          <w:sz w:val="20"/>
          <w:szCs w:val="20"/>
        </w:rPr>
        <w:t xml:space="preserve">. Dejusticia. </w:t>
      </w:r>
      <w:hyperlink r:id="rId3">
        <w:r>
          <w:rPr>
            <w:color w:val="0000FF"/>
            <w:sz w:val="20"/>
            <w:szCs w:val="20"/>
            <w:u w:val="single"/>
          </w:rPr>
          <w:t>https://www.dejusticia.org/lanzamos-informe-sobre-el-glifosato-y-la-guerra-en-caqueta-que-sera-presentado-a-la-comision-de-la-verdad/</w:t>
        </w:r>
      </w:hyperlink>
      <w:r>
        <w:rPr>
          <w:sz w:val="20"/>
          <w:szCs w:val="20"/>
        </w:rPr>
        <w:t xml:space="preserve">, p. 164. </w:t>
      </w:r>
    </w:p>
  </w:footnote>
  <w:footnote w:id="5">
    <w:p w14:paraId="490E3175" w14:textId="77777777" w:rsidR="003F55CD" w:rsidRDefault="00604E1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Para ver la línea del tiempo de las asp</w:t>
      </w:r>
      <w:r>
        <w:rPr>
          <w:color w:val="000000"/>
          <w:sz w:val="20"/>
          <w:szCs w:val="20"/>
        </w:rPr>
        <w:t xml:space="preserve">ersiones aéreas con glifosato en Colombia recomendamos visitar </w:t>
      </w:r>
      <w:hyperlink r:id="rId4">
        <w:r>
          <w:rPr>
            <w:color w:val="0000FF"/>
            <w:sz w:val="20"/>
            <w:szCs w:val="20"/>
            <w:u w:val="single"/>
          </w:rPr>
          <w:t>https://www.dejusticia.org/nuestros-temas/politica-de-drogas/linea-de-</w:t>
        </w:r>
        <w:r>
          <w:rPr>
            <w:color w:val="0000FF"/>
            <w:sz w:val="20"/>
            <w:szCs w:val="20"/>
            <w:u w:val="single"/>
          </w:rPr>
          <w:t>tiempo-del-glifosato-en-colombia/</w:t>
        </w:r>
      </w:hyperlink>
      <w:r>
        <w:rPr>
          <w:color w:val="000000"/>
          <w:sz w:val="20"/>
          <w:szCs w:val="20"/>
        </w:rPr>
        <w:t xml:space="preserve">. </w:t>
      </w:r>
    </w:p>
  </w:footnote>
  <w:footnote w:id="6">
    <w:p w14:paraId="408C2D3F" w14:textId="77777777" w:rsidR="003F55CD" w:rsidRDefault="00604E1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Centro de Derechos </w:t>
      </w:r>
      <w:r>
        <w:rPr>
          <w:sz w:val="20"/>
          <w:szCs w:val="20"/>
        </w:rPr>
        <w:t>Reproductivos</w:t>
      </w:r>
      <w:r>
        <w:rPr>
          <w:color w:val="000000"/>
          <w:sz w:val="20"/>
          <w:szCs w:val="20"/>
        </w:rPr>
        <w:t xml:space="preserve"> y Grupo de Epidemiología y Salud Poblacional de la Universidad del Valle. (2020). </w:t>
      </w:r>
      <w:r>
        <w:rPr>
          <w:i/>
          <w:color w:val="000000"/>
          <w:sz w:val="20"/>
          <w:szCs w:val="20"/>
        </w:rPr>
        <w:t>Salud Reproductiva y Glifosato en el Contexto de Conflicto Armado.</w:t>
      </w:r>
      <w:r>
        <w:rPr>
          <w:color w:val="000000"/>
          <w:sz w:val="20"/>
          <w:szCs w:val="20"/>
        </w:rPr>
        <w:t xml:space="preserve"> CDR. </w:t>
      </w:r>
      <w:hyperlink r:id="rId5">
        <w:r>
          <w:rPr>
            <w:color w:val="0000FF"/>
            <w:sz w:val="20"/>
            <w:szCs w:val="20"/>
            <w:u w:val="single"/>
          </w:rPr>
          <w:t>https://reproductiverights.org/wp-content/uploads/2020/12/Salud-Reproductiva-y-Glifosato-en-el-Contexto-de-Conflicto-Armado.pdf</w:t>
        </w:r>
      </w:hyperlink>
      <w:r>
        <w:rPr>
          <w:color w:val="000000"/>
          <w:sz w:val="20"/>
          <w:szCs w:val="20"/>
        </w:rPr>
        <w:t xml:space="preserve">, página 6. </w:t>
      </w:r>
    </w:p>
  </w:footnote>
  <w:footnote w:id="7">
    <w:p w14:paraId="5CB09843" w14:textId="77777777" w:rsidR="003F55CD" w:rsidRDefault="00604E10">
      <w:pPr>
        <w:widowControl w:val="0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CIDH. (2018). Informe No. 76/18. Admisibilidad. Petición 1453-08. Yaneth Vald</w:t>
      </w:r>
      <w:r>
        <w:rPr>
          <w:sz w:val="20"/>
          <w:szCs w:val="20"/>
        </w:rPr>
        <w:t xml:space="preserve">errama y familia. Colombia. </w:t>
      </w:r>
      <w:hyperlink r:id="rId6">
        <w:r>
          <w:rPr>
            <w:color w:val="0000FF"/>
            <w:sz w:val="20"/>
            <w:szCs w:val="20"/>
            <w:u w:val="single"/>
          </w:rPr>
          <w:t>https://www.oas.org/es/cidh/decisiones/2018/COAD1453-08ES.pdf</w:t>
        </w:r>
      </w:hyperlink>
      <w:r>
        <w:rPr>
          <w:sz w:val="20"/>
          <w:szCs w:val="20"/>
        </w:rPr>
        <w:t xml:space="preserve"> </w:t>
      </w:r>
    </w:p>
  </w:footnote>
  <w:footnote w:id="8">
    <w:p w14:paraId="7DCE1C07" w14:textId="77777777" w:rsidR="003F55CD" w:rsidRDefault="00604E1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Observatorio de Tierras. (2020). </w:t>
      </w:r>
      <w:r>
        <w:rPr>
          <w:i/>
          <w:color w:val="000000"/>
          <w:sz w:val="20"/>
          <w:szCs w:val="20"/>
        </w:rPr>
        <w:t>Erradicación forzada: Una política que mata</w:t>
      </w:r>
      <w:r>
        <w:rPr>
          <w:color w:val="000000"/>
          <w:sz w:val="20"/>
          <w:szCs w:val="20"/>
        </w:rPr>
        <w:t xml:space="preserve">. Observatorio Tierras. </w:t>
      </w:r>
      <w:hyperlink r:id="rId7">
        <w:r>
          <w:rPr>
            <w:color w:val="0000FF"/>
            <w:sz w:val="20"/>
            <w:szCs w:val="20"/>
            <w:u w:val="single"/>
          </w:rPr>
          <w:t>https://www.observatoriodetierras.org/erradicacion-forzad</w:t>
        </w:r>
        <w:r>
          <w:rPr>
            <w:color w:val="0000FF"/>
            <w:sz w:val="20"/>
            <w:szCs w:val="20"/>
            <w:u w:val="single"/>
          </w:rPr>
          <w:t>a-politica-que-mata/</w:t>
        </w:r>
      </w:hyperlink>
      <w:r>
        <w:rPr>
          <w:color w:val="000000"/>
          <w:sz w:val="20"/>
          <w:szCs w:val="20"/>
        </w:rPr>
        <w:t xml:space="preserve">. </w:t>
      </w:r>
    </w:p>
  </w:footnote>
  <w:footnote w:id="9">
    <w:p w14:paraId="671622A4" w14:textId="77777777" w:rsidR="003F55CD" w:rsidRDefault="00604E1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International Crisis Group. (2021). </w:t>
      </w:r>
      <w:r>
        <w:rPr>
          <w:i/>
          <w:color w:val="000000"/>
          <w:sz w:val="20"/>
          <w:szCs w:val="20"/>
        </w:rPr>
        <w:t>Raíces profundas: Coca, erradicación y violencia en Colombia</w:t>
      </w:r>
      <w:r>
        <w:rPr>
          <w:color w:val="000000"/>
          <w:sz w:val="20"/>
          <w:szCs w:val="20"/>
        </w:rPr>
        <w:t xml:space="preserve"> (N.o 87; Latin America &amp; Caribbean). International Crisis Group. </w:t>
      </w:r>
      <w:hyperlink r:id="rId8">
        <w:r>
          <w:rPr>
            <w:color w:val="0000FF"/>
            <w:sz w:val="20"/>
            <w:szCs w:val="20"/>
            <w:u w:val="single"/>
          </w:rPr>
          <w:t>https://www.crisisgroup.org/es/latin-america-caribbean/andes/colombia/87-deeply-rooted-coca-eradication-and-violence-colombia</w:t>
        </w:r>
      </w:hyperlink>
      <w:r>
        <w:rPr>
          <w:color w:val="000000"/>
          <w:sz w:val="20"/>
          <w:szCs w:val="20"/>
        </w:rPr>
        <w:t xml:space="preserve">. </w:t>
      </w:r>
    </w:p>
  </w:footnote>
  <w:footnote w:id="10">
    <w:p w14:paraId="573BCF35" w14:textId="77777777" w:rsidR="003F55CD" w:rsidRDefault="00604E1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Rodriguez, C. (2020). </w:t>
      </w:r>
      <w:r>
        <w:rPr>
          <w:i/>
          <w:color w:val="000000"/>
          <w:sz w:val="20"/>
          <w:szCs w:val="20"/>
        </w:rPr>
        <w:t>The Effects of Aerial Sprayi</w:t>
      </w:r>
      <w:r>
        <w:rPr>
          <w:i/>
          <w:color w:val="000000"/>
          <w:sz w:val="20"/>
          <w:szCs w:val="20"/>
        </w:rPr>
        <w:t>ng of Coca Crops on Child Labor, School Attendance, and Educational Lag in Colombia, 2008-2012</w:t>
      </w:r>
      <w:r>
        <w:rPr>
          <w:color w:val="000000"/>
          <w:sz w:val="20"/>
          <w:szCs w:val="20"/>
        </w:rPr>
        <w:t xml:space="preserve">. </w:t>
      </w:r>
      <w:hyperlink r:id="rId9">
        <w:r>
          <w:rPr>
            <w:color w:val="0000FF"/>
            <w:sz w:val="20"/>
            <w:szCs w:val="20"/>
            <w:u w:val="single"/>
          </w:rPr>
          <w:t>https://doi.org/10.33682/arm2-m7tn</w:t>
        </w:r>
      </w:hyperlink>
      <w:r>
        <w:rPr>
          <w:color w:val="000000"/>
          <w:sz w:val="20"/>
          <w:szCs w:val="20"/>
        </w:rPr>
        <w:t xml:space="preserve">. </w:t>
      </w:r>
    </w:p>
  </w:footnote>
  <w:footnote w:id="11">
    <w:p w14:paraId="2C891818" w14:textId="77777777" w:rsidR="003F55CD" w:rsidRDefault="00604E1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Machuca, D. (2021). </w:t>
      </w:r>
      <w:r>
        <w:rPr>
          <w:i/>
          <w:color w:val="000000"/>
          <w:sz w:val="20"/>
          <w:szCs w:val="20"/>
        </w:rPr>
        <w:t>La Paz con hambre y bala está muy difícil: Reporte de seguimiento a la implementación del PNIS</w:t>
      </w:r>
      <w:r>
        <w:rPr>
          <w:color w:val="000000"/>
          <w:sz w:val="20"/>
          <w:szCs w:val="20"/>
        </w:rPr>
        <w:t xml:space="preserve"> (p. 87). Observatorio de Restitución y Regulación de Derechos de Propiedad Agraria. </w:t>
      </w:r>
      <w:hyperlink r:id="rId10">
        <w:r>
          <w:rPr>
            <w:color w:val="0000FF"/>
            <w:sz w:val="20"/>
            <w:szCs w:val="20"/>
            <w:u w:val="single"/>
          </w:rPr>
          <w:t>https://www.observatoriodetierras.org/wp-content/uploads/2022/01/La-paz-con-hambre-y-bala-est%C3%A1-muy-dif%C3%ADcil.pdf</w:t>
        </w:r>
      </w:hyperlink>
      <w:r>
        <w:rPr>
          <w:color w:val="000000"/>
          <w:sz w:val="20"/>
          <w:szCs w:val="20"/>
        </w:rPr>
        <w:t>, p. 33.</w:t>
      </w:r>
    </w:p>
  </w:footnote>
  <w:footnote w:id="12">
    <w:p w14:paraId="226E2384" w14:textId="77777777" w:rsidR="003F55CD" w:rsidRDefault="00604E1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Machuca, D. (2021). </w:t>
      </w:r>
      <w:r>
        <w:rPr>
          <w:i/>
          <w:color w:val="000000"/>
          <w:sz w:val="20"/>
          <w:szCs w:val="20"/>
        </w:rPr>
        <w:t>La Paz con hambre y bala está muy difícil:</w:t>
      </w:r>
      <w:r>
        <w:rPr>
          <w:i/>
          <w:color w:val="000000"/>
          <w:sz w:val="20"/>
          <w:szCs w:val="20"/>
        </w:rPr>
        <w:t xml:space="preserve"> Reporte de seguimiento a la implementación del PNIS</w:t>
      </w:r>
      <w:r>
        <w:rPr>
          <w:color w:val="000000"/>
          <w:sz w:val="20"/>
          <w:szCs w:val="20"/>
        </w:rPr>
        <w:t xml:space="preserve"> (p. 87). Observatorio de Restitución y Regulación de Derechos de Propiedad Agraria. </w:t>
      </w:r>
      <w:hyperlink r:id="rId11">
        <w:r>
          <w:rPr>
            <w:color w:val="0000FF"/>
            <w:sz w:val="20"/>
            <w:szCs w:val="20"/>
            <w:u w:val="single"/>
          </w:rPr>
          <w:t>https://www.observatoriodetierras.org/wp-content/uploads/2022/01/La-paz-con-hambre-y-bala-est%C3%A1-muy-dif%C3%ADcil.pdf</w:t>
        </w:r>
      </w:hyperlink>
      <w:r>
        <w:rPr>
          <w:color w:val="000000"/>
          <w:sz w:val="20"/>
          <w:szCs w:val="20"/>
        </w:rPr>
        <w:t>, p. 35.</w:t>
      </w:r>
    </w:p>
  </w:footnote>
  <w:footnote w:id="13">
    <w:p w14:paraId="76554DC6" w14:textId="77777777" w:rsidR="003F55CD" w:rsidRDefault="00604E1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UNODC y Gobierno de Colombia. (2022). </w:t>
      </w:r>
      <w:r>
        <w:rPr>
          <w:i/>
          <w:color w:val="000000"/>
          <w:sz w:val="20"/>
          <w:szCs w:val="20"/>
        </w:rPr>
        <w:t>Monitoreo de territorios afectados por cultivos ilícitos 2021</w:t>
      </w:r>
      <w:r>
        <w:rPr>
          <w:color w:val="000000"/>
          <w:sz w:val="20"/>
          <w:szCs w:val="20"/>
        </w:rPr>
        <w:t xml:space="preserve"> (p. </w:t>
      </w:r>
      <w:r>
        <w:rPr>
          <w:color w:val="000000"/>
          <w:sz w:val="20"/>
          <w:szCs w:val="20"/>
        </w:rPr>
        <w:t xml:space="preserve">173). Oficina de las Naciones Unidas contra la Droga y el Delito. </w:t>
      </w:r>
      <w:hyperlink r:id="rId12">
        <w:r>
          <w:rPr>
            <w:color w:val="0000FF"/>
            <w:sz w:val="20"/>
            <w:szCs w:val="20"/>
            <w:u w:val="single"/>
          </w:rPr>
          <w:t>https://www.unodc.org/documents/crop-monitoring/Colombia/INFORME_MONITOREO_COL_2021</w:t>
        </w:r>
        <w:r>
          <w:rPr>
            <w:color w:val="0000FF"/>
            <w:sz w:val="20"/>
            <w:szCs w:val="20"/>
            <w:u w:val="single"/>
          </w:rPr>
          <w:t>.pdf</w:t>
        </w:r>
      </w:hyperlink>
      <w:r>
        <w:rPr>
          <w:color w:val="000000"/>
          <w:sz w:val="20"/>
          <w:szCs w:val="20"/>
        </w:rPr>
        <w:t xml:space="preserve">, p. 29. </w:t>
      </w:r>
    </w:p>
  </w:footnote>
  <w:footnote w:id="14">
    <w:p w14:paraId="4195A86E" w14:textId="77777777" w:rsidR="003F55CD" w:rsidRDefault="00604E1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Rubiano-Lizarazo, J., Marín Llanes, L., Dávalos, E., Hernández, E., &amp; Vélez, M. A. (2022). </w:t>
      </w:r>
      <w:r>
        <w:rPr>
          <w:i/>
          <w:color w:val="000000"/>
          <w:sz w:val="20"/>
          <w:szCs w:val="20"/>
        </w:rPr>
        <w:t xml:space="preserve">Caracterización de los hogares vinculados al Programa Nacional Integral de Sustitución de Cultivos Ilícitos (PNIS) en Zonas de Manejo Especial </w:t>
      </w:r>
      <w:r>
        <w:rPr>
          <w:color w:val="000000"/>
          <w:sz w:val="20"/>
          <w:szCs w:val="20"/>
        </w:rPr>
        <w:t>(N.o 3</w:t>
      </w:r>
      <w:r>
        <w:rPr>
          <w:color w:val="000000"/>
          <w:sz w:val="20"/>
          <w:szCs w:val="20"/>
        </w:rPr>
        <w:t xml:space="preserve">0; Documento temático, p. 46). Centro de Estudios sobre Seguridad y Drogas. </w:t>
      </w:r>
      <w:hyperlink r:id="rId13">
        <w:r>
          <w:rPr>
            <w:color w:val="0000FF"/>
            <w:sz w:val="20"/>
            <w:szCs w:val="20"/>
            <w:u w:val="single"/>
          </w:rPr>
          <w:t>https://cesed.uniandes.edu.co/wp-content/uploads/2022/06/C</w:t>
        </w:r>
        <w:r>
          <w:rPr>
            <w:color w:val="0000FF"/>
            <w:sz w:val="20"/>
            <w:szCs w:val="20"/>
            <w:u w:val="single"/>
          </w:rPr>
          <w:t>aracterizacion-hogares-PNIS-en-ZME-Final.pdf</w:t>
        </w:r>
      </w:hyperlink>
      <w:r>
        <w:rPr>
          <w:color w:val="000000"/>
          <w:sz w:val="20"/>
          <w:szCs w:val="20"/>
        </w:rPr>
        <w:t>, p. 13.</w:t>
      </w:r>
    </w:p>
  </w:footnote>
  <w:footnote w:id="15">
    <w:p w14:paraId="256B5569" w14:textId="77777777" w:rsidR="003F55CD" w:rsidRDefault="00604E10">
      <w:pP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20"/>
          <w:szCs w:val="20"/>
        </w:rPr>
        <w:t xml:space="preserve">Las cifras presentadas del INPEC provienen del </w:t>
      </w:r>
      <w:r>
        <w:rPr>
          <w:i/>
          <w:sz w:val="20"/>
          <w:szCs w:val="20"/>
        </w:rPr>
        <w:t>Informe estadístico No. 12</w:t>
      </w:r>
      <w:r>
        <w:rPr>
          <w:sz w:val="20"/>
          <w:szCs w:val="20"/>
        </w:rPr>
        <w:t xml:space="preserve"> (2022), disponible en: </w:t>
      </w:r>
      <w:hyperlink r:id="rId14">
        <w:r>
          <w:rPr>
            <w:color w:val="0000FF"/>
            <w:sz w:val="20"/>
            <w:szCs w:val="20"/>
            <w:u w:val="single"/>
          </w:rPr>
          <w:t>https://bit.ly/3M5ICH1</w:t>
        </w:r>
      </w:hyperlink>
      <w:r>
        <w:rPr>
          <w:sz w:val="20"/>
          <w:szCs w:val="20"/>
        </w:rPr>
        <w:t xml:space="preserve"> </w:t>
      </w:r>
    </w:p>
  </w:footnote>
  <w:footnote w:id="16">
    <w:p w14:paraId="21B861A2" w14:textId="77777777" w:rsidR="003F55CD" w:rsidRDefault="00604E10">
      <w:pPr>
        <w:widowControl w:val="0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Comisión de Seguimiento de la Senten</w:t>
      </w:r>
      <w:r>
        <w:rPr>
          <w:sz w:val="20"/>
          <w:szCs w:val="20"/>
        </w:rPr>
        <w:t xml:space="preserve">cia T-388 de 2013 (2022). </w:t>
      </w:r>
      <w:r>
        <w:rPr>
          <w:i/>
          <w:sz w:val="20"/>
          <w:szCs w:val="20"/>
        </w:rPr>
        <w:t>Décimo informe de la sociedad civil al estado de cosas inconstitucional del sistema penitenciario y carcelario.</w:t>
      </w:r>
      <w:r>
        <w:rPr>
          <w:sz w:val="20"/>
          <w:szCs w:val="20"/>
        </w:rPr>
        <w:t xml:space="preserve"> </w:t>
      </w:r>
      <w:hyperlink r:id="rId15">
        <w:r>
          <w:rPr>
            <w:color w:val="0000FF"/>
            <w:sz w:val="20"/>
            <w:szCs w:val="20"/>
            <w:u w:val="single"/>
          </w:rPr>
          <w:t>https://www.humanas.org.co</w:t>
        </w:r>
        <w:r>
          <w:rPr>
            <w:color w:val="0000FF"/>
            <w:sz w:val="20"/>
            <w:szCs w:val="20"/>
            <w:u w:val="single"/>
          </w:rPr>
          <w:t>/decimo-informe-de-la-comision-de-seguimiento/</w:t>
        </w:r>
      </w:hyperlink>
      <w:r>
        <w:rPr>
          <w:sz w:val="20"/>
          <w:szCs w:val="20"/>
        </w:rPr>
        <w:t xml:space="preserve">, p. 9. </w:t>
      </w:r>
    </w:p>
  </w:footnote>
  <w:footnote w:id="17">
    <w:p w14:paraId="39863814" w14:textId="77777777" w:rsidR="003F55CD" w:rsidRDefault="00604E1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Pontificia Universidad Javeriana, Facultad de Ciencias Jurídicas, Comité Internacional de la Cruz Roja, Colombia, y Centro de Investigación y Docencia Económicas, México. (2018). </w:t>
      </w:r>
      <w:r>
        <w:rPr>
          <w:i/>
          <w:color w:val="000000"/>
          <w:sz w:val="20"/>
          <w:szCs w:val="20"/>
        </w:rPr>
        <w:t>Mujeres y prisión en</w:t>
      </w:r>
      <w:r>
        <w:rPr>
          <w:i/>
          <w:color w:val="000000"/>
          <w:sz w:val="20"/>
          <w:szCs w:val="20"/>
        </w:rPr>
        <w:t xml:space="preserve"> Colombia: Desafíos para la política criminal desde un enfoque de género.</w:t>
      </w:r>
      <w:r>
        <w:rPr>
          <w:color w:val="000000"/>
          <w:sz w:val="20"/>
          <w:szCs w:val="20"/>
        </w:rPr>
        <w:t xml:space="preserve"> </w:t>
      </w:r>
      <w:hyperlink r:id="rId16">
        <w:r>
          <w:rPr>
            <w:color w:val="0000FF"/>
            <w:sz w:val="20"/>
            <w:szCs w:val="20"/>
            <w:u w:val="single"/>
          </w:rPr>
          <w:t>https://repository.javeriana.edu.co/handle/10554/41010</w:t>
        </w:r>
      </w:hyperlink>
      <w:r>
        <w:rPr>
          <w:color w:val="000000"/>
          <w:sz w:val="20"/>
          <w:szCs w:val="20"/>
        </w:rPr>
        <w:t xml:space="preserve"> </w:t>
      </w:r>
    </w:p>
  </w:footnote>
  <w:footnote w:id="18">
    <w:p w14:paraId="6D2221E4" w14:textId="77777777" w:rsidR="003F55CD" w:rsidRDefault="00604E1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CEV. (2022). </w:t>
      </w:r>
      <w:r>
        <w:rPr>
          <w:i/>
          <w:color w:val="000000"/>
          <w:sz w:val="20"/>
          <w:szCs w:val="20"/>
        </w:rPr>
        <w:t>Hay futuro si hay verdad. Informe final: Hallazgos y recomendaciones de la Comisión de la Verdad en Colombia.</w:t>
      </w:r>
      <w:r>
        <w:rPr>
          <w:color w:val="000000"/>
          <w:sz w:val="20"/>
          <w:szCs w:val="20"/>
        </w:rPr>
        <w:t xml:space="preserve"> </w:t>
      </w:r>
      <w:hyperlink r:id="rId17">
        <w:r>
          <w:rPr>
            <w:color w:val="0000FF"/>
            <w:sz w:val="20"/>
            <w:szCs w:val="20"/>
            <w:u w:val="single"/>
          </w:rPr>
          <w:t>https://bit.ly/457rXf3</w:t>
        </w:r>
      </w:hyperlink>
      <w:r>
        <w:rPr>
          <w:color w:val="000000"/>
          <w:sz w:val="20"/>
          <w:szCs w:val="20"/>
        </w:rPr>
        <w:t xml:space="preserve"> </w:t>
      </w:r>
    </w:p>
    <w:p w14:paraId="517B24BC" w14:textId="77777777" w:rsidR="003F55CD" w:rsidRDefault="003F55C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73AD8" w14:textId="77777777" w:rsidR="003F55CD" w:rsidRDefault="003F55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i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31347"/>
    <w:multiLevelType w:val="multilevel"/>
    <w:tmpl w:val="7D6C17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F5220"/>
    <w:multiLevelType w:val="multilevel"/>
    <w:tmpl w:val="D21894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5CD"/>
    <w:rsid w:val="003F55CD"/>
    <w:rsid w:val="00604E10"/>
    <w:rsid w:val="00DA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09BE4E0"/>
  <w15:docId w15:val="{9DC3F94A-935F-FD48-B029-E619B9D3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8DF"/>
  </w:style>
  <w:style w:type="paragraph" w:styleId="Ttulo1">
    <w:name w:val="heading 1"/>
    <w:basedOn w:val="Normal"/>
    <w:next w:val="Normal"/>
    <w:uiPriority w:val="9"/>
    <w:qFormat/>
    <w:pPr>
      <w:spacing w:before="100" w:after="10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widowControl w:val="0"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70CAA"/>
    <w:pPr>
      <w:widowControl w:val="0"/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0CAA"/>
  </w:style>
  <w:style w:type="paragraph" w:styleId="Piedepgina">
    <w:name w:val="footer"/>
    <w:basedOn w:val="Normal"/>
    <w:link w:val="PiedepginaCar"/>
    <w:uiPriority w:val="99"/>
    <w:unhideWhenUsed/>
    <w:rsid w:val="00D70CAA"/>
    <w:pPr>
      <w:widowControl w:val="0"/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CAA"/>
  </w:style>
  <w:style w:type="paragraph" w:styleId="Textonotapie">
    <w:name w:val="footnote text"/>
    <w:basedOn w:val="Normal"/>
    <w:link w:val="TextonotapieCar"/>
    <w:uiPriority w:val="99"/>
    <w:unhideWhenUsed/>
    <w:rsid w:val="00D30D22"/>
    <w:pPr>
      <w:widowControl w:val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30D22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D30D22"/>
    <w:pPr>
      <w:widowControl w:val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30D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0D22"/>
    <w:rPr>
      <w:vertAlign w:val="superscript"/>
    </w:rPr>
  </w:style>
  <w:style w:type="character" w:styleId="Refdenotaalfinal">
    <w:name w:val="endnote reference"/>
    <w:basedOn w:val="Fuentedeprrafopredeter"/>
    <w:uiPriority w:val="99"/>
    <w:unhideWhenUsed/>
    <w:rsid w:val="00D30D2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845E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845E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029C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29C"/>
    <w:rPr>
      <w:sz w:val="18"/>
      <w:szCs w:val="18"/>
    </w:rPr>
  </w:style>
  <w:style w:type="paragraph" w:styleId="Prrafodelista">
    <w:name w:val="List Paragraph"/>
    <w:basedOn w:val="Normal"/>
    <w:uiPriority w:val="34"/>
    <w:qFormat/>
    <w:rsid w:val="00470440"/>
    <w:pPr>
      <w:ind w:left="720"/>
      <w:contextualSpacing/>
    </w:pPr>
  </w:style>
  <w:style w:type="character" w:customStyle="1" w:styleId="normaltextrun">
    <w:name w:val="normaltextrun"/>
    <w:basedOn w:val="Fuentedeprrafopredeter"/>
    <w:rsid w:val="00C94491"/>
  </w:style>
  <w:style w:type="character" w:customStyle="1" w:styleId="superscript">
    <w:name w:val="superscript"/>
    <w:basedOn w:val="Fuentedeprrafopredeter"/>
    <w:rsid w:val="00C94491"/>
  </w:style>
  <w:style w:type="character" w:styleId="Hipervnculovisitado">
    <w:name w:val="FollowedHyperlink"/>
    <w:basedOn w:val="Fuentedeprrafopredeter"/>
    <w:uiPriority w:val="99"/>
    <w:semiHidden/>
    <w:unhideWhenUsed/>
    <w:rsid w:val="00D13ED4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02F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2F9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2F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2F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2F9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A00AB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findhit">
    <w:name w:val="findhit"/>
    <w:basedOn w:val="Fuentedeprrafopredeter"/>
    <w:rsid w:val="00F708DF"/>
  </w:style>
  <w:style w:type="paragraph" w:customStyle="1" w:styleId="SingleTxtG">
    <w:name w:val="_ Single Txt_G"/>
    <w:basedOn w:val="Normal"/>
    <w:link w:val="SingleTxtGChar"/>
    <w:rsid w:val="00384330"/>
    <w:pPr>
      <w:suppressAutoHyphens/>
      <w:spacing w:after="120" w:line="240" w:lineRule="atLeast"/>
      <w:ind w:left="1134" w:right="1134"/>
      <w:jc w:val="both"/>
    </w:pPr>
    <w:rPr>
      <w:sz w:val="20"/>
      <w:szCs w:val="20"/>
      <w:lang w:eastAsia="en-US"/>
    </w:rPr>
  </w:style>
  <w:style w:type="character" w:customStyle="1" w:styleId="SingleTxtGChar">
    <w:name w:val="_ Single Txt_G Char"/>
    <w:link w:val="SingleTxtG"/>
    <w:rsid w:val="00384330"/>
    <w:rPr>
      <w:sz w:val="20"/>
      <w:szCs w:val="20"/>
      <w:lang w:eastAsia="en-US"/>
    </w:rPr>
  </w:style>
  <w:style w:type="paragraph" w:styleId="Revisin">
    <w:name w:val="Revision"/>
    <w:hidden/>
    <w:uiPriority w:val="99"/>
    <w:semiHidden/>
    <w:rsid w:val="00F85F30"/>
  </w:style>
  <w:style w:type="paragraph" w:styleId="Bibliografa">
    <w:name w:val="Bibliography"/>
    <w:basedOn w:val="Normal"/>
    <w:next w:val="Normal"/>
    <w:uiPriority w:val="37"/>
    <w:semiHidden/>
    <w:unhideWhenUsed/>
    <w:rsid w:val="00041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isisgroup.org/es/latin-america-caribbean/andes/colombia/87-deeply-rooted-coca-eradication-and-violence-colombia" TargetMode="External"/><Relationship Id="rId13" Type="http://schemas.openxmlformats.org/officeDocument/2006/relationships/hyperlink" Target="https://cesed.uniandes.edu.co/wp-content/uploads/2022/06/Caracterizacion-hogares-PNIS-en-ZME-Final.pdf" TargetMode="External"/><Relationship Id="rId3" Type="http://schemas.openxmlformats.org/officeDocument/2006/relationships/hyperlink" Target="https://www.dejusticia.org/lanzamos-informe-sobre-el-glifosato-y-la-guerra-en-caqueta-que-sera-presentado-a-la-comision-de-la-verdad/" TargetMode="External"/><Relationship Id="rId7" Type="http://schemas.openxmlformats.org/officeDocument/2006/relationships/hyperlink" Target="https://www.observatoriodetierras.org/erradicacion-forzada-politica-que-mata/" TargetMode="External"/><Relationship Id="rId12" Type="http://schemas.openxmlformats.org/officeDocument/2006/relationships/hyperlink" Target="https://www.unodc.org/documents/crop-monitoring/Colombia/INFORME_MONITOREO_COL_2021.pdf" TargetMode="External"/><Relationship Id="rId17" Type="http://schemas.openxmlformats.org/officeDocument/2006/relationships/hyperlink" Target="https://bit.ly/457rXf3" TargetMode="External"/><Relationship Id="rId2" Type="http://schemas.openxmlformats.org/officeDocument/2006/relationships/hyperlink" Target="https://www.dejusticia.org/lanzamos-informe-sobre-el-glifosato-y-la-guerra-en-caqueta-que-sera-presentado-a-la-comision-de-la-verdad/" TargetMode="External"/><Relationship Id="rId16" Type="http://schemas.openxmlformats.org/officeDocument/2006/relationships/hyperlink" Target="https://repository.javeriana.edu.co/handle/10554/41010" TargetMode="External"/><Relationship Id="rId1" Type="http://schemas.openxmlformats.org/officeDocument/2006/relationships/hyperlink" Target="http://www.odc.gov.co/Portals/1/publicaciones/pdf/odc-libro-blanco/reporte_drogas_colombia_2017.pdf" TargetMode="External"/><Relationship Id="rId6" Type="http://schemas.openxmlformats.org/officeDocument/2006/relationships/hyperlink" Target="https://www.oas.org/es/cidh/decisiones/2018/COAD1453-08ES.pdf" TargetMode="External"/><Relationship Id="rId11" Type="http://schemas.openxmlformats.org/officeDocument/2006/relationships/hyperlink" Target="https://www.observatoriodetierras.org/wp-content/uploads/2022/01/La-paz-con-hambre-y-bala-est%C3%A1-muy-dif%C3%ADcil.pdf" TargetMode="External"/><Relationship Id="rId5" Type="http://schemas.openxmlformats.org/officeDocument/2006/relationships/hyperlink" Target="https://reproductiverights.org/wp-content/uploads/2020/12/Salud-Reproductiva-y-Glifosato-en-el-Contexto-de-Conflicto-Armado.pdf" TargetMode="External"/><Relationship Id="rId15" Type="http://schemas.openxmlformats.org/officeDocument/2006/relationships/hyperlink" Target="https://www.humanas.org.co/decimo-informe-de-la-comision-de-seguimiento/" TargetMode="External"/><Relationship Id="rId10" Type="http://schemas.openxmlformats.org/officeDocument/2006/relationships/hyperlink" Target="https://www.observatoriodetierras.org/wp-content/uploads/2022/01/La-paz-con-hambre-y-bala-est%C3%A1-muy-dif%C3%ADcil.pdf" TargetMode="External"/><Relationship Id="rId4" Type="http://schemas.openxmlformats.org/officeDocument/2006/relationships/hyperlink" Target="https://www.dejusticia.org/nuestros-temas/politica-de-drogas/linea-de-tiempo-del-glifosato-en-colombia/" TargetMode="External"/><Relationship Id="rId9" Type="http://schemas.openxmlformats.org/officeDocument/2006/relationships/hyperlink" Target="https://doi.org/10.33682/arm2-m7tn" TargetMode="External"/><Relationship Id="rId14" Type="http://schemas.openxmlformats.org/officeDocument/2006/relationships/hyperlink" Target="https://bit.ly/3M5ICH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bLzfxysRtCM0Ep8LcOXaQUIzDg==">CgMxLjA4AHIhMUU3blYyZ1owLUJIY2NuWGpXMl9aTzhzRUdFajlJMTYw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40202FEBBA843BF41687ADE7B54CC" ma:contentTypeVersion="18" ma:contentTypeDescription="Create a new document." ma:contentTypeScope="" ma:versionID="4900c56d6cc844023b5a704a191eaaa0">
  <xsd:schema xmlns:xsd="http://www.w3.org/2001/XMLSchema" xmlns:xs="http://www.w3.org/2001/XMLSchema" xmlns:p="http://schemas.microsoft.com/office/2006/metadata/properties" xmlns:ns2="c8192cb1-67bb-4ce5-82db-0b25b399d117" xmlns:ns3="9c2e4527-2efa-4ade-b3d6-b2418af14986" xmlns:ns4="985ec44e-1bab-4c0b-9df0-6ba128686fc9" targetNamespace="http://schemas.microsoft.com/office/2006/metadata/properties" ma:root="true" ma:fieldsID="db267e4a8e7b5b4ae8d56018296bc408" ns2:_="" ns3:_="" ns4:_="">
    <xsd:import namespace="c8192cb1-67bb-4ce5-82db-0b25b399d117"/>
    <xsd:import namespace="9c2e4527-2efa-4ade-b3d6-b2418af1498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Contributorsname" minOccurs="0"/>
                <xsd:element ref="ns2:Catetory" minOccurs="0"/>
                <xsd:element ref="ns2:Doctype" minOccurs="0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92cb1-67bb-4ce5-82db-0b25b399d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ntributorsname" ma:index="21" nillable="true" ma:displayName="Contributor" ma:description="Who submitted this document?" ma:format="Dropdown" ma:internalName="Contributorsname">
      <xsd:simpleType>
        <xsd:restriction base="dms:Text">
          <xsd:maxLength value="255"/>
        </xsd:restriction>
      </xsd:simpleType>
    </xsd:element>
    <xsd:element name="Catetory" ma:index="22" nillable="true" ma:displayName="Category" ma:description="The contributor belongs to Member states, NHRIs, UN entities, CSOs, Academia, Individuals, or others?" ma:format="Dropdown" ma:internalName="Catetory">
      <xsd:simpleType>
        <xsd:union memberTypes="dms:Text">
          <xsd:simpleType>
            <xsd:restriction base="dms:Choice">
              <xsd:enumeration value="Member States"/>
              <xsd:enumeration value="NHRIs"/>
              <xsd:enumeration value="UN entities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23" nillable="true" ma:displayName="Doc type" ma:default="input" ma:description="Specify the document type (optional)" ma:format="Dropdown" ma:internalName="Doctype">
      <xsd:simpleType>
        <xsd:union memberTypes="dms:Text">
          <xsd:simpleType>
            <xsd:restriction base="dms:Choice">
              <xsd:enumeration value="input"/>
              <xsd:enumeration value="input I"/>
              <xsd:enumeration value="input II"/>
              <xsd:enumeration value="input III"/>
              <xsd:enumeration value="cover letter"/>
              <xsd:enumeration value="note verbale"/>
              <xsd:enumeration value="annex"/>
              <xsd:enumeration value="annex I"/>
              <xsd:enumeration value="annex II"/>
              <xsd:enumeration value="annex III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Language" ma:index="24" nillable="true" ma:displayName="Language" ma:default="English" ma:description="Document language" ma:format="Dropdown" ma:internalName="Language">
      <xsd:simpleType>
        <xsd:union memberTypes="dms:Text">
          <xsd:simpleType>
            <xsd:restriction base="dms:Choice">
              <xsd:enumeration value="English"/>
              <xsd:enumeration value="French"/>
              <xsd:enumeration value="Spanish"/>
              <xsd:enumeration value="Arabic"/>
              <xsd:enumeration value="Russian"/>
              <xsd:enumeration value="Chinese"/>
              <xsd:enumeration value="Choice 7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192cb1-67bb-4ce5-82db-0b25b399d117">
      <Terms xmlns="http://schemas.microsoft.com/office/infopath/2007/PartnerControls"/>
    </lcf76f155ced4ddcb4097134ff3c332f>
    <TaxCatchAll xmlns="985ec44e-1bab-4c0b-9df0-6ba128686fc9" xsi:nil="true"/>
    <Contributorsname xmlns="c8192cb1-67bb-4ce5-82db-0b25b399d117" xsi:nil="true"/>
    <Doctype xmlns="c8192cb1-67bb-4ce5-82db-0b25b399d117">input</Doctype>
    <Catetory xmlns="c8192cb1-67bb-4ce5-82db-0b25b399d117" xsi:nil="true"/>
    <Language xmlns="c8192cb1-67bb-4ce5-82db-0b25b399d117">English</Language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F9E3F7-3808-46DD-A75C-FAF1F87C3326}"/>
</file>

<file path=customXml/itemProps3.xml><?xml version="1.0" encoding="utf-8"?>
<ds:datastoreItem xmlns:ds="http://schemas.openxmlformats.org/officeDocument/2006/customXml" ds:itemID="{A0131CC5-7271-4112-8F58-0597FBAECE02}"/>
</file>

<file path=customXml/itemProps4.xml><?xml version="1.0" encoding="utf-8"?>
<ds:datastoreItem xmlns:ds="http://schemas.openxmlformats.org/officeDocument/2006/customXml" ds:itemID="{38E77542-AA62-45D6-B05B-F76474CAE6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1572</Words>
  <Characters>8651</Characters>
  <Application>Microsoft Office Word</Application>
  <DocSecurity>0</DocSecurity>
  <Lines>72</Lines>
  <Paragraphs>20</Paragraphs>
  <ScaleCrop>false</ScaleCrop>
  <Company>DeJusticia</Company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</dc:creator>
  <cp:lastModifiedBy>M Isabel Pereira</cp:lastModifiedBy>
  <cp:revision>2</cp:revision>
  <dcterms:created xsi:type="dcterms:W3CDTF">2023-05-02T11:23:00Z</dcterms:created>
  <dcterms:modified xsi:type="dcterms:W3CDTF">2023-05-19T16:49:00Z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0x010100D3257166D5221D45AC4BE86DE2E261D0</vt:lpwstr>
  </property>
</Properties>
</file>