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112"/>
        <w:gridCol w:w="1762"/>
        <w:gridCol w:w="3620"/>
      </w:tblGrid>
      <w:tr w:rsidR="0091707F" w:rsidRPr="00595336" w14:paraId="1108066F" w14:textId="77777777" w:rsidTr="0091707F">
        <w:trPr>
          <w:jc w:val="center"/>
        </w:trPr>
        <w:tc>
          <w:tcPr>
            <w:tcW w:w="2977" w:type="dxa"/>
            <w:vAlign w:val="center"/>
          </w:tcPr>
          <w:p w14:paraId="0F9B3B62" w14:textId="77777777" w:rsidR="0091707F" w:rsidRPr="00595336" w:rsidRDefault="0091707F" w:rsidP="0091707F">
            <w:pPr>
              <w:jc w:val="center"/>
              <w:rPr>
                <w:rFonts w:ascii="Calibri" w:eastAsia="Calibri" w:hAnsi="Calibri" w:cs="Calibri"/>
                <w:b/>
                <w:sz w:val="32"/>
                <w:szCs w:val="32"/>
                <w:lang w:val="en-GB"/>
              </w:rPr>
            </w:pPr>
            <w:r w:rsidRPr="00595336">
              <w:rPr>
                <w:noProof/>
                <w:lang w:val="en-GB"/>
              </w:rPr>
              <w:drawing>
                <wp:inline distT="0" distB="0" distL="0" distR="0" wp14:anchorId="54C5C1BA" wp14:editId="0DEFD179">
                  <wp:extent cx="1315720" cy="849630"/>
                  <wp:effectExtent l="0" t="0" r="5080" b="1270"/>
                  <wp:docPr id="3" name="image1.jp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15720" cy="849630"/>
                          </a:xfrm>
                          <a:prstGeom prst="rect">
                            <a:avLst/>
                          </a:prstGeom>
                          <a:ln/>
                        </pic:spPr>
                      </pic:pic>
                    </a:graphicData>
                  </a:graphic>
                </wp:inline>
              </w:drawing>
            </w:r>
          </w:p>
          <w:p w14:paraId="5F6DD1C8" w14:textId="1C6E7686" w:rsidR="0091707F" w:rsidRPr="00595336" w:rsidRDefault="0091707F" w:rsidP="0091707F">
            <w:pPr>
              <w:jc w:val="center"/>
              <w:rPr>
                <w:rFonts w:ascii="Calibri" w:eastAsia="Calibri" w:hAnsi="Calibri" w:cs="Calibri"/>
                <w:b/>
                <w:sz w:val="32"/>
                <w:szCs w:val="32"/>
                <w:lang w:val="en-GB"/>
              </w:rPr>
            </w:pPr>
          </w:p>
        </w:tc>
        <w:tc>
          <w:tcPr>
            <w:tcW w:w="2763" w:type="dxa"/>
            <w:gridSpan w:val="2"/>
            <w:vAlign w:val="center"/>
          </w:tcPr>
          <w:p w14:paraId="1315D9A6" w14:textId="612B5309" w:rsidR="0091707F" w:rsidRPr="00595336" w:rsidRDefault="0091707F" w:rsidP="0091707F">
            <w:pPr>
              <w:jc w:val="center"/>
              <w:rPr>
                <w:rFonts w:ascii="Calibri" w:eastAsia="Calibri" w:hAnsi="Calibri" w:cs="Calibri"/>
                <w:b/>
                <w:sz w:val="32"/>
                <w:szCs w:val="32"/>
                <w:lang w:val="en-GB"/>
              </w:rPr>
            </w:pPr>
            <w:r w:rsidRPr="00595336">
              <w:rPr>
                <w:rFonts w:ascii="Calibri" w:eastAsia="Calibri" w:hAnsi="Calibri" w:cs="Calibri"/>
                <w:b/>
                <w:noProof/>
                <w:sz w:val="32"/>
                <w:szCs w:val="32"/>
                <w:lang w:val="en-GB"/>
              </w:rPr>
              <w:drawing>
                <wp:inline distT="0" distB="0" distL="0" distR="0" wp14:anchorId="561D6F9D" wp14:editId="424FB0BA">
                  <wp:extent cx="1577506" cy="421005"/>
                  <wp:effectExtent l="0" t="0" r="0" b="0"/>
                  <wp:docPr id="974985946" name="Picture 2" descr="A picture containing font, graphics,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985946" name="Picture 2" descr="A picture containing font, graphics, screenshot,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3406" cy="459943"/>
                          </a:xfrm>
                          <a:prstGeom prst="rect">
                            <a:avLst/>
                          </a:prstGeom>
                        </pic:spPr>
                      </pic:pic>
                    </a:graphicData>
                  </a:graphic>
                </wp:inline>
              </w:drawing>
            </w:r>
          </w:p>
        </w:tc>
        <w:tc>
          <w:tcPr>
            <w:tcW w:w="3620" w:type="dxa"/>
            <w:vAlign w:val="center"/>
          </w:tcPr>
          <w:p w14:paraId="484B6FAC" w14:textId="53944958" w:rsidR="0091707F" w:rsidRPr="00595336" w:rsidRDefault="0091707F" w:rsidP="0091707F">
            <w:pPr>
              <w:jc w:val="center"/>
              <w:rPr>
                <w:rFonts w:ascii="Calibri" w:eastAsia="Calibri" w:hAnsi="Calibri" w:cs="Calibri"/>
                <w:b/>
                <w:sz w:val="32"/>
                <w:szCs w:val="32"/>
                <w:lang w:val="en-GB"/>
              </w:rPr>
            </w:pPr>
            <w:r w:rsidRPr="00595336">
              <w:rPr>
                <w:noProof/>
                <w:color w:val="000000"/>
                <w:lang w:val="en-GB"/>
              </w:rPr>
              <w:drawing>
                <wp:inline distT="0" distB="0" distL="0" distR="0" wp14:anchorId="7ACE934D" wp14:editId="41D6848D">
                  <wp:extent cx="1410267" cy="849630"/>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a:extLst>
                              <a:ext uri="{28A0092B-C50C-407E-A947-70E740481C1C}">
                                <a14:useLocalDpi xmlns:a14="http://schemas.microsoft.com/office/drawing/2010/main" val="0"/>
                              </a:ext>
                            </a:extLst>
                          </a:blip>
                          <a:srcRect t="18889" b="20832"/>
                          <a:stretch/>
                        </pic:blipFill>
                        <pic:spPr bwMode="auto">
                          <a:xfrm>
                            <a:off x="0" y="0"/>
                            <a:ext cx="1474374" cy="888252"/>
                          </a:xfrm>
                          <a:prstGeom prst="rect">
                            <a:avLst/>
                          </a:prstGeom>
                          <a:ln>
                            <a:noFill/>
                          </a:ln>
                          <a:extLst>
                            <a:ext uri="{53640926-AAD7-44D8-BBD7-CCE9431645EC}">
                              <a14:shadowObscured xmlns:a14="http://schemas.microsoft.com/office/drawing/2010/main"/>
                            </a:ext>
                          </a:extLst>
                        </pic:spPr>
                      </pic:pic>
                    </a:graphicData>
                  </a:graphic>
                </wp:inline>
              </w:drawing>
            </w:r>
          </w:p>
        </w:tc>
      </w:tr>
      <w:tr w:rsidR="0091707F" w:rsidRPr="00595336" w14:paraId="30CEE18E" w14:textId="77777777" w:rsidTr="0091707F">
        <w:trPr>
          <w:jc w:val="center"/>
        </w:trPr>
        <w:tc>
          <w:tcPr>
            <w:tcW w:w="3978" w:type="dxa"/>
            <w:gridSpan w:val="2"/>
            <w:vAlign w:val="center"/>
          </w:tcPr>
          <w:p w14:paraId="4E1392F0" w14:textId="4772930E" w:rsidR="0091707F" w:rsidRPr="00595336" w:rsidRDefault="0091707F" w:rsidP="0091707F">
            <w:pPr>
              <w:jc w:val="center"/>
              <w:rPr>
                <w:rFonts w:ascii="Calibri" w:eastAsia="Calibri" w:hAnsi="Calibri" w:cs="Calibri"/>
                <w:b/>
                <w:sz w:val="32"/>
                <w:szCs w:val="32"/>
                <w:lang w:val="en-GB"/>
              </w:rPr>
            </w:pPr>
            <w:r w:rsidRPr="00595336">
              <w:rPr>
                <w:rFonts w:ascii="Calibri" w:eastAsia="Calibri" w:hAnsi="Calibri" w:cs="Calibri"/>
                <w:b/>
                <w:noProof/>
                <w:sz w:val="32"/>
                <w:szCs w:val="32"/>
                <w:lang w:val="en-GB"/>
              </w:rPr>
              <w:drawing>
                <wp:inline distT="0" distB="0" distL="0" distR="0" wp14:anchorId="11805DF9" wp14:editId="5A1A079D">
                  <wp:extent cx="2429934" cy="386816"/>
                  <wp:effectExtent l="0" t="0" r="0" b="0"/>
                  <wp:docPr id="349336173"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36173" name="Picture 1" descr="A picture containing black, darknes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27750" cy="402387"/>
                          </a:xfrm>
                          <a:prstGeom prst="rect">
                            <a:avLst/>
                          </a:prstGeom>
                        </pic:spPr>
                      </pic:pic>
                    </a:graphicData>
                  </a:graphic>
                </wp:inline>
              </w:drawing>
            </w:r>
          </w:p>
        </w:tc>
        <w:tc>
          <w:tcPr>
            <w:tcW w:w="5382" w:type="dxa"/>
            <w:gridSpan w:val="2"/>
            <w:vAlign w:val="center"/>
          </w:tcPr>
          <w:p w14:paraId="1BDAB7EE" w14:textId="7C6D838E" w:rsidR="0091707F" w:rsidRPr="00595336" w:rsidRDefault="0091707F" w:rsidP="0091707F">
            <w:pPr>
              <w:jc w:val="center"/>
              <w:rPr>
                <w:rFonts w:ascii="Calibri" w:eastAsia="Calibri" w:hAnsi="Calibri" w:cs="Calibri"/>
                <w:b/>
                <w:sz w:val="32"/>
                <w:szCs w:val="32"/>
                <w:lang w:val="en-GB"/>
              </w:rPr>
            </w:pPr>
            <w:r w:rsidRPr="00595336">
              <w:rPr>
                <w:rFonts w:ascii="Calibri" w:eastAsia="Calibri" w:hAnsi="Calibri" w:cs="Calibri"/>
                <w:b/>
                <w:noProof/>
                <w:sz w:val="32"/>
                <w:szCs w:val="32"/>
                <w:lang w:val="en-GB"/>
              </w:rPr>
              <w:drawing>
                <wp:inline distT="0" distB="0" distL="0" distR="0" wp14:anchorId="105CD041" wp14:editId="19541909">
                  <wp:extent cx="2967567" cy="286031"/>
                  <wp:effectExtent l="0" t="0" r="0" b="6350"/>
                  <wp:docPr id="176983413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34137" name="Graphic 1769834137"/>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76754" cy="325471"/>
                          </a:xfrm>
                          <a:prstGeom prst="rect">
                            <a:avLst/>
                          </a:prstGeom>
                        </pic:spPr>
                      </pic:pic>
                    </a:graphicData>
                  </a:graphic>
                </wp:inline>
              </w:drawing>
            </w:r>
          </w:p>
        </w:tc>
      </w:tr>
    </w:tbl>
    <w:p w14:paraId="00000002" w14:textId="77777777" w:rsidR="00AA3F01" w:rsidRPr="00595336" w:rsidRDefault="00AA3F01">
      <w:pPr>
        <w:spacing w:line="240" w:lineRule="auto"/>
        <w:jc w:val="both"/>
        <w:rPr>
          <w:rFonts w:ascii="Calibri" w:eastAsia="Calibri" w:hAnsi="Calibri" w:cs="Calibri"/>
          <w:b/>
          <w:sz w:val="32"/>
          <w:szCs w:val="32"/>
          <w:lang w:val="en-GB"/>
        </w:rPr>
      </w:pPr>
    </w:p>
    <w:p w14:paraId="00000004" w14:textId="77777777" w:rsidR="00AA3F01" w:rsidRPr="00595336" w:rsidRDefault="00AA3F01">
      <w:pPr>
        <w:spacing w:line="240" w:lineRule="auto"/>
        <w:jc w:val="both"/>
        <w:rPr>
          <w:rFonts w:ascii="Calibri" w:eastAsia="Calibri" w:hAnsi="Calibri" w:cs="Calibri"/>
          <w:b/>
          <w:sz w:val="32"/>
          <w:szCs w:val="32"/>
          <w:lang w:val="en-GB"/>
        </w:rPr>
      </w:pPr>
    </w:p>
    <w:p w14:paraId="00000006" w14:textId="77777777" w:rsidR="00AA3F01" w:rsidRPr="00595336" w:rsidRDefault="00000000" w:rsidP="0091707F">
      <w:pPr>
        <w:spacing w:line="240" w:lineRule="auto"/>
        <w:jc w:val="center"/>
        <w:rPr>
          <w:rFonts w:ascii="Calibri" w:eastAsia="Calibri" w:hAnsi="Calibri" w:cs="Calibri"/>
          <w:b/>
          <w:sz w:val="40"/>
          <w:szCs w:val="40"/>
          <w:lang w:val="en-GB"/>
        </w:rPr>
      </w:pPr>
      <w:r w:rsidRPr="00595336">
        <w:rPr>
          <w:rFonts w:ascii="Calibri" w:eastAsia="Calibri" w:hAnsi="Calibri" w:cs="Calibri"/>
          <w:b/>
          <w:sz w:val="40"/>
          <w:szCs w:val="40"/>
          <w:lang w:val="en-GB"/>
        </w:rPr>
        <w:t>Submission to the United Nations High Commissioner for Human Rights</w:t>
      </w:r>
    </w:p>
    <w:p w14:paraId="00000007" w14:textId="77777777" w:rsidR="00AA3F01" w:rsidRPr="00595336" w:rsidRDefault="00AA3F01" w:rsidP="0091707F">
      <w:pPr>
        <w:spacing w:line="240" w:lineRule="auto"/>
        <w:jc w:val="center"/>
        <w:rPr>
          <w:rFonts w:ascii="Calibri" w:eastAsia="Calibri" w:hAnsi="Calibri" w:cs="Calibri"/>
          <w:b/>
          <w:sz w:val="32"/>
          <w:szCs w:val="32"/>
          <w:lang w:val="en-GB"/>
        </w:rPr>
      </w:pPr>
    </w:p>
    <w:p w14:paraId="00000008" w14:textId="77777777" w:rsidR="00AA3F01" w:rsidRPr="00595336" w:rsidRDefault="00000000" w:rsidP="0091707F">
      <w:pPr>
        <w:spacing w:line="240" w:lineRule="auto"/>
        <w:jc w:val="center"/>
        <w:rPr>
          <w:rFonts w:ascii="Calibri" w:eastAsia="Calibri" w:hAnsi="Calibri" w:cs="Calibri"/>
          <w:b/>
          <w:sz w:val="40"/>
          <w:szCs w:val="40"/>
          <w:lang w:val="en-GB"/>
        </w:rPr>
      </w:pPr>
      <w:r w:rsidRPr="00595336">
        <w:rPr>
          <w:rFonts w:ascii="Calibri" w:eastAsia="Calibri" w:hAnsi="Calibri" w:cs="Calibri"/>
          <w:b/>
          <w:sz w:val="40"/>
          <w:szCs w:val="40"/>
          <w:lang w:val="en-GB"/>
        </w:rPr>
        <w:t xml:space="preserve">The decriminalisation of people who use drugs: An essential component of a human rights-based approach to drug </w:t>
      </w:r>
      <w:proofErr w:type="gramStart"/>
      <w:r w:rsidRPr="00595336">
        <w:rPr>
          <w:rFonts w:ascii="Calibri" w:eastAsia="Calibri" w:hAnsi="Calibri" w:cs="Calibri"/>
          <w:b/>
          <w:sz w:val="40"/>
          <w:szCs w:val="40"/>
          <w:lang w:val="en-GB"/>
        </w:rPr>
        <w:t>policy</w:t>
      </w:r>
      <w:proofErr w:type="gramEnd"/>
    </w:p>
    <w:p w14:paraId="0000000A" w14:textId="77777777" w:rsidR="00AA3F01" w:rsidRPr="00595336" w:rsidRDefault="00AA3F01">
      <w:pPr>
        <w:spacing w:line="240" w:lineRule="auto"/>
        <w:jc w:val="both"/>
        <w:rPr>
          <w:rFonts w:ascii="Calibri" w:eastAsia="Calibri" w:hAnsi="Calibri" w:cs="Calibri"/>
          <w:sz w:val="24"/>
          <w:szCs w:val="24"/>
          <w:lang w:val="en-GB"/>
        </w:rPr>
      </w:pPr>
    </w:p>
    <w:p w14:paraId="0000000C" w14:textId="77777777" w:rsidR="00AA3F01" w:rsidRPr="00595336" w:rsidRDefault="00000000">
      <w:pPr>
        <w:spacing w:line="240" w:lineRule="auto"/>
        <w:jc w:val="both"/>
        <w:rPr>
          <w:rFonts w:ascii="Calibri" w:eastAsia="Calibri" w:hAnsi="Calibri" w:cs="Calibri"/>
          <w:b/>
          <w:sz w:val="32"/>
          <w:szCs w:val="32"/>
          <w:lang w:val="en-GB"/>
        </w:rPr>
      </w:pPr>
      <w:r w:rsidRPr="00595336">
        <w:rPr>
          <w:rFonts w:ascii="Calibri" w:eastAsia="Calibri" w:hAnsi="Calibri" w:cs="Calibri"/>
          <w:b/>
          <w:sz w:val="32"/>
          <w:szCs w:val="32"/>
          <w:lang w:val="en-GB"/>
        </w:rPr>
        <w:t>May 2023</w:t>
      </w:r>
    </w:p>
    <w:p w14:paraId="0000000F" w14:textId="77777777" w:rsidR="00AA3F01" w:rsidRPr="00595336" w:rsidRDefault="00AA3F01">
      <w:pPr>
        <w:spacing w:line="240" w:lineRule="auto"/>
        <w:jc w:val="both"/>
        <w:rPr>
          <w:rFonts w:ascii="Calibri" w:eastAsia="Calibri" w:hAnsi="Calibri" w:cs="Calibri"/>
          <w:sz w:val="24"/>
          <w:szCs w:val="24"/>
          <w:lang w:val="en-GB"/>
        </w:rPr>
      </w:pPr>
    </w:p>
    <w:p w14:paraId="00000010" w14:textId="77777777" w:rsidR="00AA3F01" w:rsidRPr="00595336" w:rsidRDefault="00000000">
      <w:pPr>
        <w:spacing w:line="240" w:lineRule="auto"/>
        <w:jc w:val="both"/>
        <w:rPr>
          <w:rFonts w:ascii="Calibri" w:eastAsia="Calibri" w:hAnsi="Calibri" w:cs="Calibri"/>
          <w:b/>
          <w:sz w:val="24"/>
          <w:szCs w:val="24"/>
          <w:lang w:val="en-GB"/>
        </w:rPr>
      </w:pPr>
      <w:r w:rsidRPr="00595336">
        <w:rPr>
          <w:rFonts w:ascii="Calibri" w:eastAsia="Calibri" w:hAnsi="Calibri" w:cs="Calibri"/>
          <w:b/>
          <w:sz w:val="24"/>
          <w:szCs w:val="24"/>
          <w:lang w:val="en-GB"/>
        </w:rPr>
        <w:t>Submitting organisations:</w:t>
      </w:r>
    </w:p>
    <w:p w14:paraId="00000011" w14:textId="77777777" w:rsidR="00AA3F01" w:rsidRPr="00595336" w:rsidRDefault="00AA3F01">
      <w:pPr>
        <w:spacing w:line="240" w:lineRule="auto"/>
        <w:jc w:val="both"/>
        <w:rPr>
          <w:rFonts w:ascii="Calibri" w:eastAsia="Calibri" w:hAnsi="Calibri" w:cs="Calibri"/>
          <w:sz w:val="24"/>
          <w:szCs w:val="24"/>
          <w:lang w:val="en-GB"/>
        </w:rPr>
      </w:pPr>
    </w:p>
    <w:p w14:paraId="00000012" w14:textId="77777777" w:rsidR="00AA3F01" w:rsidRPr="00595336" w:rsidRDefault="00000000" w:rsidP="0091707F">
      <w:pPr>
        <w:spacing w:line="240" w:lineRule="auto"/>
        <w:rPr>
          <w:rFonts w:ascii="Calibri" w:eastAsia="Calibri" w:hAnsi="Calibri" w:cs="Calibri"/>
          <w:sz w:val="24"/>
          <w:szCs w:val="24"/>
          <w:lang w:val="en-GB"/>
        </w:rPr>
      </w:pPr>
      <w:r w:rsidRPr="00595336">
        <w:rPr>
          <w:rFonts w:ascii="Calibri" w:eastAsia="Calibri" w:hAnsi="Calibri" w:cs="Calibri"/>
          <w:sz w:val="24"/>
          <w:szCs w:val="24"/>
          <w:lang w:val="en-GB"/>
        </w:rPr>
        <w:t xml:space="preserve">The International Drug Policy Consortium (IDPC) is a global network of NGOs that work for drug policy reform </w:t>
      </w:r>
      <w:proofErr w:type="gramStart"/>
      <w:r w:rsidRPr="00595336">
        <w:rPr>
          <w:rFonts w:ascii="Calibri" w:eastAsia="Calibri" w:hAnsi="Calibri" w:cs="Calibri"/>
          <w:sz w:val="24"/>
          <w:szCs w:val="24"/>
          <w:lang w:val="en-GB"/>
        </w:rPr>
        <w:t>in order to</w:t>
      </w:r>
      <w:proofErr w:type="gramEnd"/>
      <w:r w:rsidRPr="00595336">
        <w:rPr>
          <w:rFonts w:ascii="Calibri" w:eastAsia="Calibri" w:hAnsi="Calibri" w:cs="Calibri"/>
          <w:sz w:val="24"/>
          <w:szCs w:val="24"/>
          <w:lang w:val="en-GB"/>
        </w:rPr>
        <w:t xml:space="preserve"> advance social justice and human rights. Contact: </w:t>
      </w:r>
      <w:hyperlink r:id="rId14">
        <w:r w:rsidRPr="00595336">
          <w:rPr>
            <w:rFonts w:ascii="Calibri" w:eastAsia="Calibri" w:hAnsi="Calibri" w:cs="Calibri"/>
            <w:color w:val="1155CC"/>
            <w:sz w:val="24"/>
            <w:szCs w:val="24"/>
            <w:u w:val="single"/>
            <w:lang w:val="en-GB"/>
          </w:rPr>
          <w:t>contact@idpc.net</w:t>
        </w:r>
      </w:hyperlink>
      <w:r w:rsidRPr="00595336">
        <w:rPr>
          <w:rFonts w:ascii="Calibri" w:eastAsia="Calibri" w:hAnsi="Calibri" w:cs="Calibri"/>
          <w:sz w:val="24"/>
          <w:szCs w:val="24"/>
          <w:lang w:val="en-GB"/>
        </w:rPr>
        <w:t xml:space="preserve"> </w:t>
      </w:r>
    </w:p>
    <w:p w14:paraId="00000013" w14:textId="77777777" w:rsidR="00AA3F01" w:rsidRPr="00595336" w:rsidRDefault="00AA3F01" w:rsidP="0091707F">
      <w:pPr>
        <w:spacing w:line="240" w:lineRule="auto"/>
        <w:rPr>
          <w:rFonts w:ascii="Calibri" w:eastAsia="Calibri" w:hAnsi="Calibri" w:cs="Calibri"/>
          <w:sz w:val="24"/>
          <w:szCs w:val="24"/>
          <w:lang w:val="en-GB"/>
        </w:rPr>
      </w:pPr>
    </w:p>
    <w:p w14:paraId="00000014" w14:textId="77777777" w:rsidR="00AA3F01" w:rsidRPr="00595336" w:rsidRDefault="00000000" w:rsidP="0091707F">
      <w:pPr>
        <w:spacing w:line="240" w:lineRule="auto"/>
        <w:rPr>
          <w:rFonts w:ascii="Calibri" w:eastAsia="Calibri" w:hAnsi="Calibri" w:cs="Calibri"/>
          <w:sz w:val="24"/>
          <w:szCs w:val="24"/>
          <w:lang w:val="en-GB"/>
        </w:rPr>
      </w:pPr>
      <w:r w:rsidRPr="00595336">
        <w:rPr>
          <w:rFonts w:ascii="Calibri" w:eastAsia="Calibri" w:hAnsi="Calibri" w:cs="Calibri"/>
          <w:sz w:val="24"/>
          <w:szCs w:val="24"/>
          <w:lang w:val="en-GB"/>
        </w:rPr>
        <w:t xml:space="preserve">Instituto RIA AC is a Mexican civil society organisation that undertakes high quality research and advocacy within a social justice and peace building framework. Contact: </w:t>
      </w:r>
      <w:hyperlink r:id="rId15">
        <w:r w:rsidRPr="00595336">
          <w:rPr>
            <w:rFonts w:ascii="Calibri" w:eastAsia="Calibri" w:hAnsi="Calibri" w:cs="Calibri"/>
            <w:color w:val="1155CC"/>
            <w:sz w:val="24"/>
            <w:szCs w:val="24"/>
            <w:u w:val="single"/>
            <w:lang w:val="en-GB"/>
          </w:rPr>
          <w:t>zsnapp@gmail.com</w:t>
        </w:r>
      </w:hyperlink>
    </w:p>
    <w:p w14:paraId="00000015" w14:textId="77777777" w:rsidR="00AA3F01" w:rsidRPr="00595336" w:rsidRDefault="00AA3F01" w:rsidP="0091707F">
      <w:pPr>
        <w:spacing w:line="240" w:lineRule="auto"/>
        <w:rPr>
          <w:rFonts w:ascii="Calibri" w:eastAsia="Calibri" w:hAnsi="Calibri" w:cs="Calibri"/>
          <w:sz w:val="24"/>
          <w:szCs w:val="24"/>
          <w:lang w:val="en-GB"/>
        </w:rPr>
      </w:pPr>
    </w:p>
    <w:p w14:paraId="00000016" w14:textId="77777777" w:rsidR="00AA3F01" w:rsidRPr="00595336" w:rsidRDefault="00000000" w:rsidP="0091707F">
      <w:pPr>
        <w:spacing w:line="240" w:lineRule="auto"/>
        <w:rPr>
          <w:rFonts w:ascii="Calibri" w:eastAsia="Calibri" w:hAnsi="Calibri" w:cs="Calibri"/>
          <w:sz w:val="24"/>
          <w:szCs w:val="24"/>
          <w:lang w:val="en-GB"/>
        </w:rPr>
      </w:pPr>
      <w:r w:rsidRPr="00595336">
        <w:rPr>
          <w:rFonts w:ascii="Calibri" w:eastAsia="Calibri" w:hAnsi="Calibri" w:cs="Calibri"/>
          <w:sz w:val="24"/>
          <w:szCs w:val="24"/>
          <w:lang w:val="en-GB"/>
        </w:rPr>
        <w:t xml:space="preserve">Harm Reduction International (HRI) is an international, not-for-profit NGO working towards the promotion of harm reduction and drug policy reform that uphold dignity, </w:t>
      </w:r>
      <w:proofErr w:type="gramStart"/>
      <w:r w:rsidRPr="00595336">
        <w:rPr>
          <w:rFonts w:ascii="Calibri" w:eastAsia="Calibri" w:hAnsi="Calibri" w:cs="Calibri"/>
          <w:sz w:val="24"/>
          <w:szCs w:val="24"/>
          <w:lang w:val="en-GB"/>
        </w:rPr>
        <w:t>health</w:t>
      </w:r>
      <w:proofErr w:type="gramEnd"/>
      <w:r w:rsidRPr="00595336">
        <w:rPr>
          <w:rFonts w:ascii="Calibri" w:eastAsia="Calibri" w:hAnsi="Calibri" w:cs="Calibri"/>
          <w:sz w:val="24"/>
          <w:szCs w:val="24"/>
          <w:lang w:val="en-GB"/>
        </w:rPr>
        <w:t xml:space="preserve"> and rights. Contact: </w:t>
      </w:r>
      <w:proofErr w:type="spellStart"/>
      <w:r w:rsidRPr="00595336">
        <w:rPr>
          <w:rFonts w:ascii="Calibri" w:eastAsia="Calibri" w:hAnsi="Calibri" w:cs="Calibri"/>
          <w:sz w:val="24"/>
          <w:szCs w:val="24"/>
          <w:lang w:val="en-GB"/>
        </w:rPr>
        <w:t>Ajeng.Larasati@hri.global</w:t>
      </w:r>
      <w:proofErr w:type="spellEnd"/>
      <w:r w:rsidRPr="00595336">
        <w:rPr>
          <w:rFonts w:ascii="Calibri" w:eastAsia="Calibri" w:hAnsi="Calibri" w:cs="Calibri"/>
          <w:sz w:val="24"/>
          <w:szCs w:val="24"/>
          <w:lang w:val="en-GB"/>
        </w:rPr>
        <w:t xml:space="preserve">    </w:t>
      </w:r>
      <w:r w:rsidRPr="00595336">
        <w:rPr>
          <w:rFonts w:ascii="Calibri" w:eastAsia="Calibri" w:hAnsi="Calibri" w:cs="Calibri"/>
          <w:sz w:val="24"/>
          <w:szCs w:val="24"/>
          <w:lang w:val="en-GB"/>
        </w:rPr>
        <w:br/>
      </w:r>
      <w:r w:rsidRPr="00595336">
        <w:rPr>
          <w:rFonts w:ascii="Calibri" w:eastAsia="Calibri" w:hAnsi="Calibri" w:cs="Calibri"/>
          <w:sz w:val="24"/>
          <w:szCs w:val="24"/>
          <w:lang w:val="en-GB"/>
        </w:rPr>
        <w:br/>
        <w:t xml:space="preserve">The Centre on Drug Policy Evaluation (CDPE) strives to improve community health and safety by conducting research and outreach on best practices in drug policy. Contact: </w:t>
      </w:r>
      <w:hyperlink r:id="rId16">
        <w:r w:rsidRPr="00595336">
          <w:rPr>
            <w:rFonts w:ascii="Calibri" w:eastAsia="Calibri" w:hAnsi="Calibri" w:cs="Calibri"/>
            <w:color w:val="1155CC"/>
            <w:sz w:val="24"/>
            <w:szCs w:val="24"/>
            <w:u w:val="single"/>
            <w:lang w:val="en-GB"/>
          </w:rPr>
          <w:t>nazlee.maghsoudi@mail.utoronto.ca</w:t>
        </w:r>
      </w:hyperlink>
      <w:r w:rsidRPr="00595336">
        <w:rPr>
          <w:rFonts w:ascii="Calibri" w:eastAsia="Calibri" w:hAnsi="Calibri" w:cs="Calibri"/>
          <w:sz w:val="24"/>
          <w:szCs w:val="24"/>
          <w:lang w:val="en-GB"/>
        </w:rPr>
        <w:t xml:space="preserve"> </w:t>
      </w:r>
    </w:p>
    <w:p w14:paraId="00000017" w14:textId="77777777" w:rsidR="00AA3F01" w:rsidRPr="00595336" w:rsidRDefault="00AA3F01" w:rsidP="0091707F">
      <w:pPr>
        <w:spacing w:line="240" w:lineRule="auto"/>
        <w:rPr>
          <w:rFonts w:ascii="Calibri" w:eastAsia="Calibri" w:hAnsi="Calibri" w:cs="Calibri"/>
          <w:sz w:val="24"/>
          <w:szCs w:val="24"/>
          <w:lang w:val="en-GB"/>
        </w:rPr>
      </w:pPr>
    </w:p>
    <w:p w14:paraId="00000018" w14:textId="77777777" w:rsidR="00AA3F01" w:rsidRPr="00595336" w:rsidRDefault="00000000" w:rsidP="0091707F">
      <w:pPr>
        <w:spacing w:line="240" w:lineRule="auto"/>
        <w:rPr>
          <w:rFonts w:ascii="Calibri" w:eastAsia="Calibri" w:hAnsi="Calibri" w:cs="Calibri"/>
          <w:sz w:val="24"/>
          <w:szCs w:val="24"/>
          <w:lang w:val="en-GB"/>
        </w:rPr>
      </w:pPr>
      <w:r w:rsidRPr="00595336">
        <w:rPr>
          <w:rFonts w:ascii="Calibri" w:eastAsia="Calibri" w:hAnsi="Calibri" w:cs="Calibri"/>
          <w:sz w:val="24"/>
          <w:szCs w:val="24"/>
          <w:lang w:val="en-GB"/>
        </w:rPr>
        <w:t xml:space="preserve">Health[e]Foundation is a global health organisation that provides digital health education and mobile innovations, strengthening healthcare systems and communities. Contact: </w:t>
      </w:r>
      <w:hyperlink r:id="rId17">
        <w:r w:rsidRPr="00595336">
          <w:rPr>
            <w:rFonts w:ascii="Calibri" w:eastAsia="Calibri" w:hAnsi="Calibri" w:cs="Calibri"/>
            <w:color w:val="1155CC"/>
            <w:sz w:val="24"/>
            <w:szCs w:val="24"/>
            <w:u w:val="single"/>
            <w:lang w:val="en-GB"/>
          </w:rPr>
          <w:t>daphne@healthefoundation.eu</w:t>
        </w:r>
      </w:hyperlink>
      <w:r w:rsidRPr="00595336">
        <w:rPr>
          <w:rFonts w:ascii="Calibri" w:eastAsia="Calibri" w:hAnsi="Calibri" w:cs="Calibri"/>
          <w:sz w:val="24"/>
          <w:szCs w:val="24"/>
          <w:lang w:val="en-GB"/>
        </w:rPr>
        <w:t xml:space="preserve"> </w:t>
      </w:r>
    </w:p>
    <w:p w14:paraId="00000019" w14:textId="77777777" w:rsidR="00AA3F01" w:rsidRPr="00595336" w:rsidRDefault="00AA3F01">
      <w:pPr>
        <w:spacing w:line="240" w:lineRule="auto"/>
        <w:jc w:val="both"/>
        <w:rPr>
          <w:rFonts w:ascii="Calibri" w:eastAsia="Calibri" w:hAnsi="Calibri" w:cs="Calibri"/>
          <w:sz w:val="24"/>
          <w:szCs w:val="24"/>
          <w:lang w:val="en-GB"/>
        </w:rPr>
      </w:pPr>
    </w:p>
    <w:p w14:paraId="0000001D" w14:textId="2BA85F0B" w:rsidR="00AA3F01" w:rsidRPr="00595336" w:rsidRDefault="00000000">
      <w:pPr>
        <w:spacing w:line="240" w:lineRule="auto"/>
        <w:jc w:val="both"/>
        <w:rPr>
          <w:rFonts w:ascii="Calibri" w:eastAsia="Calibri" w:hAnsi="Calibri" w:cs="Calibri"/>
          <w:b/>
          <w:sz w:val="24"/>
          <w:szCs w:val="24"/>
          <w:lang w:val="en-GB"/>
        </w:rPr>
      </w:pPr>
      <w:r w:rsidRPr="00595336">
        <w:rPr>
          <w:rFonts w:ascii="Calibri" w:eastAsia="Calibri" w:hAnsi="Calibri" w:cs="Calibri"/>
          <w:b/>
          <w:sz w:val="24"/>
          <w:szCs w:val="24"/>
          <w:lang w:val="en-GB"/>
        </w:rPr>
        <w:t xml:space="preserve">Word count: </w:t>
      </w:r>
      <w:r w:rsidR="00826044">
        <w:rPr>
          <w:rFonts w:ascii="Calibri" w:eastAsia="Calibri" w:hAnsi="Calibri" w:cs="Calibri"/>
          <w:sz w:val="24"/>
          <w:szCs w:val="24"/>
          <w:lang w:val="en-GB"/>
        </w:rPr>
        <w:t>1,496</w:t>
      </w:r>
    </w:p>
    <w:p w14:paraId="00000026" w14:textId="77777777" w:rsidR="00AA3F01" w:rsidRPr="00595336" w:rsidRDefault="00AA3F01">
      <w:pPr>
        <w:spacing w:after="200"/>
        <w:jc w:val="both"/>
        <w:rPr>
          <w:rFonts w:ascii="Calibri" w:eastAsia="Calibri" w:hAnsi="Calibri" w:cs="Calibri"/>
          <w:b/>
          <w:sz w:val="30"/>
          <w:szCs w:val="30"/>
          <w:lang w:val="en-GB"/>
        </w:rPr>
      </w:pPr>
    </w:p>
    <w:p w14:paraId="00000027" w14:textId="77777777" w:rsidR="00AA3F01" w:rsidRPr="00595336" w:rsidRDefault="00000000">
      <w:pPr>
        <w:spacing w:after="200"/>
        <w:jc w:val="both"/>
        <w:rPr>
          <w:rFonts w:ascii="Calibri" w:eastAsia="Calibri" w:hAnsi="Calibri" w:cs="Calibri"/>
          <w:b/>
          <w:sz w:val="30"/>
          <w:szCs w:val="30"/>
          <w:lang w:val="en-GB"/>
        </w:rPr>
      </w:pPr>
      <w:r w:rsidRPr="00595336">
        <w:rPr>
          <w:rFonts w:ascii="Calibri" w:eastAsia="Calibri" w:hAnsi="Calibri" w:cs="Calibri"/>
          <w:b/>
          <w:sz w:val="30"/>
          <w:szCs w:val="30"/>
          <w:lang w:val="en-GB"/>
        </w:rPr>
        <w:lastRenderedPageBreak/>
        <w:t>Introduction</w:t>
      </w:r>
    </w:p>
    <w:p w14:paraId="0000002A" w14:textId="641CF18D" w:rsidR="00AA3F01" w:rsidRPr="002F20B6" w:rsidRDefault="002F20B6" w:rsidP="002F20B6">
      <w:pPr>
        <w:numPr>
          <w:ilvl w:val="0"/>
          <w:numId w:val="1"/>
        </w:numPr>
        <w:spacing w:after="200"/>
        <w:jc w:val="both"/>
        <w:rPr>
          <w:lang w:val="en-GB"/>
        </w:rPr>
      </w:pPr>
      <w:r w:rsidRPr="002F20B6">
        <w:rPr>
          <w:rFonts w:ascii="Calibri" w:eastAsia="Calibri" w:hAnsi="Calibri" w:cs="Calibri"/>
          <w:lang w:val="en-GB"/>
        </w:rPr>
        <w:t xml:space="preserve">This submission provides data and recommendations on the urgent need to decriminalise drug use and related activities to respect, protect and fulfil the human rights of people who use drugs. </w:t>
      </w:r>
      <w:r w:rsidR="00595336" w:rsidRPr="002F20B6">
        <w:rPr>
          <w:rFonts w:ascii="Calibri" w:eastAsia="Calibri" w:hAnsi="Calibri" w:cs="Calibri"/>
          <w:lang w:val="en-GB"/>
        </w:rPr>
        <w:t>We</w:t>
      </w:r>
      <w:r w:rsidRPr="002F20B6">
        <w:rPr>
          <w:rFonts w:ascii="Calibri" w:eastAsia="Calibri" w:hAnsi="Calibri" w:cs="Calibri"/>
          <w:lang w:val="en-GB"/>
        </w:rPr>
        <w:t xml:space="preserve"> urge the High Commissioner to recommend that States adopt the gold standard for the decriminalisation of people who use drugs. </w:t>
      </w:r>
    </w:p>
    <w:p w14:paraId="6E7C401E" w14:textId="77777777" w:rsidR="001973EB" w:rsidRPr="001973EB" w:rsidRDefault="001973EB" w:rsidP="001973EB">
      <w:pPr>
        <w:jc w:val="both"/>
        <w:rPr>
          <w:rFonts w:ascii="Calibri" w:eastAsia="Calibri" w:hAnsi="Calibri" w:cs="Calibri"/>
          <w:b/>
          <w:lang w:val="en-GB"/>
        </w:rPr>
      </w:pPr>
    </w:p>
    <w:p w14:paraId="0000002B" w14:textId="3741B2FC" w:rsidR="00AA3F01" w:rsidRPr="00595336" w:rsidRDefault="00000000">
      <w:pPr>
        <w:spacing w:after="200"/>
        <w:jc w:val="both"/>
        <w:rPr>
          <w:rFonts w:ascii="Calibri" w:eastAsia="Calibri" w:hAnsi="Calibri" w:cs="Calibri"/>
          <w:b/>
          <w:sz w:val="30"/>
          <w:szCs w:val="30"/>
          <w:lang w:val="en-GB"/>
        </w:rPr>
      </w:pPr>
      <w:r w:rsidRPr="00595336">
        <w:rPr>
          <w:rFonts w:ascii="Calibri" w:eastAsia="Calibri" w:hAnsi="Calibri" w:cs="Calibri"/>
          <w:b/>
          <w:sz w:val="30"/>
          <w:szCs w:val="30"/>
          <w:lang w:val="en-GB"/>
        </w:rPr>
        <w:t>Criminalisation as a driver of human rights violations</w:t>
      </w:r>
    </w:p>
    <w:p w14:paraId="0000002C" w14:textId="77777777" w:rsidR="00AA3F01" w:rsidRPr="00595336" w:rsidRDefault="00000000">
      <w:pPr>
        <w:numPr>
          <w:ilvl w:val="0"/>
          <w:numId w:val="1"/>
        </w:numPr>
        <w:jc w:val="both"/>
        <w:rPr>
          <w:rFonts w:ascii="Calibri" w:eastAsia="Calibri" w:hAnsi="Calibri" w:cs="Calibri"/>
          <w:lang w:val="en-GB"/>
        </w:rPr>
      </w:pPr>
      <w:r w:rsidRPr="00595336">
        <w:rPr>
          <w:rFonts w:ascii="Calibri" w:eastAsia="Calibri" w:hAnsi="Calibri" w:cs="Calibri"/>
          <w:lang w:val="en-GB"/>
        </w:rPr>
        <w:t xml:space="preserve">Criminalisation has devastating consequences on the human rights of people who use drugs, particularly those facing intersecting forms of criminalisation, </w:t>
      </w:r>
      <w:proofErr w:type="gramStart"/>
      <w:r w:rsidRPr="00595336">
        <w:rPr>
          <w:rFonts w:ascii="Calibri" w:eastAsia="Calibri" w:hAnsi="Calibri" w:cs="Calibri"/>
          <w:lang w:val="en-GB"/>
        </w:rPr>
        <w:t>stigma</w:t>
      </w:r>
      <w:proofErr w:type="gramEnd"/>
      <w:r w:rsidRPr="00595336">
        <w:rPr>
          <w:rFonts w:ascii="Calibri" w:eastAsia="Calibri" w:hAnsi="Calibri" w:cs="Calibri"/>
          <w:lang w:val="en-GB"/>
        </w:rPr>
        <w:t xml:space="preserve"> and marginalisation. </w:t>
      </w:r>
    </w:p>
    <w:p w14:paraId="64218BDE" w14:textId="77777777" w:rsidR="00595336" w:rsidRPr="00595336" w:rsidRDefault="00595336" w:rsidP="00595336">
      <w:pPr>
        <w:ind w:left="720"/>
        <w:jc w:val="both"/>
        <w:rPr>
          <w:rFonts w:ascii="Calibri" w:eastAsia="Calibri" w:hAnsi="Calibri" w:cs="Calibri"/>
          <w:lang w:val="en-GB"/>
        </w:rPr>
      </w:pPr>
    </w:p>
    <w:p w14:paraId="0000002D" w14:textId="0A8C4100" w:rsidR="00AA3F01" w:rsidRPr="00595336" w:rsidRDefault="00000000">
      <w:pPr>
        <w:numPr>
          <w:ilvl w:val="0"/>
          <w:numId w:val="1"/>
        </w:numPr>
        <w:jc w:val="both"/>
        <w:rPr>
          <w:rFonts w:ascii="Calibri" w:eastAsia="Calibri" w:hAnsi="Calibri" w:cs="Calibri"/>
          <w:lang w:val="en-GB"/>
        </w:rPr>
      </w:pPr>
      <w:r w:rsidRPr="00595336">
        <w:rPr>
          <w:rFonts w:ascii="Calibri" w:eastAsia="Calibri" w:hAnsi="Calibri" w:cs="Calibri"/>
          <w:b/>
          <w:lang w:val="en-GB"/>
        </w:rPr>
        <w:t>Right to health</w:t>
      </w:r>
      <w:r w:rsidR="00595336">
        <w:rPr>
          <w:rFonts w:ascii="Calibri" w:eastAsia="Calibri" w:hAnsi="Calibri" w:cs="Calibri"/>
          <w:lang w:val="en-GB"/>
        </w:rPr>
        <w:t>:</w:t>
      </w:r>
      <w:r w:rsidRPr="00595336">
        <w:rPr>
          <w:rFonts w:ascii="Calibri" w:eastAsia="Calibri" w:hAnsi="Calibri" w:cs="Calibri"/>
          <w:lang w:val="en-GB"/>
        </w:rPr>
        <w:t xml:space="preserve"> The criminalisation of people who use drugs has severe impacts on their health and well-being. </w:t>
      </w:r>
      <w:r w:rsidR="002F20B6">
        <w:rPr>
          <w:rFonts w:ascii="Calibri" w:eastAsia="Calibri" w:hAnsi="Calibri" w:cs="Calibri"/>
          <w:lang w:val="en-GB"/>
        </w:rPr>
        <w:t>They</w:t>
      </w:r>
      <w:r w:rsidRPr="00595336">
        <w:rPr>
          <w:rFonts w:ascii="Calibri" w:eastAsia="Calibri" w:hAnsi="Calibri" w:cs="Calibri"/>
          <w:lang w:val="en-GB"/>
        </w:rPr>
        <w:t xml:space="preserve"> are 35 times more likely to contract HIV than people who do not inject drugs.</w:t>
      </w:r>
      <w:r w:rsidR="00595336" w:rsidRPr="00595336">
        <w:rPr>
          <w:rFonts w:ascii="Calibri" w:eastAsia="Calibri" w:hAnsi="Calibri" w:cs="Calibri"/>
          <w:vertAlign w:val="superscript"/>
          <w:lang w:val="en-GB"/>
        </w:rPr>
        <w:footnoteReference w:id="1"/>
      </w:r>
      <w:r w:rsidRPr="00595336">
        <w:rPr>
          <w:rFonts w:ascii="Calibri" w:eastAsia="Calibri" w:hAnsi="Calibri" w:cs="Calibri"/>
          <w:lang w:val="en-GB"/>
        </w:rPr>
        <w:t xml:space="preserve"> Outside Sub-Saharan Africa, 20% of new HIV infections are associated with injecting drug use – rising to 25% in the Middle East and North Africa,</w:t>
      </w:r>
      <w:r w:rsidRPr="00595336">
        <w:rPr>
          <w:rFonts w:ascii="Calibri" w:eastAsia="Calibri" w:hAnsi="Calibri" w:cs="Calibri"/>
          <w:vertAlign w:val="superscript"/>
          <w:lang w:val="en-GB"/>
        </w:rPr>
        <w:footnoteReference w:id="2"/>
      </w:r>
      <w:r w:rsidRPr="00595336">
        <w:rPr>
          <w:rFonts w:ascii="Calibri" w:eastAsia="Calibri" w:hAnsi="Calibri" w:cs="Calibri"/>
          <w:lang w:val="en-GB"/>
        </w:rPr>
        <w:t xml:space="preserve"> and to 43% in Eastern Europe and Central Asia.</w:t>
      </w:r>
      <w:r w:rsidRPr="00595336">
        <w:rPr>
          <w:rFonts w:ascii="Calibri" w:eastAsia="Calibri" w:hAnsi="Calibri" w:cs="Calibri"/>
          <w:vertAlign w:val="superscript"/>
          <w:lang w:val="en-GB"/>
        </w:rPr>
        <w:footnoteReference w:id="3"/>
      </w:r>
      <w:r w:rsidRPr="00595336">
        <w:rPr>
          <w:rFonts w:ascii="Calibri" w:eastAsia="Calibri" w:hAnsi="Calibri" w:cs="Calibri"/>
          <w:lang w:val="en-GB"/>
        </w:rPr>
        <w:t xml:space="preserve"> </w:t>
      </w:r>
      <w:r w:rsidR="00595336">
        <w:rPr>
          <w:rFonts w:ascii="Calibri" w:eastAsia="Calibri" w:hAnsi="Calibri" w:cs="Calibri"/>
          <w:lang w:val="en-GB"/>
        </w:rPr>
        <w:t>In addition</w:t>
      </w:r>
      <w:r w:rsidRPr="00595336">
        <w:rPr>
          <w:rFonts w:ascii="Calibri" w:eastAsia="Calibri" w:hAnsi="Calibri" w:cs="Calibri"/>
          <w:lang w:val="en-GB"/>
        </w:rPr>
        <w:t>, one in two people who inject drugs are living with hepatitis C.</w:t>
      </w:r>
      <w:r w:rsidRPr="00595336">
        <w:rPr>
          <w:rFonts w:ascii="Calibri" w:eastAsia="Calibri" w:hAnsi="Calibri" w:cs="Calibri"/>
          <w:vertAlign w:val="superscript"/>
          <w:lang w:val="en-GB"/>
        </w:rPr>
        <w:footnoteReference w:id="4"/>
      </w:r>
      <w:r w:rsidRPr="00595336">
        <w:rPr>
          <w:rFonts w:ascii="Calibri" w:eastAsia="Calibri" w:hAnsi="Calibri" w:cs="Calibri"/>
          <w:lang w:val="en-GB"/>
        </w:rPr>
        <w:t xml:space="preserve"> Fear of interaction with law enforcement, punishment and stigma drive people who use drugs away from life-saving harm reduction, drug treatment and other healthcare services, increasing their vulnerability to blood-borne diseases and overdoses. At the same time, the criminalisation of possession of drug use paraphernalia (e.g. sterile needles and syringes, crack pipes) undermines efforts to curb HIV and hepatitis.</w:t>
      </w:r>
      <w:r w:rsidRPr="00595336">
        <w:rPr>
          <w:rFonts w:ascii="Calibri" w:eastAsia="Calibri" w:hAnsi="Calibri" w:cs="Calibri"/>
          <w:vertAlign w:val="superscript"/>
          <w:lang w:val="en-GB"/>
        </w:rPr>
        <w:footnoteReference w:id="5"/>
      </w:r>
      <w:r w:rsidRPr="00595336">
        <w:rPr>
          <w:rFonts w:ascii="Calibri" w:eastAsia="Calibri" w:hAnsi="Calibri" w:cs="Calibri"/>
          <w:lang w:val="en-GB"/>
        </w:rPr>
        <w:t xml:space="preserve"> A history of arrest and police violence is also associated with worse mental health outcomes.</w:t>
      </w:r>
      <w:r w:rsidRPr="00595336">
        <w:rPr>
          <w:rFonts w:ascii="Calibri" w:eastAsia="Calibri" w:hAnsi="Calibri" w:cs="Calibri"/>
          <w:vertAlign w:val="superscript"/>
          <w:lang w:val="en-GB"/>
        </w:rPr>
        <w:footnoteReference w:id="6"/>
      </w:r>
      <w:r w:rsidRPr="00595336">
        <w:rPr>
          <w:rFonts w:ascii="Calibri" w:eastAsia="Calibri" w:hAnsi="Calibri" w:cs="Calibri"/>
          <w:lang w:val="en-GB"/>
        </w:rPr>
        <w:t xml:space="preserve"> Women and LBGTQI+ people who use drugs are particularly vulnerable to these risks</w:t>
      </w:r>
      <w:r w:rsidR="002F20B6">
        <w:rPr>
          <w:rFonts w:ascii="Calibri" w:eastAsia="Calibri" w:hAnsi="Calibri" w:cs="Calibri"/>
          <w:lang w:val="en-GB"/>
        </w:rPr>
        <w:t>,</w:t>
      </w:r>
      <w:r w:rsidRPr="00595336">
        <w:rPr>
          <w:rFonts w:ascii="Calibri" w:eastAsia="Calibri" w:hAnsi="Calibri" w:cs="Calibri"/>
          <w:lang w:val="en-GB"/>
        </w:rPr>
        <w:t xml:space="preserve"> fac</w:t>
      </w:r>
      <w:r w:rsidR="002F20B6">
        <w:rPr>
          <w:rFonts w:ascii="Calibri" w:eastAsia="Calibri" w:hAnsi="Calibri" w:cs="Calibri"/>
          <w:lang w:val="en-GB"/>
        </w:rPr>
        <w:t>ing</w:t>
      </w:r>
      <w:r w:rsidRPr="00595336">
        <w:rPr>
          <w:rFonts w:ascii="Calibri" w:eastAsia="Calibri" w:hAnsi="Calibri" w:cs="Calibri"/>
          <w:lang w:val="en-GB"/>
        </w:rPr>
        <w:t xml:space="preserve"> increased obstacles in accessing services because of heightened and intersecting stigma and discrimination, lack of availability of gender-sensitive services, and fear of arrest, police abuse and incarceration.</w:t>
      </w:r>
      <w:r w:rsidRPr="00595336">
        <w:rPr>
          <w:rFonts w:ascii="Calibri" w:eastAsia="Calibri" w:hAnsi="Calibri" w:cs="Calibri"/>
          <w:vertAlign w:val="superscript"/>
          <w:lang w:val="en-GB"/>
        </w:rPr>
        <w:footnoteReference w:id="7"/>
      </w:r>
    </w:p>
    <w:p w14:paraId="24F40183" w14:textId="77777777" w:rsidR="00595336" w:rsidRPr="00595336" w:rsidRDefault="00595336" w:rsidP="00595336">
      <w:pPr>
        <w:ind w:left="720"/>
        <w:jc w:val="both"/>
        <w:rPr>
          <w:rFonts w:ascii="Calibri" w:eastAsia="Calibri" w:hAnsi="Calibri" w:cs="Calibri"/>
          <w:lang w:val="en-GB"/>
        </w:rPr>
      </w:pPr>
    </w:p>
    <w:p w14:paraId="0000002E" w14:textId="56270959" w:rsidR="00AA3F01" w:rsidRPr="00595336" w:rsidRDefault="00000000">
      <w:pPr>
        <w:numPr>
          <w:ilvl w:val="0"/>
          <w:numId w:val="1"/>
        </w:numPr>
        <w:jc w:val="both"/>
        <w:rPr>
          <w:rFonts w:ascii="Calibri" w:eastAsia="Calibri" w:hAnsi="Calibri" w:cs="Calibri"/>
          <w:lang w:val="en-GB"/>
        </w:rPr>
      </w:pPr>
      <w:r w:rsidRPr="00595336">
        <w:rPr>
          <w:rFonts w:ascii="Calibri" w:eastAsia="Calibri" w:hAnsi="Calibri" w:cs="Calibri"/>
          <w:b/>
          <w:lang w:val="en-GB"/>
        </w:rPr>
        <w:t>Right to liberty</w:t>
      </w:r>
      <w:r w:rsidR="00595336">
        <w:rPr>
          <w:rFonts w:ascii="Calibri" w:eastAsia="Calibri" w:hAnsi="Calibri" w:cs="Calibri"/>
          <w:lang w:val="en-GB"/>
        </w:rPr>
        <w:t>:</w:t>
      </w:r>
      <w:r w:rsidRPr="00595336">
        <w:rPr>
          <w:rFonts w:ascii="Calibri" w:eastAsia="Calibri" w:hAnsi="Calibri" w:cs="Calibri"/>
          <w:lang w:val="en-GB"/>
        </w:rPr>
        <w:t xml:space="preserve"> The Working Group on Arbitrary Detention</w:t>
      </w:r>
      <w:r w:rsidR="002F20B6">
        <w:rPr>
          <w:rFonts w:ascii="Calibri" w:eastAsia="Calibri" w:hAnsi="Calibri" w:cs="Calibri"/>
          <w:lang w:val="en-GB"/>
        </w:rPr>
        <w:t xml:space="preserve"> (WGAD)</w:t>
      </w:r>
      <w:r w:rsidRPr="00595336">
        <w:rPr>
          <w:rFonts w:ascii="Calibri" w:eastAsia="Calibri" w:hAnsi="Calibri" w:cs="Calibri"/>
          <w:lang w:val="en-GB"/>
        </w:rPr>
        <w:t xml:space="preserve"> has established that detention is not an appropriate response to drug use.</w:t>
      </w:r>
      <w:r w:rsidRPr="00595336">
        <w:rPr>
          <w:rFonts w:ascii="Calibri" w:eastAsia="Calibri" w:hAnsi="Calibri" w:cs="Calibri"/>
          <w:vertAlign w:val="superscript"/>
          <w:lang w:val="en-GB"/>
        </w:rPr>
        <w:footnoteReference w:id="8"/>
      </w:r>
      <w:r w:rsidRPr="00595336">
        <w:rPr>
          <w:rFonts w:ascii="Calibri" w:eastAsia="Calibri" w:hAnsi="Calibri" w:cs="Calibri"/>
          <w:lang w:val="en-GB"/>
        </w:rPr>
        <w:t xml:space="preserve"> However, 470,000 people </w:t>
      </w:r>
      <w:r w:rsidR="002F20B6">
        <w:rPr>
          <w:rFonts w:ascii="Calibri" w:eastAsia="Calibri" w:hAnsi="Calibri" w:cs="Calibri"/>
          <w:lang w:val="en-GB"/>
        </w:rPr>
        <w:t>are</w:t>
      </w:r>
      <w:r w:rsidRPr="00595336">
        <w:rPr>
          <w:rFonts w:ascii="Calibri" w:eastAsia="Calibri" w:hAnsi="Calibri" w:cs="Calibri"/>
          <w:lang w:val="en-GB"/>
        </w:rPr>
        <w:t xml:space="preserve"> incarcerated for drug possession for personal use</w:t>
      </w:r>
      <w:r w:rsidR="002F20B6">
        <w:rPr>
          <w:rFonts w:ascii="Calibri" w:eastAsia="Calibri" w:hAnsi="Calibri" w:cs="Calibri"/>
          <w:lang w:val="en-GB"/>
        </w:rPr>
        <w:t xml:space="preserve"> worldwide </w:t>
      </w:r>
      <w:r w:rsidRPr="00595336">
        <w:rPr>
          <w:rFonts w:ascii="Calibri" w:eastAsia="Calibri" w:hAnsi="Calibri" w:cs="Calibri"/>
          <w:lang w:val="en-GB"/>
        </w:rPr>
        <w:t>– representing 4% of the global prison population,</w:t>
      </w:r>
      <w:r w:rsidRPr="00595336">
        <w:rPr>
          <w:rFonts w:ascii="Calibri" w:eastAsia="Calibri" w:hAnsi="Calibri" w:cs="Calibri"/>
          <w:vertAlign w:val="superscript"/>
          <w:lang w:val="en-GB"/>
        </w:rPr>
        <w:footnoteReference w:id="9"/>
      </w:r>
      <w:r w:rsidRPr="00595336">
        <w:rPr>
          <w:rFonts w:ascii="Calibri" w:eastAsia="Calibri" w:hAnsi="Calibri" w:cs="Calibri"/>
          <w:lang w:val="en-GB"/>
        </w:rPr>
        <w:t xml:space="preserve"> and hundreds of thousands </w:t>
      </w:r>
      <w:r w:rsidRPr="00595336">
        <w:rPr>
          <w:rFonts w:ascii="Calibri" w:eastAsia="Calibri" w:hAnsi="Calibri" w:cs="Calibri"/>
          <w:lang w:val="en-GB"/>
        </w:rPr>
        <w:lastRenderedPageBreak/>
        <w:t>more are subject to administrative detention, often under the disguise of ‘treatment’.</w:t>
      </w:r>
      <w:r w:rsidRPr="00595336">
        <w:rPr>
          <w:rFonts w:ascii="Calibri" w:eastAsia="Calibri" w:hAnsi="Calibri" w:cs="Calibri"/>
          <w:vertAlign w:val="superscript"/>
          <w:lang w:val="en-GB"/>
        </w:rPr>
        <w:footnoteReference w:id="10"/>
      </w:r>
      <w:r w:rsidRPr="00595336">
        <w:rPr>
          <w:rFonts w:ascii="Calibri" w:eastAsia="Calibri" w:hAnsi="Calibri" w:cs="Calibri"/>
          <w:lang w:val="en-GB"/>
        </w:rPr>
        <w:t xml:space="preserve"> </w:t>
      </w:r>
      <w:r w:rsidR="002F20B6">
        <w:rPr>
          <w:rFonts w:ascii="Calibri" w:eastAsia="Calibri" w:hAnsi="Calibri" w:cs="Calibri"/>
          <w:lang w:val="en-GB"/>
        </w:rPr>
        <w:t>B</w:t>
      </w:r>
      <w:r w:rsidRPr="00595336">
        <w:rPr>
          <w:rFonts w:ascii="Calibri" w:eastAsia="Calibri" w:hAnsi="Calibri" w:cs="Calibri"/>
          <w:lang w:val="en-GB"/>
        </w:rPr>
        <w:t>etween 56% and 90% of people who inject drugs will be incarcerated at some stage in their lives.</w:t>
      </w:r>
      <w:r w:rsidRPr="00595336">
        <w:rPr>
          <w:rFonts w:ascii="Calibri" w:eastAsia="Calibri" w:hAnsi="Calibri" w:cs="Calibri"/>
          <w:vertAlign w:val="superscript"/>
          <w:lang w:val="en-GB"/>
        </w:rPr>
        <w:footnoteReference w:id="11"/>
      </w:r>
      <w:r w:rsidRPr="00595336">
        <w:rPr>
          <w:rFonts w:ascii="Calibri" w:eastAsia="Calibri" w:hAnsi="Calibri" w:cs="Calibri"/>
          <w:lang w:val="en-GB"/>
        </w:rPr>
        <w:t xml:space="preserve"> </w:t>
      </w:r>
      <w:r w:rsidR="002F20B6">
        <w:rPr>
          <w:rFonts w:ascii="Calibri" w:eastAsia="Calibri" w:hAnsi="Calibri" w:cs="Calibri"/>
          <w:lang w:val="en-GB"/>
        </w:rPr>
        <w:t xml:space="preserve">Worryingly, the </w:t>
      </w:r>
      <w:r w:rsidRPr="00595336">
        <w:rPr>
          <w:rFonts w:ascii="Calibri" w:eastAsia="Calibri" w:hAnsi="Calibri" w:cs="Calibri"/>
          <w:lang w:val="en-GB"/>
        </w:rPr>
        <w:t>levels of drug dependence, HIV, tuberculosis and hepatitis C are significantly higher in prisons than in the community.</w:t>
      </w:r>
      <w:r w:rsidRPr="00595336">
        <w:rPr>
          <w:rFonts w:ascii="Calibri" w:eastAsia="Calibri" w:hAnsi="Calibri" w:cs="Calibri"/>
          <w:vertAlign w:val="superscript"/>
          <w:lang w:val="en-GB"/>
        </w:rPr>
        <w:footnoteReference w:id="12"/>
      </w:r>
      <w:r w:rsidRPr="00595336">
        <w:rPr>
          <w:rFonts w:ascii="Calibri" w:eastAsia="Calibri" w:hAnsi="Calibri" w:cs="Calibri"/>
          <w:vertAlign w:val="superscript"/>
          <w:lang w:val="en-GB"/>
        </w:rPr>
        <w:t xml:space="preserve"> </w:t>
      </w:r>
    </w:p>
    <w:p w14:paraId="2A5940DE" w14:textId="77777777" w:rsidR="00595336" w:rsidRPr="00595336" w:rsidRDefault="00595336" w:rsidP="00595336">
      <w:pPr>
        <w:ind w:left="720"/>
        <w:jc w:val="both"/>
        <w:rPr>
          <w:rFonts w:ascii="Calibri" w:eastAsia="Calibri" w:hAnsi="Calibri" w:cs="Calibri"/>
          <w:lang w:val="en-GB"/>
        </w:rPr>
      </w:pPr>
    </w:p>
    <w:p w14:paraId="0000002F" w14:textId="24CD3815" w:rsidR="00AA3F01" w:rsidRPr="00595336" w:rsidRDefault="00000000">
      <w:pPr>
        <w:numPr>
          <w:ilvl w:val="0"/>
          <w:numId w:val="1"/>
        </w:numPr>
        <w:jc w:val="both"/>
        <w:rPr>
          <w:rFonts w:ascii="Calibri" w:eastAsia="Calibri" w:hAnsi="Calibri" w:cs="Calibri"/>
          <w:lang w:val="en-GB"/>
        </w:rPr>
      </w:pPr>
      <w:r w:rsidRPr="00595336">
        <w:rPr>
          <w:rFonts w:ascii="Calibri" w:eastAsia="Calibri" w:hAnsi="Calibri" w:cs="Calibri"/>
          <w:b/>
          <w:lang w:val="en-GB"/>
        </w:rPr>
        <w:t>Right to privacy</w:t>
      </w:r>
      <w:r w:rsidR="001973EB">
        <w:rPr>
          <w:rFonts w:ascii="Calibri" w:eastAsia="Calibri" w:hAnsi="Calibri" w:cs="Calibri"/>
          <w:lang w:val="en-GB"/>
        </w:rPr>
        <w:t>:</w:t>
      </w:r>
      <w:r w:rsidRPr="00595336">
        <w:rPr>
          <w:rFonts w:ascii="Calibri" w:eastAsia="Calibri" w:hAnsi="Calibri" w:cs="Calibri"/>
          <w:lang w:val="en-GB"/>
        </w:rPr>
        <w:t xml:space="preserve"> Criminalisation is often paired with surveillance policies that impinge on the right to privacy of people who use drugs. In several countries</w:t>
      </w:r>
      <w:r w:rsidR="001973EB">
        <w:rPr>
          <w:rFonts w:ascii="Calibri" w:eastAsia="Calibri" w:hAnsi="Calibri" w:cs="Calibri"/>
          <w:lang w:val="en-GB"/>
        </w:rPr>
        <w:t>,</w:t>
      </w:r>
      <w:r w:rsidRPr="00595336">
        <w:rPr>
          <w:rFonts w:ascii="Calibri" w:eastAsia="Calibri" w:hAnsi="Calibri" w:cs="Calibri"/>
          <w:lang w:val="en-GB"/>
        </w:rPr>
        <w:t xml:space="preserve"> especially in Asia</w:t>
      </w:r>
      <w:r w:rsidR="001973EB">
        <w:rPr>
          <w:rFonts w:ascii="Calibri" w:eastAsia="Calibri" w:hAnsi="Calibri" w:cs="Calibri"/>
          <w:lang w:val="en-GB"/>
        </w:rPr>
        <w:t>,</w:t>
      </w:r>
      <w:r w:rsidRPr="00595336">
        <w:rPr>
          <w:rFonts w:ascii="Calibri" w:eastAsia="Calibri" w:hAnsi="Calibri" w:cs="Calibri"/>
          <w:vertAlign w:val="superscript"/>
          <w:lang w:val="en-GB"/>
        </w:rPr>
        <w:footnoteReference w:id="13"/>
      </w:r>
      <w:r w:rsidRPr="00595336">
        <w:rPr>
          <w:rFonts w:ascii="Calibri" w:eastAsia="Calibri" w:hAnsi="Calibri" w:cs="Calibri"/>
          <w:lang w:val="en-GB"/>
        </w:rPr>
        <w:t xml:space="preserve"> law enforcement can force people to undergo mandatory urine testing, an invasive practice that is inadequate to assess drug dependence.</w:t>
      </w:r>
      <w:r w:rsidRPr="00595336">
        <w:rPr>
          <w:rFonts w:ascii="Calibri" w:eastAsia="Calibri" w:hAnsi="Calibri" w:cs="Calibri"/>
          <w:vertAlign w:val="superscript"/>
          <w:lang w:val="en-GB"/>
        </w:rPr>
        <w:footnoteReference w:id="14"/>
      </w:r>
      <w:r w:rsidRPr="00595336">
        <w:rPr>
          <w:rFonts w:ascii="Calibri" w:eastAsia="Calibri" w:hAnsi="Calibri" w:cs="Calibri"/>
          <w:lang w:val="en-GB"/>
        </w:rPr>
        <w:t xml:space="preserve"> Additionally, </w:t>
      </w:r>
      <w:r w:rsidR="001973EB">
        <w:rPr>
          <w:rFonts w:ascii="Calibri" w:eastAsia="Calibri" w:hAnsi="Calibri" w:cs="Calibri"/>
          <w:lang w:val="en-GB"/>
        </w:rPr>
        <w:t>various</w:t>
      </w:r>
      <w:r w:rsidRPr="00595336">
        <w:rPr>
          <w:rFonts w:ascii="Calibri" w:eastAsia="Calibri" w:hAnsi="Calibri" w:cs="Calibri"/>
          <w:lang w:val="en-GB"/>
        </w:rPr>
        <w:t xml:space="preserve"> countries</w:t>
      </w:r>
      <w:r w:rsidRPr="00595336">
        <w:rPr>
          <w:rFonts w:ascii="Calibri" w:eastAsia="Calibri" w:hAnsi="Calibri" w:cs="Calibri"/>
          <w:vertAlign w:val="superscript"/>
          <w:lang w:val="en-GB"/>
        </w:rPr>
        <w:footnoteReference w:id="15"/>
      </w:r>
      <w:r w:rsidRPr="00595336">
        <w:rPr>
          <w:rFonts w:ascii="Calibri" w:eastAsia="Calibri" w:hAnsi="Calibri" w:cs="Calibri"/>
          <w:lang w:val="en-GB"/>
        </w:rPr>
        <w:t xml:space="preserve"> require the compulsory registration of people who use drugs in public state records.</w:t>
      </w:r>
    </w:p>
    <w:p w14:paraId="4B402EB3" w14:textId="77777777" w:rsidR="001973EB" w:rsidRPr="001973EB" w:rsidRDefault="001973EB" w:rsidP="001973EB">
      <w:pPr>
        <w:ind w:left="720"/>
        <w:jc w:val="both"/>
        <w:rPr>
          <w:rFonts w:ascii="Calibri" w:eastAsia="Calibri" w:hAnsi="Calibri" w:cs="Calibri"/>
          <w:lang w:val="en-GB"/>
        </w:rPr>
      </w:pPr>
    </w:p>
    <w:p w14:paraId="6BC36CDD" w14:textId="4A115E3A" w:rsidR="001973EB" w:rsidRPr="001973EB" w:rsidRDefault="00000000" w:rsidP="001973EB">
      <w:pPr>
        <w:numPr>
          <w:ilvl w:val="0"/>
          <w:numId w:val="1"/>
        </w:numPr>
        <w:jc w:val="both"/>
        <w:rPr>
          <w:rFonts w:ascii="Calibri" w:eastAsia="Calibri" w:hAnsi="Calibri" w:cs="Calibri"/>
          <w:lang w:val="en-GB"/>
        </w:rPr>
      </w:pPr>
      <w:r w:rsidRPr="00595336">
        <w:rPr>
          <w:rFonts w:ascii="Calibri" w:eastAsia="Calibri" w:hAnsi="Calibri" w:cs="Calibri"/>
          <w:b/>
          <w:lang w:val="en-GB"/>
        </w:rPr>
        <w:t>Economic and social rights</w:t>
      </w:r>
      <w:r w:rsidR="001973EB">
        <w:rPr>
          <w:rFonts w:ascii="Calibri" w:eastAsia="Calibri" w:hAnsi="Calibri" w:cs="Calibri"/>
          <w:lang w:val="en-GB"/>
        </w:rPr>
        <w:t>:</w:t>
      </w:r>
      <w:r w:rsidRPr="00595336">
        <w:rPr>
          <w:rFonts w:ascii="Calibri" w:eastAsia="Calibri" w:hAnsi="Calibri" w:cs="Calibri"/>
          <w:lang w:val="en-GB"/>
        </w:rPr>
        <w:t xml:space="preserve"> The stigma and discrimination derived from criminalisation can limit access to basic social services such as housing, education, or benefits for people who use drugs. In a 2021 survey</w:t>
      </w:r>
      <w:r w:rsidRPr="00595336">
        <w:rPr>
          <w:rFonts w:ascii="Calibri" w:eastAsia="Calibri" w:hAnsi="Calibri" w:cs="Calibri"/>
          <w:vertAlign w:val="superscript"/>
          <w:lang w:val="en-GB"/>
        </w:rPr>
        <w:footnoteReference w:id="16"/>
      </w:r>
      <w:r w:rsidRPr="00595336">
        <w:rPr>
          <w:rFonts w:ascii="Calibri" w:eastAsia="Calibri" w:hAnsi="Calibri" w:cs="Calibri"/>
          <w:lang w:val="en-GB"/>
        </w:rPr>
        <w:t xml:space="preserve"> gather</w:t>
      </w:r>
      <w:r w:rsidR="001973EB">
        <w:rPr>
          <w:rFonts w:ascii="Calibri" w:eastAsia="Calibri" w:hAnsi="Calibri" w:cs="Calibri"/>
          <w:lang w:val="en-GB"/>
        </w:rPr>
        <w:t>ing</w:t>
      </w:r>
      <w:r w:rsidRPr="00595336">
        <w:rPr>
          <w:rFonts w:ascii="Calibri" w:eastAsia="Calibri" w:hAnsi="Calibri" w:cs="Calibri"/>
          <w:lang w:val="en-GB"/>
        </w:rPr>
        <w:t xml:space="preserve"> responses from 26 countries, stigma was reported as a barrier to accessing health care in 88% of these countries, to maternity care in 65% of them, and to public housing in 73% of them. </w:t>
      </w:r>
      <w:r w:rsidR="00261352">
        <w:rPr>
          <w:rFonts w:ascii="Calibri" w:eastAsia="Calibri" w:hAnsi="Calibri" w:cs="Calibri"/>
          <w:lang w:val="en-GB"/>
        </w:rPr>
        <w:t>S</w:t>
      </w:r>
      <w:r w:rsidRPr="00595336">
        <w:rPr>
          <w:rFonts w:ascii="Calibri" w:eastAsia="Calibri" w:hAnsi="Calibri" w:cs="Calibri"/>
          <w:lang w:val="en-GB"/>
        </w:rPr>
        <w:t>tigma was perceived as hampering access to public education and benefits.</w:t>
      </w:r>
    </w:p>
    <w:p w14:paraId="287D5D61" w14:textId="77777777" w:rsidR="001973EB" w:rsidRPr="001973EB" w:rsidRDefault="001973EB" w:rsidP="001973EB">
      <w:pPr>
        <w:ind w:left="360"/>
        <w:jc w:val="both"/>
        <w:rPr>
          <w:rFonts w:ascii="Calibri" w:eastAsia="Calibri" w:hAnsi="Calibri" w:cs="Calibri"/>
          <w:lang w:val="en-GB"/>
        </w:rPr>
      </w:pPr>
    </w:p>
    <w:p w14:paraId="00000032" w14:textId="500B858F" w:rsidR="00AA3F01" w:rsidRPr="00EB19BC" w:rsidRDefault="00000000" w:rsidP="00EB19BC">
      <w:pPr>
        <w:numPr>
          <w:ilvl w:val="0"/>
          <w:numId w:val="1"/>
        </w:numPr>
        <w:spacing w:after="200"/>
        <w:jc w:val="both"/>
        <w:rPr>
          <w:rFonts w:ascii="Calibri" w:eastAsia="Calibri" w:hAnsi="Calibri" w:cs="Calibri"/>
          <w:lang w:val="en-GB"/>
        </w:rPr>
      </w:pPr>
      <w:r w:rsidRPr="00595336">
        <w:rPr>
          <w:rFonts w:ascii="Calibri" w:eastAsia="Calibri" w:hAnsi="Calibri" w:cs="Calibri"/>
          <w:b/>
          <w:lang w:val="en-GB"/>
        </w:rPr>
        <w:t>Right to be free from discrimination</w:t>
      </w:r>
      <w:r w:rsidR="001973EB">
        <w:rPr>
          <w:rFonts w:ascii="Calibri" w:eastAsia="Calibri" w:hAnsi="Calibri" w:cs="Calibri"/>
          <w:lang w:val="en-GB"/>
        </w:rPr>
        <w:t>:</w:t>
      </w:r>
      <w:r w:rsidRPr="00595336">
        <w:rPr>
          <w:rFonts w:ascii="Calibri" w:eastAsia="Calibri" w:hAnsi="Calibri" w:cs="Calibri"/>
          <w:lang w:val="en-GB"/>
        </w:rPr>
        <w:t xml:space="preserve"> The deployment of criminalising laws against people who use drugs has been discriminatory, targeting people with intersecting forms of marginalisation on the basis of their race, ethnicity, gender identity or sexual orientation, and socio-economic status.</w:t>
      </w:r>
      <w:r w:rsidRPr="00595336">
        <w:rPr>
          <w:rFonts w:ascii="Calibri" w:eastAsia="Calibri" w:hAnsi="Calibri" w:cs="Calibri"/>
          <w:vertAlign w:val="superscript"/>
          <w:lang w:val="en-GB"/>
        </w:rPr>
        <w:footnoteReference w:id="17"/>
      </w:r>
      <w:r w:rsidRPr="00595336">
        <w:rPr>
          <w:rFonts w:ascii="Calibri" w:eastAsia="Calibri" w:hAnsi="Calibri" w:cs="Calibri"/>
          <w:lang w:val="en-GB"/>
        </w:rPr>
        <w:t xml:space="preserve"> In the UK, Black and Asian people are convicted </w:t>
      </w:r>
      <w:r w:rsidR="001973EB">
        <w:rPr>
          <w:rFonts w:ascii="Calibri" w:eastAsia="Calibri" w:hAnsi="Calibri" w:cs="Calibri"/>
          <w:lang w:val="en-GB"/>
        </w:rPr>
        <w:t>for</w:t>
      </w:r>
      <w:r w:rsidRPr="00595336">
        <w:rPr>
          <w:rFonts w:ascii="Calibri" w:eastAsia="Calibri" w:hAnsi="Calibri" w:cs="Calibri"/>
          <w:lang w:val="en-GB"/>
        </w:rPr>
        <w:t xml:space="preserve"> cannabis possession at 11.8 and 2.4 times the rate of white people, despite lower rates of self-reported cannabis use.</w:t>
      </w:r>
      <w:r w:rsidRPr="00595336">
        <w:rPr>
          <w:rFonts w:ascii="Calibri" w:eastAsia="Calibri" w:hAnsi="Calibri" w:cs="Calibri"/>
          <w:vertAlign w:val="superscript"/>
          <w:lang w:val="en-GB"/>
        </w:rPr>
        <w:footnoteReference w:id="18"/>
      </w:r>
      <w:r w:rsidRPr="00595336">
        <w:rPr>
          <w:rFonts w:ascii="Calibri" w:eastAsia="Calibri" w:hAnsi="Calibri" w:cs="Calibri"/>
          <w:lang w:val="en-GB"/>
        </w:rPr>
        <w:t xml:space="preserve"> In the USA, although Black people comprise 13% of the US population and use drugs at similar rates to </w:t>
      </w:r>
      <w:r w:rsidR="00261352">
        <w:rPr>
          <w:rFonts w:ascii="Calibri" w:eastAsia="Calibri" w:hAnsi="Calibri" w:cs="Calibri"/>
          <w:lang w:val="en-GB"/>
        </w:rPr>
        <w:t>others</w:t>
      </w:r>
      <w:r w:rsidRPr="00595336">
        <w:rPr>
          <w:rFonts w:ascii="Calibri" w:eastAsia="Calibri" w:hAnsi="Calibri" w:cs="Calibri"/>
          <w:lang w:val="en-GB"/>
        </w:rPr>
        <w:t xml:space="preserve">, they comprise 29% of those arrested for drug offences and nearly 40% of those incarcerated for drug </w:t>
      </w:r>
      <w:r w:rsidR="00261352">
        <w:rPr>
          <w:rFonts w:ascii="Calibri" w:eastAsia="Calibri" w:hAnsi="Calibri" w:cs="Calibri"/>
          <w:lang w:val="en-GB"/>
        </w:rPr>
        <w:t>offences</w:t>
      </w:r>
      <w:r w:rsidRPr="00595336">
        <w:rPr>
          <w:rFonts w:ascii="Calibri" w:eastAsia="Calibri" w:hAnsi="Calibri" w:cs="Calibri"/>
          <w:lang w:val="en-GB"/>
        </w:rPr>
        <w:t>.</w:t>
      </w:r>
      <w:r w:rsidRPr="00595336">
        <w:rPr>
          <w:rFonts w:ascii="Calibri" w:eastAsia="Calibri" w:hAnsi="Calibri" w:cs="Calibri"/>
          <w:vertAlign w:val="superscript"/>
          <w:lang w:val="en-GB"/>
        </w:rPr>
        <w:footnoteReference w:id="19"/>
      </w:r>
      <w:r w:rsidRPr="00595336">
        <w:rPr>
          <w:rFonts w:ascii="Calibri" w:eastAsia="Calibri" w:hAnsi="Calibri" w:cs="Calibri"/>
          <w:lang w:val="en-GB"/>
        </w:rPr>
        <w:t xml:space="preserve"> Data from the Global Drug Policy Index</w:t>
      </w:r>
      <w:r w:rsidRPr="00595336">
        <w:rPr>
          <w:rFonts w:ascii="Calibri" w:eastAsia="Calibri" w:hAnsi="Calibri" w:cs="Calibri"/>
          <w:vertAlign w:val="superscript"/>
          <w:lang w:val="en-GB"/>
        </w:rPr>
        <w:footnoteReference w:id="20"/>
      </w:r>
      <w:r w:rsidRPr="00595336">
        <w:rPr>
          <w:rFonts w:ascii="Calibri" w:eastAsia="Calibri" w:hAnsi="Calibri" w:cs="Calibri"/>
          <w:lang w:val="en-GB"/>
        </w:rPr>
        <w:t xml:space="preserve"> also shows that criminal justice responses to drugs disproportionately impact low-income groups in all 30 surveyed countries, while several countries report disproportionate impact</w:t>
      </w:r>
      <w:r w:rsidR="00261352">
        <w:rPr>
          <w:rFonts w:ascii="Calibri" w:eastAsia="Calibri" w:hAnsi="Calibri" w:cs="Calibri"/>
          <w:lang w:val="en-GB"/>
        </w:rPr>
        <w:t>s</w:t>
      </w:r>
      <w:r w:rsidRPr="00595336">
        <w:rPr>
          <w:rFonts w:ascii="Calibri" w:eastAsia="Calibri" w:hAnsi="Calibri" w:cs="Calibri"/>
          <w:lang w:val="en-GB"/>
        </w:rPr>
        <w:t xml:space="preserve"> on ethnic minorities and women.</w:t>
      </w:r>
    </w:p>
    <w:p w14:paraId="00000033" w14:textId="77777777" w:rsidR="00AA3F01" w:rsidRPr="00EB19BC" w:rsidRDefault="00000000">
      <w:pPr>
        <w:spacing w:after="200"/>
        <w:jc w:val="both"/>
        <w:rPr>
          <w:rFonts w:ascii="Calibri" w:eastAsia="Calibri" w:hAnsi="Calibri" w:cs="Calibri"/>
          <w:b/>
          <w:sz w:val="30"/>
          <w:szCs w:val="30"/>
          <w:lang w:val="en-GB"/>
        </w:rPr>
      </w:pPr>
      <w:r w:rsidRPr="00EB19BC">
        <w:rPr>
          <w:rFonts w:ascii="Calibri" w:eastAsia="Calibri" w:hAnsi="Calibri" w:cs="Calibri"/>
          <w:b/>
          <w:sz w:val="30"/>
          <w:szCs w:val="30"/>
          <w:lang w:val="en-GB"/>
        </w:rPr>
        <w:t xml:space="preserve">The broad consensus for decriminalisation </w:t>
      </w:r>
    </w:p>
    <w:p w14:paraId="00000034" w14:textId="1603EAB3" w:rsidR="00AA3F01" w:rsidRPr="00595336" w:rsidRDefault="00826044">
      <w:pPr>
        <w:numPr>
          <w:ilvl w:val="0"/>
          <w:numId w:val="1"/>
        </w:numPr>
        <w:jc w:val="both"/>
        <w:rPr>
          <w:lang w:val="en-GB"/>
        </w:rPr>
      </w:pPr>
      <w:r>
        <w:rPr>
          <w:rFonts w:ascii="Calibri" w:eastAsia="Calibri" w:hAnsi="Calibri" w:cs="Calibri"/>
          <w:lang w:val="en-GB"/>
        </w:rPr>
        <w:lastRenderedPageBreak/>
        <w:t>Many</w:t>
      </w:r>
      <w:r w:rsidRPr="00595336">
        <w:rPr>
          <w:rFonts w:ascii="Calibri" w:eastAsia="Calibri" w:hAnsi="Calibri" w:cs="Calibri"/>
          <w:lang w:val="en-GB"/>
        </w:rPr>
        <w:t xml:space="preserve"> UN entities and human rights experts are promoting decriminalisation as a core component of a rights- and health-based approach towards people who use drugs</w:t>
      </w:r>
      <w:r>
        <w:rPr>
          <w:rFonts w:ascii="Calibri" w:eastAsia="Calibri" w:hAnsi="Calibri" w:cs="Calibri"/>
          <w:lang w:val="en-GB"/>
        </w:rPr>
        <w:t xml:space="preserve">, including </w:t>
      </w:r>
      <w:r w:rsidRPr="00595336">
        <w:rPr>
          <w:rFonts w:ascii="Calibri" w:eastAsia="Calibri" w:hAnsi="Calibri" w:cs="Calibri"/>
          <w:lang w:val="en-GB"/>
        </w:rPr>
        <w:t>OHCHR,</w:t>
      </w:r>
      <w:r w:rsidRPr="00595336">
        <w:rPr>
          <w:rFonts w:ascii="Calibri" w:eastAsia="Calibri" w:hAnsi="Calibri" w:cs="Calibri"/>
          <w:vertAlign w:val="superscript"/>
          <w:lang w:val="en-GB"/>
        </w:rPr>
        <w:footnoteReference w:id="21"/>
      </w:r>
      <w:r w:rsidRPr="00595336">
        <w:rPr>
          <w:rFonts w:ascii="Calibri" w:eastAsia="Calibri" w:hAnsi="Calibri" w:cs="Calibri"/>
          <w:lang w:val="en-GB"/>
        </w:rPr>
        <w:t xml:space="preserve"> UNAIDS,</w:t>
      </w:r>
      <w:r w:rsidRPr="00595336">
        <w:rPr>
          <w:rFonts w:ascii="Calibri" w:eastAsia="Calibri" w:hAnsi="Calibri" w:cs="Calibri"/>
          <w:vertAlign w:val="superscript"/>
          <w:lang w:val="en-GB"/>
        </w:rPr>
        <w:footnoteReference w:id="22"/>
      </w:r>
      <w:r w:rsidRPr="00595336">
        <w:rPr>
          <w:rFonts w:ascii="Calibri" w:eastAsia="Calibri" w:hAnsi="Calibri" w:cs="Calibri"/>
          <w:lang w:val="en-GB"/>
        </w:rPr>
        <w:t xml:space="preserve"> WHO,</w:t>
      </w:r>
      <w:r w:rsidRPr="00595336">
        <w:rPr>
          <w:rFonts w:ascii="Calibri" w:eastAsia="Calibri" w:hAnsi="Calibri" w:cs="Calibri"/>
          <w:vertAlign w:val="superscript"/>
          <w:lang w:val="en-GB"/>
        </w:rPr>
        <w:footnoteReference w:id="23"/>
      </w:r>
      <w:r w:rsidRPr="00595336">
        <w:rPr>
          <w:rFonts w:ascii="Calibri" w:eastAsia="Calibri" w:hAnsi="Calibri" w:cs="Calibri"/>
          <w:lang w:val="en-GB"/>
        </w:rPr>
        <w:t xml:space="preserve"> UNDP,</w:t>
      </w:r>
      <w:r w:rsidRPr="00595336">
        <w:rPr>
          <w:rFonts w:ascii="Calibri" w:eastAsia="Calibri" w:hAnsi="Calibri" w:cs="Calibri"/>
          <w:vertAlign w:val="superscript"/>
          <w:lang w:val="en-GB"/>
        </w:rPr>
        <w:footnoteReference w:id="24"/>
      </w:r>
      <w:r w:rsidRPr="00595336">
        <w:rPr>
          <w:rFonts w:ascii="Calibri" w:eastAsia="Calibri" w:hAnsi="Calibri" w:cs="Calibri"/>
          <w:lang w:val="en-GB"/>
        </w:rPr>
        <w:t xml:space="preserve"> UN Women</w:t>
      </w:r>
      <w:r>
        <w:rPr>
          <w:rFonts w:ascii="Calibri" w:eastAsia="Calibri" w:hAnsi="Calibri" w:cs="Calibri"/>
          <w:lang w:val="en-GB"/>
        </w:rPr>
        <w:t xml:space="preserve">, </w:t>
      </w:r>
      <w:r w:rsidRPr="00595336">
        <w:rPr>
          <w:rFonts w:ascii="Calibri" w:eastAsia="Calibri" w:hAnsi="Calibri" w:cs="Calibri"/>
          <w:vertAlign w:val="superscript"/>
          <w:lang w:val="en-GB"/>
        </w:rPr>
        <w:footnoteReference w:id="25"/>
      </w:r>
      <w:r w:rsidRPr="00826044">
        <w:rPr>
          <w:rFonts w:ascii="Calibri" w:eastAsia="Calibri" w:hAnsi="Calibri" w:cs="Calibri"/>
          <w:lang w:val="en-GB"/>
        </w:rPr>
        <w:t xml:space="preserve"> </w:t>
      </w:r>
      <w:r w:rsidRPr="00595336">
        <w:rPr>
          <w:rFonts w:ascii="Calibri" w:eastAsia="Calibri" w:hAnsi="Calibri" w:cs="Calibri"/>
          <w:lang w:val="en-GB"/>
        </w:rPr>
        <w:t>High Commissioner for Human Rights,</w:t>
      </w:r>
      <w:r w:rsidRPr="00595336">
        <w:rPr>
          <w:rFonts w:ascii="Calibri" w:eastAsia="Calibri" w:hAnsi="Calibri" w:cs="Calibri"/>
          <w:vertAlign w:val="superscript"/>
          <w:lang w:val="en-GB"/>
        </w:rPr>
        <w:footnoteReference w:id="26"/>
      </w:r>
      <w:r w:rsidRPr="00595336">
        <w:rPr>
          <w:rFonts w:ascii="Calibri" w:eastAsia="Calibri" w:hAnsi="Calibri" w:cs="Calibri"/>
          <w:b/>
          <w:lang w:val="en-GB"/>
        </w:rPr>
        <w:t xml:space="preserve"> </w:t>
      </w:r>
      <w:r w:rsidRPr="007355F8">
        <w:rPr>
          <w:rFonts w:ascii="Calibri" w:eastAsia="Calibri" w:hAnsi="Calibri" w:cs="Calibri"/>
          <w:bCs/>
          <w:lang w:val="en-GB"/>
        </w:rPr>
        <w:t xml:space="preserve">the </w:t>
      </w:r>
      <w:r w:rsidRPr="00595336">
        <w:rPr>
          <w:rFonts w:ascii="Calibri" w:eastAsia="Calibri" w:hAnsi="Calibri" w:cs="Calibri"/>
          <w:lang w:val="en-GB"/>
        </w:rPr>
        <w:t>CESCR Committee,</w:t>
      </w:r>
      <w:r w:rsidRPr="00595336">
        <w:rPr>
          <w:rFonts w:ascii="Calibri" w:eastAsia="Calibri" w:hAnsi="Calibri" w:cs="Calibri"/>
          <w:vertAlign w:val="superscript"/>
          <w:lang w:val="en-GB"/>
        </w:rPr>
        <w:footnoteReference w:id="27"/>
      </w:r>
      <w:r w:rsidRPr="00595336">
        <w:rPr>
          <w:rFonts w:ascii="Calibri" w:eastAsia="Calibri" w:hAnsi="Calibri" w:cs="Calibri"/>
          <w:lang w:val="en-GB"/>
        </w:rPr>
        <w:t xml:space="preserve"> the </w:t>
      </w:r>
      <w:r>
        <w:rPr>
          <w:rFonts w:ascii="Calibri" w:eastAsia="Calibri" w:hAnsi="Calibri" w:cs="Calibri"/>
          <w:lang w:val="en-GB"/>
        </w:rPr>
        <w:t>WGAD</w:t>
      </w:r>
      <w:r w:rsidRPr="00595336">
        <w:rPr>
          <w:rFonts w:ascii="Calibri" w:eastAsia="Calibri" w:hAnsi="Calibri" w:cs="Calibri"/>
          <w:vertAlign w:val="superscript"/>
          <w:lang w:val="en-GB"/>
        </w:rPr>
        <w:footnoteReference w:id="28"/>
      </w:r>
      <w:r w:rsidRPr="00595336">
        <w:rPr>
          <w:rFonts w:ascii="Calibri" w:eastAsia="Calibri" w:hAnsi="Calibri" w:cs="Calibri"/>
          <w:lang w:val="en-GB"/>
        </w:rPr>
        <w:t xml:space="preserve"> and the Special Rapporteur on </w:t>
      </w:r>
      <w:r>
        <w:rPr>
          <w:rFonts w:ascii="Calibri" w:eastAsia="Calibri" w:hAnsi="Calibri" w:cs="Calibri"/>
          <w:lang w:val="en-GB"/>
        </w:rPr>
        <w:t>health.</w:t>
      </w:r>
      <w:r w:rsidRPr="00595336">
        <w:rPr>
          <w:rFonts w:ascii="Calibri" w:eastAsia="Calibri" w:hAnsi="Calibri" w:cs="Calibri"/>
          <w:vertAlign w:val="superscript"/>
          <w:lang w:val="en-GB"/>
        </w:rPr>
        <w:footnoteReference w:id="29"/>
      </w:r>
      <w:r w:rsidRPr="00595336">
        <w:rPr>
          <w:rFonts w:ascii="Calibri" w:eastAsia="Calibri" w:hAnsi="Calibri" w:cs="Calibri"/>
          <w:lang w:val="en-GB"/>
        </w:rPr>
        <w:t xml:space="preserve"> The UN system Common Position on drugs, the UN overarching policy document on drug</w:t>
      </w:r>
      <w:r>
        <w:rPr>
          <w:rFonts w:ascii="Calibri" w:eastAsia="Calibri" w:hAnsi="Calibri" w:cs="Calibri"/>
          <w:lang w:val="en-GB"/>
        </w:rPr>
        <w:t xml:space="preserve"> policy</w:t>
      </w:r>
      <w:r w:rsidRPr="00595336">
        <w:rPr>
          <w:rFonts w:ascii="Calibri" w:eastAsia="Calibri" w:hAnsi="Calibri" w:cs="Calibri"/>
          <w:lang w:val="en-GB"/>
        </w:rPr>
        <w:t>, promotes decriminalisation amongst its directions for action.</w:t>
      </w:r>
      <w:r w:rsidRPr="00595336">
        <w:rPr>
          <w:rFonts w:ascii="Calibri" w:eastAsia="Calibri" w:hAnsi="Calibri" w:cs="Calibri"/>
          <w:vertAlign w:val="superscript"/>
          <w:lang w:val="en-GB"/>
        </w:rPr>
        <w:footnoteReference w:id="30"/>
      </w:r>
      <w:r w:rsidRPr="00595336">
        <w:rPr>
          <w:rFonts w:ascii="Calibri" w:eastAsia="Calibri" w:hAnsi="Calibri" w:cs="Calibri"/>
          <w:lang w:val="en-GB"/>
        </w:rPr>
        <w:t xml:space="preserve"> Finally, the </w:t>
      </w:r>
      <w:r w:rsidR="007355F8">
        <w:rPr>
          <w:rFonts w:ascii="Calibri" w:eastAsia="Calibri" w:hAnsi="Calibri" w:cs="Calibri"/>
          <w:lang w:val="en-GB"/>
        </w:rPr>
        <w:t>INCB</w:t>
      </w:r>
      <w:r w:rsidRPr="00595336">
        <w:rPr>
          <w:rFonts w:ascii="Calibri" w:eastAsia="Calibri" w:hAnsi="Calibri" w:cs="Calibri"/>
          <w:lang w:val="en-GB"/>
        </w:rPr>
        <w:t xml:space="preserve"> has concluded that decriminalisation is aligned with the UN drug control treaties.</w:t>
      </w:r>
      <w:r w:rsidRPr="00595336">
        <w:rPr>
          <w:rFonts w:ascii="Calibri" w:eastAsia="Calibri" w:hAnsi="Calibri" w:cs="Calibri"/>
          <w:vertAlign w:val="superscript"/>
          <w:lang w:val="en-GB"/>
        </w:rPr>
        <w:footnoteReference w:id="31"/>
      </w:r>
    </w:p>
    <w:p w14:paraId="76781DCE" w14:textId="77777777" w:rsidR="007355F8" w:rsidRPr="007355F8" w:rsidRDefault="007355F8" w:rsidP="007355F8">
      <w:pPr>
        <w:ind w:left="720"/>
        <w:jc w:val="both"/>
        <w:rPr>
          <w:lang w:val="en-GB"/>
        </w:rPr>
      </w:pPr>
    </w:p>
    <w:p w14:paraId="00000035" w14:textId="77A97FFA" w:rsidR="00AA3F01" w:rsidRPr="00595336" w:rsidRDefault="00826044">
      <w:pPr>
        <w:numPr>
          <w:ilvl w:val="0"/>
          <w:numId w:val="1"/>
        </w:numPr>
        <w:jc w:val="both"/>
        <w:rPr>
          <w:lang w:val="en-GB"/>
        </w:rPr>
      </w:pPr>
      <w:r>
        <w:rPr>
          <w:rFonts w:ascii="Calibri" w:eastAsia="Calibri" w:hAnsi="Calibri" w:cs="Calibri"/>
          <w:lang w:val="en-GB"/>
        </w:rPr>
        <w:t>Worldwide</w:t>
      </w:r>
      <w:r w:rsidRPr="00595336">
        <w:rPr>
          <w:rFonts w:ascii="Calibri" w:eastAsia="Calibri" w:hAnsi="Calibri" w:cs="Calibri"/>
          <w:lang w:val="en-GB"/>
        </w:rPr>
        <w:t>, 64 jurisdictions in 37 countries have decriminalised drug use and possession.</w:t>
      </w:r>
      <w:r w:rsidRPr="00595336">
        <w:rPr>
          <w:rFonts w:ascii="Calibri" w:eastAsia="Calibri" w:hAnsi="Calibri" w:cs="Calibri"/>
          <w:vertAlign w:val="superscript"/>
          <w:lang w:val="en-GB"/>
        </w:rPr>
        <w:footnoteReference w:id="32"/>
      </w:r>
      <w:r w:rsidRPr="00595336">
        <w:rPr>
          <w:rFonts w:ascii="Calibri" w:eastAsia="Calibri" w:hAnsi="Calibri" w:cs="Calibri"/>
          <w:lang w:val="en-GB"/>
        </w:rPr>
        <w:t xml:space="preserve"> The overarching objective of decriminalisation is to end the punishment and stigmatisation of people who use drugs. </w:t>
      </w:r>
      <w:r>
        <w:rPr>
          <w:rFonts w:ascii="Calibri" w:eastAsia="Calibri" w:hAnsi="Calibri" w:cs="Calibri"/>
          <w:lang w:val="en-GB"/>
        </w:rPr>
        <w:t>W</w:t>
      </w:r>
      <w:r w:rsidRPr="00595336">
        <w:rPr>
          <w:rFonts w:ascii="Calibri" w:eastAsia="Calibri" w:hAnsi="Calibri" w:cs="Calibri"/>
          <w:lang w:val="en-GB"/>
        </w:rPr>
        <w:t xml:space="preserve">hen implemented under a harm reduction-oriented approach, decriminalisation </w:t>
      </w:r>
      <w:r>
        <w:rPr>
          <w:rFonts w:ascii="Calibri" w:eastAsia="Calibri" w:hAnsi="Calibri" w:cs="Calibri"/>
          <w:lang w:val="en-GB"/>
        </w:rPr>
        <w:t>provides a</w:t>
      </w:r>
      <w:r w:rsidRPr="00595336">
        <w:rPr>
          <w:rFonts w:ascii="Calibri" w:eastAsia="Calibri" w:hAnsi="Calibri" w:cs="Calibri"/>
          <w:lang w:val="en-GB"/>
        </w:rPr>
        <w:t xml:space="preserve"> supporting and enabling legal framework within which health interventions can be voluntarily accessed without fear of stigma, </w:t>
      </w:r>
      <w:proofErr w:type="gramStart"/>
      <w:r w:rsidRPr="00595336">
        <w:rPr>
          <w:rFonts w:ascii="Calibri" w:eastAsia="Calibri" w:hAnsi="Calibri" w:cs="Calibri"/>
          <w:lang w:val="en-GB"/>
        </w:rPr>
        <w:t>arrest</w:t>
      </w:r>
      <w:proofErr w:type="gramEnd"/>
      <w:r w:rsidRPr="00595336">
        <w:rPr>
          <w:rFonts w:ascii="Calibri" w:eastAsia="Calibri" w:hAnsi="Calibri" w:cs="Calibri"/>
          <w:lang w:val="en-GB"/>
        </w:rPr>
        <w:t xml:space="preserve"> and detention, leading to improved health and human rights outcomes.</w:t>
      </w:r>
      <w:r w:rsidRPr="00595336">
        <w:rPr>
          <w:rFonts w:ascii="Calibri" w:eastAsia="Calibri" w:hAnsi="Calibri" w:cs="Calibri"/>
          <w:vertAlign w:val="superscript"/>
          <w:lang w:val="en-GB"/>
        </w:rPr>
        <w:footnoteReference w:id="33"/>
      </w:r>
    </w:p>
    <w:p w14:paraId="64166C46" w14:textId="77777777" w:rsidR="007355F8" w:rsidRDefault="007355F8" w:rsidP="007355F8">
      <w:pPr>
        <w:ind w:left="720"/>
        <w:jc w:val="both"/>
        <w:rPr>
          <w:rFonts w:ascii="Calibri" w:eastAsia="Calibri" w:hAnsi="Calibri" w:cs="Calibri"/>
          <w:lang w:val="en-GB"/>
        </w:rPr>
      </w:pPr>
    </w:p>
    <w:p w14:paraId="00000036" w14:textId="727F5619" w:rsidR="00AA3F01" w:rsidRPr="00595336" w:rsidRDefault="00000000">
      <w:pPr>
        <w:numPr>
          <w:ilvl w:val="0"/>
          <w:numId w:val="1"/>
        </w:numPr>
        <w:spacing w:after="200"/>
        <w:jc w:val="both"/>
        <w:rPr>
          <w:rFonts w:ascii="Calibri" w:eastAsia="Calibri" w:hAnsi="Calibri" w:cs="Calibri"/>
          <w:lang w:val="en-GB"/>
        </w:rPr>
      </w:pPr>
      <w:r w:rsidRPr="00595336">
        <w:rPr>
          <w:rFonts w:ascii="Calibri" w:eastAsia="Calibri" w:hAnsi="Calibri" w:cs="Calibri"/>
          <w:lang w:val="en-GB"/>
        </w:rPr>
        <w:t>In practice, however, each country designs and implements decriminalisation differently – and they often fall short from the gold standard, which entails the removal of all punishment.</w:t>
      </w:r>
      <w:r w:rsidRPr="00595336">
        <w:rPr>
          <w:rFonts w:ascii="Calibri" w:eastAsia="Calibri" w:hAnsi="Calibri" w:cs="Calibri"/>
          <w:vertAlign w:val="superscript"/>
          <w:lang w:val="en-GB"/>
        </w:rPr>
        <w:footnoteReference w:id="34"/>
      </w:r>
      <w:r w:rsidRPr="00595336">
        <w:rPr>
          <w:rFonts w:ascii="Calibri" w:eastAsia="Calibri" w:hAnsi="Calibri" w:cs="Calibri"/>
          <w:lang w:val="en-GB"/>
        </w:rPr>
        <w:t xml:space="preserve"> If effectively designed and implemented, decriminalisation can be a powerful instrument to ensure that the rights of people who use drugs</w:t>
      </w:r>
      <w:r w:rsidR="00826044">
        <w:rPr>
          <w:rFonts w:ascii="Calibri" w:eastAsia="Calibri" w:hAnsi="Calibri" w:cs="Calibri"/>
          <w:lang w:val="en-GB"/>
        </w:rPr>
        <w:t xml:space="preserve"> are protected</w:t>
      </w:r>
      <w:r w:rsidRPr="00595336">
        <w:rPr>
          <w:rFonts w:ascii="Calibri" w:eastAsia="Calibri" w:hAnsi="Calibri" w:cs="Calibri"/>
          <w:lang w:val="en-GB"/>
        </w:rPr>
        <w:t>.</w:t>
      </w:r>
    </w:p>
    <w:p w14:paraId="519F31F2" w14:textId="77777777" w:rsidR="00EB19BC" w:rsidRDefault="00EB19BC">
      <w:pPr>
        <w:jc w:val="both"/>
        <w:rPr>
          <w:rFonts w:ascii="Calibri" w:eastAsia="Calibri" w:hAnsi="Calibri" w:cs="Calibri"/>
          <w:b/>
          <w:lang w:val="en-GB"/>
        </w:rPr>
      </w:pPr>
    </w:p>
    <w:p w14:paraId="00000037" w14:textId="66CFEC0A" w:rsidR="00AA3F01" w:rsidRPr="00EB19BC" w:rsidRDefault="00000000">
      <w:pPr>
        <w:jc w:val="both"/>
        <w:rPr>
          <w:rFonts w:ascii="Calibri" w:eastAsia="Calibri" w:hAnsi="Calibri" w:cs="Calibri"/>
          <w:b/>
          <w:sz w:val="30"/>
          <w:szCs w:val="30"/>
          <w:lang w:val="en-GB"/>
        </w:rPr>
      </w:pPr>
      <w:r w:rsidRPr="00EB19BC">
        <w:rPr>
          <w:rFonts w:ascii="Calibri" w:eastAsia="Calibri" w:hAnsi="Calibri" w:cs="Calibri"/>
          <w:b/>
          <w:sz w:val="30"/>
          <w:szCs w:val="30"/>
          <w:lang w:val="en-GB"/>
        </w:rPr>
        <w:t>The gold standard of decriminalisation</w:t>
      </w:r>
    </w:p>
    <w:p w14:paraId="00000038" w14:textId="77777777" w:rsidR="00AA3F01" w:rsidRPr="00595336" w:rsidRDefault="00AA3F01">
      <w:pPr>
        <w:jc w:val="both"/>
        <w:rPr>
          <w:rFonts w:ascii="Calibri" w:eastAsia="Calibri" w:hAnsi="Calibri" w:cs="Calibri"/>
          <w:b/>
          <w:lang w:val="en-GB"/>
        </w:rPr>
      </w:pPr>
    </w:p>
    <w:p w14:paraId="00000039" w14:textId="201A2E83" w:rsidR="00AA3F01" w:rsidRPr="00595336" w:rsidRDefault="00000000" w:rsidP="007355F8">
      <w:pPr>
        <w:numPr>
          <w:ilvl w:val="0"/>
          <w:numId w:val="1"/>
        </w:numPr>
        <w:jc w:val="both"/>
        <w:rPr>
          <w:b/>
          <w:lang w:val="en-GB"/>
        </w:rPr>
      </w:pPr>
      <w:r w:rsidRPr="00595336">
        <w:rPr>
          <w:rFonts w:ascii="Calibri" w:eastAsia="Calibri" w:hAnsi="Calibri" w:cs="Calibri"/>
          <w:b/>
          <w:lang w:val="en-GB"/>
        </w:rPr>
        <w:t xml:space="preserve">Decriminalised activities: </w:t>
      </w:r>
      <w:r w:rsidRPr="00595336">
        <w:rPr>
          <w:rFonts w:ascii="Calibri" w:eastAsia="Calibri" w:hAnsi="Calibri" w:cs="Calibri"/>
          <w:lang w:val="en-GB"/>
        </w:rPr>
        <w:t>The types of activities decriminalised vary from country to country. Decriminalisation should cover drug use, possession for personal use, the cultivation of certain plants for personal use (</w:t>
      </w:r>
      <w:proofErr w:type="gramStart"/>
      <w:r w:rsidRPr="00595336">
        <w:rPr>
          <w:rFonts w:ascii="Calibri" w:eastAsia="Calibri" w:hAnsi="Calibri" w:cs="Calibri"/>
          <w:lang w:val="en-GB"/>
        </w:rPr>
        <w:t>e.g.</w:t>
      </w:r>
      <w:proofErr w:type="gramEnd"/>
      <w:r w:rsidRPr="00595336">
        <w:rPr>
          <w:rFonts w:ascii="Calibri" w:eastAsia="Calibri" w:hAnsi="Calibri" w:cs="Calibri"/>
          <w:lang w:val="en-GB"/>
        </w:rPr>
        <w:t xml:space="preserve"> cannabis, coca), social sharing (i.e. being in possession of larger amounts of drugs to share among friends and peers for no financial gain),</w:t>
      </w:r>
      <w:r w:rsidR="007355F8">
        <w:rPr>
          <w:rStyle w:val="FootnoteReference"/>
          <w:rFonts w:ascii="Calibri" w:eastAsia="Calibri" w:hAnsi="Calibri" w:cs="Calibri"/>
          <w:lang w:val="en-GB"/>
        </w:rPr>
        <w:footnoteReference w:id="35"/>
      </w:r>
      <w:r w:rsidRPr="00595336">
        <w:rPr>
          <w:rFonts w:ascii="Calibri" w:eastAsia="Calibri" w:hAnsi="Calibri" w:cs="Calibri"/>
          <w:lang w:val="en-GB"/>
        </w:rPr>
        <w:t xml:space="preserve"> and the possession of drug use paraphernalia</w:t>
      </w:r>
      <w:r w:rsidR="007355F8">
        <w:rPr>
          <w:rFonts w:ascii="Calibri" w:eastAsia="Calibri" w:hAnsi="Calibri" w:cs="Calibri"/>
          <w:lang w:val="en-GB"/>
        </w:rPr>
        <w:t>.</w:t>
      </w:r>
      <w:r w:rsidRPr="00595336">
        <w:rPr>
          <w:rFonts w:ascii="Calibri" w:eastAsia="Calibri" w:hAnsi="Calibri" w:cs="Calibri"/>
          <w:lang w:val="en-GB"/>
        </w:rPr>
        <w:t xml:space="preserve"> </w:t>
      </w:r>
    </w:p>
    <w:p w14:paraId="4F2C66BA" w14:textId="77777777" w:rsidR="007355F8" w:rsidRPr="007355F8" w:rsidRDefault="007355F8" w:rsidP="007355F8">
      <w:pPr>
        <w:ind w:left="720"/>
        <w:rPr>
          <w:b/>
          <w:lang w:val="en-GB"/>
        </w:rPr>
      </w:pPr>
    </w:p>
    <w:p w14:paraId="0000003A" w14:textId="1207DCB9" w:rsidR="00AA3F01" w:rsidRPr="00595336" w:rsidRDefault="00000000">
      <w:pPr>
        <w:numPr>
          <w:ilvl w:val="0"/>
          <w:numId w:val="1"/>
        </w:numPr>
        <w:rPr>
          <w:b/>
          <w:lang w:val="en-GB"/>
        </w:rPr>
      </w:pPr>
      <w:r w:rsidRPr="00595336">
        <w:rPr>
          <w:rFonts w:ascii="Calibri" w:eastAsia="Calibri" w:hAnsi="Calibri" w:cs="Calibri"/>
          <w:b/>
          <w:lang w:val="en-GB"/>
        </w:rPr>
        <w:t xml:space="preserve">Focusing on all substances: </w:t>
      </w:r>
      <w:r w:rsidRPr="00595336">
        <w:rPr>
          <w:rFonts w:ascii="Calibri" w:eastAsia="Calibri" w:hAnsi="Calibri" w:cs="Calibri"/>
          <w:lang w:val="en-GB"/>
        </w:rPr>
        <w:t xml:space="preserve">While some decriminalisation models only cover specific substances (generally cannabis), </w:t>
      </w:r>
      <w:r w:rsidR="007355F8">
        <w:rPr>
          <w:rFonts w:ascii="Calibri" w:eastAsia="Calibri" w:hAnsi="Calibri" w:cs="Calibri"/>
          <w:lang w:val="en-GB"/>
        </w:rPr>
        <w:t>a</w:t>
      </w:r>
      <w:r w:rsidRPr="00595336">
        <w:rPr>
          <w:rFonts w:ascii="Calibri" w:eastAsia="Calibri" w:hAnsi="Calibri" w:cs="Calibri"/>
          <w:lang w:val="en-GB"/>
        </w:rPr>
        <w:t>n effective decriminalisation model should cover all drugs.</w:t>
      </w:r>
    </w:p>
    <w:p w14:paraId="121447A5" w14:textId="77777777" w:rsidR="007355F8" w:rsidRPr="007355F8" w:rsidRDefault="007355F8" w:rsidP="007355F8">
      <w:pPr>
        <w:ind w:left="720"/>
        <w:rPr>
          <w:b/>
          <w:lang w:val="en-GB"/>
        </w:rPr>
      </w:pPr>
    </w:p>
    <w:p w14:paraId="0000003B" w14:textId="07E2370D" w:rsidR="00AA3F01" w:rsidRPr="00595336" w:rsidRDefault="00000000">
      <w:pPr>
        <w:numPr>
          <w:ilvl w:val="0"/>
          <w:numId w:val="1"/>
        </w:numPr>
        <w:rPr>
          <w:b/>
          <w:lang w:val="en-GB"/>
        </w:rPr>
      </w:pPr>
      <w:r w:rsidRPr="00595336">
        <w:rPr>
          <w:rFonts w:ascii="Calibri" w:eastAsia="Calibri" w:hAnsi="Calibri" w:cs="Calibri"/>
          <w:b/>
          <w:lang w:val="en-GB"/>
        </w:rPr>
        <w:lastRenderedPageBreak/>
        <w:t>A health and rights response:</w:t>
      </w:r>
      <w:r w:rsidRPr="00595336">
        <w:rPr>
          <w:rFonts w:ascii="Calibri" w:eastAsia="Calibri" w:hAnsi="Calibri" w:cs="Calibri"/>
          <w:lang w:val="en-GB"/>
        </w:rPr>
        <w:t xml:space="preserve"> After removing criminal sanctions, many jurisdictions have opted for administrative sanctions (going from fines and educational courses, all the way to administrative detention) and referrals to health and social services, while others do not take any action. The gold standard is a model whereby no more sanctions (whether administrative or criminal) are imposed, and where mechanisms are in place to ensure voluntary access to adequately funded gender- and age-sensitive harm reduction, treatment, </w:t>
      </w:r>
      <w:proofErr w:type="gramStart"/>
      <w:r w:rsidRPr="00595336">
        <w:rPr>
          <w:rFonts w:ascii="Calibri" w:eastAsia="Calibri" w:hAnsi="Calibri" w:cs="Calibri"/>
          <w:lang w:val="en-GB"/>
        </w:rPr>
        <w:t>health</w:t>
      </w:r>
      <w:proofErr w:type="gramEnd"/>
      <w:r w:rsidRPr="00595336">
        <w:rPr>
          <w:rFonts w:ascii="Calibri" w:eastAsia="Calibri" w:hAnsi="Calibri" w:cs="Calibri"/>
          <w:lang w:val="en-GB"/>
        </w:rPr>
        <w:t xml:space="preserve"> and social services.</w:t>
      </w:r>
    </w:p>
    <w:p w14:paraId="2CE90820" w14:textId="77777777" w:rsidR="007355F8" w:rsidRPr="007355F8" w:rsidRDefault="007355F8" w:rsidP="007355F8">
      <w:pPr>
        <w:ind w:left="720"/>
        <w:rPr>
          <w:b/>
          <w:lang w:val="en-GB"/>
        </w:rPr>
      </w:pPr>
    </w:p>
    <w:p w14:paraId="0000003C" w14:textId="79171052" w:rsidR="00AA3F01" w:rsidRPr="00595336" w:rsidRDefault="00000000">
      <w:pPr>
        <w:numPr>
          <w:ilvl w:val="0"/>
          <w:numId w:val="1"/>
        </w:numPr>
        <w:rPr>
          <w:b/>
          <w:lang w:val="en-GB"/>
        </w:rPr>
      </w:pPr>
      <w:r w:rsidRPr="00595336">
        <w:rPr>
          <w:rFonts w:ascii="Calibri" w:eastAsia="Calibri" w:hAnsi="Calibri" w:cs="Calibri"/>
          <w:b/>
          <w:lang w:val="en-GB"/>
        </w:rPr>
        <w:t xml:space="preserve">Expungement of criminal records: </w:t>
      </w:r>
      <w:r w:rsidRPr="00595336">
        <w:rPr>
          <w:rFonts w:ascii="Calibri" w:eastAsia="Calibri" w:hAnsi="Calibri" w:cs="Calibri"/>
          <w:lang w:val="en-GB"/>
        </w:rPr>
        <w:t xml:space="preserve">Decriminalisation will go a long way towards reducing the prison </w:t>
      </w:r>
      <w:proofErr w:type="gramStart"/>
      <w:r w:rsidRPr="00595336">
        <w:rPr>
          <w:rFonts w:ascii="Calibri" w:eastAsia="Calibri" w:hAnsi="Calibri" w:cs="Calibri"/>
          <w:lang w:val="en-GB"/>
        </w:rPr>
        <w:t>population, but</w:t>
      </w:r>
      <w:proofErr w:type="gramEnd"/>
      <w:r w:rsidRPr="00595336">
        <w:rPr>
          <w:rFonts w:ascii="Calibri" w:eastAsia="Calibri" w:hAnsi="Calibri" w:cs="Calibri"/>
          <w:lang w:val="en-GB"/>
        </w:rPr>
        <w:t xml:space="preserve"> require</w:t>
      </w:r>
      <w:r w:rsidR="00826044">
        <w:rPr>
          <w:rFonts w:ascii="Calibri" w:eastAsia="Calibri" w:hAnsi="Calibri" w:cs="Calibri"/>
          <w:lang w:val="en-GB"/>
        </w:rPr>
        <w:t>s</w:t>
      </w:r>
      <w:r w:rsidRPr="00595336">
        <w:rPr>
          <w:rFonts w:ascii="Calibri" w:eastAsia="Calibri" w:hAnsi="Calibri" w:cs="Calibri"/>
          <w:lang w:val="en-GB"/>
        </w:rPr>
        <w:t xml:space="preserve"> jurisdictions to expunge criminal records for those individuals who were condemned for drug use and related activities prior to the reform. Reparation measures should also be established to repair the harms caused by criminalisation on those communities particularly affected by drug control prior to decriminalisation.</w:t>
      </w:r>
    </w:p>
    <w:p w14:paraId="537AB032" w14:textId="77777777" w:rsidR="007355F8" w:rsidRPr="007355F8" w:rsidRDefault="007355F8" w:rsidP="007355F8">
      <w:pPr>
        <w:ind w:left="720"/>
        <w:rPr>
          <w:b/>
          <w:lang w:val="en-GB"/>
        </w:rPr>
      </w:pPr>
    </w:p>
    <w:p w14:paraId="0000003D" w14:textId="085E6AAC" w:rsidR="00AA3F01" w:rsidRPr="00595336" w:rsidRDefault="00000000">
      <w:pPr>
        <w:numPr>
          <w:ilvl w:val="0"/>
          <w:numId w:val="1"/>
        </w:numPr>
        <w:rPr>
          <w:b/>
          <w:lang w:val="en-GB"/>
        </w:rPr>
      </w:pPr>
      <w:r w:rsidRPr="00595336">
        <w:rPr>
          <w:rFonts w:ascii="Calibri" w:eastAsia="Calibri" w:hAnsi="Calibri" w:cs="Calibri"/>
          <w:b/>
          <w:lang w:val="en-GB"/>
        </w:rPr>
        <w:t xml:space="preserve">Training and sensitisation: </w:t>
      </w:r>
      <w:r w:rsidRPr="00595336">
        <w:rPr>
          <w:rFonts w:ascii="Calibri" w:eastAsia="Calibri" w:hAnsi="Calibri" w:cs="Calibri"/>
          <w:lang w:val="en-GB"/>
        </w:rPr>
        <w:t xml:space="preserve">Decriminalisation </w:t>
      </w:r>
      <w:proofErr w:type="gramStart"/>
      <w:r w:rsidRPr="00595336">
        <w:rPr>
          <w:rFonts w:ascii="Calibri" w:eastAsia="Calibri" w:hAnsi="Calibri" w:cs="Calibri"/>
          <w:lang w:val="en-GB"/>
        </w:rPr>
        <w:t>requires</w:t>
      </w:r>
      <w:proofErr w:type="gramEnd"/>
      <w:r w:rsidRPr="00595336">
        <w:rPr>
          <w:rFonts w:ascii="Calibri" w:eastAsia="Calibri" w:hAnsi="Calibri" w:cs="Calibri"/>
          <w:lang w:val="en-GB"/>
        </w:rPr>
        <w:t xml:space="preserve"> that public authorities be sensitised and trained on </w:t>
      </w:r>
      <w:r w:rsidR="00826044">
        <w:rPr>
          <w:rFonts w:ascii="Calibri" w:eastAsia="Calibri" w:hAnsi="Calibri" w:cs="Calibri"/>
          <w:lang w:val="en-GB"/>
        </w:rPr>
        <w:t>the</w:t>
      </w:r>
      <w:r w:rsidRPr="00595336">
        <w:rPr>
          <w:rFonts w:ascii="Calibri" w:eastAsia="Calibri" w:hAnsi="Calibri" w:cs="Calibri"/>
          <w:lang w:val="en-GB"/>
        </w:rPr>
        <w:t xml:space="preserve"> objectives </w:t>
      </w:r>
      <w:r w:rsidR="00826044">
        <w:rPr>
          <w:rFonts w:ascii="Calibri" w:eastAsia="Calibri" w:hAnsi="Calibri" w:cs="Calibri"/>
          <w:lang w:val="en-GB"/>
        </w:rPr>
        <w:t>of decriminalisation</w:t>
      </w:r>
      <w:r w:rsidRPr="00595336">
        <w:rPr>
          <w:rFonts w:ascii="Calibri" w:eastAsia="Calibri" w:hAnsi="Calibri" w:cs="Calibri"/>
          <w:lang w:val="en-GB"/>
        </w:rPr>
        <w:t xml:space="preserve">, how it will work, and what are the implications for their daily work, to ensure that the policy is effectively implemented. Sensitisation campaigns </w:t>
      </w:r>
      <w:r w:rsidR="00F475E4">
        <w:rPr>
          <w:rFonts w:ascii="Calibri" w:eastAsia="Calibri" w:hAnsi="Calibri" w:cs="Calibri"/>
          <w:lang w:val="en-GB"/>
        </w:rPr>
        <w:t>s</w:t>
      </w:r>
      <w:r w:rsidRPr="00595336">
        <w:rPr>
          <w:rFonts w:ascii="Calibri" w:eastAsia="Calibri" w:hAnsi="Calibri" w:cs="Calibri"/>
          <w:lang w:val="en-GB"/>
        </w:rPr>
        <w:t xml:space="preserve">hould also target the </w:t>
      </w:r>
      <w:proofErr w:type="gramStart"/>
      <w:r w:rsidRPr="00595336">
        <w:rPr>
          <w:rFonts w:ascii="Calibri" w:eastAsia="Calibri" w:hAnsi="Calibri" w:cs="Calibri"/>
          <w:lang w:val="en-GB"/>
        </w:rPr>
        <w:t>general public</w:t>
      </w:r>
      <w:proofErr w:type="gramEnd"/>
      <w:r w:rsidRPr="00595336">
        <w:rPr>
          <w:rFonts w:ascii="Calibri" w:eastAsia="Calibri" w:hAnsi="Calibri" w:cs="Calibri"/>
          <w:lang w:val="en-GB"/>
        </w:rPr>
        <w:t xml:space="preserve">. </w:t>
      </w:r>
    </w:p>
    <w:p w14:paraId="51491589" w14:textId="77777777" w:rsidR="00F475E4" w:rsidRPr="00F475E4" w:rsidRDefault="00F475E4" w:rsidP="00F475E4">
      <w:pPr>
        <w:ind w:left="720"/>
        <w:rPr>
          <w:b/>
          <w:lang w:val="en-GB"/>
        </w:rPr>
      </w:pPr>
    </w:p>
    <w:p w14:paraId="0000003E" w14:textId="73F9FD2D" w:rsidR="00AA3F01" w:rsidRPr="00595336" w:rsidRDefault="00000000">
      <w:pPr>
        <w:numPr>
          <w:ilvl w:val="0"/>
          <w:numId w:val="1"/>
        </w:numPr>
        <w:rPr>
          <w:b/>
          <w:lang w:val="en-GB"/>
        </w:rPr>
      </w:pPr>
      <w:r w:rsidRPr="00595336">
        <w:rPr>
          <w:rFonts w:ascii="Calibri" w:eastAsia="Calibri" w:hAnsi="Calibri" w:cs="Calibri"/>
          <w:b/>
          <w:lang w:val="en-GB"/>
        </w:rPr>
        <w:t>Redirect resources away from policing and towards health:</w:t>
      </w:r>
      <w:r w:rsidRPr="00595336">
        <w:rPr>
          <w:rFonts w:ascii="Calibri" w:eastAsia="Calibri" w:hAnsi="Calibri" w:cs="Calibri"/>
          <w:lang w:val="en-GB"/>
        </w:rPr>
        <w:t xml:space="preserve"> Globally, at least USD 100 billion is spent each year on drug law enforcement. 10% of such spending for one year </w:t>
      </w:r>
      <w:r w:rsidR="0055350F">
        <w:rPr>
          <w:rFonts w:ascii="Calibri" w:eastAsia="Calibri" w:hAnsi="Calibri" w:cs="Calibri"/>
          <w:lang w:val="en-GB"/>
        </w:rPr>
        <w:t>could</w:t>
      </w:r>
      <w:r w:rsidRPr="00595336">
        <w:rPr>
          <w:rFonts w:ascii="Calibri" w:eastAsia="Calibri" w:hAnsi="Calibri" w:cs="Calibri"/>
          <w:lang w:val="en-GB"/>
        </w:rPr>
        <w:t xml:space="preserve"> cover global HIV prevention for people who inject drugs for four years.</w:t>
      </w:r>
      <w:r w:rsidRPr="00595336">
        <w:rPr>
          <w:rFonts w:ascii="Calibri" w:eastAsia="Calibri" w:hAnsi="Calibri" w:cs="Calibri"/>
          <w:vertAlign w:val="superscript"/>
          <w:lang w:val="en-GB"/>
        </w:rPr>
        <w:footnoteReference w:id="36"/>
      </w:r>
      <w:r w:rsidRPr="00595336">
        <w:rPr>
          <w:rFonts w:ascii="Calibri" w:eastAsia="Calibri" w:hAnsi="Calibri" w:cs="Calibri"/>
          <w:lang w:val="en-GB"/>
        </w:rPr>
        <w:t xml:space="preserve"> It is critical that financial resources be redirected away from policing and drug law enforcement and towards evidence-based health and social measures for people who use drugs, including harm reduction</w:t>
      </w:r>
      <w:r w:rsidR="0055350F">
        <w:rPr>
          <w:rFonts w:ascii="Calibri" w:eastAsia="Calibri" w:hAnsi="Calibri" w:cs="Calibri"/>
          <w:lang w:val="en-GB"/>
        </w:rPr>
        <w:t xml:space="preserve"> and</w:t>
      </w:r>
      <w:r w:rsidRPr="00595336">
        <w:rPr>
          <w:rFonts w:ascii="Calibri" w:eastAsia="Calibri" w:hAnsi="Calibri" w:cs="Calibri"/>
          <w:lang w:val="en-GB"/>
        </w:rPr>
        <w:t xml:space="preserve"> treatment. </w:t>
      </w:r>
    </w:p>
    <w:p w14:paraId="61963185" w14:textId="77777777" w:rsidR="0055350F" w:rsidRPr="0055350F" w:rsidRDefault="0055350F" w:rsidP="0055350F">
      <w:pPr>
        <w:ind w:left="720"/>
        <w:rPr>
          <w:b/>
          <w:lang w:val="en-GB"/>
        </w:rPr>
      </w:pPr>
    </w:p>
    <w:p w14:paraId="0000003F" w14:textId="1434684F" w:rsidR="00AA3F01" w:rsidRPr="00595336" w:rsidRDefault="00000000">
      <w:pPr>
        <w:numPr>
          <w:ilvl w:val="0"/>
          <w:numId w:val="1"/>
        </w:numPr>
        <w:rPr>
          <w:b/>
          <w:lang w:val="en-GB"/>
        </w:rPr>
      </w:pPr>
      <w:r w:rsidRPr="00595336">
        <w:rPr>
          <w:rFonts w:ascii="Calibri" w:eastAsia="Calibri" w:hAnsi="Calibri" w:cs="Calibri"/>
          <w:b/>
          <w:lang w:val="en-GB"/>
        </w:rPr>
        <w:t xml:space="preserve">Meaningful participation of affected communities: </w:t>
      </w:r>
      <w:r w:rsidRPr="00595336">
        <w:rPr>
          <w:rFonts w:ascii="Calibri" w:eastAsia="Calibri" w:hAnsi="Calibri" w:cs="Calibri"/>
          <w:lang w:val="en-GB"/>
        </w:rPr>
        <w:t xml:space="preserve">People who use drugs should be meaningfully engaged in the design, </w:t>
      </w:r>
      <w:proofErr w:type="gramStart"/>
      <w:r w:rsidRPr="00595336">
        <w:rPr>
          <w:rFonts w:ascii="Calibri" w:eastAsia="Calibri" w:hAnsi="Calibri" w:cs="Calibri"/>
          <w:lang w:val="en-GB"/>
        </w:rPr>
        <w:t>implementation</w:t>
      </w:r>
      <w:proofErr w:type="gramEnd"/>
      <w:r w:rsidRPr="00595336">
        <w:rPr>
          <w:rFonts w:ascii="Calibri" w:eastAsia="Calibri" w:hAnsi="Calibri" w:cs="Calibri"/>
          <w:lang w:val="en-GB"/>
        </w:rPr>
        <w:t xml:space="preserve"> and evaluation of decriminalisation policies to ensure that their knowledge and first</w:t>
      </w:r>
      <w:r w:rsidR="002F20B6">
        <w:rPr>
          <w:rFonts w:ascii="Calibri" w:eastAsia="Calibri" w:hAnsi="Calibri" w:cs="Calibri"/>
          <w:lang w:val="en-GB"/>
        </w:rPr>
        <w:t>-h</w:t>
      </w:r>
      <w:r w:rsidRPr="00595336">
        <w:rPr>
          <w:rFonts w:ascii="Calibri" w:eastAsia="Calibri" w:hAnsi="Calibri" w:cs="Calibri"/>
          <w:lang w:val="en-GB"/>
        </w:rPr>
        <w:t>and experiences are taken into account in the model and to prevent, avoid or redress possible negative consequences of decriminalisation.</w:t>
      </w:r>
    </w:p>
    <w:p w14:paraId="651FDC38" w14:textId="77777777" w:rsidR="0055350F" w:rsidRDefault="0055350F" w:rsidP="0055350F">
      <w:pPr>
        <w:ind w:left="720"/>
        <w:rPr>
          <w:rFonts w:ascii="Calibri" w:eastAsia="Calibri" w:hAnsi="Calibri" w:cs="Calibri"/>
          <w:b/>
          <w:lang w:val="en-GB"/>
        </w:rPr>
      </w:pPr>
    </w:p>
    <w:p w14:paraId="00000040" w14:textId="0BB9707C" w:rsidR="00AA3F01" w:rsidRPr="00595336" w:rsidRDefault="00000000">
      <w:pPr>
        <w:numPr>
          <w:ilvl w:val="0"/>
          <w:numId w:val="1"/>
        </w:numPr>
        <w:rPr>
          <w:rFonts w:ascii="Calibri" w:eastAsia="Calibri" w:hAnsi="Calibri" w:cs="Calibri"/>
          <w:b/>
          <w:lang w:val="en-GB"/>
        </w:rPr>
      </w:pPr>
      <w:r w:rsidRPr="00595336">
        <w:rPr>
          <w:rFonts w:ascii="Calibri" w:eastAsia="Calibri" w:hAnsi="Calibri" w:cs="Calibri"/>
          <w:b/>
          <w:lang w:val="en-GB"/>
        </w:rPr>
        <w:t xml:space="preserve">We call on the High Commissioner to make an unequivocal call for all </w:t>
      </w:r>
      <w:r w:rsidR="00826044">
        <w:rPr>
          <w:rFonts w:ascii="Calibri" w:eastAsia="Calibri" w:hAnsi="Calibri" w:cs="Calibri"/>
          <w:b/>
          <w:lang w:val="en-GB"/>
        </w:rPr>
        <w:t>S</w:t>
      </w:r>
      <w:r w:rsidRPr="00595336">
        <w:rPr>
          <w:rFonts w:ascii="Calibri" w:eastAsia="Calibri" w:hAnsi="Calibri" w:cs="Calibri"/>
          <w:b/>
          <w:lang w:val="en-GB"/>
        </w:rPr>
        <w:t xml:space="preserve">tates to decriminalise drug use and related activities, with the removal of all sanctions and possibilities for voluntary referrals to health, social, harm reduction and treatment services that are grounded in evidence, human </w:t>
      </w:r>
      <w:proofErr w:type="gramStart"/>
      <w:r w:rsidRPr="00595336">
        <w:rPr>
          <w:rFonts w:ascii="Calibri" w:eastAsia="Calibri" w:hAnsi="Calibri" w:cs="Calibri"/>
          <w:b/>
          <w:lang w:val="en-GB"/>
        </w:rPr>
        <w:t>rights</w:t>
      </w:r>
      <w:proofErr w:type="gramEnd"/>
      <w:r w:rsidRPr="00595336">
        <w:rPr>
          <w:rFonts w:ascii="Calibri" w:eastAsia="Calibri" w:hAnsi="Calibri" w:cs="Calibri"/>
          <w:b/>
          <w:lang w:val="en-GB"/>
        </w:rPr>
        <w:t xml:space="preserve"> and gender-sensitivity. </w:t>
      </w:r>
    </w:p>
    <w:p w14:paraId="00000041" w14:textId="77777777" w:rsidR="00AA3F01" w:rsidRPr="00595336" w:rsidRDefault="00000000">
      <w:pPr>
        <w:jc w:val="both"/>
        <w:rPr>
          <w:lang w:val="en-GB"/>
        </w:rPr>
      </w:pPr>
      <w:r w:rsidRPr="00595336">
        <w:rPr>
          <w:rFonts w:ascii="Calibri" w:eastAsia="Calibri" w:hAnsi="Calibri" w:cs="Calibri"/>
          <w:sz w:val="24"/>
          <w:szCs w:val="24"/>
          <w:lang w:val="en-GB"/>
        </w:rPr>
        <w:t xml:space="preserve"> </w:t>
      </w:r>
    </w:p>
    <w:sectPr w:rsidR="00AA3F01" w:rsidRPr="00595336" w:rsidSect="0091707F">
      <w:footerReference w:type="even" r:id="rId18"/>
      <w:footerReference w:type="default" r:id="rId1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106F" w14:textId="77777777" w:rsidR="00AC26DC" w:rsidRDefault="00AC26DC">
      <w:pPr>
        <w:spacing w:line="240" w:lineRule="auto"/>
      </w:pPr>
      <w:r>
        <w:separator/>
      </w:r>
    </w:p>
  </w:endnote>
  <w:endnote w:type="continuationSeparator" w:id="0">
    <w:p w14:paraId="3EC4C796" w14:textId="77777777" w:rsidR="00AC26DC" w:rsidRDefault="00AC2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666306"/>
      <w:docPartObj>
        <w:docPartGallery w:val="Page Numbers (Bottom of Page)"/>
        <w:docPartUnique/>
      </w:docPartObj>
    </w:sdtPr>
    <w:sdtContent>
      <w:p w14:paraId="10B552D1" w14:textId="309C479A" w:rsidR="002F20B6" w:rsidRDefault="002F20B6" w:rsidP="000A7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BB122E" w14:textId="77777777" w:rsidR="002F20B6" w:rsidRDefault="002F20B6" w:rsidP="002F2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029875"/>
      <w:docPartObj>
        <w:docPartGallery w:val="Page Numbers (Bottom of Page)"/>
        <w:docPartUnique/>
      </w:docPartObj>
    </w:sdtPr>
    <w:sdtContent>
      <w:p w14:paraId="421F51DC" w14:textId="7FF5959C" w:rsidR="002F20B6" w:rsidRDefault="002F20B6" w:rsidP="000A7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6AF3FF" w14:textId="77777777" w:rsidR="002F20B6" w:rsidRDefault="002F20B6" w:rsidP="002F20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D710" w14:textId="77777777" w:rsidR="00AC26DC" w:rsidRDefault="00AC26DC">
      <w:pPr>
        <w:spacing w:line="240" w:lineRule="auto"/>
      </w:pPr>
      <w:r>
        <w:separator/>
      </w:r>
    </w:p>
  </w:footnote>
  <w:footnote w:type="continuationSeparator" w:id="0">
    <w:p w14:paraId="3F373CB0" w14:textId="77777777" w:rsidR="00AC26DC" w:rsidRDefault="00AC26DC">
      <w:pPr>
        <w:spacing w:line="240" w:lineRule="auto"/>
      </w:pPr>
      <w:r>
        <w:continuationSeparator/>
      </w:r>
    </w:p>
  </w:footnote>
  <w:footnote w:id="1">
    <w:p w14:paraId="0256E779" w14:textId="77777777" w:rsidR="00595336" w:rsidRPr="0009000F" w:rsidRDefault="00595336" w:rsidP="00595336">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1">
        <w:r w:rsidRPr="0009000F">
          <w:rPr>
            <w:rFonts w:asciiTheme="majorHAnsi" w:eastAsia="Calibri" w:hAnsiTheme="majorHAnsi" w:cstheme="majorHAnsi"/>
            <w:color w:val="954F72"/>
            <w:sz w:val="18"/>
            <w:szCs w:val="18"/>
            <w:u w:val="single"/>
          </w:rPr>
          <w:t>https://www.unaids.org/sites/default/files/media_asset/JC3032_AIDS_Data_book_2021_En.pdf</w:t>
        </w:r>
      </w:hyperlink>
      <w:r w:rsidRPr="0009000F">
        <w:rPr>
          <w:rFonts w:asciiTheme="majorHAnsi" w:eastAsia="Calibri" w:hAnsiTheme="majorHAnsi" w:cstheme="majorHAnsi"/>
          <w:sz w:val="18"/>
          <w:szCs w:val="18"/>
        </w:rPr>
        <w:t>, p. 11</w:t>
      </w:r>
    </w:p>
  </w:footnote>
  <w:footnote w:id="2">
    <w:p w14:paraId="00000046"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
        <w:r w:rsidRPr="0009000F">
          <w:rPr>
            <w:rFonts w:asciiTheme="majorHAnsi" w:eastAsia="Calibri" w:hAnsiTheme="majorHAnsi" w:cstheme="majorHAnsi"/>
            <w:color w:val="954F72"/>
            <w:sz w:val="18"/>
            <w:szCs w:val="18"/>
            <w:u w:val="single"/>
          </w:rPr>
          <w:t>https://www.unaids.org/sites/default/files/media_asset/JC3032_AIDS_Data_book_2021_En.pdf</w:t>
        </w:r>
      </w:hyperlink>
      <w:r w:rsidRPr="0009000F">
        <w:rPr>
          <w:rFonts w:asciiTheme="majorHAnsi" w:eastAsia="Calibri" w:hAnsiTheme="majorHAnsi" w:cstheme="majorHAnsi"/>
          <w:sz w:val="18"/>
          <w:szCs w:val="18"/>
        </w:rPr>
        <w:t>, p. 310</w:t>
      </w:r>
    </w:p>
  </w:footnote>
  <w:footnote w:id="3">
    <w:p w14:paraId="00000047"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3">
        <w:r w:rsidRPr="0009000F">
          <w:rPr>
            <w:rFonts w:asciiTheme="majorHAnsi" w:eastAsia="Calibri" w:hAnsiTheme="majorHAnsi" w:cstheme="majorHAnsi"/>
            <w:color w:val="954F72"/>
            <w:sz w:val="18"/>
            <w:szCs w:val="18"/>
            <w:u w:val="single"/>
          </w:rPr>
          <w:t>https://www.unaids.org/sites/default/files/media_asset/JC3032_AIDS_Data_book_2021_En.pdf</w:t>
        </w:r>
      </w:hyperlink>
      <w:r w:rsidRPr="0009000F">
        <w:rPr>
          <w:rFonts w:asciiTheme="majorHAnsi" w:eastAsia="Calibri" w:hAnsiTheme="majorHAnsi" w:cstheme="majorHAnsi"/>
          <w:sz w:val="18"/>
          <w:szCs w:val="18"/>
        </w:rPr>
        <w:t>, p. 354</w:t>
      </w:r>
    </w:p>
  </w:footnote>
  <w:footnote w:id="4">
    <w:p w14:paraId="00000042"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UNODC (2022), ‘Booklet 2: Global overview - drug demand, drug supply’, </w:t>
      </w:r>
      <w:r w:rsidRPr="0009000F">
        <w:rPr>
          <w:rFonts w:asciiTheme="majorHAnsi" w:eastAsia="Calibri" w:hAnsiTheme="majorHAnsi" w:cstheme="majorHAnsi"/>
          <w:i/>
          <w:sz w:val="18"/>
          <w:szCs w:val="18"/>
        </w:rPr>
        <w:t>World Drug Report 2022</w:t>
      </w:r>
      <w:r w:rsidRPr="0009000F">
        <w:rPr>
          <w:rFonts w:asciiTheme="majorHAnsi" w:eastAsia="Calibri" w:hAnsiTheme="majorHAnsi" w:cstheme="majorHAnsi"/>
          <w:sz w:val="18"/>
          <w:szCs w:val="18"/>
        </w:rPr>
        <w:t xml:space="preserve">, </w:t>
      </w:r>
      <w:hyperlink r:id="rId4">
        <w:r w:rsidRPr="0009000F">
          <w:rPr>
            <w:rFonts w:asciiTheme="majorHAnsi" w:eastAsia="Calibri" w:hAnsiTheme="majorHAnsi" w:cstheme="majorHAnsi"/>
            <w:color w:val="1155CC"/>
            <w:sz w:val="18"/>
            <w:szCs w:val="18"/>
            <w:u w:val="single"/>
          </w:rPr>
          <w:t>https://www.unodc.org/res/wdr2022/MS/WDR22_Booklet_2.pdf</w:t>
        </w:r>
      </w:hyperlink>
    </w:p>
  </w:footnote>
  <w:footnote w:id="5">
    <w:p w14:paraId="00000048"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5">
        <w:r w:rsidRPr="0009000F">
          <w:rPr>
            <w:rFonts w:asciiTheme="majorHAnsi" w:eastAsia="Calibri" w:hAnsiTheme="majorHAnsi" w:cstheme="majorHAnsi"/>
            <w:color w:val="954F72"/>
            <w:sz w:val="18"/>
            <w:szCs w:val="18"/>
            <w:u w:val="single"/>
          </w:rPr>
          <w:t>http://globalcommissionondrugs.org/wp-content/themes/gcdp_v1/pdf/GCDP_HIV-AIDS_2012_REFERENCE.pdf</w:t>
        </w:r>
      </w:hyperlink>
      <w:r w:rsidRPr="0009000F">
        <w:rPr>
          <w:rFonts w:asciiTheme="majorHAnsi" w:eastAsia="Calibri" w:hAnsiTheme="majorHAnsi" w:cstheme="majorHAnsi"/>
          <w:sz w:val="18"/>
          <w:szCs w:val="18"/>
        </w:rPr>
        <w:t xml:space="preserve">; </w:t>
      </w:r>
      <w:hyperlink r:id="rId6">
        <w:r w:rsidRPr="0009000F">
          <w:rPr>
            <w:rFonts w:asciiTheme="majorHAnsi" w:eastAsia="Calibri" w:hAnsiTheme="majorHAnsi" w:cstheme="majorHAnsi"/>
            <w:color w:val="954F72"/>
            <w:sz w:val="18"/>
            <w:szCs w:val="18"/>
            <w:u w:val="single"/>
          </w:rPr>
          <w:t>http://www.globalcommissionondrugs.org/hepatitis/gcdp_hepatitis_english.pdf</w:t>
        </w:r>
      </w:hyperlink>
      <w:r w:rsidRPr="0009000F">
        <w:rPr>
          <w:rFonts w:asciiTheme="majorHAnsi" w:eastAsia="Calibri" w:hAnsiTheme="majorHAnsi" w:cstheme="majorHAnsi"/>
          <w:sz w:val="18"/>
          <w:szCs w:val="18"/>
        </w:rPr>
        <w:t xml:space="preserve">; </w:t>
      </w:r>
      <w:hyperlink r:id="rId7">
        <w:r w:rsidRPr="0009000F">
          <w:rPr>
            <w:rFonts w:asciiTheme="majorHAnsi" w:eastAsia="Calibri" w:hAnsiTheme="majorHAnsi" w:cstheme="majorHAnsi"/>
            <w:color w:val="954F72"/>
            <w:sz w:val="18"/>
            <w:szCs w:val="18"/>
            <w:u w:val="single"/>
          </w:rPr>
          <w:t>http://www.countthecosts.org/sites/default/files/Health-briefing.pdf</w:t>
        </w:r>
      </w:hyperlink>
    </w:p>
  </w:footnote>
  <w:footnote w:id="6">
    <w:p w14:paraId="00000049"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8">
        <w:r w:rsidRPr="0009000F">
          <w:rPr>
            <w:rFonts w:asciiTheme="majorHAnsi" w:eastAsia="Calibri" w:hAnsiTheme="majorHAnsi" w:cstheme="majorHAnsi"/>
            <w:color w:val="954F72"/>
            <w:sz w:val="18"/>
            <w:szCs w:val="18"/>
            <w:u w:val="single"/>
          </w:rPr>
          <w:t>http://fileserver.idpc.net/library/10-year%20review_ASIA.pdf</w:t>
        </w:r>
      </w:hyperlink>
      <w:r w:rsidRPr="0009000F">
        <w:rPr>
          <w:rFonts w:asciiTheme="majorHAnsi" w:eastAsia="Calibri" w:hAnsiTheme="majorHAnsi" w:cstheme="majorHAnsi"/>
          <w:sz w:val="18"/>
          <w:szCs w:val="18"/>
        </w:rPr>
        <w:t xml:space="preserve">, p. 32; See: </w:t>
      </w:r>
      <w:hyperlink r:id="rId9">
        <w:r w:rsidRPr="0009000F">
          <w:rPr>
            <w:rFonts w:asciiTheme="majorHAnsi" w:eastAsia="Calibri" w:hAnsiTheme="majorHAnsi" w:cstheme="majorHAnsi"/>
            <w:color w:val="954F72"/>
            <w:sz w:val="18"/>
            <w:szCs w:val="18"/>
            <w:u w:val="single"/>
          </w:rPr>
          <w:t>https://idpc.net/publications/2022/01/marginalising-the-most-marginalised-gathering-evidence-on-how-the-welfare-stare-discriminates-against-people-who-use-drugs</w:t>
        </w:r>
      </w:hyperlink>
    </w:p>
  </w:footnote>
  <w:footnote w:id="7">
    <w:p w14:paraId="0000004A"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w:t>
      </w:r>
      <w:hyperlink r:id="rId10">
        <w:r w:rsidRPr="0009000F">
          <w:rPr>
            <w:rFonts w:asciiTheme="majorHAnsi" w:eastAsia="Calibri" w:hAnsiTheme="majorHAnsi" w:cstheme="majorHAnsi"/>
            <w:color w:val="954F72"/>
            <w:sz w:val="18"/>
            <w:szCs w:val="18"/>
            <w:u w:val="single"/>
          </w:rPr>
          <w:t>https://www.unodc.org/documents/hiv-aids/2016/Addressing_the_specific_needs_of_women_who_inject_drugs_Practical_guide_for_service_providers_on_gender-responsive_HIV_services.pdf</w:t>
        </w:r>
      </w:hyperlink>
      <w:r w:rsidRPr="0009000F">
        <w:rPr>
          <w:rFonts w:asciiTheme="majorHAnsi" w:eastAsia="Calibri" w:hAnsiTheme="majorHAnsi" w:cstheme="majorHAnsi"/>
          <w:sz w:val="18"/>
          <w:szCs w:val="18"/>
        </w:rPr>
        <w:t>, p. 10</w:t>
      </w:r>
    </w:p>
  </w:footnote>
  <w:footnote w:id="8">
    <w:p w14:paraId="0000004B"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11">
        <w:r w:rsidRPr="0009000F">
          <w:rPr>
            <w:rFonts w:asciiTheme="majorHAnsi" w:eastAsia="Calibri" w:hAnsiTheme="majorHAnsi" w:cstheme="majorHAnsi"/>
            <w:color w:val="954F72"/>
            <w:sz w:val="18"/>
            <w:szCs w:val="18"/>
            <w:u w:val="single"/>
          </w:rPr>
          <w:t>https://undocs.org/A/HRC/47/40</w:t>
        </w:r>
      </w:hyperlink>
      <w:r w:rsidRPr="0009000F">
        <w:rPr>
          <w:rFonts w:asciiTheme="majorHAnsi" w:eastAsia="Calibri" w:hAnsiTheme="majorHAnsi" w:cstheme="majorHAnsi"/>
          <w:sz w:val="18"/>
          <w:szCs w:val="18"/>
        </w:rPr>
        <w:t>, para. 84 amongst others</w:t>
      </w:r>
    </w:p>
  </w:footnote>
  <w:footnote w:id="9">
    <w:p w14:paraId="0000004C"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12">
        <w:r w:rsidRPr="0009000F">
          <w:rPr>
            <w:rFonts w:asciiTheme="majorHAnsi" w:eastAsia="Calibri" w:hAnsiTheme="majorHAnsi" w:cstheme="majorHAnsi"/>
            <w:color w:val="954F72"/>
            <w:sz w:val="18"/>
            <w:szCs w:val="18"/>
            <w:u w:val="single"/>
          </w:rPr>
          <w:t>http://fileserver.idpc.net/library/UN_What_we_have_learned.pdf</w:t>
        </w:r>
      </w:hyperlink>
      <w:r w:rsidRPr="0009000F">
        <w:rPr>
          <w:rFonts w:asciiTheme="majorHAnsi" w:eastAsia="Calibri" w:hAnsiTheme="majorHAnsi" w:cstheme="majorHAnsi"/>
          <w:sz w:val="18"/>
          <w:szCs w:val="18"/>
        </w:rPr>
        <w:t>, p. 24</w:t>
      </w:r>
    </w:p>
  </w:footnote>
  <w:footnote w:id="10">
    <w:p w14:paraId="0000004D" w14:textId="5415B5B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Times New Roman" w:hAnsiTheme="majorHAnsi" w:cstheme="majorHAnsi"/>
          <w:sz w:val="18"/>
          <w:szCs w:val="18"/>
        </w:rPr>
        <w:t xml:space="preserve">See: </w:t>
      </w:r>
      <w:hyperlink r:id="rId13">
        <w:r w:rsidRPr="0009000F">
          <w:rPr>
            <w:rFonts w:asciiTheme="majorHAnsi" w:eastAsia="Times New Roman" w:hAnsiTheme="majorHAnsi" w:cstheme="majorHAnsi"/>
            <w:color w:val="954F72"/>
            <w:sz w:val="18"/>
            <w:szCs w:val="18"/>
            <w:u w:val="single"/>
          </w:rPr>
          <w:t>https://unaidsapnew.files.wordpress.com/2022/01/booklet-1-12th-jan-2022.pdf</w:t>
        </w:r>
      </w:hyperlink>
    </w:p>
  </w:footnote>
  <w:footnote w:id="11">
    <w:p w14:paraId="0000004E"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Calibri" w:hAnsiTheme="majorHAnsi" w:cstheme="majorHAnsi"/>
          <w:sz w:val="18"/>
          <w:szCs w:val="18"/>
        </w:rPr>
        <w:t xml:space="preserve">See: </w:t>
      </w:r>
      <w:hyperlink r:id="rId14">
        <w:r w:rsidRPr="0009000F">
          <w:rPr>
            <w:rFonts w:asciiTheme="majorHAnsi" w:eastAsia="Calibri" w:hAnsiTheme="majorHAnsi" w:cstheme="majorHAnsi"/>
            <w:color w:val="954F72"/>
            <w:sz w:val="18"/>
            <w:szCs w:val="18"/>
            <w:u w:val="single"/>
          </w:rPr>
          <w:t>http://www.unaids.org/en/resources/documents/2014/20140716_UNAIDS_gap_report</w:t>
        </w:r>
      </w:hyperlink>
    </w:p>
  </w:footnote>
  <w:footnote w:id="12">
    <w:p w14:paraId="0000004F"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Calibri" w:hAnsiTheme="majorHAnsi" w:cstheme="majorHAnsi"/>
          <w:sz w:val="18"/>
          <w:szCs w:val="18"/>
        </w:rPr>
        <w:t xml:space="preserve">See: </w:t>
      </w:r>
      <w:hyperlink r:id="rId15">
        <w:r w:rsidRPr="0009000F">
          <w:rPr>
            <w:rFonts w:asciiTheme="majorHAnsi" w:eastAsia="Calibri" w:hAnsiTheme="majorHAnsi" w:cstheme="majorHAnsi"/>
            <w:color w:val="954F72"/>
            <w:sz w:val="18"/>
            <w:szCs w:val="18"/>
            <w:u w:val="single"/>
          </w:rPr>
          <w:t>https://www.unodc.org/docs/treatment/111_PRISON.pdf</w:t>
        </w:r>
      </w:hyperlink>
      <w:r w:rsidRPr="0009000F">
        <w:rPr>
          <w:rFonts w:asciiTheme="majorHAnsi" w:eastAsia="Calibri" w:hAnsiTheme="majorHAnsi" w:cstheme="majorHAnsi"/>
          <w:sz w:val="18"/>
          <w:szCs w:val="18"/>
        </w:rPr>
        <w:t>, p. 11</w:t>
      </w:r>
    </w:p>
  </w:footnote>
  <w:footnote w:id="13">
    <w:p w14:paraId="00000050"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Times New Roman" w:hAnsiTheme="majorHAnsi" w:cstheme="majorHAnsi"/>
          <w:sz w:val="18"/>
          <w:szCs w:val="18"/>
        </w:rPr>
        <w:t xml:space="preserve">See: </w:t>
      </w:r>
      <w:hyperlink r:id="rId16">
        <w:r w:rsidRPr="0009000F">
          <w:rPr>
            <w:rFonts w:asciiTheme="majorHAnsi" w:eastAsia="Times New Roman" w:hAnsiTheme="majorHAnsi" w:cstheme="majorHAnsi"/>
            <w:color w:val="954F72"/>
            <w:sz w:val="18"/>
            <w:szCs w:val="18"/>
            <w:u w:val="single"/>
          </w:rPr>
          <w:t>http://fileserver.idpc.net/library/10-year%20review_ASIA.pdf</w:t>
        </w:r>
      </w:hyperlink>
      <w:r w:rsidRPr="0009000F">
        <w:rPr>
          <w:rFonts w:asciiTheme="majorHAnsi" w:eastAsia="Times New Roman" w:hAnsiTheme="majorHAnsi" w:cstheme="majorHAnsi"/>
          <w:sz w:val="18"/>
          <w:szCs w:val="18"/>
        </w:rPr>
        <w:t>, p. 32</w:t>
      </w:r>
    </w:p>
  </w:footnote>
  <w:footnote w:id="14">
    <w:p w14:paraId="00000051"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Times New Roman" w:hAnsiTheme="majorHAnsi" w:cstheme="majorHAnsi"/>
          <w:sz w:val="18"/>
          <w:szCs w:val="18"/>
        </w:rPr>
        <w:t xml:space="preserve">See: </w:t>
      </w:r>
      <w:hyperlink r:id="rId17">
        <w:r w:rsidRPr="0009000F">
          <w:rPr>
            <w:rFonts w:asciiTheme="majorHAnsi" w:eastAsia="Times New Roman" w:hAnsiTheme="majorHAnsi" w:cstheme="majorHAnsi"/>
            <w:color w:val="954F72"/>
            <w:sz w:val="18"/>
            <w:szCs w:val="18"/>
            <w:u w:val="single"/>
          </w:rPr>
          <w:t>https://drive.google.com/file/d/1DBGu24ggfDEzv57QEqeSf1YZ8ZYvnwuC/view</w:t>
        </w:r>
      </w:hyperlink>
    </w:p>
  </w:footnote>
  <w:footnote w:id="15">
    <w:p w14:paraId="00000052"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Including at least 9 Asian countries. </w:t>
      </w:r>
      <w:r w:rsidRPr="0009000F">
        <w:rPr>
          <w:rFonts w:asciiTheme="majorHAnsi" w:eastAsia="Times New Roman" w:hAnsiTheme="majorHAnsi" w:cstheme="majorHAnsi"/>
          <w:sz w:val="18"/>
          <w:szCs w:val="18"/>
        </w:rPr>
        <w:t xml:space="preserve">See: </w:t>
      </w:r>
      <w:hyperlink r:id="rId18">
        <w:r w:rsidRPr="0009000F">
          <w:rPr>
            <w:rFonts w:asciiTheme="majorHAnsi" w:eastAsia="Times New Roman" w:hAnsiTheme="majorHAnsi" w:cstheme="majorHAnsi"/>
            <w:color w:val="954F72"/>
            <w:sz w:val="18"/>
            <w:szCs w:val="18"/>
            <w:u w:val="single"/>
          </w:rPr>
          <w:t>http://fileserver.idpc.net/library/10-year%20review_ASIA.pdf</w:t>
        </w:r>
      </w:hyperlink>
      <w:r w:rsidRPr="0009000F">
        <w:rPr>
          <w:rFonts w:asciiTheme="majorHAnsi" w:eastAsia="Times New Roman" w:hAnsiTheme="majorHAnsi" w:cstheme="majorHAnsi"/>
          <w:sz w:val="18"/>
          <w:szCs w:val="18"/>
        </w:rPr>
        <w:t>, p. 32</w:t>
      </w:r>
    </w:p>
  </w:footnote>
  <w:footnote w:id="16">
    <w:p w14:paraId="00000053"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Times New Roman" w:hAnsiTheme="majorHAnsi" w:cstheme="majorHAnsi"/>
          <w:sz w:val="18"/>
          <w:szCs w:val="18"/>
        </w:rPr>
        <w:t xml:space="preserve">See: </w:t>
      </w:r>
      <w:hyperlink r:id="rId19">
        <w:r w:rsidRPr="0009000F">
          <w:rPr>
            <w:rFonts w:asciiTheme="majorHAnsi" w:eastAsia="Times New Roman" w:hAnsiTheme="majorHAnsi" w:cstheme="majorHAnsi"/>
            <w:color w:val="954F72"/>
            <w:sz w:val="18"/>
            <w:szCs w:val="18"/>
            <w:u w:val="single"/>
          </w:rPr>
          <w:t>https://idpc.net/publications/2022/01/marginalising-the-most-marginalised-gathering-evidence-on-how-the-welfare-stare-discriminates-against-people-who-use-drugs</w:t>
        </w:r>
      </w:hyperlink>
    </w:p>
  </w:footnote>
  <w:footnote w:id="17">
    <w:p w14:paraId="00000054"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0">
        <w:r w:rsidRPr="0009000F">
          <w:rPr>
            <w:rFonts w:asciiTheme="majorHAnsi" w:eastAsia="Calibri" w:hAnsiTheme="majorHAnsi" w:cstheme="majorHAnsi"/>
            <w:color w:val="954F72"/>
            <w:sz w:val="18"/>
            <w:szCs w:val="18"/>
            <w:u w:val="single"/>
          </w:rPr>
          <w:t>https://undocs.org/A/HRC/47/40</w:t>
        </w:r>
      </w:hyperlink>
      <w:r w:rsidRPr="0009000F">
        <w:rPr>
          <w:rFonts w:asciiTheme="majorHAnsi" w:eastAsia="Calibri" w:hAnsiTheme="majorHAnsi" w:cstheme="majorHAnsi"/>
          <w:sz w:val="18"/>
          <w:szCs w:val="18"/>
        </w:rPr>
        <w:t>, para. 51</w:t>
      </w:r>
    </w:p>
  </w:footnote>
  <w:footnote w:id="18">
    <w:p w14:paraId="00000055"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Calibri" w:hAnsiTheme="majorHAnsi" w:cstheme="majorHAnsi"/>
          <w:sz w:val="18"/>
          <w:szCs w:val="18"/>
        </w:rPr>
        <w:t xml:space="preserve">See: </w:t>
      </w:r>
      <w:hyperlink r:id="rId21">
        <w:r w:rsidRPr="0009000F">
          <w:rPr>
            <w:rFonts w:asciiTheme="majorHAnsi" w:eastAsia="Calibri" w:hAnsiTheme="majorHAnsi" w:cstheme="majorHAnsi"/>
            <w:color w:val="0563C1"/>
            <w:sz w:val="18"/>
            <w:szCs w:val="18"/>
            <w:u w:val="single"/>
          </w:rPr>
          <w:t>https://www.release.org.uk/sites/default/files/pdf/publications/HRI%20and%20Release%20-%20Contribution%20to%20the%20OHCHR%20Report.pdf</w:t>
        </w:r>
      </w:hyperlink>
      <w:r w:rsidRPr="0009000F">
        <w:rPr>
          <w:rFonts w:asciiTheme="majorHAnsi" w:eastAsia="Calibri" w:hAnsiTheme="majorHAnsi" w:cstheme="majorHAnsi"/>
          <w:sz w:val="18"/>
          <w:szCs w:val="18"/>
        </w:rPr>
        <w:t xml:space="preserve">; </w:t>
      </w:r>
      <w:hyperlink r:id="rId22">
        <w:r w:rsidRPr="0009000F">
          <w:rPr>
            <w:rFonts w:asciiTheme="majorHAnsi" w:eastAsia="Calibri" w:hAnsiTheme="majorHAnsi" w:cstheme="majorHAnsi"/>
            <w:color w:val="0563C1"/>
            <w:sz w:val="18"/>
            <w:szCs w:val="18"/>
            <w:u w:val="single"/>
          </w:rPr>
          <w:t>https://www.release.org.uk/publications/numbers-black-and-white-ethnic-disparities-policing-and-prosecution-drug-offences</w:t>
        </w:r>
      </w:hyperlink>
    </w:p>
  </w:footnote>
  <w:footnote w:id="19">
    <w:p w14:paraId="00000056" w14:textId="77777777" w:rsidR="00AA3F01" w:rsidRPr="0009000F" w:rsidRDefault="00000000">
      <w:pPr>
        <w:spacing w:line="240" w:lineRule="auto"/>
        <w:rPr>
          <w:rFonts w:asciiTheme="majorHAns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Calibri" w:hAnsiTheme="majorHAnsi" w:cstheme="majorHAnsi"/>
          <w:sz w:val="18"/>
          <w:szCs w:val="18"/>
        </w:rPr>
        <w:t xml:space="preserve">See: </w:t>
      </w:r>
      <w:hyperlink r:id="rId23">
        <w:r w:rsidRPr="0009000F">
          <w:rPr>
            <w:rFonts w:asciiTheme="majorHAnsi" w:eastAsia="Calibri" w:hAnsiTheme="majorHAnsi" w:cstheme="majorHAnsi"/>
            <w:color w:val="0563C1"/>
            <w:sz w:val="18"/>
            <w:szCs w:val="18"/>
            <w:u w:val="single"/>
          </w:rPr>
          <w:t>https://drugpolicy.org/sites/default/files/drug-war-mass-incarceration-and-race_01_18_0.pdf</w:t>
        </w:r>
      </w:hyperlink>
      <w:r w:rsidRPr="0009000F">
        <w:rPr>
          <w:rFonts w:asciiTheme="majorHAnsi" w:eastAsia="Calibri" w:hAnsiTheme="majorHAnsi" w:cstheme="majorHAnsi"/>
          <w:sz w:val="18"/>
          <w:szCs w:val="18"/>
        </w:rPr>
        <w:t xml:space="preserve">. </w:t>
      </w:r>
      <w:hyperlink r:id="rId24">
        <w:r w:rsidRPr="0009000F">
          <w:rPr>
            <w:rFonts w:asciiTheme="majorHAnsi" w:eastAsia="Calibri" w:hAnsiTheme="majorHAnsi" w:cstheme="majorHAnsi"/>
            <w:color w:val="1155CC"/>
            <w:sz w:val="18"/>
            <w:szCs w:val="18"/>
            <w:u w:val="single"/>
          </w:rPr>
          <w:t>https://undocs.org/en/A/HRC/33/61/Add.2</w:t>
        </w:r>
      </w:hyperlink>
    </w:p>
  </w:footnote>
  <w:footnote w:id="20">
    <w:p w14:paraId="00000057"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5">
        <w:r w:rsidRPr="0009000F">
          <w:rPr>
            <w:rFonts w:asciiTheme="majorHAnsi" w:eastAsia="Calibri" w:hAnsiTheme="majorHAnsi" w:cstheme="majorHAnsi"/>
            <w:color w:val="954F72"/>
            <w:sz w:val="18"/>
            <w:szCs w:val="18"/>
            <w:u w:val="single"/>
          </w:rPr>
          <w:t>https://globaldrugpolicyindex.net/wp-content/themes/gdpi/uploads/GDPI%202021%20Report%20EN.pdf</w:t>
        </w:r>
      </w:hyperlink>
      <w:r w:rsidRPr="0009000F">
        <w:rPr>
          <w:rFonts w:asciiTheme="majorHAnsi" w:eastAsia="Calibri" w:hAnsiTheme="majorHAnsi" w:cstheme="majorHAnsi"/>
          <w:sz w:val="18"/>
          <w:szCs w:val="18"/>
        </w:rPr>
        <w:t>, pp. 41 to 46</w:t>
      </w:r>
    </w:p>
  </w:footnote>
  <w:footnote w:id="21">
    <w:p w14:paraId="3F87E564"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6">
        <w:r w:rsidRPr="0009000F">
          <w:rPr>
            <w:rFonts w:asciiTheme="majorHAnsi" w:eastAsia="Calibri" w:hAnsiTheme="majorHAnsi" w:cstheme="majorHAnsi"/>
            <w:color w:val="954F72"/>
            <w:sz w:val="18"/>
            <w:szCs w:val="18"/>
            <w:u w:val="single"/>
          </w:rPr>
          <w:t>https://www.ohchr.org/EN/NewsEvents/Pages/Drug-policy.aspx</w:t>
        </w:r>
      </w:hyperlink>
    </w:p>
  </w:footnote>
  <w:footnote w:id="22">
    <w:p w14:paraId="5B78096A"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7">
        <w:r w:rsidRPr="0009000F">
          <w:rPr>
            <w:rFonts w:asciiTheme="majorHAnsi" w:eastAsia="Calibri" w:hAnsiTheme="majorHAnsi" w:cstheme="majorHAnsi"/>
            <w:color w:val="954F72"/>
            <w:sz w:val="18"/>
            <w:szCs w:val="18"/>
            <w:u w:val="single"/>
          </w:rPr>
          <w:t>https://www.unaids.org/sites/default/files/media_asset/global-AIDS-strategy-2021-2026_en.pdf</w:t>
        </w:r>
      </w:hyperlink>
    </w:p>
  </w:footnote>
  <w:footnote w:id="23">
    <w:p w14:paraId="270E0A6A"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8">
        <w:r w:rsidRPr="0009000F">
          <w:rPr>
            <w:rFonts w:asciiTheme="majorHAnsi" w:eastAsia="Calibri" w:hAnsiTheme="majorHAnsi" w:cstheme="majorHAnsi"/>
            <w:color w:val="954F72"/>
            <w:sz w:val="18"/>
            <w:szCs w:val="18"/>
            <w:u w:val="single"/>
          </w:rPr>
          <w:t>http://www.who.int/hiv/pub/guidelines/keypopulations/en/</w:t>
        </w:r>
      </w:hyperlink>
    </w:p>
  </w:footnote>
  <w:footnote w:id="24">
    <w:p w14:paraId="60B2555B"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29">
        <w:r w:rsidRPr="0009000F">
          <w:rPr>
            <w:rFonts w:asciiTheme="majorHAnsi" w:eastAsia="Calibri" w:hAnsiTheme="majorHAnsi" w:cstheme="majorHAnsi"/>
            <w:color w:val="954F72"/>
            <w:sz w:val="18"/>
            <w:szCs w:val="18"/>
            <w:u w:val="single"/>
          </w:rPr>
          <w:t>http://www.undp.org/content/dam/undp/library/HIV-AIDS/Discussion-Paper--Addressing-the-Development-Dimensions-of-Drug-Policy.pdf</w:t>
        </w:r>
      </w:hyperlink>
    </w:p>
  </w:footnote>
  <w:footnote w:id="25">
    <w:p w14:paraId="34815D86"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30">
        <w:r w:rsidRPr="0009000F">
          <w:rPr>
            <w:rFonts w:asciiTheme="majorHAnsi" w:eastAsia="Calibri" w:hAnsiTheme="majorHAnsi" w:cstheme="majorHAnsi"/>
            <w:color w:val="954F72"/>
            <w:sz w:val="18"/>
            <w:szCs w:val="18"/>
            <w:u w:val="single"/>
          </w:rPr>
          <w:t>https://www.unodc.org/documents/ungass2016//Contributions/UN/Gender_and_Drugs_-_UN_Women_Policy_Brief.pdf</w:t>
        </w:r>
      </w:hyperlink>
    </w:p>
  </w:footnote>
  <w:footnote w:id="26">
    <w:p w14:paraId="581A04E7"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A/HRC/30/65</w:t>
      </w:r>
    </w:p>
  </w:footnote>
  <w:footnote w:id="27">
    <w:p w14:paraId="793AEEFA"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31">
        <w:r w:rsidRPr="0009000F">
          <w:rPr>
            <w:rFonts w:asciiTheme="majorHAnsi" w:eastAsia="Calibri" w:hAnsiTheme="majorHAnsi" w:cstheme="majorHAnsi"/>
            <w:color w:val="954F72"/>
            <w:sz w:val="18"/>
            <w:szCs w:val="18"/>
            <w:highlight w:val="white"/>
            <w:u w:val="single"/>
          </w:rPr>
          <w:t>E/C.12/NOR/CO/6</w:t>
        </w:r>
      </w:hyperlink>
      <w:r w:rsidRPr="0009000F">
        <w:rPr>
          <w:rFonts w:asciiTheme="majorHAnsi" w:eastAsia="Calibri" w:hAnsiTheme="majorHAnsi" w:cstheme="majorHAnsi"/>
          <w:color w:val="333333"/>
          <w:sz w:val="18"/>
          <w:szCs w:val="18"/>
          <w:highlight w:val="white"/>
        </w:rPr>
        <w:t>, p. 43</w:t>
      </w:r>
    </w:p>
  </w:footnote>
  <w:footnote w:id="28">
    <w:p w14:paraId="64EEDD96"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A/HRC/42/39/ADD.1 </w:t>
      </w:r>
    </w:p>
  </w:footnote>
  <w:footnote w:id="29">
    <w:p w14:paraId="3AB7AB91" w14:textId="77777777" w:rsidR="00826044" w:rsidRPr="0009000F" w:rsidRDefault="00826044" w:rsidP="00826044">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A/65/255</w:t>
      </w:r>
    </w:p>
  </w:footnote>
  <w:footnote w:id="30">
    <w:p w14:paraId="00000059"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32">
        <w:r w:rsidRPr="0009000F">
          <w:rPr>
            <w:rFonts w:asciiTheme="majorHAnsi" w:eastAsia="Calibri" w:hAnsiTheme="majorHAnsi" w:cstheme="majorHAnsi"/>
            <w:color w:val="954F72"/>
            <w:sz w:val="18"/>
            <w:szCs w:val="18"/>
            <w:u w:val="single"/>
          </w:rPr>
          <w:t>https://unsceb.org/united-nations-system-common-position-supporting-implementation-international-drug-control-policy</w:t>
        </w:r>
      </w:hyperlink>
    </w:p>
  </w:footnote>
  <w:footnote w:id="31">
    <w:p w14:paraId="0000005E"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33">
        <w:r w:rsidRPr="0009000F">
          <w:rPr>
            <w:rFonts w:asciiTheme="majorHAnsi" w:eastAsia="Calibri" w:hAnsiTheme="majorHAnsi" w:cstheme="majorHAnsi"/>
            <w:color w:val="954F72"/>
            <w:sz w:val="18"/>
            <w:szCs w:val="18"/>
            <w:u w:val="single"/>
          </w:rPr>
          <w:t>https://www.incb.org/documents/Speeches/Speeches2020/INCB_President_statement_Norway_side_event_drug_reform.pdf</w:t>
        </w:r>
      </w:hyperlink>
    </w:p>
  </w:footnote>
  <w:footnote w:id="32">
    <w:p w14:paraId="00000043"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As of March 2023. See: </w:t>
      </w:r>
      <w:hyperlink r:id="rId34">
        <w:r w:rsidRPr="0009000F">
          <w:rPr>
            <w:rFonts w:asciiTheme="majorHAnsi" w:eastAsia="Calibri" w:hAnsiTheme="majorHAnsi" w:cstheme="majorHAnsi"/>
            <w:color w:val="1155CC"/>
            <w:sz w:val="18"/>
            <w:szCs w:val="18"/>
            <w:u w:val="single"/>
          </w:rPr>
          <w:t>https://www.talkingdrugs.org/drug-decriminalisation</w:t>
        </w:r>
      </w:hyperlink>
    </w:p>
  </w:footnote>
  <w:footnote w:id="33">
    <w:p w14:paraId="0000005F"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See: </w:t>
      </w:r>
      <w:hyperlink r:id="rId35">
        <w:r w:rsidRPr="0009000F">
          <w:rPr>
            <w:rFonts w:asciiTheme="majorHAnsi" w:eastAsia="Calibri" w:hAnsiTheme="majorHAnsi" w:cstheme="majorHAnsi"/>
            <w:color w:val="954F72"/>
            <w:sz w:val="18"/>
            <w:szCs w:val="18"/>
            <w:u w:val="single"/>
          </w:rPr>
          <w:t>http://idpc.net/publications/2016/03/public-health-approach-to-drug-use-in-asia-decriminalisation</w:t>
        </w:r>
      </w:hyperlink>
    </w:p>
  </w:footnote>
  <w:footnote w:id="34">
    <w:p w14:paraId="00000060"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hAnsiTheme="majorHAnsi" w:cstheme="majorHAnsi"/>
          <w:sz w:val="18"/>
          <w:szCs w:val="18"/>
        </w:rPr>
        <w:t xml:space="preserve"> </w:t>
      </w:r>
      <w:r w:rsidRPr="0009000F">
        <w:rPr>
          <w:rFonts w:asciiTheme="majorHAnsi" w:eastAsia="Calibri" w:hAnsiTheme="majorHAnsi" w:cstheme="majorHAnsi"/>
          <w:sz w:val="18"/>
          <w:szCs w:val="18"/>
        </w:rPr>
        <w:t xml:space="preserve">For shortcomings see: </w:t>
      </w:r>
      <w:hyperlink r:id="rId36">
        <w:r w:rsidRPr="0009000F">
          <w:rPr>
            <w:rFonts w:asciiTheme="majorHAnsi" w:eastAsia="Calibri" w:hAnsiTheme="majorHAnsi" w:cstheme="majorHAnsi"/>
            <w:color w:val="954F72"/>
            <w:sz w:val="18"/>
            <w:szCs w:val="18"/>
            <w:u w:val="single"/>
          </w:rPr>
          <w:t>https://www.inpud.net/sites/default/files/INPUD_Decriminalisation%20report_online%20version.pdf</w:t>
        </w:r>
      </w:hyperlink>
    </w:p>
  </w:footnote>
  <w:footnote w:id="35">
    <w:p w14:paraId="2F194B3F" w14:textId="5BE8CC54" w:rsidR="007355F8" w:rsidRPr="007355F8" w:rsidRDefault="007355F8" w:rsidP="007355F8">
      <w:pPr>
        <w:pStyle w:val="FootnoteText"/>
        <w:rPr>
          <w:rFonts w:ascii="Calibri" w:hAnsi="Calibri" w:cs="Calibri"/>
          <w:sz w:val="18"/>
          <w:szCs w:val="18"/>
        </w:rPr>
      </w:pPr>
      <w:r w:rsidRPr="007355F8">
        <w:rPr>
          <w:rStyle w:val="FootnoteReference"/>
          <w:rFonts w:ascii="Calibri" w:hAnsi="Calibri" w:cs="Calibri"/>
          <w:sz w:val="18"/>
          <w:szCs w:val="18"/>
        </w:rPr>
        <w:footnoteRef/>
      </w:r>
      <w:r w:rsidRPr="007355F8">
        <w:rPr>
          <w:rFonts w:ascii="Calibri" w:hAnsi="Calibri" w:cs="Calibri"/>
          <w:sz w:val="18"/>
          <w:szCs w:val="18"/>
        </w:rPr>
        <w:t xml:space="preserve"> Note that various NGOs also include the ‘sharing or selling of drugs for subsistence, to support personal drug use costs, or to provide a safe supply’ in the list of such activities. See: </w:t>
      </w:r>
      <w:hyperlink r:id="rId37" w:history="1">
        <w:r w:rsidRPr="007355F8">
          <w:rPr>
            <w:rStyle w:val="Hyperlink"/>
            <w:rFonts w:ascii="Calibri" w:hAnsi="Calibri" w:cs="Calibri"/>
            <w:sz w:val="18"/>
            <w:szCs w:val="18"/>
          </w:rPr>
          <w:t>https://www.drugpolicy.ca/wp-content/uploads/2021/12/EN-PTL-Decrim.pdf</w:t>
        </w:r>
      </w:hyperlink>
      <w:r w:rsidRPr="007355F8">
        <w:rPr>
          <w:rFonts w:ascii="Calibri" w:hAnsi="Calibri" w:cs="Calibri"/>
          <w:sz w:val="18"/>
          <w:szCs w:val="18"/>
        </w:rPr>
        <w:t xml:space="preserve"> </w:t>
      </w:r>
    </w:p>
  </w:footnote>
  <w:footnote w:id="36">
    <w:p w14:paraId="00000044" w14:textId="77777777" w:rsidR="00AA3F01" w:rsidRPr="0009000F" w:rsidRDefault="00000000">
      <w:pPr>
        <w:spacing w:line="240" w:lineRule="auto"/>
        <w:rPr>
          <w:rFonts w:asciiTheme="majorHAnsi" w:eastAsia="Calibri" w:hAnsiTheme="majorHAnsi" w:cstheme="majorHAnsi"/>
          <w:sz w:val="18"/>
          <w:szCs w:val="18"/>
        </w:rPr>
      </w:pPr>
      <w:r w:rsidRPr="0009000F">
        <w:rPr>
          <w:rFonts w:asciiTheme="majorHAnsi" w:hAnsiTheme="majorHAnsi" w:cstheme="majorHAnsi"/>
          <w:sz w:val="18"/>
          <w:szCs w:val="18"/>
          <w:vertAlign w:val="superscript"/>
        </w:rPr>
        <w:footnoteRef/>
      </w:r>
      <w:r w:rsidRPr="0009000F">
        <w:rPr>
          <w:rFonts w:asciiTheme="majorHAnsi" w:eastAsia="Calibri" w:hAnsiTheme="majorHAnsi" w:cstheme="majorHAnsi"/>
          <w:sz w:val="18"/>
          <w:szCs w:val="18"/>
        </w:rPr>
        <w:t xml:space="preserve"> </w:t>
      </w:r>
      <w:hyperlink r:id="rId38">
        <w:r w:rsidRPr="0009000F">
          <w:rPr>
            <w:rFonts w:asciiTheme="majorHAnsi" w:eastAsia="Calibri" w:hAnsiTheme="majorHAnsi" w:cstheme="majorHAnsi"/>
            <w:color w:val="1155CC"/>
            <w:sz w:val="18"/>
            <w:szCs w:val="18"/>
            <w:u w:val="single"/>
          </w:rPr>
          <w:t>https://hri.global/topics/funding-for-harm-reduction/redirecting-funds/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6F82"/>
    <w:multiLevelType w:val="multilevel"/>
    <w:tmpl w:val="347E0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437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01"/>
    <w:rsid w:val="0009000F"/>
    <w:rsid w:val="001973EB"/>
    <w:rsid w:val="00261352"/>
    <w:rsid w:val="0028051E"/>
    <w:rsid w:val="002F20B6"/>
    <w:rsid w:val="003A522B"/>
    <w:rsid w:val="0055350F"/>
    <w:rsid w:val="00595336"/>
    <w:rsid w:val="006930DB"/>
    <w:rsid w:val="007355F8"/>
    <w:rsid w:val="00826044"/>
    <w:rsid w:val="0091707F"/>
    <w:rsid w:val="00AA3F01"/>
    <w:rsid w:val="00AC26DC"/>
    <w:rsid w:val="00D313EF"/>
    <w:rsid w:val="00EB19BC"/>
    <w:rsid w:val="00F4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85E"/>
  <w15:docId w15:val="{A96F4B68-9FBF-D648-B75B-C8049259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917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55F8"/>
    <w:pPr>
      <w:spacing w:line="240" w:lineRule="auto"/>
    </w:pPr>
    <w:rPr>
      <w:sz w:val="20"/>
      <w:szCs w:val="20"/>
    </w:rPr>
  </w:style>
  <w:style w:type="character" w:customStyle="1" w:styleId="FootnoteTextChar">
    <w:name w:val="Footnote Text Char"/>
    <w:basedOn w:val="DefaultParagraphFont"/>
    <w:link w:val="FootnoteText"/>
    <w:uiPriority w:val="99"/>
    <w:semiHidden/>
    <w:rsid w:val="007355F8"/>
    <w:rPr>
      <w:sz w:val="20"/>
      <w:szCs w:val="20"/>
    </w:rPr>
  </w:style>
  <w:style w:type="character" w:styleId="FootnoteReference">
    <w:name w:val="footnote reference"/>
    <w:basedOn w:val="DefaultParagraphFont"/>
    <w:uiPriority w:val="99"/>
    <w:semiHidden/>
    <w:unhideWhenUsed/>
    <w:rsid w:val="007355F8"/>
    <w:rPr>
      <w:vertAlign w:val="superscript"/>
    </w:rPr>
  </w:style>
  <w:style w:type="character" w:styleId="Hyperlink">
    <w:name w:val="Hyperlink"/>
    <w:basedOn w:val="DefaultParagraphFont"/>
    <w:uiPriority w:val="99"/>
    <w:unhideWhenUsed/>
    <w:rsid w:val="007355F8"/>
    <w:rPr>
      <w:color w:val="0000FF" w:themeColor="hyperlink"/>
      <w:u w:val="single"/>
    </w:rPr>
  </w:style>
  <w:style w:type="character" w:styleId="UnresolvedMention">
    <w:name w:val="Unresolved Mention"/>
    <w:basedOn w:val="DefaultParagraphFont"/>
    <w:uiPriority w:val="99"/>
    <w:semiHidden/>
    <w:unhideWhenUsed/>
    <w:rsid w:val="007355F8"/>
    <w:rPr>
      <w:color w:val="605E5C"/>
      <w:shd w:val="clear" w:color="auto" w:fill="E1DFDD"/>
    </w:rPr>
  </w:style>
  <w:style w:type="paragraph" w:styleId="Footer">
    <w:name w:val="footer"/>
    <w:basedOn w:val="Normal"/>
    <w:link w:val="FooterChar"/>
    <w:uiPriority w:val="99"/>
    <w:unhideWhenUsed/>
    <w:rsid w:val="002F20B6"/>
    <w:pPr>
      <w:tabs>
        <w:tab w:val="center" w:pos="4513"/>
        <w:tab w:val="right" w:pos="9026"/>
      </w:tabs>
      <w:spacing w:line="240" w:lineRule="auto"/>
    </w:pPr>
  </w:style>
  <w:style w:type="character" w:customStyle="1" w:styleId="FooterChar">
    <w:name w:val="Footer Char"/>
    <w:basedOn w:val="DefaultParagraphFont"/>
    <w:link w:val="Footer"/>
    <w:uiPriority w:val="99"/>
    <w:rsid w:val="002F20B6"/>
  </w:style>
  <w:style w:type="character" w:styleId="PageNumber">
    <w:name w:val="page number"/>
    <w:basedOn w:val="DefaultParagraphFont"/>
    <w:uiPriority w:val="99"/>
    <w:semiHidden/>
    <w:unhideWhenUsed/>
    <w:rsid w:val="002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aphne@healthefoundation.eu" TargetMode="External"/><Relationship Id="rId2" Type="http://schemas.openxmlformats.org/officeDocument/2006/relationships/numbering" Target="numbering.xml"/><Relationship Id="rId16" Type="http://schemas.openxmlformats.org/officeDocument/2006/relationships/hyperlink" Target="mailto:nazlee.maghsoudi@mail.utoront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snapp@gmail.com" TargetMode="External"/><Relationship Id="rId23" Type="http://schemas.openxmlformats.org/officeDocument/2006/relationships/customXml" Target="../customXml/item3.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idpc.net"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unaidsapnew.files.wordpress.com/2022/01/booklet-1-12th-jan-2022.pdf" TargetMode="External"/><Relationship Id="rId18" Type="http://schemas.openxmlformats.org/officeDocument/2006/relationships/hyperlink" Target="http://fileserver.idpc.net/library/10-year%20review_ASIA.pdf" TargetMode="External"/><Relationship Id="rId26" Type="http://schemas.openxmlformats.org/officeDocument/2006/relationships/hyperlink" Target="https://www.ohchr.org/EN/NewsEvents/Pages/Drug-policy.aspx" TargetMode="External"/><Relationship Id="rId21" Type="http://schemas.openxmlformats.org/officeDocument/2006/relationships/hyperlink" Target="https://www.release.org.uk/sites/default/files/pdf/publications/HRI%20and%20Release%20-%20Contribution%20to%20the%20OHCHR%20Report.pdf" TargetMode="External"/><Relationship Id="rId34" Type="http://schemas.openxmlformats.org/officeDocument/2006/relationships/hyperlink" Target="https://www.talkingdrugs.org/drug-decriminalisation" TargetMode="External"/><Relationship Id="rId7" Type="http://schemas.openxmlformats.org/officeDocument/2006/relationships/hyperlink" Target="http://www.countthecosts.org/sites/default/files/Health-briefing.pdf" TargetMode="External"/><Relationship Id="rId12" Type="http://schemas.openxmlformats.org/officeDocument/2006/relationships/hyperlink" Target="http://fileserver.idpc.net/library/UN_What_we_have_learned.pdf" TargetMode="External"/><Relationship Id="rId17" Type="http://schemas.openxmlformats.org/officeDocument/2006/relationships/hyperlink" Target="https://drive.google.com/file/d/1DBGu24ggfDEzv57QEqeSf1YZ8ZYvnwuC/view" TargetMode="External"/><Relationship Id="rId25" Type="http://schemas.openxmlformats.org/officeDocument/2006/relationships/hyperlink" Target="https://globaldrugpolicyindex.net/wp-content/themes/gdpi/uploads/GDPI%202021%20Report%20EN.pdf" TargetMode="External"/><Relationship Id="rId33" Type="http://schemas.openxmlformats.org/officeDocument/2006/relationships/hyperlink" Target="https://www.incb.org/documents/Speeches/Speeches2020/INCB_President_statement_Norway_side_event_drug_reform.pdf" TargetMode="External"/><Relationship Id="rId38" Type="http://schemas.openxmlformats.org/officeDocument/2006/relationships/hyperlink" Target="https://hri.global/topics/funding-for-harm-reduction/redirecting-funds/" TargetMode="External"/><Relationship Id="rId2" Type="http://schemas.openxmlformats.org/officeDocument/2006/relationships/hyperlink" Target="https://www.unaids.org/sites/default/files/media_asset/JC3032_AIDS_Data_book_2021_En.pdf" TargetMode="External"/><Relationship Id="rId16" Type="http://schemas.openxmlformats.org/officeDocument/2006/relationships/hyperlink" Target="http://fileserver.idpc.net/library/10-year%20review_ASIA.pdf" TargetMode="External"/><Relationship Id="rId20" Type="http://schemas.openxmlformats.org/officeDocument/2006/relationships/hyperlink" Target="https://undocs.org/A/HRC/47/40" TargetMode="External"/><Relationship Id="rId29" Type="http://schemas.openxmlformats.org/officeDocument/2006/relationships/hyperlink" Target="http://www.undp.org/content/dam/undp/library/HIV-AIDS/Discussion-Paper--Addressing-the-Development-Dimensions-of-Drug-Policy.pdf" TargetMode="External"/><Relationship Id="rId1" Type="http://schemas.openxmlformats.org/officeDocument/2006/relationships/hyperlink" Target="https://www.unaids.org/sites/default/files/media_asset/JC3032_AIDS_Data_book_2021_En.pdf" TargetMode="External"/><Relationship Id="rId6" Type="http://schemas.openxmlformats.org/officeDocument/2006/relationships/hyperlink" Target="http://www.globalcommissionondrugs.org/hepatitis/gcdp_hepatitis_english.pdf" TargetMode="External"/><Relationship Id="rId11" Type="http://schemas.openxmlformats.org/officeDocument/2006/relationships/hyperlink" Target="https://undocs.org/A/HRC/47/40" TargetMode="External"/><Relationship Id="rId24" Type="http://schemas.openxmlformats.org/officeDocument/2006/relationships/hyperlink" Target="https://undocs.org/en/A/HRC/33/61/Add.2" TargetMode="External"/><Relationship Id="rId32" Type="http://schemas.openxmlformats.org/officeDocument/2006/relationships/hyperlink" Target="https://unsceb.org/united-nations-system-common-position-supporting-implementation-international-drug-control-policy" TargetMode="External"/><Relationship Id="rId37" Type="http://schemas.openxmlformats.org/officeDocument/2006/relationships/hyperlink" Target="https://www.drugpolicy.ca/wp-content/uploads/2021/12/EN-PTL-Decrim.pdf" TargetMode="External"/><Relationship Id="rId5" Type="http://schemas.openxmlformats.org/officeDocument/2006/relationships/hyperlink" Target="http://globalcommissionondrugs.org/wp-content/themes/gcdp_v1/pdf/GCDP_HIV-AIDS_2012_REFERENCE.pdf" TargetMode="External"/><Relationship Id="rId15" Type="http://schemas.openxmlformats.org/officeDocument/2006/relationships/hyperlink" Target="https://www.unodc.org/docs/treatment/111_PRISON.pdf" TargetMode="External"/><Relationship Id="rId23" Type="http://schemas.openxmlformats.org/officeDocument/2006/relationships/hyperlink" Target="https://drugpolicy.org/sites/default/files/drug-war-mass-incarceration-and-race_01_18_0.pdf" TargetMode="External"/><Relationship Id="rId28" Type="http://schemas.openxmlformats.org/officeDocument/2006/relationships/hyperlink" Target="http://www.who.int/hiv/pub/guidelines/keypopulations/en/" TargetMode="External"/><Relationship Id="rId36" Type="http://schemas.openxmlformats.org/officeDocument/2006/relationships/hyperlink" Target="https://www.inpud.net/sites/default/files/INPUD_Decriminalisation%20report_online%20version.pdf" TargetMode="External"/><Relationship Id="rId10" Type="http://schemas.openxmlformats.org/officeDocument/2006/relationships/hyperlink" Target="https://www.unodc.org/documents/hiv-aids/2016/Addressing_the_specific_needs_of_women_who_inject_drugs_Practical_guide_for_service_providers_on_gender-responsive_HIV_services.pdf" TargetMode="External"/><Relationship Id="rId19" Type="http://schemas.openxmlformats.org/officeDocument/2006/relationships/hyperlink" Target="https://idpc.net/publications/2022/01/marginalising-the-most-marginalised-gathering-evidence-on-how-the-welfare-stare-discriminates-against-people-who-use-drugs" TargetMode="External"/><Relationship Id="rId31" Type="http://schemas.openxmlformats.org/officeDocument/2006/relationships/hyperlink" Target="https://docstore.ohchr.org/SelfServices/FilesHandler.ashx?enc=4slQ6QSmlBEDzFEovLCuWyfGZLRp7qMd2d61J9CM%2fQe6o1SZjh9qa5Fzb1cuVDX84j1tEvGXkL9htaheknN1G9pPMrK6PSJSHNTLhDCeYjwLbhDFWnOdWgHua9tg%2f%2fPO" TargetMode="External"/><Relationship Id="rId4" Type="http://schemas.openxmlformats.org/officeDocument/2006/relationships/hyperlink" Target="https://www.unodc.org/res/wdr2022/MS/WDR22_Booklet_2.pdf" TargetMode="External"/><Relationship Id="rId9" Type="http://schemas.openxmlformats.org/officeDocument/2006/relationships/hyperlink" Target="https://idpc.net/publications/2022/01/marginalising-the-most-marginalised-gathering-evidence-on-how-the-welfare-stare-discriminates-against-people-who-use-drugs" TargetMode="External"/><Relationship Id="rId14" Type="http://schemas.openxmlformats.org/officeDocument/2006/relationships/hyperlink" Target="http://www.unaids.org/en/resources/documents/2014/20140716_UNAIDS_gap_report" TargetMode="External"/><Relationship Id="rId22" Type="http://schemas.openxmlformats.org/officeDocument/2006/relationships/hyperlink" Target="https://www.release.org.uk/publications/numbers-black-and-white-ethnic-disparities-policing-and-prosecution-drug-offences" TargetMode="External"/><Relationship Id="rId27" Type="http://schemas.openxmlformats.org/officeDocument/2006/relationships/hyperlink" Target="https://www.unaids.org/sites/default/files/media_asset/global-AIDS-strategy-2021-2026_en.pdf" TargetMode="External"/><Relationship Id="rId30" Type="http://schemas.openxmlformats.org/officeDocument/2006/relationships/hyperlink" Target="https://www.unodc.org/documents/ungass2016/Contributions/UN/Gender_and_Drugs_-_UN_Women_Policy_Brief.pdf" TargetMode="External"/><Relationship Id="rId35" Type="http://schemas.openxmlformats.org/officeDocument/2006/relationships/hyperlink" Target="http://idpc.net/publications/2016/03/public-health-approach-to-drug-use-in-asia-decriminalisation" TargetMode="External"/><Relationship Id="rId8" Type="http://schemas.openxmlformats.org/officeDocument/2006/relationships/hyperlink" Target="http://fileserver.idpc.net/library/10-year%20review_ASIA.pdf" TargetMode="External"/><Relationship Id="rId3" Type="http://schemas.openxmlformats.org/officeDocument/2006/relationships/hyperlink" Target="https://www.unaids.org/sites/default/files/media_asset/JC3032_AIDS_Data_book_202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3D002-7191-FF49-BE94-5CDEF61F782F}">
  <ds:schemaRefs>
    <ds:schemaRef ds:uri="http://schemas.openxmlformats.org/officeDocument/2006/bibliography"/>
  </ds:schemaRefs>
</ds:datastoreItem>
</file>

<file path=customXml/itemProps2.xml><?xml version="1.0" encoding="utf-8"?>
<ds:datastoreItem xmlns:ds="http://schemas.openxmlformats.org/officeDocument/2006/customXml" ds:itemID="{C5131209-02B7-4221-9E98-3388C8C68818}"/>
</file>

<file path=customXml/itemProps3.xml><?xml version="1.0" encoding="utf-8"?>
<ds:datastoreItem xmlns:ds="http://schemas.openxmlformats.org/officeDocument/2006/customXml" ds:itemID="{B599D23F-803F-405F-9113-E38F6C83E1EA}"/>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2023-05-19T11:32:00Z</dcterms:created>
  <dcterms:modified xsi:type="dcterms:W3CDTF">2023-05-19T11:32:00Z</dcterms:modified>
</cp:coreProperties>
</file>