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DD356" w14:textId="14F0B890" w:rsidR="002F54B0" w:rsidRDefault="00C166FE" w:rsidP="00D16634">
      <w:pPr>
        <w:rPr>
          <w:noProof/>
          <w:lang w:bidi="ar-LB"/>
        </w:rPr>
      </w:pPr>
      <w:r>
        <w:rPr>
          <w:noProof/>
          <w:rtl/>
          <w:lang w:val="ar-SA"/>
        </w:rPr>
        <w:drawing>
          <wp:anchor distT="0" distB="0" distL="114300" distR="114300" simplePos="0" relativeHeight="251660288" behindDoc="0" locked="0" layoutInCell="1" allowOverlap="1" wp14:anchorId="3B26FE43" wp14:editId="14F31368">
            <wp:simplePos x="0" y="0"/>
            <wp:positionH relativeFrom="column">
              <wp:posOffset>-904876</wp:posOffset>
            </wp:positionH>
            <wp:positionV relativeFrom="paragraph">
              <wp:posOffset>-914400</wp:posOffset>
            </wp:positionV>
            <wp:extent cx="7562253" cy="10696575"/>
            <wp:effectExtent l="0" t="0" r="635"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184" cy="10702135"/>
                    </a:xfrm>
                    <a:prstGeom prst="rect">
                      <a:avLst/>
                    </a:prstGeom>
                  </pic:spPr>
                </pic:pic>
              </a:graphicData>
            </a:graphic>
            <wp14:sizeRelH relativeFrom="page">
              <wp14:pctWidth>0</wp14:pctWidth>
            </wp14:sizeRelH>
            <wp14:sizeRelV relativeFrom="page">
              <wp14:pctHeight>0</wp14:pctHeight>
            </wp14:sizeRelV>
          </wp:anchor>
        </w:drawing>
      </w:r>
    </w:p>
    <w:p w14:paraId="4F12B829" w14:textId="06CA2B6D" w:rsidR="002F54B0" w:rsidRDefault="002F54B0" w:rsidP="00D16634">
      <w:pPr>
        <w:rPr>
          <w:noProof/>
          <w:rtl/>
        </w:rPr>
      </w:pPr>
    </w:p>
    <w:p w14:paraId="72D1F604" w14:textId="77777777" w:rsidR="002F54B0" w:rsidRDefault="002F54B0" w:rsidP="00D16634">
      <w:pPr>
        <w:rPr>
          <w:noProof/>
          <w:rtl/>
        </w:rPr>
      </w:pPr>
    </w:p>
    <w:p w14:paraId="2789B6AD" w14:textId="77777777" w:rsidR="002F54B0" w:rsidRDefault="002F54B0" w:rsidP="00D16634">
      <w:pPr>
        <w:rPr>
          <w:noProof/>
          <w:rtl/>
        </w:rPr>
      </w:pPr>
    </w:p>
    <w:p w14:paraId="37C92083" w14:textId="77777777" w:rsidR="002F54B0" w:rsidRDefault="002F54B0" w:rsidP="00D16634">
      <w:pPr>
        <w:rPr>
          <w:noProof/>
          <w:rtl/>
        </w:rPr>
      </w:pPr>
    </w:p>
    <w:p w14:paraId="6DDF08DC" w14:textId="77777777" w:rsidR="002F54B0" w:rsidRDefault="002F54B0" w:rsidP="00D16634">
      <w:pPr>
        <w:rPr>
          <w:noProof/>
          <w:rtl/>
          <w:lang w:bidi="ar-SY"/>
        </w:rPr>
      </w:pPr>
    </w:p>
    <w:p w14:paraId="31078F7B" w14:textId="77777777" w:rsidR="002F54B0" w:rsidRDefault="002F54B0" w:rsidP="00D16634">
      <w:pPr>
        <w:rPr>
          <w:noProof/>
          <w:rtl/>
        </w:rPr>
      </w:pPr>
    </w:p>
    <w:p w14:paraId="5F79DCE9" w14:textId="77777777" w:rsidR="00102363" w:rsidRDefault="00102363" w:rsidP="00D16634">
      <w:pPr>
        <w:rPr>
          <w:rStyle w:val="SubtleEmphasis"/>
          <w:rFonts w:cstheme="minorHAnsi"/>
          <w:i w:val="0"/>
          <w:iCs w:val="0"/>
          <w:sz w:val="28"/>
          <w:szCs w:val="28"/>
          <w:rtl/>
        </w:rPr>
      </w:pPr>
    </w:p>
    <w:p w14:paraId="611CCDEE" w14:textId="77777777" w:rsidR="00102363" w:rsidRDefault="00102363" w:rsidP="00D16634">
      <w:pPr>
        <w:rPr>
          <w:rStyle w:val="SubtleEmphasis"/>
          <w:rFonts w:cstheme="minorHAnsi"/>
          <w:i w:val="0"/>
          <w:iCs w:val="0"/>
          <w:sz w:val="28"/>
          <w:szCs w:val="28"/>
          <w:rtl/>
        </w:rPr>
      </w:pPr>
    </w:p>
    <w:p w14:paraId="291503E5" w14:textId="77777777" w:rsidR="00102363" w:rsidRDefault="00102363" w:rsidP="00D16634">
      <w:pPr>
        <w:rPr>
          <w:rStyle w:val="SubtleEmphasis"/>
          <w:rFonts w:cstheme="minorHAnsi"/>
          <w:i w:val="0"/>
          <w:iCs w:val="0"/>
          <w:sz w:val="28"/>
          <w:szCs w:val="28"/>
          <w:rtl/>
        </w:rPr>
      </w:pPr>
    </w:p>
    <w:p w14:paraId="26433944" w14:textId="77777777" w:rsidR="00102363" w:rsidRDefault="00102363" w:rsidP="00D16634">
      <w:pPr>
        <w:rPr>
          <w:rStyle w:val="SubtleEmphasis"/>
          <w:rFonts w:cstheme="minorHAnsi"/>
          <w:i w:val="0"/>
          <w:iCs w:val="0"/>
          <w:sz w:val="28"/>
          <w:szCs w:val="28"/>
          <w:rtl/>
        </w:rPr>
      </w:pPr>
    </w:p>
    <w:p w14:paraId="7BF8ADB5" w14:textId="77777777" w:rsidR="00102363" w:rsidRDefault="00102363" w:rsidP="00D16634">
      <w:pPr>
        <w:rPr>
          <w:rStyle w:val="SubtleEmphasis"/>
          <w:rFonts w:cstheme="minorHAnsi"/>
          <w:i w:val="0"/>
          <w:iCs w:val="0"/>
          <w:sz w:val="28"/>
          <w:szCs w:val="28"/>
          <w:rtl/>
          <w:lang w:bidi="ar-LB"/>
        </w:rPr>
      </w:pPr>
    </w:p>
    <w:p w14:paraId="0E2CE7F3" w14:textId="77777777" w:rsidR="00102363" w:rsidRDefault="00102363" w:rsidP="00D16634">
      <w:pPr>
        <w:rPr>
          <w:rStyle w:val="SubtleEmphasis"/>
          <w:rFonts w:cstheme="minorHAnsi"/>
          <w:i w:val="0"/>
          <w:iCs w:val="0"/>
          <w:sz w:val="28"/>
          <w:szCs w:val="28"/>
          <w:rtl/>
          <w:lang w:bidi="ar-LB"/>
        </w:rPr>
      </w:pPr>
    </w:p>
    <w:p w14:paraId="16B1E5DB" w14:textId="77777777" w:rsidR="002F54B0" w:rsidRDefault="002F54B0" w:rsidP="00D16634">
      <w:pPr>
        <w:jc w:val="center"/>
        <w:rPr>
          <w:rStyle w:val="SubtleEmphasis"/>
          <w:rFonts w:cs="Calibri"/>
          <w:b/>
          <w:bCs/>
          <w:i w:val="0"/>
          <w:iCs w:val="0"/>
          <w:color w:val="2F5496" w:themeColor="accent1" w:themeShade="BF"/>
          <w:sz w:val="40"/>
          <w:szCs w:val="40"/>
          <w:rtl/>
        </w:rPr>
      </w:pPr>
    </w:p>
    <w:p w14:paraId="41F327D6" w14:textId="033097E7" w:rsidR="002F54B0" w:rsidRDefault="002F54B0" w:rsidP="00D16634">
      <w:pPr>
        <w:jc w:val="center"/>
        <w:rPr>
          <w:rStyle w:val="SubtleEmphasis"/>
          <w:rFonts w:cs="Calibri"/>
          <w:b/>
          <w:bCs/>
          <w:i w:val="0"/>
          <w:iCs w:val="0"/>
          <w:color w:val="2F5496" w:themeColor="accent1" w:themeShade="BF"/>
          <w:sz w:val="40"/>
          <w:szCs w:val="40"/>
        </w:rPr>
      </w:pPr>
    </w:p>
    <w:p w14:paraId="7A402007" w14:textId="0919A5B5" w:rsidR="00D16634" w:rsidRDefault="00D16634" w:rsidP="00D16634">
      <w:pPr>
        <w:jc w:val="center"/>
        <w:rPr>
          <w:rStyle w:val="SubtleEmphasis"/>
          <w:rFonts w:cs="Calibri"/>
          <w:b/>
          <w:bCs/>
          <w:i w:val="0"/>
          <w:iCs w:val="0"/>
          <w:color w:val="2F5496" w:themeColor="accent1" w:themeShade="BF"/>
          <w:sz w:val="40"/>
          <w:szCs w:val="40"/>
        </w:rPr>
      </w:pPr>
    </w:p>
    <w:p w14:paraId="37F6D038" w14:textId="129EC86B" w:rsidR="00D16634" w:rsidRDefault="00D16634" w:rsidP="00D16634">
      <w:pPr>
        <w:jc w:val="center"/>
        <w:rPr>
          <w:rStyle w:val="SubtleEmphasis"/>
          <w:rFonts w:cs="Calibri"/>
          <w:b/>
          <w:bCs/>
          <w:i w:val="0"/>
          <w:iCs w:val="0"/>
          <w:color w:val="2F5496" w:themeColor="accent1" w:themeShade="BF"/>
          <w:sz w:val="40"/>
          <w:szCs w:val="40"/>
        </w:rPr>
      </w:pPr>
    </w:p>
    <w:p w14:paraId="707B5CB4" w14:textId="47A04932" w:rsidR="00D16634" w:rsidRDefault="00D16634" w:rsidP="00D16634">
      <w:pPr>
        <w:jc w:val="center"/>
        <w:rPr>
          <w:rStyle w:val="SubtleEmphasis"/>
          <w:rFonts w:cs="Calibri"/>
          <w:b/>
          <w:bCs/>
          <w:i w:val="0"/>
          <w:iCs w:val="0"/>
          <w:color w:val="2F5496" w:themeColor="accent1" w:themeShade="BF"/>
          <w:sz w:val="40"/>
          <w:szCs w:val="40"/>
        </w:rPr>
      </w:pPr>
    </w:p>
    <w:p w14:paraId="6B24DAE7" w14:textId="7FEEC4A7" w:rsidR="00D16634" w:rsidRDefault="00D16634" w:rsidP="00D16634">
      <w:pPr>
        <w:jc w:val="center"/>
        <w:rPr>
          <w:rStyle w:val="SubtleEmphasis"/>
          <w:rFonts w:cs="Calibri"/>
          <w:b/>
          <w:bCs/>
          <w:i w:val="0"/>
          <w:iCs w:val="0"/>
          <w:color w:val="2F5496" w:themeColor="accent1" w:themeShade="BF"/>
          <w:sz w:val="40"/>
          <w:szCs w:val="40"/>
        </w:rPr>
      </w:pPr>
    </w:p>
    <w:p w14:paraId="05FB3AE0" w14:textId="120E4EC3" w:rsidR="00D16634" w:rsidRDefault="00D16634" w:rsidP="00D16634">
      <w:pPr>
        <w:jc w:val="center"/>
        <w:rPr>
          <w:rStyle w:val="SubtleEmphasis"/>
          <w:rFonts w:cs="Calibri"/>
          <w:b/>
          <w:bCs/>
          <w:i w:val="0"/>
          <w:iCs w:val="0"/>
          <w:color w:val="2F5496" w:themeColor="accent1" w:themeShade="BF"/>
          <w:sz w:val="40"/>
          <w:szCs w:val="40"/>
        </w:rPr>
      </w:pPr>
    </w:p>
    <w:p w14:paraId="49F048D6" w14:textId="222703D9" w:rsidR="00D16634" w:rsidRDefault="00D16634" w:rsidP="00D16634">
      <w:pPr>
        <w:jc w:val="center"/>
        <w:rPr>
          <w:rStyle w:val="SubtleEmphasis"/>
          <w:rFonts w:cs="Calibri"/>
          <w:b/>
          <w:bCs/>
          <w:i w:val="0"/>
          <w:iCs w:val="0"/>
          <w:color w:val="2F5496" w:themeColor="accent1" w:themeShade="BF"/>
          <w:sz w:val="40"/>
          <w:szCs w:val="40"/>
        </w:rPr>
      </w:pPr>
    </w:p>
    <w:p w14:paraId="4DCB67F5" w14:textId="0F6010D3" w:rsidR="00D16634" w:rsidRDefault="00D16634" w:rsidP="00D16634">
      <w:pPr>
        <w:jc w:val="center"/>
        <w:rPr>
          <w:rStyle w:val="SubtleEmphasis"/>
          <w:rFonts w:cs="Calibri"/>
          <w:b/>
          <w:bCs/>
          <w:i w:val="0"/>
          <w:iCs w:val="0"/>
          <w:color w:val="2F5496" w:themeColor="accent1" w:themeShade="BF"/>
          <w:sz w:val="40"/>
          <w:szCs w:val="40"/>
        </w:rPr>
      </w:pPr>
    </w:p>
    <w:p w14:paraId="73723AED" w14:textId="004B92DC" w:rsidR="00D16634" w:rsidRDefault="00D16634" w:rsidP="00D16634">
      <w:pPr>
        <w:jc w:val="center"/>
        <w:rPr>
          <w:rStyle w:val="SubtleEmphasis"/>
          <w:rFonts w:cs="Calibri"/>
          <w:b/>
          <w:bCs/>
          <w:i w:val="0"/>
          <w:iCs w:val="0"/>
          <w:color w:val="2F5496" w:themeColor="accent1" w:themeShade="BF"/>
          <w:sz w:val="40"/>
          <w:szCs w:val="40"/>
        </w:rPr>
      </w:pPr>
    </w:p>
    <w:p w14:paraId="6E4D9FAA" w14:textId="32F3413C" w:rsidR="00D16634" w:rsidRDefault="00D16634" w:rsidP="00D16634">
      <w:pPr>
        <w:jc w:val="center"/>
        <w:rPr>
          <w:rStyle w:val="SubtleEmphasis"/>
          <w:rFonts w:cs="Calibri"/>
          <w:b/>
          <w:bCs/>
          <w:i w:val="0"/>
          <w:iCs w:val="0"/>
          <w:color w:val="2F5496" w:themeColor="accent1" w:themeShade="BF"/>
          <w:sz w:val="40"/>
          <w:szCs w:val="40"/>
        </w:rPr>
      </w:pPr>
    </w:p>
    <w:p w14:paraId="63ABB620" w14:textId="5CE741FB" w:rsidR="00D16634" w:rsidRPr="00D16634" w:rsidRDefault="00D16634" w:rsidP="00D16634">
      <w:pPr>
        <w:pStyle w:val="CorpsA"/>
        <w:spacing w:line="288" w:lineRule="auto"/>
        <w:jc w:val="both"/>
        <w:rPr>
          <w:rStyle w:val="Aucun"/>
          <w:rFonts w:ascii="Lato" w:eastAsia="Times New Roman" w:hAnsi="Lato" w:cs="Times New Roman"/>
          <w:color w:val="002060"/>
          <w:sz w:val="28"/>
          <w:szCs w:val="28"/>
        </w:rPr>
      </w:pPr>
      <w:r w:rsidRPr="00D16634">
        <w:rPr>
          <w:rStyle w:val="Aucun"/>
          <w:rFonts w:ascii="Lato" w:hAnsi="Lato"/>
          <w:b/>
          <w:bCs/>
          <w:color w:val="002060"/>
          <w:sz w:val="28"/>
          <w:szCs w:val="26"/>
        </w:rPr>
        <w:lastRenderedPageBreak/>
        <w:t>Overview</w:t>
      </w:r>
    </w:p>
    <w:p w14:paraId="62ADE173" w14:textId="3DE8FEE0" w:rsidR="00D16634" w:rsidRPr="00052A19" w:rsidRDefault="00D16634" w:rsidP="00627D1E">
      <w:pPr>
        <w:pStyle w:val="CorpsA"/>
        <w:spacing w:line="288" w:lineRule="auto"/>
        <w:jc w:val="both"/>
        <w:rPr>
          <w:rStyle w:val="Aucun"/>
          <w:rFonts w:ascii="Lato" w:eastAsia="Times New Roman" w:hAnsi="Lato" w:cs="Times New Roman"/>
          <w:sz w:val="24"/>
          <w:szCs w:val="24"/>
        </w:rPr>
      </w:pPr>
      <w:r w:rsidRPr="00052A19">
        <w:rPr>
          <w:rStyle w:val="Aucun"/>
          <w:rFonts w:ascii="Lato" w:hAnsi="Lato"/>
          <w:sz w:val="24"/>
          <w:szCs w:val="24"/>
        </w:rPr>
        <w:t xml:space="preserve">The organisation </w:t>
      </w:r>
      <w:hyperlink r:id="rId9" w:history="1">
        <w:r w:rsidRPr="00627D1E">
          <w:rPr>
            <w:rStyle w:val="Hyperlink"/>
            <w:rFonts w:ascii="Lato" w:hAnsi="Lato"/>
            <w:sz w:val="24"/>
            <w:szCs w:val="24"/>
          </w:rPr>
          <w:t>Syrians for Truth and Justice</w:t>
        </w:r>
      </w:hyperlink>
      <w:r w:rsidRPr="00052A19">
        <w:rPr>
          <w:rStyle w:val="Aucun"/>
          <w:rFonts w:ascii="Lato" w:hAnsi="Lato"/>
          <w:sz w:val="24"/>
          <w:szCs w:val="24"/>
        </w:rPr>
        <w:t xml:space="preserve"> is pleased to submit its comment on the Draft statement on “non-State actors and enforced disappearances in the context of the International Convention for the Protection of All Persons from Enforced Disappearances” in response to the UN Committee on Enforced Disappearances’ public consultation. </w:t>
      </w:r>
    </w:p>
    <w:p w14:paraId="26DDF189" w14:textId="2E86A141" w:rsidR="00D16634" w:rsidRPr="00627D1E" w:rsidRDefault="00D16634" w:rsidP="00627D1E">
      <w:pPr>
        <w:pStyle w:val="CorpsA"/>
        <w:spacing w:line="288" w:lineRule="auto"/>
        <w:jc w:val="both"/>
        <w:rPr>
          <w:rStyle w:val="Aucun"/>
          <w:rFonts w:ascii="Lato" w:eastAsia="Times New Roman" w:hAnsi="Lato" w:cs="Times New Roman"/>
          <w:b/>
          <w:bCs/>
          <w:sz w:val="24"/>
          <w:szCs w:val="24"/>
        </w:rPr>
      </w:pPr>
      <w:r w:rsidRPr="00052A19">
        <w:rPr>
          <w:rStyle w:val="Aucun"/>
          <w:rFonts w:ascii="Lato" w:hAnsi="Lato"/>
          <w:sz w:val="24"/>
          <w:szCs w:val="24"/>
        </w:rPr>
        <w:t xml:space="preserve">We thank the work of the committee and wish to participate in its will to broaden the interpretation of enforced disappearances in the context of Non-State Actors’ actions. We wish to draw the committee’s attention on interpreting the Convention as a « living instrument » </w:t>
      </w:r>
      <w:proofErr w:type="gramStart"/>
      <w:r w:rsidRPr="00052A19">
        <w:rPr>
          <w:rStyle w:val="Aucun"/>
          <w:rFonts w:ascii="Lato" w:hAnsi="Lato"/>
          <w:sz w:val="24"/>
          <w:szCs w:val="24"/>
        </w:rPr>
        <w:t>in light of</w:t>
      </w:r>
      <w:proofErr w:type="gramEnd"/>
      <w:r w:rsidRPr="00052A19">
        <w:rPr>
          <w:rStyle w:val="Aucun"/>
          <w:rFonts w:ascii="Lato" w:hAnsi="Lato"/>
          <w:sz w:val="24"/>
          <w:szCs w:val="24"/>
        </w:rPr>
        <w:t xml:space="preserve"> current settings and developments, especially the evolution of non-international armed conflicts (NIACs) as the dominant form of conflict in the world, the ever-increasing role of private military companies and other transnational non state actors in such NIACs.</w:t>
      </w:r>
    </w:p>
    <w:p w14:paraId="159DCD98" w14:textId="3BC30503" w:rsidR="00D16634" w:rsidRPr="00D16634" w:rsidRDefault="00D16634" w:rsidP="00D16634">
      <w:pPr>
        <w:pStyle w:val="CorpsA"/>
        <w:spacing w:line="288" w:lineRule="auto"/>
        <w:jc w:val="both"/>
        <w:rPr>
          <w:rStyle w:val="Aucun"/>
          <w:rFonts w:ascii="Lato" w:hAnsi="Lato"/>
          <w:b/>
          <w:bCs/>
          <w:color w:val="002060"/>
          <w:sz w:val="28"/>
          <w:szCs w:val="26"/>
        </w:rPr>
      </w:pPr>
      <w:r w:rsidRPr="00D16634">
        <w:rPr>
          <w:rStyle w:val="Aucun"/>
          <w:rFonts w:ascii="Lato" w:hAnsi="Lato"/>
          <w:b/>
          <w:bCs/>
          <w:color w:val="002060"/>
          <w:sz w:val="28"/>
          <w:szCs w:val="26"/>
        </w:rPr>
        <w:t>Background</w:t>
      </w:r>
    </w:p>
    <w:p w14:paraId="26F88A41" w14:textId="7DE51832" w:rsidR="00D16634" w:rsidRPr="00052A19" w:rsidRDefault="00D16634" w:rsidP="00627D1E">
      <w:pPr>
        <w:pStyle w:val="CorpsA"/>
        <w:spacing w:line="288" w:lineRule="auto"/>
        <w:jc w:val="both"/>
        <w:rPr>
          <w:rStyle w:val="Aucun"/>
          <w:rFonts w:ascii="Lato" w:eastAsia="Times New Roman" w:hAnsi="Lato" w:cs="Times New Roman"/>
          <w:sz w:val="24"/>
          <w:szCs w:val="24"/>
        </w:rPr>
      </w:pPr>
      <w:r w:rsidRPr="00052A19">
        <w:rPr>
          <w:rStyle w:val="Aucun"/>
          <w:rFonts w:ascii="Lato" w:hAnsi="Lato"/>
          <w:sz w:val="24"/>
          <w:szCs w:val="24"/>
        </w:rPr>
        <w:t xml:space="preserve">Since 2011, the conflict in Syria has been the site of a variety of violations of human rights and international law regulating conflict and abuses at the hands of various perpetrators.  </w:t>
      </w:r>
    </w:p>
    <w:p w14:paraId="546B265F" w14:textId="58DE3158" w:rsidR="00D16634" w:rsidRPr="00052A19" w:rsidRDefault="00D16634" w:rsidP="00627D1E">
      <w:pPr>
        <w:pStyle w:val="CorpsA"/>
        <w:spacing w:line="288" w:lineRule="auto"/>
        <w:jc w:val="both"/>
        <w:rPr>
          <w:rStyle w:val="Aucun"/>
          <w:rFonts w:ascii="Lato" w:eastAsia="Times New Roman" w:hAnsi="Lato" w:cs="Times New Roman"/>
          <w:sz w:val="24"/>
          <w:szCs w:val="24"/>
        </w:rPr>
      </w:pPr>
      <w:r w:rsidRPr="00052A19">
        <w:rPr>
          <w:rStyle w:val="Aucun"/>
          <w:rFonts w:ascii="Lato" w:hAnsi="Lato"/>
          <w:sz w:val="24"/>
          <w:szCs w:val="24"/>
        </w:rPr>
        <w:t>Among these, the practice of enforced disappearances has emerged as a large-scale pattern. Documented as soon as 2012 by Human Rights Watch, 2013 by the Commission of Inquiry, and 2017 by Syrians for Truth and Justice, it has not declined ever since, so much so that in February 2014, the UN Security Council drafted a Resolution 2139 condemning the occurrence of the crime, with little effect. While those violations are framed within the Convention as a crime against humanity</w:t>
      </w:r>
      <w:r w:rsidRPr="00052A19">
        <w:rPr>
          <w:rStyle w:val="Aucun"/>
          <w:rFonts w:ascii="Lato" w:eastAsia="Times New Roman" w:hAnsi="Lato" w:cs="Times New Roman"/>
          <w:sz w:val="24"/>
          <w:szCs w:val="24"/>
          <w:vertAlign w:val="superscript"/>
        </w:rPr>
        <w:footnoteReference w:id="1"/>
      </w:r>
      <w:r w:rsidRPr="00052A19">
        <w:rPr>
          <w:rStyle w:val="Aucun"/>
          <w:rFonts w:ascii="Lato" w:hAnsi="Lato"/>
          <w:sz w:val="24"/>
          <w:szCs w:val="24"/>
        </w:rPr>
        <w:t>, it primarily recognizes « </w:t>
      </w:r>
      <w:r w:rsidRPr="00052A19">
        <w:rPr>
          <w:rStyle w:val="Aucun"/>
          <w:rFonts w:ascii="Lato" w:hAnsi="Lato"/>
          <w:i/>
          <w:iCs/>
          <w:sz w:val="24"/>
          <w:szCs w:val="24"/>
        </w:rPr>
        <w:t>agents of the State or by persons or groups of persons acting with the authorization, support or acquiescence of the State</w:t>
      </w:r>
      <w:r w:rsidRPr="00052A19">
        <w:rPr>
          <w:rStyle w:val="Aucun"/>
          <w:rFonts w:ascii="Lato" w:hAnsi="Lato"/>
          <w:sz w:val="24"/>
          <w:szCs w:val="24"/>
        </w:rPr>
        <w:t xml:space="preserve"> ». </w:t>
      </w:r>
    </w:p>
    <w:p w14:paraId="37165A5A" w14:textId="5F17EE7C" w:rsidR="00D16634" w:rsidRPr="00052A19" w:rsidRDefault="00D16634" w:rsidP="00627D1E">
      <w:pPr>
        <w:pStyle w:val="CorpsA"/>
        <w:spacing w:line="288" w:lineRule="auto"/>
        <w:jc w:val="both"/>
        <w:rPr>
          <w:rStyle w:val="Aucun"/>
          <w:rFonts w:ascii="Lato" w:eastAsia="Times New Roman" w:hAnsi="Lato" w:cs="Times New Roman"/>
          <w:sz w:val="24"/>
          <w:szCs w:val="24"/>
        </w:rPr>
      </w:pPr>
      <w:r w:rsidRPr="00052A19">
        <w:rPr>
          <w:rStyle w:val="Aucun"/>
          <w:rFonts w:ascii="Lato" w:hAnsi="Lato"/>
          <w:sz w:val="24"/>
          <w:szCs w:val="24"/>
        </w:rPr>
        <w:t>In the Syrian context, as documented by STJ, enforced disappearances, in addition to the Syrian authorities,</w:t>
      </w:r>
      <w:r w:rsidRPr="00052A19">
        <w:rPr>
          <w:rStyle w:val="Aucun"/>
          <w:rFonts w:ascii="Lato" w:eastAsia="Times New Roman" w:hAnsi="Lato" w:cs="Times New Roman"/>
          <w:sz w:val="24"/>
          <w:szCs w:val="24"/>
          <w:vertAlign w:val="superscript"/>
        </w:rPr>
        <w:footnoteReference w:id="2"/>
      </w:r>
      <w:r w:rsidRPr="00052A19">
        <w:rPr>
          <w:rStyle w:val="Aucun"/>
          <w:rFonts w:ascii="Lato" w:hAnsi="Lato"/>
          <w:sz w:val="24"/>
          <w:szCs w:val="24"/>
        </w:rPr>
        <w:t xml:space="preserve"> have often been carried out by non-State actors whose support, authorization or consent of the State is not established. STJ and its partners have been documenting and accounting for enforced disappearances in the Turkish-</w:t>
      </w:r>
      <w:proofErr w:type="spellStart"/>
      <w:r w:rsidRPr="00052A19">
        <w:rPr>
          <w:rStyle w:val="Aucun"/>
          <w:rFonts w:ascii="Lato" w:hAnsi="Lato"/>
          <w:sz w:val="24"/>
          <w:szCs w:val="24"/>
          <w:lang w:val="fr-FR"/>
        </w:rPr>
        <w:t>occupied</w:t>
      </w:r>
      <w:proofErr w:type="spellEnd"/>
      <w:r w:rsidRPr="00052A19">
        <w:rPr>
          <w:rStyle w:val="Aucun"/>
          <w:rFonts w:ascii="Lato" w:hAnsi="Lato"/>
          <w:sz w:val="24"/>
          <w:szCs w:val="24"/>
        </w:rPr>
        <w:t xml:space="preserve"> canton of Afrin substantively,</w:t>
      </w:r>
      <w:r w:rsidRPr="00052A19">
        <w:rPr>
          <w:rStyle w:val="Aucun"/>
          <w:rFonts w:ascii="Lato" w:eastAsia="Times New Roman" w:hAnsi="Lato" w:cs="Times New Roman"/>
          <w:sz w:val="24"/>
          <w:szCs w:val="24"/>
          <w:vertAlign w:val="superscript"/>
        </w:rPr>
        <w:footnoteReference w:id="3"/>
      </w:r>
      <w:r w:rsidRPr="00052A19">
        <w:rPr>
          <w:rStyle w:val="Aucun"/>
          <w:rFonts w:ascii="Lato" w:hAnsi="Lato"/>
          <w:sz w:val="24"/>
          <w:szCs w:val="24"/>
        </w:rPr>
        <w:t xml:space="preserve"> tracking 584 arrests over 2021</w:t>
      </w:r>
      <w:r w:rsidRPr="00052A19">
        <w:rPr>
          <w:rStyle w:val="Aucun"/>
          <w:rFonts w:ascii="Lato" w:eastAsia="Times New Roman" w:hAnsi="Lato" w:cs="Times New Roman"/>
          <w:sz w:val="24"/>
          <w:szCs w:val="24"/>
          <w:vertAlign w:val="superscript"/>
        </w:rPr>
        <w:footnoteReference w:id="4"/>
      </w:r>
      <w:r w:rsidRPr="00052A19">
        <w:rPr>
          <w:rStyle w:val="Aucun"/>
          <w:rFonts w:ascii="Lato" w:hAnsi="Lato"/>
          <w:sz w:val="24"/>
          <w:szCs w:val="24"/>
        </w:rPr>
        <w:t xml:space="preserve"> perpetrated by Turkish-backed armed groups. In the beginning of 2022, only 122 persons were released while the fate of the 461 others remains unknown. In the first half of 2022, in </w:t>
      </w:r>
      <w:r w:rsidRPr="00052A19">
        <w:rPr>
          <w:rStyle w:val="Aucun"/>
          <w:rFonts w:ascii="Lato" w:hAnsi="Lato"/>
          <w:sz w:val="24"/>
          <w:szCs w:val="24"/>
        </w:rPr>
        <w:lastRenderedPageBreak/>
        <w:t>Afrin alone, 311 people were arbitrary arrested.</w:t>
      </w:r>
      <w:r w:rsidRPr="00052A19">
        <w:rPr>
          <w:rStyle w:val="Aucun"/>
          <w:rFonts w:ascii="Lato" w:eastAsia="Times New Roman" w:hAnsi="Lato" w:cs="Times New Roman"/>
          <w:sz w:val="24"/>
          <w:szCs w:val="24"/>
          <w:vertAlign w:val="superscript"/>
        </w:rPr>
        <w:footnoteReference w:id="5"/>
      </w:r>
      <w:r w:rsidRPr="00052A19">
        <w:rPr>
          <w:rStyle w:val="Aucun"/>
          <w:rFonts w:ascii="Lato" w:hAnsi="Lato"/>
          <w:sz w:val="24"/>
          <w:szCs w:val="24"/>
        </w:rPr>
        <w:t xml:space="preserve"> This monitoring has highlighted the recurrent practice of this crime and the use of non-state groups by the warring powers. In particular, the use of private military groups has been revealed by STJ and has expanded since 2020, with information suggesting this use by Russia and Turkey in the Syrian context.</w:t>
      </w:r>
      <w:r w:rsidRPr="00052A19">
        <w:rPr>
          <w:rStyle w:val="Aucun"/>
          <w:rFonts w:ascii="Lato" w:eastAsia="Times New Roman" w:hAnsi="Lato" w:cs="Times New Roman"/>
          <w:sz w:val="24"/>
          <w:szCs w:val="24"/>
          <w:vertAlign w:val="superscript"/>
        </w:rPr>
        <w:footnoteReference w:id="6"/>
      </w:r>
      <w:r w:rsidRPr="00052A19">
        <w:rPr>
          <w:rStyle w:val="Aucun"/>
          <w:rFonts w:ascii="Lato" w:hAnsi="Lato"/>
          <w:sz w:val="24"/>
          <w:szCs w:val="24"/>
        </w:rPr>
        <w:t xml:space="preserve"> </w:t>
      </w:r>
    </w:p>
    <w:p w14:paraId="3F986DEE" w14:textId="3424EC01" w:rsidR="00D16634" w:rsidRPr="00627D1E" w:rsidRDefault="00D16634" w:rsidP="00627D1E">
      <w:pPr>
        <w:pStyle w:val="CorpsA"/>
        <w:spacing w:line="288" w:lineRule="auto"/>
        <w:jc w:val="both"/>
        <w:rPr>
          <w:rStyle w:val="Aucun"/>
          <w:rFonts w:ascii="Lato" w:hAnsi="Lato"/>
          <w:b/>
          <w:bCs/>
          <w:color w:val="002060"/>
          <w:sz w:val="28"/>
          <w:szCs w:val="26"/>
        </w:rPr>
      </w:pPr>
      <w:r w:rsidRPr="00D16634">
        <w:rPr>
          <w:rStyle w:val="Aucun"/>
          <w:rFonts w:ascii="Lato" w:hAnsi="Lato"/>
          <w:b/>
          <w:bCs/>
          <w:color w:val="002060"/>
          <w:sz w:val="28"/>
          <w:szCs w:val="26"/>
        </w:rPr>
        <w:t>Comments</w:t>
      </w:r>
    </w:p>
    <w:p w14:paraId="55BE1B33" w14:textId="77777777" w:rsidR="00D16634" w:rsidRPr="00052A19" w:rsidRDefault="00D16634" w:rsidP="00D16634">
      <w:pPr>
        <w:pStyle w:val="CorpsA"/>
        <w:spacing w:line="288" w:lineRule="auto"/>
        <w:jc w:val="both"/>
        <w:rPr>
          <w:rStyle w:val="Aucun"/>
          <w:rFonts w:ascii="Lato" w:eastAsia="Times New Roman" w:hAnsi="Lato" w:cs="Times New Roman"/>
          <w:sz w:val="24"/>
          <w:szCs w:val="24"/>
        </w:rPr>
      </w:pPr>
      <w:r w:rsidRPr="00052A19">
        <w:rPr>
          <w:rStyle w:val="Aucun"/>
          <w:rFonts w:ascii="Lato" w:hAnsi="Lato"/>
          <w:b/>
          <w:bCs/>
          <w:sz w:val="24"/>
          <w:szCs w:val="24"/>
        </w:rPr>
        <w:t>Section 3. Enforced disappearances by NSA in the context of Article 3</w:t>
      </w:r>
    </w:p>
    <w:p w14:paraId="79266843" w14:textId="77777777" w:rsidR="00D16634" w:rsidRPr="00052A19" w:rsidRDefault="00D16634" w:rsidP="00D16634">
      <w:pPr>
        <w:pStyle w:val="CorpsA"/>
        <w:spacing w:line="288" w:lineRule="auto"/>
        <w:jc w:val="both"/>
        <w:rPr>
          <w:rStyle w:val="Aucun"/>
          <w:rFonts w:ascii="Lato" w:eastAsia="Times New Roman" w:hAnsi="Lato" w:cs="Times New Roman"/>
          <w:sz w:val="24"/>
          <w:szCs w:val="24"/>
        </w:rPr>
      </w:pPr>
    </w:p>
    <w:p w14:paraId="6FE63080" w14:textId="38082116" w:rsidR="00D16634" w:rsidRPr="00627D1E" w:rsidRDefault="00D16634" w:rsidP="00627D1E">
      <w:pPr>
        <w:pStyle w:val="CorpsA"/>
        <w:numPr>
          <w:ilvl w:val="1"/>
          <w:numId w:val="3"/>
        </w:numPr>
        <w:spacing w:line="288" w:lineRule="auto"/>
        <w:jc w:val="both"/>
        <w:rPr>
          <w:rStyle w:val="Aucun"/>
          <w:rFonts w:ascii="Lato" w:hAnsi="Lato"/>
          <w:sz w:val="24"/>
          <w:szCs w:val="24"/>
        </w:rPr>
      </w:pPr>
      <w:r w:rsidRPr="00052A19">
        <w:rPr>
          <w:rStyle w:val="Aucun"/>
          <w:rFonts w:ascii="Lato" w:hAnsi="Lato"/>
          <w:sz w:val="24"/>
          <w:szCs w:val="24"/>
        </w:rPr>
        <w:t>In the qualification under Article 3 of the Convention of NSAs’ actions constituting enforced disappearances, we wonder if there is a need - in the Committee</w:t>
      </w:r>
      <w:r w:rsidRPr="00052A19">
        <w:rPr>
          <w:rStyle w:val="Aucun"/>
          <w:rFonts w:ascii="Lato" w:hAnsi="Lato"/>
          <w:sz w:val="24"/>
          <w:szCs w:val="24"/>
          <w:rtl/>
          <w:lang w:val="ar-SA"/>
        </w:rPr>
        <w:t>’</w:t>
      </w:r>
      <w:r w:rsidRPr="00052A19">
        <w:rPr>
          <w:rStyle w:val="Aucun"/>
          <w:rFonts w:ascii="Lato" w:hAnsi="Lato"/>
          <w:sz w:val="24"/>
          <w:szCs w:val="24"/>
        </w:rPr>
        <w:t>s view - to add or address the Private Military and Security Companies, in the context of the definition or actual identification of « organized armed groups » (Paragraph 14 of the Statement), considering the evolution of this phenomenon</w:t>
      </w:r>
      <w:r w:rsidRPr="00052A19">
        <w:rPr>
          <w:rStyle w:val="Aucun"/>
          <w:rFonts w:ascii="Lato" w:eastAsia="Times New Roman" w:hAnsi="Lato" w:cs="Times New Roman"/>
          <w:sz w:val="24"/>
          <w:szCs w:val="24"/>
          <w:vertAlign w:val="superscript"/>
        </w:rPr>
        <w:footnoteReference w:id="7"/>
      </w:r>
      <w:r w:rsidRPr="00052A19">
        <w:rPr>
          <w:rStyle w:val="Aucun"/>
          <w:rFonts w:ascii="Lato" w:hAnsi="Lato"/>
          <w:sz w:val="24"/>
          <w:szCs w:val="24"/>
        </w:rPr>
        <w:t xml:space="preserve"> and their regular involvement in NIACs</w:t>
      </w:r>
      <w:r w:rsidRPr="00052A19">
        <w:rPr>
          <w:rStyle w:val="Aucun"/>
          <w:rFonts w:ascii="Lato" w:eastAsia="Times New Roman" w:hAnsi="Lato" w:cs="Times New Roman"/>
          <w:sz w:val="24"/>
          <w:szCs w:val="24"/>
          <w:vertAlign w:val="superscript"/>
        </w:rPr>
        <w:footnoteReference w:id="8"/>
      </w:r>
      <w:r w:rsidRPr="00052A19">
        <w:rPr>
          <w:rStyle w:val="Aucun"/>
          <w:rFonts w:ascii="Lato" w:hAnsi="Lato"/>
          <w:sz w:val="24"/>
          <w:szCs w:val="24"/>
        </w:rPr>
        <w:t>.</w:t>
      </w:r>
    </w:p>
    <w:p w14:paraId="24AAD599" w14:textId="0E7989BD" w:rsidR="00627D1E" w:rsidRPr="00627D1E" w:rsidRDefault="00D16634" w:rsidP="00627D1E">
      <w:pPr>
        <w:pStyle w:val="CorpsA"/>
        <w:numPr>
          <w:ilvl w:val="1"/>
          <w:numId w:val="3"/>
        </w:numPr>
        <w:spacing w:line="288" w:lineRule="auto"/>
        <w:jc w:val="both"/>
        <w:rPr>
          <w:rStyle w:val="Aucun"/>
          <w:rFonts w:ascii="Lato" w:hAnsi="Lato"/>
          <w:sz w:val="24"/>
          <w:szCs w:val="24"/>
        </w:rPr>
      </w:pPr>
      <w:r w:rsidRPr="00052A19">
        <w:rPr>
          <w:rStyle w:val="Aucun"/>
          <w:rFonts w:ascii="Lato" w:hAnsi="Lato"/>
          <w:sz w:val="24"/>
          <w:szCs w:val="24"/>
        </w:rPr>
        <w:t>Pursuant to allow a better framing of the scope of enforced disappearances, we believe that the circumstances detailed under Paragraph 14 of the Statement are enough to identify what constitutes enforced disappearances by non-State actors,</w:t>
      </w:r>
      <w:r w:rsidRPr="00052A19">
        <w:rPr>
          <w:rStyle w:val="Aucun"/>
          <w:rFonts w:ascii="Lato" w:eastAsia="Times New Roman" w:hAnsi="Lato" w:cs="Times New Roman"/>
          <w:sz w:val="24"/>
          <w:szCs w:val="24"/>
          <w:vertAlign w:val="superscript"/>
        </w:rPr>
        <w:footnoteReference w:id="9"/>
      </w:r>
      <w:r w:rsidRPr="00052A19">
        <w:rPr>
          <w:rStyle w:val="Aucun"/>
          <w:rFonts w:ascii="Lato" w:hAnsi="Lato"/>
          <w:sz w:val="24"/>
          <w:szCs w:val="24"/>
        </w:rPr>
        <w:t xml:space="preserve"> and there is no need for any negative identification as stated in Paragraph 15 of the Statement. Moreover, since </w:t>
      </w:r>
      <w:r w:rsidRPr="00052A19">
        <w:rPr>
          <w:rStyle w:val="Aucun"/>
          <w:rFonts w:ascii="Lato" w:hAnsi="Lato"/>
          <w:sz w:val="24"/>
          <w:szCs w:val="24"/>
          <w:rtl/>
          <w:lang w:val="ar-SA"/>
        </w:rPr>
        <w:t>“</w:t>
      </w:r>
      <w:r w:rsidRPr="00052A19">
        <w:rPr>
          <w:rStyle w:val="Aucun"/>
          <w:rFonts w:ascii="Lato" w:hAnsi="Lato"/>
          <w:sz w:val="24"/>
          <w:szCs w:val="24"/>
        </w:rPr>
        <w:t xml:space="preserve">kidnapping” or </w:t>
      </w:r>
      <w:r w:rsidRPr="00052A19">
        <w:rPr>
          <w:rStyle w:val="Aucun"/>
          <w:rFonts w:ascii="Lato" w:hAnsi="Lato"/>
          <w:sz w:val="24"/>
          <w:szCs w:val="24"/>
          <w:rtl/>
          <w:lang w:val="ar-SA"/>
        </w:rPr>
        <w:t>“</w:t>
      </w:r>
      <w:r w:rsidRPr="00052A19">
        <w:rPr>
          <w:rStyle w:val="Aucun"/>
          <w:rFonts w:ascii="Lato" w:hAnsi="Lato"/>
          <w:sz w:val="24"/>
          <w:szCs w:val="24"/>
        </w:rPr>
        <w:t>abduction” are already identified acts in some national legislations, e.g., Syria</w:t>
      </w:r>
      <w:r w:rsidRPr="00052A19">
        <w:rPr>
          <w:rStyle w:val="Aucun"/>
          <w:rFonts w:ascii="Lato" w:eastAsia="Times New Roman" w:hAnsi="Lato" w:cs="Times New Roman"/>
          <w:sz w:val="24"/>
          <w:szCs w:val="24"/>
          <w:vertAlign w:val="superscript"/>
        </w:rPr>
        <w:footnoteReference w:id="10"/>
      </w:r>
      <w:r w:rsidRPr="00052A19">
        <w:rPr>
          <w:rStyle w:val="Aucun"/>
          <w:rFonts w:ascii="Lato" w:hAnsi="Lato"/>
          <w:sz w:val="24"/>
          <w:szCs w:val="24"/>
        </w:rPr>
        <w:t xml:space="preserve">, this negative identification might be used or </w:t>
      </w:r>
      <w:r w:rsidRPr="00052A19">
        <w:rPr>
          <w:rStyle w:val="Aucun"/>
          <w:rFonts w:ascii="Lato" w:hAnsi="Lato"/>
          <w:sz w:val="24"/>
          <w:szCs w:val="24"/>
          <w:rtl/>
          <w:lang w:val="ar-SA"/>
        </w:rPr>
        <w:t>“</w:t>
      </w:r>
      <w:r w:rsidRPr="00052A19">
        <w:rPr>
          <w:rStyle w:val="Aucun"/>
          <w:rFonts w:ascii="Lato" w:hAnsi="Lato"/>
          <w:sz w:val="24"/>
          <w:szCs w:val="24"/>
        </w:rPr>
        <w:t>exploited” to limit other acts that might constitute enforced disappearances to these acts through vague justifications or reasons. In any case, since the Committee’s Statement is concerned with enforced disappearances by non-State actors, we don</w:t>
      </w:r>
      <w:r w:rsidRPr="00052A19">
        <w:rPr>
          <w:rStyle w:val="Aucun"/>
          <w:rFonts w:ascii="Lato" w:hAnsi="Lato"/>
          <w:sz w:val="24"/>
          <w:szCs w:val="24"/>
          <w:rtl/>
          <w:lang w:val="ar-SA"/>
        </w:rPr>
        <w:t>’</w:t>
      </w:r>
      <w:r w:rsidRPr="00052A19">
        <w:rPr>
          <w:rStyle w:val="Aucun"/>
          <w:rFonts w:ascii="Lato" w:hAnsi="Lato"/>
          <w:sz w:val="24"/>
          <w:szCs w:val="24"/>
        </w:rPr>
        <w:t>t see any additional benefit for presenting concepts or circumstances that do not fall within such identified circumstances.</w:t>
      </w:r>
    </w:p>
    <w:p w14:paraId="529CB44F" w14:textId="17C9CE49" w:rsidR="00D16634" w:rsidRPr="00052A19" w:rsidRDefault="00D16634" w:rsidP="00627D1E">
      <w:pPr>
        <w:pStyle w:val="CorpsA"/>
        <w:spacing w:line="288" w:lineRule="auto"/>
        <w:jc w:val="both"/>
        <w:rPr>
          <w:rStyle w:val="Aucun"/>
          <w:rFonts w:ascii="Lato" w:eastAsia="Times New Roman" w:hAnsi="Lato" w:cs="Times New Roman"/>
          <w:b/>
          <w:bCs/>
          <w:sz w:val="24"/>
          <w:szCs w:val="24"/>
        </w:rPr>
      </w:pPr>
      <w:r w:rsidRPr="00052A19">
        <w:rPr>
          <w:rStyle w:val="Aucun"/>
          <w:rFonts w:ascii="Lato" w:hAnsi="Lato"/>
          <w:b/>
          <w:bCs/>
          <w:sz w:val="24"/>
          <w:szCs w:val="24"/>
        </w:rPr>
        <w:t>Section 4. Obligations of States parties under article 3</w:t>
      </w:r>
    </w:p>
    <w:p w14:paraId="60BE0E51" w14:textId="77777777" w:rsidR="00D16634" w:rsidRPr="00052A19" w:rsidRDefault="00D16634" w:rsidP="00D16634">
      <w:pPr>
        <w:pStyle w:val="CorpsA"/>
        <w:numPr>
          <w:ilvl w:val="0"/>
          <w:numId w:val="4"/>
        </w:numPr>
        <w:suppressAutoHyphens/>
        <w:spacing w:before="120" w:after="120" w:line="288" w:lineRule="auto"/>
        <w:jc w:val="both"/>
        <w:rPr>
          <w:rFonts w:ascii="Lato" w:hAnsi="Lato"/>
          <w:sz w:val="24"/>
          <w:szCs w:val="24"/>
        </w:rPr>
      </w:pPr>
      <w:r w:rsidRPr="00052A19">
        <w:rPr>
          <w:rStyle w:val="Aucun"/>
          <w:rFonts w:ascii="Lato" w:hAnsi="Lato"/>
          <w:sz w:val="24"/>
          <w:szCs w:val="24"/>
        </w:rPr>
        <w:t xml:space="preserve">In light of the conclusion stipulated in Paragraph 7 of the Statement that “the Convention is a living instrument and should be interpreted in the light of present-day conditions”, we encourage the Committee to detail this section, and to emphasize States parties’ obligations under Article 9 of the </w:t>
      </w:r>
      <w:r w:rsidRPr="00052A19">
        <w:rPr>
          <w:rStyle w:val="Aucun"/>
          <w:rFonts w:ascii="Lato" w:hAnsi="Lato"/>
          <w:sz w:val="24"/>
          <w:szCs w:val="24"/>
        </w:rPr>
        <w:lastRenderedPageBreak/>
        <w:t>Convention.</w:t>
      </w:r>
      <w:r w:rsidRPr="00052A19">
        <w:rPr>
          <w:rStyle w:val="Aucun"/>
          <w:rFonts w:ascii="Lato" w:eastAsia="Times New Roman" w:hAnsi="Lato" w:cs="Times New Roman"/>
          <w:sz w:val="24"/>
          <w:szCs w:val="24"/>
          <w:vertAlign w:val="superscript"/>
        </w:rPr>
        <w:footnoteReference w:id="11"/>
      </w:r>
      <w:r w:rsidRPr="00052A19">
        <w:rPr>
          <w:rStyle w:val="Aucun"/>
          <w:rFonts w:ascii="Lato" w:hAnsi="Lato"/>
          <w:sz w:val="24"/>
          <w:szCs w:val="24"/>
        </w:rPr>
        <w:t xml:space="preserve"> Considering the present-day conditions and developments where NIACs are the dominant armed conflict,</w:t>
      </w:r>
      <w:r w:rsidRPr="00052A19">
        <w:rPr>
          <w:rStyle w:val="Aucun"/>
          <w:rFonts w:ascii="Lato" w:eastAsia="Times New Roman" w:hAnsi="Lato" w:cs="Times New Roman"/>
          <w:sz w:val="24"/>
          <w:szCs w:val="24"/>
          <w:vertAlign w:val="superscript"/>
        </w:rPr>
        <w:footnoteReference w:id="12"/>
      </w:r>
      <w:r w:rsidRPr="00052A19">
        <w:rPr>
          <w:rStyle w:val="Aucun"/>
          <w:rFonts w:ascii="Lato" w:hAnsi="Lato"/>
          <w:sz w:val="24"/>
          <w:szCs w:val="24"/>
        </w:rPr>
        <w:t xml:space="preserve"> and the phenomenon of “foreign fighters”</w:t>
      </w:r>
      <w:r w:rsidRPr="00052A19">
        <w:rPr>
          <w:rStyle w:val="Aucun"/>
          <w:rFonts w:ascii="Lato" w:eastAsia="Times New Roman" w:hAnsi="Lato" w:cs="Times New Roman"/>
          <w:sz w:val="24"/>
          <w:szCs w:val="24"/>
          <w:vertAlign w:val="superscript"/>
        </w:rPr>
        <w:footnoteReference w:id="13"/>
      </w:r>
      <w:r w:rsidRPr="00052A19">
        <w:rPr>
          <w:rStyle w:val="Aucun"/>
          <w:rFonts w:ascii="Lato" w:hAnsi="Lato"/>
          <w:sz w:val="24"/>
          <w:szCs w:val="24"/>
        </w:rPr>
        <w:t xml:space="preserve"> and transnational armed non-State actors exists almost in every armed conflict. Such conditions raise concerns about situations where the territorial State is unable to meet its obligations under Article 3 of the Convention,</w:t>
      </w:r>
      <w:r w:rsidRPr="00052A19">
        <w:rPr>
          <w:rStyle w:val="Aucun"/>
          <w:rFonts w:ascii="Lato" w:eastAsia="Times New Roman" w:hAnsi="Lato" w:cs="Times New Roman"/>
          <w:sz w:val="24"/>
          <w:szCs w:val="24"/>
          <w:vertAlign w:val="superscript"/>
        </w:rPr>
        <w:footnoteReference w:id="14"/>
      </w:r>
      <w:r w:rsidRPr="00052A19">
        <w:rPr>
          <w:rStyle w:val="Aucun"/>
          <w:rFonts w:ascii="Lato" w:hAnsi="Lato"/>
          <w:sz w:val="24"/>
          <w:szCs w:val="24"/>
        </w:rPr>
        <w:t xml:space="preserve"> while alleged perpetrators are nationals of other non-territorial States. Such an emphasis would encourage States to deal with enforced disappearances allegedly committed by their nationals abroad seriously and in accordance with their international obligations.</w:t>
      </w:r>
    </w:p>
    <w:p w14:paraId="76382E89" w14:textId="77777777" w:rsidR="00D16634" w:rsidRPr="00052A19" w:rsidRDefault="00D16634" w:rsidP="00D16634">
      <w:pPr>
        <w:pStyle w:val="CorpsA"/>
        <w:numPr>
          <w:ilvl w:val="0"/>
          <w:numId w:val="4"/>
        </w:numPr>
        <w:suppressAutoHyphens/>
        <w:spacing w:before="120" w:after="120" w:line="288" w:lineRule="auto"/>
        <w:jc w:val="both"/>
        <w:rPr>
          <w:rFonts w:ascii="Lato" w:hAnsi="Lato"/>
          <w:sz w:val="24"/>
          <w:szCs w:val="24"/>
        </w:rPr>
      </w:pPr>
      <w:r w:rsidRPr="00052A19">
        <w:rPr>
          <w:rStyle w:val="Aucun"/>
          <w:rFonts w:ascii="Lato" w:hAnsi="Lato"/>
          <w:sz w:val="24"/>
          <w:szCs w:val="24"/>
        </w:rPr>
        <w:t>We encourage the Committee to give special attention and emphasis to Article 24 of the Convention</w:t>
      </w:r>
      <w:r w:rsidRPr="00052A19">
        <w:rPr>
          <w:rStyle w:val="Aucun"/>
          <w:rFonts w:ascii="Lato" w:eastAsia="Times New Roman" w:hAnsi="Lato" w:cs="Times New Roman"/>
          <w:sz w:val="24"/>
          <w:szCs w:val="24"/>
          <w:vertAlign w:val="superscript"/>
        </w:rPr>
        <w:footnoteReference w:id="15"/>
      </w:r>
      <w:r w:rsidRPr="00052A19">
        <w:rPr>
          <w:rStyle w:val="Aucun"/>
          <w:rFonts w:ascii="Lato" w:hAnsi="Lato"/>
          <w:sz w:val="24"/>
          <w:szCs w:val="24"/>
        </w:rPr>
        <w:t xml:space="preserve"> related to the rights of victims of enforced disappearances by non-State actors. Including this in the statement will form an exceptional opportunity to strengthen the victims’ rights and ensure a victim-centered approach not only when enforced disappearances occurs as a State-related violation/crime, but also when committed by non-State actors. This is also very relevant to the same Committee’s perspective that the Convention is a live instrument.</w:t>
      </w:r>
    </w:p>
    <w:p w14:paraId="1BA11E22" w14:textId="1CA332E7" w:rsidR="00D16634" w:rsidRPr="00627D1E" w:rsidRDefault="00627D1E" w:rsidP="00627D1E">
      <w:pPr>
        <w:ind w:firstLine="720"/>
        <w:jc w:val="center"/>
        <w:rPr>
          <w:rStyle w:val="SubtleEmphasis"/>
          <w:rFonts w:cs="Calibri"/>
          <w:b/>
          <w:bCs/>
          <w:i w:val="0"/>
          <w:iCs w:val="0"/>
          <w:color w:val="auto"/>
          <w:sz w:val="44"/>
          <w:szCs w:val="44"/>
        </w:rPr>
      </w:pPr>
      <w:r w:rsidRPr="00627D1E">
        <w:rPr>
          <w:rStyle w:val="SubtleEmphasis"/>
          <w:rFonts w:cstheme="minorHAnsi"/>
          <w:b/>
          <w:bCs/>
          <w:i w:val="0"/>
          <w:iCs w:val="0"/>
          <w:color w:val="auto"/>
          <w:sz w:val="44"/>
          <w:szCs w:val="44"/>
        </w:rPr>
        <w:t>****</w:t>
      </w:r>
    </w:p>
    <w:p w14:paraId="1D0E295F" w14:textId="7D69BD79" w:rsidR="00102363" w:rsidRPr="002F54B0" w:rsidRDefault="001450F9" w:rsidP="00D16634">
      <w:pPr>
        <w:rPr>
          <w:rStyle w:val="SubtleEmphasis"/>
          <w:rFonts w:cs="Calibri"/>
          <w:b/>
          <w:bCs/>
          <w:i w:val="0"/>
          <w:iCs w:val="0"/>
          <w:color w:val="2F5496" w:themeColor="accent1" w:themeShade="BF"/>
          <w:sz w:val="28"/>
          <w:szCs w:val="28"/>
        </w:rPr>
      </w:pPr>
      <w:r w:rsidRPr="00D16634">
        <w:rPr>
          <w:rFonts w:cs="Calibri"/>
          <w:sz w:val="28"/>
          <w:szCs w:val="28"/>
        </w:rPr>
        <w:br w:type="page"/>
      </w:r>
      <w:r w:rsidR="00C166FE">
        <w:rPr>
          <w:rFonts w:cs="Calibri"/>
          <w:b/>
          <w:bCs/>
          <w:noProof/>
          <w:color w:val="2F5496" w:themeColor="accent1" w:themeShade="BF"/>
          <w:sz w:val="28"/>
          <w:szCs w:val="28"/>
        </w:rPr>
        <w:lastRenderedPageBreak/>
        <w:drawing>
          <wp:anchor distT="0" distB="0" distL="114300" distR="114300" simplePos="0" relativeHeight="251659264" behindDoc="0" locked="0" layoutInCell="1" allowOverlap="1" wp14:anchorId="0A73BC37" wp14:editId="3E3E044F">
            <wp:simplePos x="0" y="0"/>
            <wp:positionH relativeFrom="column">
              <wp:posOffset>-910590</wp:posOffset>
            </wp:positionH>
            <wp:positionV relativeFrom="paragraph">
              <wp:posOffset>-913765</wp:posOffset>
            </wp:positionV>
            <wp:extent cx="7624976" cy="10785651"/>
            <wp:effectExtent l="0" t="0" r="0" b="0"/>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4976" cy="10785651"/>
                    </a:xfrm>
                    <a:prstGeom prst="rect">
                      <a:avLst/>
                    </a:prstGeom>
                  </pic:spPr>
                </pic:pic>
              </a:graphicData>
            </a:graphic>
            <wp14:sizeRelH relativeFrom="page">
              <wp14:pctWidth>0</wp14:pctWidth>
            </wp14:sizeRelH>
            <wp14:sizeRelV relativeFrom="page">
              <wp14:pctHeight>0</wp14:pctHeight>
            </wp14:sizeRelV>
          </wp:anchor>
        </w:drawing>
      </w:r>
      <w:r w:rsidR="00316050">
        <w:rPr>
          <w:rFonts w:cs="Calibri"/>
          <w:b/>
          <w:bCs/>
          <w:noProof/>
          <w:color w:val="2F5496" w:themeColor="accent1" w:themeShade="BF"/>
          <w:sz w:val="28"/>
          <w:szCs w:val="28"/>
        </w:rPr>
        <w:t xml:space="preserve">              </w:t>
      </w:r>
    </w:p>
    <w:sectPr w:rsidR="00102363" w:rsidRPr="002F54B0" w:rsidSect="00CE62E0">
      <w:headerReference w:type="default" r:id="rId11"/>
      <w:footerReference w:type="default" r:id="rId12"/>
      <w:pgSz w:w="11906" w:h="16838" w:code="9"/>
      <w:pgMar w:top="1440" w:right="1440" w:bottom="1710" w:left="1440" w:header="720" w:footer="2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435DA" w14:textId="77777777" w:rsidR="0063785F" w:rsidRDefault="0063785F" w:rsidP="00093FE9">
      <w:pPr>
        <w:spacing w:after="0" w:line="240" w:lineRule="auto"/>
      </w:pPr>
      <w:r>
        <w:separator/>
      </w:r>
    </w:p>
  </w:endnote>
  <w:endnote w:type="continuationSeparator" w:id="0">
    <w:p w14:paraId="02129F8F" w14:textId="77777777" w:rsidR="0063785F" w:rsidRDefault="0063785F" w:rsidP="00093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Lato">
    <w:panose1 w:val="020F0502020204030203"/>
    <w:charset w:val="00"/>
    <w:family w:val="swiss"/>
    <w:pitch w:val="variable"/>
    <w:sig w:usb0="A00000AF" w:usb1="5000604B" w:usb2="00000000" w:usb3="00000000" w:csb0="00000093" w:csb1="00000000"/>
  </w:font>
  <w:font w:name="Times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F460" w14:textId="298FEB95" w:rsidR="008C1E95" w:rsidRDefault="00855D7B">
    <w:pPr>
      <w:pStyle w:val="Footer"/>
      <w:jc w:val="center"/>
    </w:pPr>
    <w:r>
      <w:rPr>
        <w:noProof/>
      </w:rPr>
      <w:drawing>
        <wp:anchor distT="0" distB="0" distL="114300" distR="114300" simplePos="0" relativeHeight="251658752" behindDoc="1" locked="0" layoutInCell="1" allowOverlap="1" wp14:anchorId="2FEEA5DB" wp14:editId="43BFC728">
          <wp:simplePos x="0" y="0"/>
          <wp:positionH relativeFrom="column">
            <wp:posOffset>-914400</wp:posOffset>
          </wp:positionH>
          <wp:positionV relativeFrom="paragraph">
            <wp:posOffset>-473076</wp:posOffset>
          </wp:positionV>
          <wp:extent cx="7555867" cy="987425"/>
          <wp:effectExtent l="0" t="0" r="698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3355" cy="992324"/>
                  </a:xfrm>
                  <a:prstGeom prst="rect">
                    <a:avLst/>
                  </a:prstGeom>
                </pic:spPr>
              </pic:pic>
            </a:graphicData>
          </a:graphic>
          <wp14:sizeRelH relativeFrom="page">
            <wp14:pctWidth>0</wp14:pctWidth>
          </wp14:sizeRelH>
          <wp14:sizeRelV relativeFrom="page">
            <wp14:pctHeight>0</wp14:pctHeight>
          </wp14:sizeRelV>
        </wp:anchor>
      </w:drawing>
    </w:r>
    <w:r w:rsidR="004F6134">
      <w:rPr>
        <w:noProof/>
      </w:rPr>
      <mc:AlternateContent>
        <mc:Choice Requires="wps">
          <w:drawing>
            <wp:anchor distT="45720" distB="45720" distL="114300" distR="114300" simplePos="0" relativeHeight="251660800" behindDoc="0" locked="0" layoutInCell="1" allowOverlap="1" wp14:anchorId="2D895E5F" wp14:editId="0809AC22">
              <wp:simplePos x="0" y="0"/>
              <wp:positionH relativeFrom="margin">
                <wp:posOffset>5501640</wp:posOffset>
              </wp:positionH>
              <wp:positionV relativeFrom="paragraph">
                <wp:posOffset>-57785</wp:posOffset>
              </wp:positionV>
              <wp:extent cx="1143000" cy="2762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6225"/>
                      </a:xfrm>
                      <a:prstGeom prst="rect">
                        <a:avLst/>
                      </a:prstGeom>
                    </wps:spPr>
                    <wps:txbx>
                      <w:txbxContent>
                        <w:p w14:paraId="566FCEA6" w14:textId="7BC2319D" w:rsidR="004F6134" w:rsidRPr="004F6134" w:rsidRDefault="004F6134" w:rsidP="004F6134">
                          <w:pPr>
                            <w:rPr>
                              <w:rFonts w:ascii="Lato" w:hAnsi="Lato" w:cstheme="minorHAnsi"/>
                              <w:i/>
                              <w:iCs/>
                              <w:color w:val="175873"/>
                              <w:sz w:val="20"/>
                              <w:szCs w:val="20"/>
                              <w:rtl/>
                              <w:lang w:bidi="ar-SY"/>
                            </w:rPr>
                          </w:pPr>
                          <w:r w:rsidRPr="004F6134">
                            <w:rPr>
                              <w:rFonts w:ascii="Lato" w:hAnsi="Lato" w:cstheme="minorHAnsi"/>
                              <w:i/>
                              <w:iCs/>
                              <w:color w:val="175873"/>
                              <w:sz w:val="20"/>
                              <w:szCs w:val="20"/>
                              <w:lang w:bidi="ar-SY"/>
                            </w:rPr>
                            <w:t>www.stj-sy.org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95E5F" id="_x0000_t202" coordsize="21600,21600" o:spt="202" path="m,l,21600r21600,l21600,xe">
              <v:stroke joinstyle="miter"/>
              <v:path gradientshapeok="t" o:connecttype="rect"/>
            </v:shapetype>
            <v:shape id="_x0000_s1027" type="#_x0000_t202" style="position:absolute;left:0;text-align:left;margin-left:433.2pt;margin-top:-4.55pt;width:90pt;height:21.7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" filled="f" stroked="f">
              <v:textbox>
                <w:txbxContent>
                  <w:p w14:paraId="566FCEA6" w14:textId="7BC2319D" w:rsidR="004F6134" w:rsidRPr="004F6134" w:rsidRDefault="004F6134" w:rsidP="004F6134">
                    <w:pPr>
                      <w:rPr>
                        <w:rFonts w:ascii="Lato" w:hAnsi="Lato" w:cstheme="minorHAnsi"/>
                        <w:i/>
                        <w:iCs/>
                        <w:color w:val="175873"/>
                        <w:sz w:val="20"/>
                        <w:szCs w:val="20"/>
                        <w:rtl/>
                        <w:lang w:bidi="ar-SY"/>
                      </w:rPr>
                    </w:pPr>
                    <w:r w:rsidRPr="004F6134">
                      <w:rPr>
                        <w:rFonts w:ascii="Lato" w:hAnsi="Lato" w:cstheme="minorHAnsi"/>
                        <w:i/>
                        <w:iCs/>
                        <w:color w:val="175873"/>
                        <w:sz w:val="20"/>
                        <w:szCs w:val="20"/>
                        <w:lang w:bidi="ar-SY"/>
                      </w:rPr>
                      <w:t>www.stj-sy.org</w:t>
                    </w:r>
                  </w:p>
                </w:txbxContent>
              </v:textbox>
              <w10:wrap type="square" anchorx="margin"/>
            </v:shape>
          </w:pict>
        </mc:Fallback>
      </mc:AlternateContent>
    </w:r>
    <w:sdt>
      <w:sdtPr>
        <w:id w:val="-197389676"/>
        <w:docPartObj>
          <w:docPartGallery w:val="Page Numbers (Bottom of Page)"/>
          <w:docPartUnique/>
        </w:docPartObj>
      </w:sdtPr>
      <w:sdtContent>
        <w:sdt>
          <w:sdtPr>
            <w:id w:val="1728636285"/>
            <w:docPartObj>
              <w:docPartGallery w:val="Page Numbers (Top of Page)"/>
              <w:docPartUnique/>
            </w:docPartObj>
          </w:sdtPr>
          <w:sdtContent>
            <w:r w:rsidR="008C1E95">
              <w:t xml:space="preserve">Page </w:t>
            </w:r>
            <w:r w:rsidR="008C1E95">
              <w:rPr>
                <w:b/>
                <w:bCs/>
                <w:sz w:val="24"/>
                <w:szCs w:val="24"/>
              </w:rPr>
              <w:fldChar w:fldCharType="begin"/>
            </w:r>
            <w:r w:rsidR="008C1E95">
              <w:rPr>
                <w:b/>
                <w:bCs/>
              </w:rPr>
              <w:instrText xml:space="preserve"> PAGE </w:instrText>
            </w:r>
            <w:r w:rsidR="008C1E95">
              <w:rPr>
                <w:b/>
                <w:bCs/>
                <w:sz w:val="24"/>
                <w:szCs w:val="24"/>
              </w:rPr>
              <w:fldChar w:fldCharType="separate"/>
            </w:r>
            <w:r w:rsidR="008C1E95">
              <w:rPr>
                <w:b/>
                <w:bCs/>
                <w:noProof/>
              </w:rPr>
              <w:t>2</w:t>
            </w:r>
            <w:r w:rsidR="008C1E95">
              <w:rPr>
                <w:b/>
                <w:bCs/>
                <w:sz w:val="24"/>
                <w:szCs w:val="24"/>
              </w:rPr>
              <w:fldChar w:fldCharType="end"/>
            </w:r>
            <w:r w:rsidR="008C1E95">
              <w:t xml:space="preserve"> of </w:t>
            </w:r>
            <w:r w:rsidR="008C1E95">
              <w:rPr>
                <w:b/>
                <w:bCs/>
                <w:sz w:val="24"/>
                <w:szCs w:val="24"/>
              </w:rPr>
              <w:fldChar w:fldCharType="begin"/>
            </w:r>
            <w:r w:rsidR="008C1E95">
              <w:rPr>
                <w:b/>
                <w:bCs/>
              </w:rPr>
              <w:instrText xml:space="preserve"> NUMPAGES  </w:instrText>
            </w:r>
            <w:r w:rsidR="008C1E95">
              <w:rPr>
                <w:b/>
                <w:bCs/>
                <w:sz w:val="24"/>
                <w:szCs w:val="24"/>
              </w:rPr>
              <w:fldChar w:fldCharType="separate"/>
            </w:r>
            <w:r w:rsidR="008C1E95">
              <w:rPr>
                <w:b/>
                <w:bCs/>
                <w:noProof/>
              </w:rPr>
              <w:t>2</w:t>
            </w:r>
            <w:r w:rsidR="008C1E95">
              <w:rPr>
                <w:b/>
                <w:bCs/>
                <w:sz w:val="24"/>
                <w:szCs w:val="24"/>
              </w:rPr>
              <w:fldChar w:fldCharType="end"/>
            </w:r>
          </w:sdtContent>
        </w:sdt>
      </w:sdtContent>
    </w:sdt>
  </w:p>
  <w:p w14:paraId="47D1394B" w14:textId="3A05721C" w:rsidR="00093FE9" w:rsidRPr="00204936" w:rsidRDefault="000605EB" w:rsidP="000605EB">
    <w:pPr>
      <w:pStyle w:val="Footer"/>
      <w:tabs>
        <w:tab w:val="clear" w:pos="4680"/>
        <w:tab w:val="clear" w:pos="9360"/>
        <w:tab w:val="left" w:pos="1695"/>
      </w:tabs>
      <w:ind w:left="-450"/>
      <w:rPr>
        <w:b/>
        <w:bCs/>
        <w:color w:val="FFFFFF" w:themeColor="background1"/>
      </w:rPr>
    </w:pPr>
    <w:r>
      <w:rPr>
        <w:b/>
        <w:bCs/>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CBEB8" w14:textId="77777777" w:rsidR="0063785F" w:rsidRDefault="0063785F" w:rsidP="00093FE9">
      <w:pPr>
        <w:spacing w:after="0" w:line="240" w:lineRule="auto"/>
      </w:pPr>
      <w:r>
        <w:separator/>
      </w:r>
    </w:p>
  </w:footnote>
  <w:footnote w:type="continuationSeparator" w:id="0">
    <w:p w14:paraId="27144694" w14:textId="77777777" w:rsidR="0063785F" w:rsidRDefault="0063785F" w:rsidP="00093FE9">
      <w:pPr>
        <w:spacing w:after="0" w:line="240" w:lineRule="auto"/>
      </w:pPr>
      <w:r>
        <w:continuationSeparator/>
      </w:r>
    </w:p>
  </w:footnote>
  <w:footnote w:id="1">
    <w:p w14:paraId="645E3A4C"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Article 5 of the convention : « </w:t>
      </w:r>
      <w:r>
        <w:rPr>
          <w:rStyle w:val="AucunA"/>
        </w:rPr>
        <w:t>The widespread or systematic practice of enforced disappearance constitutes a crime against humanity as defined in applicable international law and shall attract the consequences provided for under such applicable international law.</w:t>
      </w:r>
      <w:r>
        <w:rPr>
          <w:rStyle w:val="Aucun"/>
          <w:rFonts w:ascii="Times Roman" w:hAnsi="Times Roman"/>
          <w:sz w:val="24"/>
          <w:szCs w:val="24"/>
          <w:lang w:val="fr-FR"/>
        </w:rPr>
        <w:t> »</w:t>
      </w:r>
    </w:p>
  </w:footnote>
  <w:footnote w:id="2">
    <w:p w14:paraId="0DEF719E" w14:textId="77777777" w:rsidR="00D16634" w:rsidRDefault="00D16634" w:rsidP="00D16634">
      <w:pPr>
        <w:pStyle w:val="NotedebasdepageA"/>
      </w:pPr>
      <w:r>
        <w:rPr>
          <w:rStyle w:val="Aucun"/>
          <w:sz w:val="24"/>
          <w:szCs w:val="24"/>
          <w:vertAlign w:val="superscript"/>
        </w:rPr>
        <w:footnoteRef/>
      </w:r>
      <w:r>
        <w:rPr>
          <w:rStyle w:val="AucunA"/>
        </w:rPr>
        <w:t xml:space="preserve">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r>
        <w:rPr>
          <w:rStyle w:val="AucunA"/>
        </w:rPr>
        <w:t>https://stj-sy.org/en/syria-arbitrary-deprivation-of-truth-and-life/</w:t>
      </w:r>
    </w:p>
  </w:footnote>
  <w:footnote w:id="3">
    <w:p w14:paraId="35E6857A"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 xml:space="preserve">For </w:t>
      </w:r>
      <w:proofErr w:type="spellStart"/>
      <w:r>
        <w:rPr>
          <w:rStyle w:val="Aucun"/>
          <w:lang w:val="fr-FR"/>
        </w:rPr>
        <w:t>reference</w:t>
      </w:r>
      <w:proofErr w:type="spellEnd"/>
      <w:r>
        <w:rPr>
          <w:rStyle w:val="Aucun"/>
          <w:lang w:val="fr-FR"/>
        </w:rPr>
        <w:t xml:space="preserve">, </w:t>
      </w:r>
      <w:proofErr w:type="spellStart"/>
      <w:r>
        <w:rPr>
          <w:rStyle w:val="Aucun"/>
          <w:lang w:val="fr-FR"/>
        </w:rPr>
        <w:t>following</w:t>
      </w:r>
      <w:proofErr w:type="spellEnd"/>
      <w:r>
        <w:rPr>
          <w:rStyle w:val="Aucun"/>
          <w:lang w:val="fr-FR"/>
        </w:rPr>
        <w:t xml:space="preserve"> </w:t>
      </w:r>
      <w:proofErr w:type="spellStart"/>
      <w:r>
        <w:rPr>
          <w:rStyle w:val="Aucun"/>
          <w:lang w:val="fr-FR"/>
        </w:rPr>
        <w:t>operation</w:t>
      </w:r>
      <w:proofErr w:type="spellEnd"/>
      <w:r>
        <w:rPr>
          <w:rStyle w:val="Aucun"/>
          <w:lang w:val="fr-FR"/>
        </w:rPr>
        <w:t xml:space="preserve"> </w:t>
      </w:r>
      <w:proofErr w:type="spellStart"/>
      <w:r>
        <w:rPr>
          <w:rStyle w:val="Aucun"/>
          <w:lang w:val="fr-FR"/>
        </w:rPr>
        <w:t>Peace</w:t>
      </w:r>
      <w:proofErr w:type="spellEnd"/>
      <w:r>
        <w:rPr>
          <w:rStyle w:val="Aucun"/>
          <w:lang w:val="fr-FR"/>
        </w:rPr>
        <w:t xml:space="preserve"> Spring, over 122 people </w:t>
      </w:r>
      <w:proofErr w:type="spellStart"/>
      <w:r>
        <w:rPr>
          <w:rStyle w:val="Aucun"/>
          <w:lang w:val="fr-FR"/>
        </w:rPr>
        <w:t>disappeared</w:t>
      </w:r>
      <w:proofErr w:type="spellEnd"/>
      <w:r>
        <w:rPr>
          <w:rStyle w:val="Aucun"/>
          <w:lang w:val="fr-FR"/>
        </w:rPr>
        <w:t xml:space="preserve">, </w:t>
      </w:r>
      <w:proofErr w:type="spellStart"/>
      <w:r>
        <w:rPr>
          <w:rStyle w:val="Aucun"/>
          <w:lang w:val="fr-FR"/>
        </w:rPr>
        <w:t>see</w:t>
      </w:r>
      <w:proofErr w:type="spellEnd"/>
      <w:r>
        <w:rPr>
          <w:rStyle w:val="Aucun"/>
          <w:lang w:val="fr-FR"/>
        </w:rPr>
        <w:t xml:space="preserve"> : </w:t>
      </w:r>
      <w:hyperlink r:id="rId1" w:history="1">
        <w:r>
          <w:rPr>
            <w:rStyle w:val="Hyperlink0"/>
          </w:rPr>
          <w:t>https://stj-sy.org/en/northeast-syria-more-than-120-people-disappeared-following-operation-peace-spring/</w:t>
        </w:r>
      </w:hyperlink>
      <w:r>
        <w:rPr>
          <w:rStyle w:val="Aucun"/>
          <w:lang w:val="fr-FR"/>
        </w:rPr>
        <w:t xml:space="preserve"> </w:t>
      </w:r>
    </w:p>
  </w:footnote>
  <w:footnote w:id="4">
    <w:p w14:paraId="679B734F" w14:textId="4012CD18" w:rsidR="00D16634" w:rsidRDefault="00D16634" w:rsidP="00D16634">
      <w:pPr>
        <w:pStyle w:val="NotedebasdepageA"/>
      </w:pPr>
      <w:r>
        <w:rPr>
          <w:rStyle w:val="Aucun"/>
          <w:sz w:val="24"/>
          <w:szCs w:val="24"/>
          <w:vertAlign w:val="superscript"/>
        </w:rPr>
        <w:footnoteRef/>
      </w:r>
      <w:r>
        <w:rPr>
          <w:rStyle w:val="AucunA"/>
        </w:rPr>
        <w:t xml:space="preserve">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hyperlink r:id="rId2" w:history="1">
        <w:r>
          <w:rPr>
            <w:rStyle w:val="Hyperlink0"/>
          </w:rPr>
          <w:t>https://stj-sy.org/en/syria-584-persons-arrested-in-afrin-over-2021/</w:t>
        </w:r>
      </w:hyperlink>
      <w:r w:rsidR="00627D1E">
        <w:rPr>
          <w:rStyle w:val="Aucun"/>
          <w:lang w:val="fr-FR"/>
        </w:rPr>
        <w:t xml:space="preserve"> </w:t>
      </w:r>
    </w:p>
  </w:footnote>
  <w:footnote w:id="5">
    <w:p w14:paraId="51A37D4F" w14:textId="77777777" w:rsidR="00D16634" w:rsidRDefault="00D16634" w:rsidP="00D16634">
      <w:pPr>
        <w:pStyle w:val="NotedebasdepageA"/>
      </w:pPr>
      <w:r>
        <w:rPr>
          <w:rStyle w:val="Aucun"/>
          <w:sz w:val="24"/>
          <w:szCs w:val="24"/>
          <w:vertAlign w:val="superscript"/>
        </w:rPr>
        <w:footnoteRef/>
      </w:r>
      <w:r>
        <w:rPr>
          <w:rStyle w:val="AucunA"/>
        </w:rPr>
        <w:t xml:space="preserve">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hyperlink r:id="rId3" w:history="1">
        <w:r>
          <w:rPr>
            <w:rStyle w:val="Hyperlink0"/>
          </w:rPr>
          <w:t>https://stj-sy.org/en/afrin-311-arbitrary-arrests-in-the-first-half-of-2022/</w:t>
        </w:r>
      </w:hyperlink>
      <w:r>
        <w:rPr>
          <w:rStyle w:val="Aucun"/>
          <w:lang w:val="fr-FR"/>
        </w:rPr>
        <w:t xml:space="preserve"> </w:t>
      </w:r>
    </w:p>
  </w:footnote>
  <w:footnote w:id="6">
    <w:p w14:paraId="080B10DA" w14:textId="77777777" w:rsidR="00D16634" w:rsidRDefault="00D16634" w:rsidP="00D16634">
      <w:pPr>
        <w:pStyle w:val="NotedebasdepageA"/>
      </w:pPr>
      <w:r>
        <w:rPr>
          <w:rStyle w:val="Aucun"/>
          <w:sz w:val="24"/>
          <w:szCs w:val="24"/>
          <w:vertAlign w:val="superscript"/>
        </w:rPr>
        <w:footnoteRef/>
      </w:r>
      <w:r>
        <w:rPr>
          <w:rStyle w:val="AucunA"/>
        </w:rPr>
        <w:t xml:space="preserve">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hyperlink r:id="rId4" w:history="1">
        <w:r>
          <w:rPr>
            <w:rStyle w:val="Hyperlink0"/>
          </w:rPr>
          <w:t>https://stj-sy.org/en/russias-and-turkeys-recruitment-of-syrian-mercenaries-to-libya-two-faces-of-the-same-colonialist-coin/</w:t>
        </w:r>
      </w:hyperlink>
      <w:r>
        <w:rPr>
          <w:rStyle w:val="Aucun"/>
          <w:lang w:val="fr-FR"/>
        </w:rPr>
        <w:t xml:space="preserve"> </w:t>
      </w:r>
    </w:p>
  </w:footnote>
  <w:footnote w:id="7">
    <w:p w14:paraId="2B9223CF"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 xml:space="preserve">For an </w:t>
      </w:r>
      <w:proofErr w:type="spellStart"/>
      <w:r>
        <w:rPr>
          <w:rStyle w:val="Aucun"/>
          <w:lang w:val="fr-FR"/>
        </w:rPr>
        <w:t>analysis</w:t>
      </w:r>
      <w:proofErr w:type="spellEnd"/>
      <w:r>
        <w:rPr>
          <w:rStyle w:val="Aucun"/>
          <w:lang w:val="fr-FR"/>
        </w:rPr>
        <w:t xml:space="preserve"> of the </w:t>
      </w:r>
      <w:proofErr w:type="spellStart"/>
      <w:r>
        <w:rPr>
          <w:rStyle w:val="Aucun"/>
          <w:lang w:val="fr-FR"/>
        </w:rPr>
        <w:t>involvement</w:t>
      </w:r>
      <w:proofErr w:type="spellEnd"/>
      <w:r>
        <w:rPr>
          <w:rStyle w:val="Aucun"/>
          <w:lang w:val="fr-FR"/>
        </w:rPr>
        <w:t xml:space="preserve"> of </w:t>
      </w:r>
      <w:proofErr w:type="spellStart"/>
      <w:r>
        <w:rPr>
          <w:rStyle w:val="Aucun"/>
          <w:lang w:val="fr-FR"/>
        </w:rPr>
        <w:t>Russia</w:t>
      </w:r>
      <w:proofErr w:type="spellEnd"/>
      <w:r>
        <w:rPr>
          <w:rStyle w:val="Aucun"/>
          <w:lang w:val="fr-FR"/>
        </w:rPr>
        <w:t xml:space="preserve"> and </w:t>
      </w:r>
      <w:proofErr w:type="spellStart"/>
      <w:r>
        <w:rPr>
          <w:rStyle w:val="Aucun"/>
          <w:lang w:val="fr-FR"/>
        </w:rPr>
        <w:t>Turkey</w:t>
      </w:r>
      <w:proofErr w:type="spellEnd"/>
      <w:r>
        <w:rPr>
          <w:rStyle w:val="Aucun"/>
          <w:lang w:val="fr-FR"/>
        </w:rPr>
        <w:t xml:space="preserve"> </w:t>
      </w:r>
      <w:proofErr w:type="spellStart"/>
      <w:r>
        <w:rPr>
          <w:rStyle w:val="Aucun"/>
          <w:lang w:val="fr-FR"/>
        </w:rPr>
        <w:t>through</w:t>
      </w:r>
      <w:proofErr w:type="spellEnd"/>
      <w:r>
        <w:rPr>
          <w:rStyle w:val="Aucun"/>
          <w:lang w:val="fr-FR"/>
        </w:rPr>
        <w:t xml:space="preserve"> </w:t>
      </w:r>
      <w:proofErr w:type="spellStart"/>
      <w:r>
        <w:rPr>
          <w:rStyle w:val="Aucun"/>
          <w:lang w:val="fr-FR"/>
        </w:rPr>
        <w:t>private</w:t>
      </w:r>
      <w:proofErr w:type="spellEnd"/>
      <w:r>
        <w:rPr>
          <w:rStyle w:val="Aucun"/>
          <w:lang w:val="fr-FR"/>
        </w:rPr>
        <w:t xml:space="preserve"> </w:t>
      </w:r>
      <w:proofErr w:type="spellStart"/>
      <w:r>
        <w:rPr>
          <w:rStyle w:val="Aucun"/>
          <w:lang w:val="fr-FR"/>
        </w:rPr>
        <w:t>military</w:t>
      </w:r>
      <w:proofErr w:type="spellEnd"/>
      <w:r>
        <w:rPr>
          <w:rStyle w:val="Aucun"/>
          <w:lang w:val="fr-FR"/>
        </w:rPr>
        <w:t xml:space="preserve"> </w:t>
      </w:r>
      <w:proofErr w:type="spellStart"/>
      <w:r>
        <w:rPr>
          <w:rStyle w:val="Aucun"/>
          <w:lang w:val="fr-FR"/>
        </w:rPr>
        <w:t>companies</w:t>
      </w:r>
      <w:proofErr w:type="spellEnd"/>
      <w:r>
        <w:rPr>
          <w:rStyle w:val="Aucun"/>
          <w:lang w:val="fr-FR"/>
        </w:rPr>
        <w:t xml:space="preserve"> in </w:t>
      </w:r>
      <w:proofErr w:type="spellStart"/>
      <w:r>
        <w:rPr>
          <w:rStyle w:val="Aucun"/>
          <w:lang w:val="fr-FR"/>
        </w:rPr>
        <w:t>Syria</w:t>
      </w:r>
      <w:proofErr w:type="spellEnd"/>
      <w:r>
        <w:rPr>
          <w:rStyle w:val="Aucun"/>
          <w:lang w:val="fr-FR"/>
        </w:rPr>
        <w:t xml:space="preserve">,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hyperlink r:id="rId5" w:history="1">
        <w:r>
          <w:rPr>
            <w:rStyle w:val="Hyperlink0"/>
          </w:rPr>
          <w:t>https://stj-sy.org/en/mercenarism-in-syria-predatory-recruitment-and-the-enrichment-of-criminal-militias/</w:t>
        </w:r>
      </w:hyperlink>
      <w:r>
        <w:rPr>
          <w:rStyle w:val="Aucun"/>
          <w:lang w:val="fr-FR"/>
        </w:rPr>
        <w:t xml:space="preserve"> </w:t>
      </w:r>
    </w:p>
  </w:footnote>
  <w:footnote w:id="8">
    <w:p w14:paraId="207480E9"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 xml:space="preserve">For instance, Syrian </w:t>
      </w:r>
      <w:proofErr w:type="spellStart"/>
      <w:r>
        <w:rPr>
          <w:rStyle w:val="Aucun"/>
          <w:lang w:val="fr-FR"/>
        </w:rPr>
        <w:t>mercenaries</w:t>
      </w:r>
      <w:proofErr w:type="spellEnd"/>
      <w:r>
        <w:rPr>
          <w:rStyle w:val="Aucun"/>
          <w:lang w:val="fr-FR"/>
        </w:rPr>
        <w:t xml:space="preserve"> </w:t>
      </w:r>
      <w:proofErr w:type="spellStart"/>
      <w:r>
        <w:rPr>
          <w:rStyle w:val="Aucun"/>
          <w:lang w:val="fr-FR"/>
        </w:rPr>
        <w:t>recruited</w:t>
      </w:r>
      <w:proofErr w:type="spellEnd"/>
      <w:r>
        <w:rPr>
          <w:rStyle w:val="Aucun"/>
          <w:lang w:val="fr-FR"/>
        </w:rPr>
        <w:t xml:space="preserve"> by the Wagner Group </w:t>
      </w:r>
      <w:proofErr w:type="spellStart"/>
      <w:r>
        <w:rPr>
          <w:rStyle w:val="Aucun"/>
          <w:lang w:val="fr-FR"/>
        </w:rPr>
        <w:t>were</w:t>
      </w:r>
      <w:proofErr w:type="spellEnd"/>
      <w:r>
        <w:rPr>
          <w:rStyle w:val="Aucun"/>
          <w:lang w:val="fr-FR"/>
        </w:rPr>
        <w:t xml:space="preserve"> </w:t>
      </w:r>
      <w:proofErr w:type="spellStart"/>
      <w:r>
        <w:rPr>
          <w:rStyle w:val="Aucun"/>
          <w:lang w:val="fr-FR"/>
        </w:rPr>
        <w:t>relocated</w:t>
      </w:r>
      <w:proofErr w:type="spellEnd"/>
      <w:r>
        <w:rPr>
          <w:rStyle w:val="Aucun"/>
          <w:lang w:val="fr-FR"/>
        </w:rPr>
        <w:t xml:space="preserve"> </w:t>
      </w:r>
      <w:proofErr w:type="spellStart"/>
      <w:r>
        <w:rPr>
          <w:rStyle w:val="Aucun"/>
          <w:lang w:val="fr-FR"/>
        </w:rPr>
        <w:t>from</w:t>
      </w:r>
      <w:proofErr w:type="spellEnd"/>
      <w:r>
        <w:rPr>
          <w:rStyle w:val="Aucun"/>
          <w:lang w:val="fr-FR"/>
        </w:rPr>
        <w:t xml:space="preserve"> </w:t>
      </w:r>
      <w:proofErr w:type="spellStart"/>
      <w:r>
        <w:rPr>
          <w:rStyle w:val="Aucun"/>
          <w:lang w:val="fr-FR"/>
        </w:rPr>
        <w:t>Lybia</w:t>
      </w:r>
      <w:proofErr w:type="spellEnd"/>
      <w:r>
        <w:rPr>
          <w:rStyle w:val="Aucun"/>
          <w:lang w:val="fr-FR"/>
        </w:rPr>
        <w:t xml:space="preserve"> to </w:t>
      </w:r>
      <w:proofErr w:type="spellStart"/>
      <w:r>
        <w:rPr>
          <w:rStyle w:val="Aucun"/>
          <w:lang w:val="fr-FR"/>
        </w:rPr>
        <w:t>Russia</w:t>
      </w:r>
      <w:proofErr w:type="spellEnd"/>
      <w:r>
        <w:rPr>
          <w:rStyle w:val="Aucun"/>
          <w:lang w:val="fr-FR"/>
        </w:rPr>
        <w:t xml:space="preserve">.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r>
        <w:rPr>
          <w:rStyle w:val="AucunA"/>
        </w:rPr>
        <w:t>https://stj-sy.org/en/ukraine-wagner-group-begins-relocating-syrian-fighters-from-libya-to-russia/</w:t>
      </w:r>
    </w:p>
  </w:footnote>
  <w:footnote w:id="9">
    <w:p w14:paraId="308233C7" w14:textId="77777777" w:rsidR="00D16634" w:rsidRDefault="00D16634" w:rsidP="00D16634">
      <w:pPr>
        <w:pStyle w:val="NotedebasdepageA"/>
      </w:pPr>
      <w:r>
        <w:rPr>
          <w:rStyle w:val="Aucun"/>
          <w:sz w:val="24"/>
          <w:szCs w:val="24"/>
          <w:vertAlign w:val="superscript"/>
        </w:rPr>
        <w:footnoteRef/>
      </w:r>
      <w:r>
        <w:rPr>
          <w:rStyle w:val="Aucun"/>
          <w:rFonts w:eastAsia="Arial Unicode MS" w:cs="Arial Unicode MS"/>
        </w:rPr>
        <w:t xml:space="preserve"> Independent International Commission of Inquiry on the Syrian Arab Republic,</w:t>
      </w:r>
      <w:r>
        <w:rPr>
          <w:rStyle w:val="Aucun"/>
          <w:rFonts w:eastAsia="Arial Unicode MS" w:cs="Arial Unicode MS"/>
          <w:i/>
          <w:iCs/>
        </w:rPr>
        <w:t xml:space="preserve"> </w:t>
      </w:r>
      <w:proofErr w:type="gramStart"/>
      <w:r>
        <w:rPr>
          <w:rStyle w:val="Aucun"/>
          <w:rFonts w:eastAsia="Arial Unicode MS" w:cs="Arial Unicode MS"/>
          <w:i/>
          <w:iCs/>
        </w:rPr>
        <w:t>Without</w:t>
      </w:r>
      <w:proofErr w:type="gramEnd"/>
      <w:r>
        <w:rPr>
          <w:rStyle w:val="Aucun"/>
          <w:rFonts w:eastAsia="Arial Unicode MS" w:cs="Arial Unicode MS"/>
          <w:i/>
          <w:iCs/>
        </w:rPr>
        <w:t xml:space="preserve"> a trace: enforced disappearances in Syria (Conference room paper)</w:t>
      </w:r>
    </w:p>
  </w:footnote>
  <w:footnote w:id="10">
    <w:p w14:paraId="0E091790" w14:textId="77777777" w:rsidR="00D16634" w:rsidRDefault="00D16634" w:rsidP="00D16634">
      <w:pPr>
        <w:pStyle w:val="NotedebasdepageA"/>
      </w:pPr>
      <w:r>
        <w:rPr>
          <w:rStyle w:val="Aucun"/>
          <w:sz w:val="24"/>
          <w:szCs w:val="24"/>
          <w:vertAlign w:val="superscript"/>
        </w:rPr>
        <w:footnoteRef/>
      </w:r>
      <w:r>
        <w:rPr>
          <w:rStyle w:val="Aucun"/>
          <w:rFonts w:eastAsia="Arial Unicode MS" w:cs="Arial Unicode MS"/>
        </w:rPr>
        <w:t xml:space="preserve"> Articles 555 and 556 of the General Penal Code, and Legislative Decree No. 20 of 2013.</w:t>
      </w:r>
    </w:p>
  </w:footnote>
  <w:footnote w:id="11">
    <w:p w14:paraId="0DD9A09E"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Article 9 of the Convention : ‘’</w:t>
      </w:r>
      <w:r>
        <w:rPr>
          <w:rStyle w:val="AucunA"/>
        </w:rPr>
        <w:t>Each State Party shall take the necessary measures to establishes competence to exercise jurisdiction over the offence of enforced disappearance</w:t>
      </w:r>
      <w:r>
        <w:rPr>
          <w:rStyle w:val="Aucun"/>
          <w:lang w:val="fr-FR"/>
        </w:rPr>
        <w:t>’’</w:t>
      </w:r>
      <w:r>
        <w:rPr>
          <w:rStyle w:val="Aucun"/>
          <w:sz w:val="24"/>
          <w:szCs w:val="24"/>
          <w:lang w:val="fr-FR"/>
        </w:rPr>
        <w:t> </w:t>
      </w:r>
    </w:p>
  </w:footnote>
  <w:footnote w:id="12">
    <w:p w14:paraId="70F394CD" w14:textId="77777777" w:rsidR="00D16634" w:rsidRDefault="00D16634" w:rsidP="00D16634">
      <w:pPr>
        <w:pStyle w:val="NotedebasdepageA"/>
      </w:pPr>
      <w:r>
        <w:rPr>
          <w:rStyle w:val="Aucun"/>
          <w:sz w:val="24"/>
          <w:szCs w:val="24"/>
          <w:vertAlign w:val="superscript"/>
        </w:rPr>
        <w:footnoteRef/>
      </w:r>
      <w:r>
        <w:rPr>
          <w:rStyle w:val="AucunA"/>
        </w:rPr>
        <w:t xml:space="preserve"> </w:t>
      </w:r>
      <w:proofErr w:type="spellStart"/>
      <w:r>
        <w:rPr>
          <w:rStyle w:val="Aucun"/>
          <w:lang w:val="fr-FR"/>
        </w:rPr>
        <w:t>See</w:t>
      </w:r>
      <w:proofErr w:type="spellEnd"/>
      <w:r>
        <w:rPr>
          <w:rStyle w:val="Aucun"/>
          <w:lang w:val="fr-FR"/>
        </w:rPr>
        <w:t xml:space="preserve"> for </w:t>
      </w:r>
      <w:proofErr w:type="gramStart"/>
      <w:r>
        <w:rPr>
          <w:rStyle w:val="Aucun"/>
          <w:lang w:val="fr-FR"/>
        </w:rPr>
        <w:t>instance:</w:t>
      </w:r>
      <w:proofErr w:type="gramEnd"/>
      <w:r>
        <w:rPr>
          <w:rStyle w:val="Aucun"/>
          <w:lang w:val="fr-FR"/>
        </w:rPr>
        <w:t xml:space="preserve"> </w:t>
      </w:r>
      <w:hyperlink r:id="rId6" w:history="1">
        <w:r>
          <w:rPr>
            <w:rStyle w:val="Hyperlink0"/>
          </w:rPr>
          <w:t>https://www.un.org/en/un75/new-era-conflict-and-violence</w:t>
        </w:r>
      </w:hyperlink>
    </w:p>
  </w:footnote>
  <w:footnote w:id="13">
    <w:p w14:paraId="4BA080A5" w14:textId="77777777" w:rsidR="00D16634" w:rsidRDefault="00D16634" w:rsidP="00D16634">
      <w:pPr>
        <w:pStyle w:val="NotedebasdepageA"/>
      </w:pPr>
      <w:r>
        <w:rPr>
          <w:rStyle w:val="Aucun"/>
          <w:sz w:val="24"/>
          <w:szCs w:val="24"/>
          <w:vertAlign w:val="superscript"/>
        </w:rPr>
        <w:footnoteRef/>
      </w:r>
      <w:r>
        <w:rPr>
          <w:rStyle w:val="Aucun"/>
          <w:lang w:val="fr-FR"/>
        </w:rPr>
        <w:t xml:space="preserve"> S/RES/2396 (2017), </w:t>
      </w:r>
      <w:proofErr w:type="spellStart"/>
      <w:proofErr w:type="gramStart"/>
      <w:r>
        <w:rPr>
          <w:rStyle w:val="Aucun"/>
          <w:lang w:val="fr-FR"/>
        </w:rPr>
        <w:t>see</w:t>
      </w:r>
      <w:proofErr w:type="spellEnd"/>
      <w:r>
        <w:rPr>
          <w:rStyle w:val="Aucun"/>
          <w:lang w:val="fr-FR"/>
        </w:rPr>
        <w:t>:</w:t>
      </w:r>
      <w:proofErr w:type="gramEnd"/>
      <w:r>
        <w:rPr>
          <w:rStyle w:val="Aucun"/>
          <w:lang w:val="fr-FR"/>
        </w:rPr>
        <w:t xml:space="preserve"> </w:t>
      </w:r>
      <w:r>
        <w:rPr>
          <w:rStyle w:val="AucunA"/>
        </w:rPr>
        <w:t>https://www.un.org/securitycouncil/content/sres23962017</w:t>
      </w:r>
    </w:p>
  </w:footnote>
  <w:footnote w:id="14">
    <w:p w14:paraId="677423AA"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Article 3 of the Convention : « </w:t>
      </w:r>
      <w:r>
        <w:rPr>
          <w:rStyle w:val="AucunA"/>
        </w:rPr>
        <w:t>Each State Party shall take appropriate measures to investigate acts defined in Article 2 committed by persons or groups of persons acting without</w:t>
      </w:r>
      <w:r>
        <w:rPr>
          <w:rStyle w:val="Aucun"/>
          <w:rFonts w:ascii="Times Roman" w:hAnsi="Times Roman"/>
          <w:sz w:val="24"/>
          <w:szCs w:val="24"/>
          <w:lang w:val="fr-FR"/>
        </w:rPr>
        <w:t xml:space="preserve"> </w:t>
      </w:r>
      <w:r>
        <w:rPr>
          <w:rStyle w:val="AucunA"/>
        </w:rPr>
        <w:t>the authorization, support or acquiescence of the State and to bring those responsible to justice.</w:t>
      </w:r>
      <w:r>
        <w:rPr>
          <w:rStyle w:val="Aucun"/>
          <w:rFonts w:ascii="Times Roman" w:hAnsi="Times Roman"/>
          <w:sz w:val="24"/>
          <w:szCs w:val="24"/>
          <w:lang w:val="fr-FR"/>
        </w:rPr>
        <w:t> »</w:t>
      </w:r>
    </w:p>
  </w:footnote>
  <w:footnote w:id="15">
    <w:p w14:paraId="6D8915E9" w14:textId="77777777" w:rsidR="00D16634" w:rsidRDefault="00D16634" w:rsidP="00D16634">
      <w:pPr>
        <w:pStyle w:val="NotedebasdepageA"/>
      </w:pPr>
      <w:r>
        <w:rPr>
          <w:rStyle w:val="Aucun"/>
          <w:sz w:val="24"/>
          <w:szCs w:val="24"/>
          <w:vertAlign w:val="superscript"/>
        </w:rPr>
        <w:footnoteRef/>
      </w:r>
      <w:r>
        <w:rPr>
          <w:rStyle w:val="AucunA"/>
        </w:rPr>
        <w:t xml:space="preserve"> </w:t>
      </w:r>
      <w:r>
        <w:rPr>
          <w:rStyle w:val="Aucun"/>
          <w:lang w:val="fr-FR"/>
        </w:rPr>
        <w:t xml:space="preserve">Article 24 of the Convention : « 2. </w:t>
      </w:r>
      <w:r>
        <w:rPr>
          <w:rStyle w:val="AucunA"/>
        </w:rPr>
        <w:t>Each victim has the right to know the truth regarding the circumstances of the enforced disappearance, the progress and results of the investigation and the fate of the disappeared person. Each State Party shall take appropriate measures in this regard.</w:t>
      </w:r>
      <w:r>
        <w:rPr>
          <w:rStyle w:val="Aucun"/>
          <w:lang w:val="fr-FR"/>
        </w:rPr>
        <w:t xml:space="preserve"> </w:t>
      </w:r>
    </w:p>
    <w:p w14:paraId="3F1A6DBA" w14:textId="77777777" w:rsidR="00D16634" w:rsidRDefault="00D16634" w:rsidP="00D16634">
      <w:pPr>
        <w:pStyle w:val="NotedebasdepageA"/>
      </w:pPr>
      <w:r>
        <w:rPr>
          <w:rStyle w:val="AucunA"/>
        </w:rPr>
        <w:t>3. Each State Party shall take all appropriate measures to search for, locate and release disappeared persons and, in the event of death, to locate, respect and return their remains.</w:t>
      </w:r>
      <w:r>
        <w:rPr>
          <w:rStyle w:val="Aucun"/>
          <w:lang w:val="fr-FR"/>
        </w:rPr>
        <w:t xml:space="preserve"> </w:t>
      </w:r>
    </w:p>
    <w:p w14:paraId="73F04991" w14:textId="77777777" w:rsidR="00D16634" w:rsidRDefault="00D16634" w:rsidP="00D16634">
      <w:pPr>
        <w:pStyle w:val="NotedebasdepageA"/>
      </w:pPr>
      <w:r>
        <w:rPr>
          <w:rStyle w:val="AucunA"/>
        </w:rPr>
        <w:t>4. Each State Party shall ensure in its legal system that the victims of enforced disappearance have the right t</w:t>
      </w:r>
      <w:r>
        <w:rPr>
          <w:rStyle w:val="Aucun"/>
          <w:lang w:val="fr-FR"/>
        </w:rPr>
        <w:t>o</w:t>
      </w:r>
      <w:r>
        <w:rPr>
          <w:rStyle w:val="AucunA"/>
        </w:rPr>
        <w:t xml:space="preserve"> obtain reparation and prompt, fair and adequate compensation.</w:t>
      </w:r>
      <w:r>
        <w:rPr>
          <w:rStyle w:val="Aucun"/>
          <w:lang w:val="fr-FR"/>
        </w:rPr>
        <w:t xml:space="preserve"> </w:t>
      </w:r>
    </w:p>
    <w:p w14:paraId="64432713" w14:textId="77777777" w:rsidR="00D16634" w:rsidRDefault="00D16634" w:rsidP="00D16634">
      <w:pPr>
        <w:pStyle w:val="NotedebasdepageA"/>
      </w:pPr>
      <w:r>
        <w:rPr>
          <w:rStyle w:val="Aucun"/>
          <w:rFonts w:eastAsia="Arial Unicode MS" w:cs="Arial Unicode MS"/>
        </w:rPr>
        <w:t>5. The right to obtain reparation referred to in paragraph 4 of this Article covers material and moral damages and, where appropriate, other forms of reparation such as:</w:t>
      </w:r>
    </w:p>
    <w:p w14:paraId="7F3EF737" w14:textId="77777777" w:rsidR="00D16634" w:rsidRDefault="00D16634" w:rsidP="00D16634">
      <w:pPr>
        <w:pStyle w:val="NotedebasdepageA"/>
      </w:pPr>
      <w:r>
        <w:rPr>
          <w:rStyle w:val="AucunA"/>
        </w:rPr>
        <w:tab/>
      </w:r>
      <w:r>
        <w:rPr>
          <w:rStyle w:val="Aucun"/>
          <w:lang w:val="fr-FR"/>
        </w:rPr>
        <w:t xml:space="preserve">(a) </w:t>
      </w:r>
      <w:proofErr w:type="gramStart"/>
      <w:r>
        <w:rPr>
          <w:rStyle w:val="Aucun"/>
          <w:lang w:val="fr-FR"/>
        </w:rPr>
        <w:t>Restitution;</w:t>
      </w:r>
      <w:proofErr w:type="gramEnd"/>
    </w:p>
    <w:p w14:paraId="2D9EE7BA" w14:textId="77777777" w:rsidR="00D16634" w:rsidRDefault="00D16634" w:rsidP="00D16634">
      <w:pPr>
        <w:pStyle w:val="NotedebasdepageA"/>
      </w:pPr>
      <w:r>
        <w:rPr>
          <w:rStyle w:val="Aucun"/>
          <w:rFonts w:eastAsia="Arial Unicode MS" w:cs="Arial Unicode MS"/>
        </w:rPr>
        <w:tab/>
        <w:t xml:space="preserve">b) </w:t>
      </w:r>
      <w:proofErr w:type="gramStart"/>
      <w:r>
        <w:rPr>
          <w:rStyle w:val="Aucun"/>
          <w:rFonts w:eastAsia="Arial Unicode MS" w:cs="Arial Unicode MS"/>
        </w:rPr>
        <w:t>Rehabilitation;</w:t>
      </w:r>
      <w:proofErr w:type="gramEnd"/>
    </w:p>
    <w:p w14:paraId="442C9007" w14:textId="77777777" w:rsidR="00D16634" w:rsidRDefault="00D16634" w:rsidP="00D16634">
      <w:pPr>
        <w:pStyle w:val="NotedebasdepageA"/>
      </w:pPr>
      <w:r>
        <w:rPr>
          <w:rStyle w:val="Aucun"/>
          <w:rFonts w:eastAsia="Arial Unicode MS" w:cs="Arial Unicode MS"/>
        </w:rPr>
        <w:tab/>
        <w:t xml:space="preserve">(c) Satisfaction, including restoration of dignity and </w:t>
      </w:r>
      <w:proofErr w:type="gramStart"/>
      <w:r>
        <w:rPr>
          <w:rStyle w:val="Aucun"/>
          <w:rFonts w:eastAsia="Arial Unicode MS" w:cs="Arial Unicode MS"/>
        </w:rPr>
        <w:t>reputation;</w:t>
      </w:r>
      <w:proofErr w:type="gramEnd"/>
    </w:p>
    <w:p w14:paraId="7C9E44FD" w14:textId="77777777" w:rsidR="00D16634" w:rsidRDefault="00D16634" w:rsidP="00D16634">
      <w:pPr>
        <w:pStyle w:val="NotedebasdepageA"/>
      </w:pPr>
      <w:r>
        <w:rPr>
          <w:rStyle w:val="AucunA"/>
        </w:rPr>
        <w:tab/>
        <w:t>(</w:t>
      </w:r>
      <w:r>
        <w:rPr>
          <w:rStyle w:val="Aucun"/>
          <w:lang w:val="fr-FR"/>
        </w:rPr>
        <w:t>d)</w:t>
      </w:r>
      <w:r>
        <w:rPr>
          <w:rStyle w:val="AucunA"/>
        </w:rPr>
        <w:t xml:space="preserve"> Guarantees of non-repetition.</w:t>
      </w:r>
    </w:p>
    <w:p w14:paraId="5EC9A60E" w14:textId="77777777" w:rsidR="00D16634" w:rsidRDefault="00D16634" w:rsidP="00D16634">
      <w:pPr>
        <w:pStyle w:val="NotedebasdepageA"/>
      </w:pPr>
      <w:r>
        <w:rPr>
          <w:rStyle w:val="AucunA"/>
        </w:rPr>
        <w:t xml:space="preserve">6. Without prejudice to the obligation to continue the investigation until the fate of the disappeared person has been clarified, each State Party shall take the appropriate steps </w:t>
      </w:r>
      <w:proofErr w:type="gramStart"/>
      <w:r>
        <w:rPr>
          <w:rStyle w:val="AucunA"/>
        </w:rPr>
        <w:t>with regard to</w:t>
      </w:r>
      <w:proofErr w:type="gramEnd"/>
      <w:r>
        <w:rPr>
          <w:rStyle w:val="AucunA"/>
        </w:rPr>
        <w:t xml:space="preserve"> the legal situation of disappeared</w:t>
      </w:r>
      <w:r>
        <w:rPr>
          <w:rStyle w:val="Aucun"/>
          <w:lang w:val="fr-FR"/>
        </w:rPr>
        <w:t xml:space="preserve"> </w:t>
      </w:r>
      <w:proofErr w:type="spellStart"/>
      <w:r>
        <w:rPr>
          <w:rStyle w:val="Aucun"/>
          <w:lang w:val="fr-FR"/>
        </w:rPr>
        <w:t>persons</w:t>
      </w:r>
      <w:proofErr w:type="spellEnd"/>
      <w:r>
        <w:rPr>
          <w:rStyle w:val="Aucun"/>
          <w:lang w:val="fr-FR"/>
        </w:rPr>
        <w:t xml:space="preserve"> </w:t>
      </w:r>
      <w:r>
        <w:rPr>
          <w:rStyle w:val="AucunA"/>
        </w:rPr>
        <w:t>whose fate has not been clarified and that of their relatives, in fields such as social welfare, financial matters, family law and property rights.</w:t>
      </w:r>
      <w:r>
        <w:rPr>
          <w:rStyle w:val="Aucun"/>
          <w:lang w:val="fr-FR"/>
        </w:rPr>
        <w:t xml:space="preserve"> </w:t>
      </w:r>
    </w:p>
    <w:p w14:paraId="78F44292" w14:textId="77777777" w:rsidR="00D16634" w:rsidRDefault="00D16634" w:rsidP="00D16634">
      <w:pPr>
        <w:pStyle w:val="NotedebasdepageA"/>
      </w:pPr>
      <w:r>
        <w:rPr>
          <w:rStyle w:val="AucunA"/>
        </w:rPr>
        <w:t>7. Each State Party shall guarantee the right to form and participate freely in organizations and associations concerned with attempting to establish the circumstances of enforced disappearances and the fate of disappeared persons, and to assist victims of enforced disappearance.</w:t>
      </w:r>
      <w:r>
        <w:rPr>
          <w:rStyle w:val="Aucun"/>
          <w:lang w:val="fr-FR"/>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404B" w14:textId="1B120AC3" w:rsidR="00093FE9" w:rsidRDefault="00C166FE">
    <w:pPr>
      <w:pStyle w:val="Header"/>
    </w:pPr>
    <w:r>
      <w:rPr>
        <w:noProof/>
      </w:rPr>
      <mc:AlternateContent>
        <mc:Choice Requires="wps">
          <w:drawing>
            <wp:anchor distT="45720" distB="45720" distL="114300" distR="114300" simplePos="0" relativeHeight="251660288" behindDoc="0" locked="0" layoutInCell="1" allowOverlap="1" wp14:anchorId="6C547C77" wp14:editId="41B86159">
              <wp:simplePos x="0" y="0"/>
              <wp:positionH relativeFrom="margin">
                <wp:posOffset>-428625</wp:posOffset>
              </wp:positionH>
              <wp:positionV relativeFrom="paragraph">
                <wp:posOffset>-38100</wp:posOffset>
              </wp:positionV>
              <wp:extent cx="441960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42900"/>
                      </a:xfrm>
                      <a:prstGeom prst="rect">
                        <a:avLst/>
                      </a:prstGeom>
                    </wps:spPr>
                    <wps:txbx>
                      <w:txbxContent>
                        <w:p w14:paraId="69B50095" w14:textId="755D339F" w:rsidR="00093FE9" w:rsidRPr="00C4537D" w:rsidRDefault="00C166FE" w:rsidP="001450F9">
                          <w:pPr>
                            <w:rPr>
                              <w:rFonts w:cstheme="minorHAnsi"/>
                              <w:i/>
                              <w:iCs/>
                              <w:color w:val="175873"/>
                              <w:sz w:val="20"/>
                              <w:szCs w:val="20"/>
                              <w:rtl/>
                              <w:lang w:bidi="ar-SY"/>
                            </w:rPr>
                          </w:pPr>
                          <w:r w:rsidRPr="00C166FE">
                            <w:rPr>
                              <w:rFonts w:cstheme="minorHAnsi"/>
                              <w:i/>
                              <w:iCs/>
                              <w:color w:val="175873"/>
                              <w:sz w:val="20"/>
                              <w:szCs w:val="20"/>
                              <w:lang w:bidi="ar-SY"/>
                            </w:rPr>
                            <w:t>Inputs on CED draft Statement on Enforced disappearances and non-State 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547C77" id="_x0000_t202" coordsize="21600,21600" o:spt="202" path="m,l,21600r21600,l21600,xe">
              <v:stroke joinstyle="miter"/>
              <v:path gradientshapeok="t" o:connecttype="rect"/>
            </v:shapetype>
            <v:shape id="Text Box 2" o:spid="_x0000_s1026" type="#_x0000_t202" style="position:absolute;margin-left:-33.75pt;margin-top:-3pt;width:348pt;height:2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" filled="f" stroked="f">
              <v:textbox>
                <w:txbxContent>
                  <w:p w14:paraId="69B50095" w14:textId="755D339F" w:rsidR="00093FE9" w:rsidRPr="00C4537D" w:rsidRDefault="00C166FE" w:rsidP="001450F9">
                    <w:pPr>
                      <w:rPr>
                        <w:rFonts w:cstheme="minorHAnsi"/>
                        <w:i/>
                        <w:iCs/>
                        <w:color w:val="175873"/>
                        <w:sz w:val="20"/>
                        <w:szCs w:val="20"/>
                        <w:rtl/>
                        <w:lang w:bidi="ar-SY"/>
                      </w:rPr>
                    </w:pPr>
                    <w:r w:rsidRPr="00C166FE">
                      <w:rPr>
                        <w:rFonts w:cstheme="minorHAnsi"/>
                        <w:i/>
                        <w:iCs/>
                        <w:color w:val="175873"/>
                        <w:sz w:val="20"/>
                        <w:szCs w:val="20"/>
                        <w:lang w:bidi="ar-SY"/>
                      </w:rPr>
                      <w:t>Inputs on CED draft Statement on Enforced disappearances and non-State actors</w:t>
                    </w:r>
                  </w:p>
                </w:txbxContent>
              </v:textbox>
              <w10:wrap type="square" anchorx="margin"/>
            </v:shape>
          </w:pict>
        </mc:Fallback>
      </mc:AlternateContent>
    </w:r>
    <w:r w:rsidR="00B838BC">
      <w:rPr>
        <w:noProof/>
      </w:rPr>
      <w:drawing>
        <wp:anchor distT="0" distB="0" distL="114300" distR="114300" simplePos="0" relativeHeight="251663360" behindDoc="1" locked="0" layoutInCell="1" allowOverlap="1" wp14:anchorId="7AACB8A7" wp14:editId="1793790E">
          <wp:simplePos x="0" y="0"/>
          <wp:positionH relativeFrom="page">
            <wp:posOffset>-133350</wp:posOffset>
          </wp:positionH>
          <wp:positionV relativeFrom="paragraph">
            <wp:posOffset>-457199</wp:posOffset>
          </wp:positionV>
          <wp:extent cx="7685405"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00145" cy="10306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9F0033"/>
    <w:multiLevelType w:val="hybridMultilevel"/>
    <w:tmpl w:val="C50ABB38"/>
    <w:numStyleLink w:val="Nombres"/>
  </w:abstractNum>
  <w:abstractNum w:abstractNumId="1" w15:restartNumberingAfterBreak="0">
    <w:nsid w:val="5CB971BB"/>
    <w:multiLevelType w:val="hybridMultilevel"/>
    <w:tmpl w:val="C50ABB38"/>
    <w:styleLink w:val="Nombres"/>
    <w:lvl w:ilvl="0" w:tplc="0C660768">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59889B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94BC6FF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7BD63CA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77A431A">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CEAA0FA">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40A0B1AC">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50822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0EE26D0">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F3D197E"/>
    <w:multiLevelType w:val="hybridMultilevel"/>
    <w:tmpl w:val="8F32E2E8"/>
    <w:lvl w:ilvl="0" w:tplc="937EEFA4">
      <w:start w:val="1"/>
      <w:numFmt w:val="upperLetter"/>
      <w:lvlText w:val="%1."/>
      <w:lvlJc w:val="left"/>
      <w:pPr>
        <w:ind w:left="720" w:hanging="360"/>
      </w:pPr>
      <w:rPr>
        <w:rFonts w:hint="default"/>
        <w:b/>
        <w:bCs w:val="0"/>
        <w:color w:val="17587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7083010">
    <w:abstractNumId w:val="2"/>
  </w:num>
  <w:num w:numId="2" w16cid:durableId="543256831">
    <w:abstractNumId w:val="1"/>
  </w:num>
  <w:num w:numId="3" w16cid:durableId="1023630006">
    <w:abstractNumId w:val="0"/>
  </w:num>
  <w:num w:numId="4" w16cid:durableId="277643168">
    <w:abstractNumId w:val="0"/>
    <w:lvlOverride w:ilvl="0">
      <w:lvl w:ilvl="0" w:tplc="6AC45C8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9F83DE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268560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908643C">
        <w:start w:val="1"/>
        <w:numFmt w:val="decimal"/>
        <w:lvlText w:val="%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4E0256">
        <w:start w:val="1"/>
        <w:numFmt w:val="decimal"/>
        <w:lvlText w:val="%5."/>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3C6A972">
        <w:start w:val="1"/>
        <w:numFmt w:val="decimal"/>
        <w:lvlText w:val="%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6400856">
        <w:start w:val="1"/>
        <w:numFmt w:val="decimal"/>
        <w:lvlText w:val="%7."/>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BCB508">
        <w:start w:val="1"/>
        <w:numFmt w:val="decimal"/>
        <w:lvlText w:val="%8."/>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0941696">
        <w:start w:val="1"/>
        <w:numFmt w:val="decimal"/>
        <w:lvlText w:val="%9."/>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5E7D"/>
    <w:rsid w:val="000311BD"/>
    <w:rsid w:val="00050B8C"/>
    <w:rsid w:val="00054F6F"/>
    <w:rsid w:val="000605EB"/>
    <w:rsid w:val="00093FE9"/>
    <w:rsid w:val="000B3A97"/>
    <w:rsid w:val="00102363"/>
    <w:rsid w:val="001450F9"/>
    <w:rsid w:val="00163CC0"/>
    <w:rsid w:val="00177174"/>
    <w:rsid w:val="001E649E"/>
    <w:rsid w:val="001F00FA"/>
    <w:rsid w:val="001F11DD"/>
    <w:rsid w:val="001F4D0F"/>
    <w:rsid w:val="00204936"/>
    <w:rsid w:val="0023155F"/>
    <w:rsid w:val="0024596E"/>
    <w:rsid w:val="002D0251"/>
    <w:rsid w:val="002E33A3"/>
    <w:rsid w:val="002F54B0"/>
    <w:rsid w:val="00316050"/>
    <w:rsid w:val="00370540"/>
    <w:rsid w:val="00382324"/>
    <w:rsid w:val="00395077"/>
    <w:rsid w:val="003A2C44"/>
    <w:rsid w:val="003D7E79"/>
    <w:rsid w:val="003E39AB"/>
    <w:rsid w:val="00465791"/>
    <w:rsid w:val="004A0C7F"/>
    <w:rsid w:val="004D1080"/>
    <w:rsid w:val="004E0034"/>
    <w:rsid w:val="004E5C0C"/>
    <w:rsid w:val="004F33CA"/>
    <w:rsid w:val="004F6134"/>
    <w:rsid w:val="005164AF"/>
    <w:rsid w:val="00523E5F"/>
    <w:rsid w:val="005D68FA"/>
    <w:rsid w:val="005E2256"/>
    <w:rsid w:val="00627D1E"/>
    <w:rsid w:val="0063785F"/>
    <w:rsid w:val="00641C3A"/>
    <w:rsid w:val="006624A8"/>
    <w:rsid w:val="00701E8A"/>
    <w:rsid w:val="00733FFB"/>
    <w:rsid w:val="00763070"/>
    <w:rsid w:val="007B3AD2"/>
    <w:rsid w:val="007B7EEE"/>
    <w:rsid w:val="008410D2"/>
    <w:rsid w:val="00855D7B"/>
    <w:rsid w:val="00897DEC"/>
    <w:rsid w:val="008A1713"/>
    <w:rsid w:val="008C1E95"/>
    <w:rsid w:val="008D2DDC"/>
    <w:rsid w:val="008E7093"/>
    <w:rsid w:val="0090262D"/>
    <w:rsid w:val="00931827"/>
    <w:rsid w:val="00935CA0"/>
    <w:rsid w:val="00965E7D"/>
    <w:rsid w:val="009A656E"/>
    <w:rsid w:val="009E541F"/>
    <w:rsid w:val="009F54CF"/>
    <w:rsid w:val="00A26946"/>
    <w:rsid w:val="00A80AB4"/>
    <w:rsid w:val="00A86DBE"/>
    <w:rsid w:val="00A875E9"/>
    <w:rsid w:val="00AC0AE8"/>
    <w:rsid w:val="00AC5ADF"/>
    <w:rsid w:val="00AF5C1B"/>
    <w:rsid w:val="00B158C5"/>
    <w:rsid w:val="00B773EE"/>
    <w:rsid w:val="00B838BC"/>
    <w:rsid w:val="00BD3BFB"/>
    <w:rsid w:val="00BE31F8"/>
    <w:rsid w:val="00BF2430"/>
    <w:rsid w:val="00C166FE"/>
    <w:rsid w:val="00C263D5"/>
    <w:rsid w:val="00C35859"/>
    <w:rsid w:val="00C36924"/>
    <w:rsid w:val="00C375EA"/>
    <w:rsid w:val="00C4537D"/>
    <w:rsid w:val="00C60DFD"/>
    <w:rsid w:val="00C74EB5"/>
    <w:rsid w:val="00CE62E0"/>
    <w:rsid w:val="00D16634"/>
    <w:rsid w:val="00D4719B"/>
    <w:rsid w:val="00D56767"/>
    <w:rsid w:val="00D827B5"/>
    <w:rsid w:val="00DB68C3"/>
    <w:rsid w:val="00E04BD4"/>
    <w:rsid w:val="00EC427D"/>
    <w:rsid w:val="00EC4B1E"/>
    <w:rsid w:val="00ED5259"/>
    <w:rsid w:val="00F53F41"/>
    <w:rsid w:val="00F97318"/>
    <w:rsid w:val="00FA7BC5"/>
    <w:rsid w:val="00FC3EC5"/>
    <w:rsid w:val="00FC4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F4E04"/>
  <w15:docId w15:val="{4F702615-F704-4966-A557-B10B83265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F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FE9"/>
  </w:style>
  <w:style w:type="paragraph" w:styleId="Footer">
    <w:name w:val="footer"/>
    <w:basedOn w:val="Normal"/>
    <w:link w:val="FooterChar"/>
    <w:uiPriority w:val="99"/>
    <w:unhideWhenUsed/>
    <w:rsid w:val="00093F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FE9"/>
  </w:style>
  <w:style w:type="character" w:styleId="Strong">
    <w:name w:val="Strong"/>
    <w:basedOn w:val="DefaultParagraphFont"/>
    <w:uiPriority w:val="22"/>
    <w:qFormat/>
    <w:rsid w:val="00897DEC"/>
    <w:rPr>
      <w:b/>
      <w:bCs/>
    </w:rPr>
  </w:style>
  <w:style w:type="character" w:styleId="SubtleEmphasis">
    <w:name w:val="Subtle Emphasis"/>
    <w:basedOn w:val="DefaultParagraphFont"/>
    <w:uiPriority w:val="19"/>
    <w:qFormat/>
    <w:rsid w:val="00897DEC"/>
    <w:rPr>
      <w:i/>
      <w:iCs/>
      <w:color w:val="404040" w:themeColor="text1" w:themeTint="BF"/>
    </w:rPr>
  </w:style>
  <w:style w:type="paragraph" w:styleId="ListParagraph">
    <w:name w:val="List Paragraph"/>
    <w:basedOn w:val="Normal"/>
    <w:uiPriority w:val="34"/>
    <w:qFormat/>
    <w:rsid w:val="00701E8A"/>
    <w:pPr>
      <w:ind w:left="720"/>
      <w:contextualSpacing/>
    </w:pPr>
  </w:style>
  <w:style w:type="paragraph" w:styleId="FootnoteText">
    <w:name w:val="footnote text"/>
    <w:basedOn w:val="Normal"/>
    <w:link w:val="FootnoteTextChar"/>
    <w:uiPriority w:val="99"/>
    <w:semiHidden/>
    <w:unhideWhenUsed/>
    <w:rsid w:val="00701E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1E8A"/>
    <w:rPr>
      <w:sz w:val="20"/>
      <w:szCs w:val="20"/>
    </w:rPr>
  </w:style>
  <w:style w:type="character" w:styleId="FootnoteReference">
    <w:name w:val="footnote reference"/>
    <w:basedOn w:val="DefaultParagraphFont"/>
    <w:uiPriority w:val="99"/>
    <w:semiHidden/>
    <w:unhideWhenUsed/>
    <w:rsid w:val="00701E8A"/>
    <w:rPr>
      <w:vertAlign w:val="superscript"/>
    </w:rPr>
  </w:style>
  <w:style w:type="character" w:styleId="Hyperlink">
    <w:name w:val="Hyperlink"/>
    <w:basedOn w:val="DefaultParagraphFont"/>
    <w:uiPriority w:val="99"/>
    <w:unhideWhenUsed/>
    <w:rsid w:val="00701E8A"/>
    <w:rPr>
      <w:color w:val="0563C1" w:themeColor="hyperlink"/>
      <w:u w:val="single"/>
    </w:rPr>
  </w:style>
  <w:style w:type="character" w:customStyle="1" w:styleId="UnresolvedMention1">
    <w:name w:val="Unresolved Mention1"/>
    <w:basedOn w:val="DefaultParagraphFont"/>
    <w:uiPriority w:val="99"/>
    <w:semiHidden/>
    <w:unhideWhenUsed/>
    <w:rsid w:val="00701E8A"/>
    <w:rPr>
      <w:color w:val="605E5C"/>
      <w:shd w:val="clear" w:color="auto" w:fill="E1DFDD"/>
    </w:rPr>
  </w:style>
  <w:style w:type="paragraph" w:styleId="BalloonText">
    <w:name w:val="Balloon Text"/>
    <w:basedOn w:val="Normal"/>
    <w:link w:val="BalloonTextChar"/>
    <w:uiPriority w:val="99"/>
    <w:semiHidden/>
    <w:unhideWhenUsed/>
    <w:rsid w:val="00BF2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430"/>
    <w:rPr>
      <w:rFonts w:ascii="Segoe UI" w:hAnsi="Segoe UI" w:cs="Segoe UI"/>
      <w:sz w:val="18"/>
      <w:szCs w:val="18"/>
    </w:rPr>
  </w:style>
  <w:style w:type="paragraph" w:customStyle="1" w:styleId="CorpsA">
    <w:name w:val="Corps A"/>
    <w:rsid w:val="00D1663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Aucun">
    <w:name w:val="Aucun"/>
    <w:rsid w:val="00D16634"/>
  </w:style>
  <w:style w:type="paragraph" w:customStyle="1" w:styleId="NotedebasdepageA">
    <w:name w:val="Note de bas de page A"/>
    <w:rsid w:val="00D1663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14:textOutline w14:w="12700" w14:cap="flat" w14:cmpd="sng" w14:algn="ctr">
        <w14:noFill/>
        <w14:prstDash w14:val="solid"/>
        <w14:miter w14:lim="400000"/>
      </w14:textOutline>
    </w:rPr>
  </w:style>
  <w:style w:type="character" w:customStyle="1" w:styleId="AucunA">
    <w:name w:val="Aucun A"/>
    <w:basedOn w:val="Aucun"/>
    <w:rsid w:val="00D16634"/>
    <w:rPr>
      <w:lang w:val="en-US"/>
    </w:rPr>
  </w:style>
  <w:style w:type="character" w:customStyle="1" w:styleId="Hyperlink0">
    <w:name w:val="Hyperlink.0"/>
    <w:basedOn w:val="Aucun"/>
    <w:rsid w:val="00D16634"/>
    <w:rPr>
      <w:u w:val="single"/>
      <w:lang w:val="en-US"/>
    </w:rPr>
  </w:style>
  <w:style w:type="numbering" w:customStyle="1" w:styleId="Nombres">
    <w:name w:val="Nombres"/>
    <w:rsid w:val="00D16634"/>
    <w:pPr>
      <w:numPr>
        <w:numId w:val="2"/>
      </w:numPr>
    </w:pPr>
  </w:style>
  <w:style w:type="character" w:styleId="UnresolvedMention">
    <w:name w:val="Unresolved Mention"/>
    <w:basedOn w:val="DefaultParagraphFont"/>
    <w:uiPriority w:val="99"/>
    <w:semiHidden/>
    <w:unhideWhenUsed/>
    <w:rsid w:val="00627D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607530">
      <w:bodyDiv w:val="1"/>
      <w:marLeft w:val="0"/>
      <w:marRight w:val="0"/>
      <w:marTop w:val="0"/>
      <w:marBottom w:val="0"/>
      <w:divBdr>
        <w:top w:val="none" w:sz="0" w:space="0" w:color="auto"/>
        <w:left w:val="none" w:sz="0" w:space="0" w:color="auto"/>
        <w:bottom w:val="none" w:sz="0" w:space="0" w:color="auto"/>
        <w:right w:val="none" w:sz="0" w:space="0" w:color="auto"/>
      </w:divBdr>
    </w:div>
    <w:div w:id="1247035214">
      <w:bodyDiv w:val="1"/>
      <w:marLeft w:val="0"/>
      <w:marRight w:val="0"/>
      <w:marTop w:val="0"/>
      <w:marBottom w:val="0"/>
      <w:divBdr>
        <w:top w:val="none" w:sz="0" w:space="0" w:color="auto"/>
        <w:left w:val="none" w:sz="0" w:space="0" w:color="auto"/>
        <w:bottom w:val="none" w:sz="0" w:space="0" w:color="auto"/>
        <w:right w:val="none" w:sz="0" w:space="0" w:color="auto"/>
      </w:divBdr>
    </w:div>
    <w:div w:id="1935823909">
      <w:bodyDiv w:val="1"/>
      <w:marLeft w:val="0"/>
      <w:marRight w:val="0"/>
      <w:marTop w:val="0"/>
      <w:marBottom w:val="0"/>
      <w:divBdr>
        <w:top w:val="none" w:sz="0" w:space="0" w:color="auto"/>
        <w:left w:val="none" w:sz="0" w:space="0" w:color="auto"/>
        <w:bottom w:val="none" w:sz="0" w:space="0" w:color="auto"/>
        <w:right w:val="none" w:sz="0" w:space="0" w:color="auto"/>
      </w:divBdr>
    </w:div>
    <w:div w:id="202840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tj-sy.org/e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3" Type="http://schemas.openxmlformats.org/officeDocument/2006/relationships/hyperlink" Target="https://stj-sy.org/en/afrin-311-arbitrary-arrests-in-the-first-half-of-2022/" TargetMode="External"/><Relationship Id="rId2" Type="http://schemas.openxmlformats.org/officeDocument/2006/relationships/hyperlink" Target="https://stj-sy.org/en/syria-584-persons-arrested-in-afrin-over-2021/" TargetMode="External"/><Relationship Id="rId1" Type="http://schemas.openxmlformats.org/officeDocument/2006/relationships/hyperlink" Target="https://stj-sy.org/en/northeast-syria-more-than-120-people-disappeared-following-operation-peace-spring/" TargetMode="External"/><Relationship Id="rId6" Type="http://schemas.openxmlformats.org/officeDocument/2006/relationships/hyperlink" Target="https://www.un.org/en/un75/new-era-conflict-and-violence" TargetMode="External"/><Relationship Id="rId5" Type="http://schemas.openxmlformats.org/officeDocument/2006/relationships/hyperlink" Target="https://stj-sy.org/en/mercenarism-in-syria-predatory-recruitment-and-the-enrichment-of-criminal-militias/" TargetMode="External"/><Relationship Id="rId4" Type="http://schemas.openxmlformats.org/officeDocument/2006/relationships/hyperlink" Target="https://stj-sy.org/en/russias-and-turkeys-recruitment-of-syrian-mercenaries-to-libya-two-faces-of-the-same-colonialist-co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73BD6-C054-4F32-AB56-9D1D3848C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Pages>
  <Words>853</Words>
  <Characters>4863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nenos</dc:creator>
  <cp:keywords/>
  <dc:description/>
  <cp:lastModifiedBy>Bassam Alahmad</cp:lastModifiedBy>
  <cp:revision>53</cp:revision>
  <cp:lastPrinted>2022-08-29T12:26:00Z</cp:lastPrinted>
  <dcterms:created xsi:type="dcterms:W3CDTF">2018-07-12T14:50:00Z</dcterms:created>
  <dcterms:modified xsi:type="dcterms:W3CDTF">2022-08-29T12:26:00Z</dcterms:modified>
</cp:coreProperties>
</file>