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0215" w14:textId="77777777" w:rsidR="009235D7" w:rsidRPr="009235D7" w:rsidRDefault="009235D7" w:rsidP="009235D7">
      <w:pPr>
        <w:pStyle w:val="NormalWeb"/>
        <w:shd w:val="clear" w:color="auto" w:fill="FFFFFF"/>
        <w:spacing w:before="0" w:beforeAutospacing="0" w:after="150" w:afterAutospacing="0"/>
        <w:jc w:val="both"/>
        <w:rPr>
          <w:rFonts w:ascii="Montserrat" w:hAnsi="Montserrat"/>
          <w:b/>
          <w:bCs/>
          <w:color w:val="000000"/>
          <w:sz w:val="22"/>
          <w:szCs w:val="22"/>
        </w:rPr>
      </w:pPr>
    </w:p>
    <w:p w14:paraId="7E7BFF5D" w14:textId="4F89B591" w:rsidR="009235D7" w:rsidRPr="00D338D0" w:rsidRDefault="006849F3" w:rsidP="00D338D0">
      <w:pPr>
        <w:pStyle w:val="NormalWeb"/>
        <w:shd w:val="clear" w:color="auto" w:fill="AB2523"/>
        <w:spacing w:before="0" w:beforeAutospacing="0" w:after="0" w:afterAutospacing="0"/>
        <w:jc w:val="center"/>
        <w:rPr>
          <w:rFonts w:ascii="Montserrat" w:hAnsi="Montserrat"/>
          <w:b/>
          <w:bCs/>
          <w:color w:val="FFFFFF" w:themeColor="background1"/>
          <w:sz w:val="22"/>
          <w:szCs w:val="22"/>
        </w:rPr>
      </w:pPr>
      <w:r>
        <w:rPr>
          <w:rFonts w:ascii="Montserrat" w:hAnsi="Montserrat"/>
          <w:b/>
          <w:bCs/>
          <w:color w:val="FFFFFF" w:themeColor="background1"/>
          <w:sz w:val="22"/>
          <w:szCs w:val="22"/>
        </w:rPr>
        <w:t>Contribución</w:t>
      </w:r>
      <w:r w:rsidR="009235D7" w:rsidRPr="00150AE3">
        <w:rPr>
          <w:rFonts w:ascii="Montserrat" w:hAnsi="Montserrat"/>
          <w:b/>
          <w:bCs/>
          <w:color w:val="FFFFFF" w:themeColor="background1"/>
          <w:sz w:val="22"/>
          <w:szCs w:val="22"/>
        </w:rPr>
        <w:t xml:space="preserve"> de </w:t>
      </w:r>
      <w:r>
        <w:rPr>
          <w:rFonts w:ascii="Montserrat" w:hAnsi="Montserrat"/>
          <w:b/>
          <w:bCs/>
          <w:color w:val="FFFFFF" w:themeColor="background1"/>
          <w:sz w:val="22"/>
          <w:szCs w:val="22"/>
        </w:rPr>
        <w:t>México al</w:t>
      </w:r>
      <w:r w:rsidR="00D338D0">
        <w:rPr>
          <w:rFonts w:ascii="Montserrat" w:hAnsi="Montserrat"/>
          <w:b/>
          <w:bCs/>
          <w:color w:val="FFFFFF" w:themeColor="background1"/>
          <w:sz w:val="22"/>
          <w:szCs w:val="22"/>
        </w:rPr>
        <w:t xml:space="preserve"> proyecto de Declaración sobre los actores no estatale</w:t>
      </w:r>
      <w:r w:rsidR="00C0441E">
        <w:rPr>
          <w:rFonts w:ascii="Montserrat" w:hAnsi="Montserrat"/>
          <w:b/>
          <w:bCs/>
          <w:color w:val="FFFFFF" w:themeColor="background1"/>
          <w:sz w:val="22"/>
          <w:szCs w:val="22"/>
        </w:rPr>
        <w:t>s y las desapariciones forzadas</w:t>
      </w:r>
    </w:p>
    <w:p w14:paraId="7600977B" w14:textId="77777777" w:rsidR="006849F3" w:rsidRDefault="006849F3" w:rsidP="00372697">
      <w:pPr>
        <w:tabs>
          <w:tab w:val="num" w:pos="0"/>
        </w:tabs>
        <w:jc w:val="both"/>
        <w:rPr>
          <w:rFonts w:ascii="Montserrat" w:eastAsia="Arial Narrow" w:hAnsi="Montserrat" w:cs="Times New Roman"/>
          <w:b/>
          <w:bCs/>
        </w:rPr>
      </w:pPr>
    </w:p>
    <w:p w14:paraId="1ED3A7DD" w14:textId="1D87FE73" w:rsidR="00D57B40" w:rsidRDefault="0047393B" w:rsidP="00D229F2">
      <w:pPr>
        <w:jc w:val="both"/>
        <w:rPr>
          <w:rFonts w:ascii="Montserrat" w:hAnsi="Montserrat"/>
          <w:color w:val="000000"/>
        </w:rPr>
      </w:pPr>
      <w:r>
        <w:rPr>
          <w:rFonts w:ascii="Montserrat" w:hAnsi="Montserrat"/>
          <w:color w:val="000000"/>
        </w:rPr>
        <w:t xml:space="preserve">Los Estados Unidos Mexicanos remiten sus observaciones al proyecto de declaración formulado por ese </w:t>
      </w:r>
      <w:r w:rsidR="00D229F2">
        <w:rPr>
          <w:rFonts w:ascii="Montserrat" w:hAnsi="Montserrat"/>
          <w:color w:val="000000"/>
        </w:rPr>
        <w:t>Comité de las Naciones Unidas contra las Desapariciones Forzadas</w:t>
      </w:r>
      <w:r>
        <w:rPr>
          <w:rFonts w:ascii="Montserrat" w:hAnsi="Montserrat"/>
          <w:color w:val="000000"/>
        </w:rPr>
        <w:t xml:space="preserve"> (“CED”) sobre actores no </w:t>
      </w:r>
      <w:r w:rsidR="00346066">
        <w:rPr>
          <w:rFonts w:ascii="Montserrat" w:hAnsi="Montserrat"/>
          <w:color w:val="000000"/>
        </w:rPr>
        <w:t>e</w:t>
      </w:r>
      <w:r>
        <w:rPr>
          <w:rFonts w:ascii="Montserrat" w:hAnsi="Montserrat"/>
          <w:color w:val="000000"/>
        </w:rPr>
        <w:t xml:space="preserve">statales y las desapariciones forzadas en el contexto de la Convención Internacional </w:t>
      </w:r>
      <w:r w:rsidR="00F1415E">
        <w:rPr>
          <w:rFonts w:ascii="Montserrat" w:hAnsi="Montserrat"/>
          <w:color w:val="000000"/>
        </w:rPr>
        <w:t>para la Protección de Todas las Personas Contra las Desapariciones Forzadas (“Convención”).</w:t>
      </w:r>
    </w:p>
    <w:p w14:paraId="05393927" w14:textId="77777777" w:rsidR="003E1DBC" w:rsidRDefault="003E1DBC" w:rsidP="00D229F2">
      <w:pPr>
        <w:jc w:val="both"/>
        <w:rPr>
          <w:rFonts w:ascii="Montserrat" w:hAnsi="Montserrat"/>
          <w:color w:val="000000"/>
        </w:rPr>
      </w:pPr>
    </w:p>
    <w:p w14:paraId="582E4C6C" w14:textId="51648D5E" w:rsidR="00D57B40" w:rsidRDefault="007F01BF" w:rsidP="00346066">
      <w:pPr>
        <w:jc w:val="both"/>
        <w:rPr>
          <w:rFonts w:ascii="Montserrat" w:hAnsi="Montserrat"/>
          <w:color w:val="000000"/>
        </w:rPr>
      </w:pPr>
      <w:r>
        <w:rPr>
          <w:rFonts w:ascii="Montserrat" w:hAnsi="Montserrat"/>
          <w:color w:val="000000"/>
        </w:rPr>
        <w:t xml:space="preserve">Las observaciones del Estado mexicano estarán divididas en dos secciones, en la primera parte se expondrán los argumentos mediante los cuales se apunta que ese Comité no cuenta con facultades para la emisión de </w:t>
      </w:r>
      <w:r w:rsidR="00D57B40">
        <w:rPr>
          <w:rFonts w:ascii="Montserrat" w:hAnsi="Montserrat"/>
          <w:color w:val="000000"/>
        </w:rPr>
        <w:t xml:space="preserve">una declaración </w:t>
      </w:r>
      <w:r>
        <w:rPr>
          <w:rFonts w:ascii="Montserrat" w:hAnsi="Montserrat"/>
          <w:color w:val="000000"/>
        </w:rPr>
        <w:t>en la que interprete a la Convención y/o defina sus alcances. En segundo lugar, el Estado presentará sus observaciones con respecto al lenguaje usado en el proyecto de resolución</w:t>
      </w:r>
      <w:r w:rsidR="00682E5F">
        <w:rPr>
          <w:rFonts w:ascii="Montserrat" w:hAnsi="Montserrat"/>
          <w:color w:val="000000"/>
        </w:rPr>
        <w:t>, sin que ello signifique que el Comité cuente con un mandato para tal efecto.</w:t>
      </w:r>
    </w:p>
    <w:p w14:paraId="2DFCF2A5" w14:textId="77777777" w:rsidR="00535358" w:rsidRDefault="00535358" w:rsidP="00346066">
      <w:pPr>
        <w:jc w:val="both"/>
        <w:rPr>
          <w:rFonts w:ascii="Montserrat" w:hAnsi="Montserrat"/>
          <w:color w:val="000000"/>
        </w:rPr>
      </w:pPr>
    </w:p>
    <w:p w14:paraId="21993DAF" w14:textId="7D1F4B96" w:rsidR="00D57B40" w:rsidRPr="00535358" w:rsidRDefault="007F01BF" w:rsidP="00346066">
      <w:pPr>
        <w:pStyle w:val="Prrafodelista"/>
        <w:numPr>
          <w:ilvl w:val="0"/>
          <w:numId w:val="26"/>
        </w:numPr>
        <w:jc w:val="both"/>
        <w:rPr>
          <w:rFonts w:ascii="Montserrat" w:hAnsi="Montserrat"/>
          <w:color w:val="000000"/>
        </w:rPr>
      </w:pPr>
      <w:r w:rsidRPr="007F01BF">
        <w:rPr>
          <w:rFonts w:ascii="Montserrat" w:hAnsi="Montserrat"/>
          <w:b/>
          <w:color w:val="000000"/>
        </w:rPr>
        <w:t xml:space="preserve">Incompetencia del CED para formula una declaración </w:t>
      </w:r>
      <w:r>
        <w:rPr>
          <w:rFonts w:ascii="Montserrat" w:hAnsi="Montserrat"/>
          <w:b/>
          <w:color w:val="000000"/>
        </w:rPr>
        <w:t>de esta naturaleza</w:t>
      </w:r>
    </w:p>
    <w:p w14:paraId="34A3AA8F" w14:textId="52317CB5" w:rsidR="00535358" w:rsidRDefault="00535358" w:rsidP="00535358">
      <w:pPr>
        <w:jc w:val="both"/>
        <w:rPr>
          <w:rFonts w:ascii="Montserrat" w:hAnsi="Montserrat"/>
          <w:color w:val="000000"/>
        </w:rPr>
      </w:pPr>
    </w:p>
    <w:p w14:paraId="3736DFDA" w14:textId="1D8869B7" w:rsidR="00547116" w:rsidRDefault="00547116" w:rsidP="00547116">
      <w:pPr>
        <w:jc w:val="both"/>
        <w:rPr>
          <w:rFonts w:ascii="Montserrat" w:hAnsi="Montserrat"/>
        </w:rPr>
      </w:pPr>
      <w:r>
        <w:rPr>
          <w:rFonts w:ascii="Montserrat" w:hAnsi="Montserrat"/>
          <w:color w:val="000000"/>
        </w:rPr>
        <w:t xml:space="preserve">En primer lugar, el Estado mexicano observa que el CED no tiene facultades convencionales para emitir una declaración que pretenda reformular </w:t>
      </w:r>
      <w:r w:rsidRPr="00F86289">
        <w:rPr>
          <w:rFonts w:ascii="Montserrat" w:hAnsi="Montserrat"/>
        </w:rPr>
        <w:t>las o</w:t>
      </w:r>
      <w:r>
        <w:rPr>
          <w:rFonts w:ascii="Montserrat" w:hAnsi="Montserrat"/>
        </w:rPr>
        <w:t xml:space="preserve">bligaciones contenidas en la Convención, lo cual </w:t>
      </w:r>
      <w:r w:rsidRPr="00F86289">
        <w:rPr>
          <w:rFonts w:ascii="Montserrat" w:hAnsi="Montserrat"/>
        </w:rPr>
        <w:t>sentaría un precedente negativo en relación con la certeza jurídica de los Estados Partes</w:t>
      </w:r>
      <w:r>
        <w:rPr>
          <w:rFonts w:ascii="Montserrat" w:hAnsi="Montserrat"/>
        </w:rPr>
        <w:t xml:space="preserve">. </w:t>
      </w:r>
    </w:p>
    <w:p w14:paraId="154C6554" w14:textId="2ED804CF" w:rsidR="00547116" w:rsidRDefault="00547116" w:rsidP="00547116">
      <w:pPr>
        <w:jc w:val="both"/>
        <w:rPr>
          <w:rFonts w:ascii="Montserrat" w:hAnsi="Montserrat"/>
        </w:rPr>
      </w:pPr>
    </w:p>
    <w:p w14:paraId="4EDD457B" w14:textId="5187D11C" w:rsidR="00547116" w:rsidRDefault="00547116" w:rsidP="005E5AD3">
      <w:pPr>
        <w:pStyle w:val="Sinespaciado"/>
        <w:jc w:val="both"/>
        <w:rPr>
          <w:rFonts w:ascii="Montserrat" w:hAnsi="Montserrat"/>
        </w:rPr>
      </w:pPr>
      <w:r>
        <w:rPr>
          <w:rFonts w:ascii="Montserrat" w:hAnsi="Montserrat"/>
        </w:rPr>
        <w:t>El Estado mexicano, respetuosamente, considera que</w:t>
      </w:r>
      <w:r w:rsidRPr="00F86289">
        <w:rPr>
          <w:rFonts w:ascii="Montserrat" w:hAnsi="Montserrat"/>
        </w:rPr>
        <w:t xml:space="preserve"> el proyecto de declaración se aleja de los términos de la Convención, así como de su objeto y propósito, y no abona a mejorar la protección de las personas frente a los actos de los Estados. </w:t>
      </w:r>
      <w:r w:rsidR="005E5AD3">
        <w:rPr>
          <w:rFonts w:ascii="Montserrat" w:hAnsi="Montserrat"/>
        </w:rPr>
        <w:t>Además, r</w:t>
      </w:r>
      <w:r w:rsidRPr="00F86289">
        <w:rPr>
          <w:rFonts w:ascii="Montserrat" w:hAnsi="Montserrat"/>
        </w:rPr>
        <w:t xml:space="preserve">esultaría </w:t>
      </w:r>
      <w:r>
        <w:rPr>
          <w:rFonts w:ascii="Montserrat" w:hAnsi="Montserrat"/>
        </w:rPr>
        <w:t xml:space="preserve">contrario al derecho internacional </w:t>
      </w:r>
      <w:r w:rsidRPr="00F86289">
        <w:rPr>
          <w:rFonts w:ascii="Montserrat" w:hAnsi="Montserrat"/>
        </w:rPr>
        <w:t xml:space="preserve">que un Comité creado por un tratado internacional pueda extender el alcance de una norma hasta el punto que escape al consentimiento </w:t>
      </w:r>
      <w:r>
        <w:rPr>
          <w:rFonts w:ascii="Montserrat" w:hAnsi="Montserrat"/>
        </w:rPr>
        <w:t xml:space="preserve">expresado por </w:t>
      </w:r>
      <w:r w:rsidRPr="00F86289">
        <w:rPr>
          <w:rFonts w:ascii="Montserrat" w:hAnsi="Montserrat"/>
        </w:rPr>
        <w:t>los Estados</w:t>
      </w:r>
      <w:r>
        <w:rPr>
          <w:rFonts w:ascii="Montserrat" w:hAnsi="Montserrat"/>
        </w:rPr>
        <w:t xml:space="preserve"> al momento de su ratificación</w:t>
      </w:r>
      <w:r w:rsidRPr="00F86289">
        <w:rPr>
          <w:rFonts w:ascii="Montserrat" w:hAnsi="Montserrat"/>
        </w:rPr>
        <w:t>.</w:t>
      </w:r>
      <w:r w:rsidR="005E5AD3">
        <w:rPr>
          <w:rFonts w:ascii="Montserrat" w:hAnsi="Montserrat"/>
        </w:rPr>
        <w:t xml:space="preserve"> </w:t>
      </w:r>
      <w:r>
        <w:rPr>
          <w:rFonts w:ascii="Montserrat" w:hAnsi="Montserrat"/>
        </w:rPr>
        <w:t xml:space="preserve">Lo anterior podría, además </w:t>
      </w:r>
      <w:r w:rsidRPr="00F86289">
        <w:rPr>
          <w:rFonts w:ascii="Montserrat" w:hAnsi="Montserrat"/>
        </w:rPr>
        <w:t>desincentiva</w:t>
      </w:r>
      <w:r>
        <w:rPr>
          <w:rFonts w:ascii="Montserrat" w:hAnsi="Montserrat"/>
        </w:rPr>
        <w:t>r</w:t>
      </w:r>
      <w:r w:rsidRPr="00F86289">
        <w:rPr>
          <w:rFonts w:ascii="Montserrat" w:hAnsi="Montserrat"/>
        </w:rPr>
        <w:t xml:space="preserve"> la ratificación y adhesión a un instrumento que actualmente cuenta con 68 ratificaciones</w:t>
      </w:r>
      <w:r>
        <w:rPr>
          <w:rFonts w:ascii="Montserrat" w:hAnsi="Montserrat"/>
        </w:rPr>
        <w:t xml:space="preserve">, </w:t>
      </w:r>
      <w:r w:rsidRPr="00F86289">
        <w:rPr>
          <w:rFonts w:ascii="Montserrat" w:hAnsi="Montserrat"/>
        </w:rPr>
        <w:t xml:space="preserve">y que se ubica como uno de los tratados de derechos humanos de menor alcance, contando con </w:t>
      </w:r>
      <w:r>
        <w:rPr>
          <w:rFonts w:ascii="Montserrat" w:hAnsi="Montserrat"/>
        </w:rPr>
        <w:t xml:space="preserve">apenas </w:t>
      </w:r>
      <w:r w:rsidRPr="00F86289">
        <w:rPr>
          <w:rFonts w:ascii="Montserrat" w:hAnsi="Montserrat"/>
        </w:rPr>
        <w:t>alrededor de un tercio de la membresía de la Organización de las Naciones Unidas.</w:t>
      </w:r>
    </w:p>
    <w:p w14:paraId="66EEAADB" w14:textId="6D1D794F" w:rsidR="00547116" w:rsidRDefault="00547116" w:rsidP="00547116">
      <w:pPr>
        <w:jc w:val="both"/>
        <w:rPr>
          <w:rFonts w:ascii="Montserrat" w:hAnsi="Montserrat"/>
        </w:rPr>
      </w:pPr>
    </w:p>
    <w:p w14:paraId="568984A6" w14:textId="77777777" w:rsidR="00547116" w:rsidRPr="00F86289" w:rsidRDefault="00547116" w:rsidP="00547116">
      <w:pPr>
        <w:pStyle w:val="Sinespaciado"/>
        <w:jc w:val="both"/>
        <w:rPr>
          <w:rFonts w:ascii="Montserrat" w:hAnsi="Montserrat"/>
        </w:rPr>
      </w:pPr>
      <w:r w:rsidRPr="00F86289">
        <w:rPr>
          <w:rFonts w:ascii="Montserrat" w:hAnsi="Montserrat"/>
        </w:rPr>
        <w:t xml:space="preserve">En todo caso, para </w:t>
      </w:r>
      <w:r>
        <w:rPr>
          <w:rFonts w:ascii="Montserrat" w:hAnsi="Montserrat"/>
        </w:rPr>
        <w:t>extender la aplicación de la Convención</w:t>
      </w:r>
      <w:r w:rsidRPr="00F86289">
        <w:rPr>
          <w:rFonts w:ascii="Montserrat" w:hAnsi="Montserrat"/>
        </w:rPr>
        <w:t xml:space="preserve"> a supuestos más allá de los previstos en su artículo 2, los Estados Partes tienen la posibilidad de emprender un proceso de enmienda conforme a las reglas previstas en el artículo 44 de la propia Convención.</w:t>
      </w:r>
      <w:r>
        <w:rPr>
          <w:rFonts w:ascii="Montserrat" w:hAnsi="Montserrat"/>
        </w:rPr>
        <w:t xml:space="preserve"> Si el Comité considerara necesario dicho proceso, México estaría en la mejor disposición de apoyar dichos esfuerzos.</w:t>
      </w:r>
    </w:p>
    <w:p w14:paraId="1EC3BF2B" w14:textId="77777777" w:rsidR="00547116" w:rsidRPr="00547116" w:rsidRDefault="00547116" w:rsidP="00547116">
      <w:pPr>
        <w:jc w:val="both"/>
        <w:rPr>
          <w:rFonts w:ascii="Montserrat" w:hAnsi="Montserrat"/>
          <w:lang w:val="es-MX"/>
        </w:rPr>
      </w:pPr>
    </w:p>
    <w:p w14:paraId="05822036" w14:textId="77777777" w:rsidR="00547116" w:rsidRPr="00535358" w:rsidRDefault="00547116" w:rsidP="00535358">
      <w:pPr>
        <w:jc w:val="both"/>
        <w:rPr>
          <w:rFonts w:ascii="Montserrat" w:hAnsi="Montserrat"/>
          <w:color w:val="000000"/>
        </w:rPr>
      </w:pPr>
    </w:p>
    <w:p w14:paraId="0EE0233E" w14:textId="77777777" w:rsidR="00D57B40" w:rsidRDefault="00D57B40" w:rsidP="00346066">
      <w:pPr>
        <w:jc w:val="both"/>
        <w:rPr>
          <w:rFonts w:ascii="Montserrat" w:hAnsi="Montserrat"/>
          <w:color w:val="000000"/>
        </w:rPr>
      </w:pPr>
    </w:p>
    <w:p w14:paraId="47B4ABA2" w14:textId="77777777" w:rsidR="00D57B40" w:rsidRDefault="00D57B40" w:rsidP="00346066">
      <w:pPr>
        <w:jc w:val="both"/>
        <w:rPr>
          <w:rFonts w:ascii="Montserrat" w:hAnsi="Montserrat"/>
          <w:color w:val="000000"/>
        </w:rPr>
      </w:pPr>
    </w:p>
    <w:p w14:paraId="3EF5F58B" w14:textId="6870222A" w:rsidR="00D57B40" w:rsidRDefault="007F01BF" w:rsidP="006E23C2">
      <w:pPr>
        <w:pStyle w:val="Prrafodelista"/>
        <w:numPr>
          <w:ilvl w:val="0"/>
          <w:numId w:val="26"/>
        </w:numPr>
        <w:jc w:val="both"/>
        <w:rPr>
          <w:rFonts w:ascii="Montserrat" w:hAnsi="Montserrat"/>
          <w:b/>
          <w:color w:val="000000"/>
        </w:rPr>
      </w:pPr>
      <w:r>
        <w:rPr>
          <w:rFonts w:ascii="Montserrat" w:hAnsi="Montserrat"/>
          <w:b/>
          <w:color w:val="000000"/>
        </w:rPr>
        <w:t>Observaciones con respecto al lenguaje de la propuesta de declaración</w:t>
      </w:r>
    </w:p>
    <w:p w14:paraId="338E9061" w14:textId="77777777" w:rsidR="005E5AD3" w:rsidRPr="007F01BF" w:rsidRDefault="005E5AD3" w:rsidP="005E5AD3">
      <w:pPr>
        <w:pStyle w:val="Prrafodelista"/>
        <w:jc w:val="both"/>
        <w:rPr>
          <w:rFonts w:ascii="Montserrat" w:hAnsi="Montserrat"/>
          <w:b/>
          <w:color w:val="000000"/>
        </w:rPr>
      </w:pPr>
    </w:p>
    <w:p w14:paraId="64CB2798" w14:textId="18031CFE" w:rsidR="005E5AD3" w:rsidRPr="00F332AD" w:rsidRDefault="00F7193B" w:rsidP="0056074B">
      <w:pPr>
        <w:jc w:val="both"/>
        <w:rPr>
          <w:rFonts w:ascii="Montserrat" w:hAnsi="Montserrat"/>
          <w:color w:val="000000"/>
        </w:rPr>
      </w:pPr>
      <w:r>
        <w:rPr>
          <w:rFonts w:ascii="Montserrat" w:hAnsi="Montserrat"/>
          <w:color w:val="000000"/>
        </w:rPr>
        <w:t xml:space="preserve">El Estado mexicano presenta comentarios y propuestas de modificaciones en la </w:t>
      </w:r>
      <w:r w:rsidR="00346066">
        <w:rPr>
          <w:rFonts w:ascii="Montserrat" w:hAnsi="Montserrat"/>
          <w:color w:val="000000"/>
        </w:rPr>
        <w:t>“</w:t>
      </w:r>
      <w:r w:rsidR="005970CD" w:rsidRPr="00346066">
        <w:rPr>
          <w:rFonts w:ascii="Montserrat" w:hAnsi="Montserrat"/>
          <w:color w:val="000000"/>
        </w:rPr>
        <w:t>Sección 2. Desapariciones forzadas por actores no estatales en el contexto del artículo 2</w:t>
      </w:r>
      <w:r w:rsidR="00346066">
        <w:rPr>
          <w:rFonts w:ascii="Montserrat" w:hAnsi="Montserrat"/>
          <w:color w:val="000000"/>
        </w:rPr>
        <w:t>”.</w:t>
      </w:r>
      <w:r w:rsidR="00F332AD">
        <w:rPr>
          <w:rFonts w:ascii="Montserrat" w:hAnsi="Montserrat"/>
          <w:color w:val="000000"/>
        </w:rPr>
        <w:t xml:space="preserve"> </w:t>
      </w:r>
      <w:r w:rsidR="00C0441E">
        <w:rPr>
          <w:rFonts w:ascii="Montserrat" w:hAnsi="Montserrat"/>
        </w:rPr>
        <w:t>En esta sección de la Declaración se define</w:t>
      </w:r>
      <w:r w:rsidR="009F2B07">
        <w:rPr>
          <w:rFonts w:ascii="Montserrat" w:hAnsi="Montserrat"/>
        </w:rPr>
        <w:t>n</w:t>
      </w:r>
      <w:r w:rsidR="00C0441E">
        <w:rPr>
          <w:rFonts w:ascii="Montserrat" w:hAnsi="Montserrat"/>
        </w:rPr>
        <w:t xml:space="preserve"> las </w:t>
      </w:r>
      <w:r w:rsidR="00886FEE">
        <w:rPr>
          <w:rFonts w:ascii="Montserrat" w:hAnsi="Montserrat"/>
        </w:rPr>
        <w:t xml:space="preserve">hipótesis </w:t>
      </w:r>
      <w:r w:rsidR="00C0441E">
        <w:rPr>
          <w:rFonts w:ascii="Montserrat" w:hAnsi="Montserrat"/>
        </w:rPr>
        <w:t xml:space="preserve">previstas en el artículo 2 de la Convención </w:t>
      </w:r>
      <w:r w:rsidR="00886FEE">
        <w:rPr>
          <w:rFonts w:ascii="Montserrat" w:hAnsi="Montserrat"/>
        </w:rPr>
        <w:t>en virtud de las cuales, el Estado resulta responsable de una desaparición forzada cuando autoriza, apoya o actúa con aquiescencia con respecto a los actos de particulares.</w:t>
      </w:r>
      <w:r>
        <w:rPr>
          <w:rFonts w:ascii="Montserrat" w:hAnsi="Montserrat"/>
        </w:rPr>
        <w:t xml:space="preserve"> </w:t>
      </w:r>
    </w:p>
    <w:p w14:paraId="5A58EB56" w14:textId="77777777" w:rsidR="0056074B" w:rsidRDefault="0056074B" w:rsidP="0056074B">
      <w:pPr>
        <w:jc w:val="both"/>
        <w:rPr>
          <w:rFonts w:ascii="Montserrat" w:hAnsi="Montserrat"/>
        </w:rPr>
      </w:pPr>
    </w:p>
    <w:p w14:paraId="6C587A87" w14:textId="1DC99B56" w:rsidR="005E5AD3" w:rsidRDefault="005E5AD3" w:rsidP="0056074B">
      <w:pPr>
        <w:jc w:val="both"/>
        <w:rPr>
          <w:rFonts w:ascii="Montserrat" w:hAnsi="Montserrat"/>
        </w:rPr>
      </w:pPr>
      <w:r w:rsidRPr="00F86289">
        <w:rPr>
          <w:rFonts w:ascii="Montserrat" w:hAnsi="Montserrat"/>
        </w:rPr>
        <w:t>Por definición, la desaparición forzada es una conducta que se comete por parte de agentes del Estado, o bien por agentes privados por los que sea posible atribuir responsabilidad internacional al Estado, ya sea porque estén bajo el control o la aquiescencia de éste, o por cualquier otra regla que prevea el derecho internacional general al respecto.</w:t>
      </w:r>
    </w:p>
    <w:p w14:paraId="3222C825" w14:textId="77777777" w:rsidR="0056074B" w:rsidRDefault="0056074B" w:rsidP="0056074B">
      <w:pPr>
        <w:jc w:val="both"/>
        <w:rPr>
          <w:rFonts w:ascii="Montserrat" w:hAnsi="Montserrat"/>
        </w:rPr>
      </w:pPr>
    </w:p>
    <w:p w14:paraId="7790896C" w14:textId="20492BD2" w:rsidR="005E5AD3" w:rsidRDefault="005E5AD3" w:rsidP="0056074B">
      <w:pPr>
        <w:jc w:val="both"/>
        <w:rPr>
          <w:rFonts w:ascii="Montserrat" w:hAnsi="Montserrat"/>
        </w:rPr>
      </w:pPr>
      <w:r w:rsidRPr="00F86289">
        <w:rPr>
          <w:rFonts w:ascii="Montserrat" w:hAnsi="Montserrat"/>
        </w:rPr>
        <w:t>Como la propia Convención señala en su artículo 2, y se retoma en el proyecto de declaración, la noción de desaparición forzada implica un catálogo de conductas (el arresto, detención, abducción o cualquier otra forma de privación de la libertad) que necesariamente deben ser realizadas por “agentes del Estado o por personas o grupos de personas que actúan con la autorización, el apoyo o la aquiescencia del Estado”. Así, la desaparición forzada implica el conocimiento y la voluntad del Estado pues, más aún, éste debe llevar a cabo actos u omisiones tendientes a negar la privación de la libertad y a ocultar la suerte de la persona desaparecida.</w:t>
      </w:r>
    </w:p>
    <w:p w14:paraId="6B73FA97" w14:textId="77777777" w:rsidR="0056074B" w:rsidRDefault="0056074B" w:rsidP="0056074B">
      <w:pPr>
        <w:jc w:val="both"/>
        <w:rPr>
          <w:rFonts w:ascii="Montserrat" w:hAnsi="Montserrat"/>
        </w:rPr>
      </w:pPr>
    </w:p>
    <w:p w14:paraId="326D2D69" w14:textId="11F0EFE1" w:rsidR="005E5AD3" w:rsidRDefault="005E5AD3" w:rsidP="0056074B">
      <w:pPr>
        <w:jc w:val="both"/>
        <w:rPr>
          <w:rFonts w:ascii="Montserrat" w:hAnsi="Montserrat"/>
        </w:rPr>
      </w:pPr>
      <w:r w:rsidRPr="00F86289">
        <w:rPr>
          <w:rFonts w:ascii="Montserrat" w:hAnsi="Montserrat"/>
        </w:rPr>
        <w:t xml:space="preserve">El delito de desaparición forzada, entonces, tiene un componente fundamental relacionado con las acciones del Estado. No obstante, el proyecto de declaración busca extender la aplicación de la Convención a conductas que en sí mismas constituyen delitos, </w:t>
      </w:r>
      <w:r w:rsidR="000A0D21">
        <w:rPr>
          <w:rFonts w:ascii="Montserrat" w:hAnsi="Montserrat"/>
        </w:rPr>
        <w:t xml:space="preserve">y que los Estados están obligados a perseguir, </w:t>
      </w:r>
      <w:r w:rsidRPr="00F86289">
        <w:rPr>
          <w:rFonts w:ascii="Montserrat" w:hAnsi="Montserrat"/>
        </w:rPr>
        <w:t>como el caso de la privación ilegal de la libertad, pero que escapan a la naturaleza de las conductas que la Convención pretende combatir y castigar</w:t>
      </w:r>
      <w:r w:rsidR="00513ADC">
        <w:rPr>
          <w:rFonts w:ascii="Montserrat" w:hAnsi="Montserrat"/>
        </w:rPr>
        <w:t xml:space="preserve"> o sobre las que el Comité tiene competencia. </w:t>
      </w:r>
    </w:p>
    <w:p w14:paraId="40D9029D" w14:textId="77777777" w:rsidR="0056074B" w:rsidRDefault="0056074B" w:rsidP="0056074B">
      <w:pPr>
        <w:jc w:val="both"/>
        <w:rPr>
          <w:rFonts w:ascii="Montserrat" w:hAnsi="Montserrat"/>
        </w:rPr>
      </w:pPr>
    </w:p>
    <w:p w14:paraId="48F23B38" w14:textId="5B615A7B" w:rsidR="003E1DBC" w:rsidRDefault="005E5AD3" w:rsidP="0056074B">
      <w:pPr>
        <w:jc w:val="both"/>
        <w:rPr>
          <w:rFonts w:ascii="Montserrat" w:hAnsi="Montserrat"/>
        </w:rPr>
      </w:pPr>
      <w:r>
        <w:rPr>
          <w:rFonts w:ascii="Montserrat" w:hAnsi="Montserrat"/>
        </w:rPr>
        <w:t>En ese sentido, c</w:t>
      </w:r>
      <w:r w:rsidRPr="00F86289">
        <w:rPr>
          <w:rFonts w:ascii="Montserrat" w:hAnsi="Montserrat"/>
        </w:rPr>
        <w:t xml:space="preserve">onviene señalar que el derecho internacional general establece que los Estados sólo pueden adquirir obligaciones de tratados para los que hayan expresado su consentimiento. </w:t>
      </w:r>
      <w:r>
        <w:rPr>
          <w:rFonts w:ascii="Montserrat" w:hAnsi="Montserrat"/>
        </w:rPr>
        <w:t>En sus términos actuales, la Convención</w:t>
      </w:r>
      <w:r w:rsidRPr="00F86289">
        <w:rPr>
          <w:rFonts w:ascii="Montserrat" w:hAnsi="Montserrat"/>
        </w:rPr>
        <w:t xml:space="preserve"> extiende sus obligaciones específicas a la desaparición cometida por acción o aquiescencia del Estado, y modificar dicho entendimiento significaría </w:t>
      </w:r>
      <w:r w:rsidRPr="00F86289">
        <w:rPr>
          <w:rFonts w:ascii="Montserrat" w:hAnsi="Montserrat"/>
          <w:i/>
          <w:iCs/>
        </w:rPr>
        <w:t xml:space="preserve">de facto </w:t>
      </w:r>
      <w:r w:rsidRPr="00F86289">
        <w:rPr>
          <w:rFonts w:ascii="Montserrat" w:hAnsi="Montserrat"/>
        </w:rPr>
        <w:t>obligar a los Estados a implementar dichas obligaciones en relac</w:t>
      </w:r>
      <w:r>
        <w:rPr>
          <w:rFonts w:ascii="Montserrat" w:hAnsi="Montserrat"/>
        </w:rPr>
        <w:t>ión con otro tipo de conductas</w:t>
      </w:r>
      <w:r w:rsidR="003E1DBC">
        <w:rPr>
          <w:rFonts w:ascii="Montserrat" w:hAnsi="Montserrat"/>
        </w:rPr>
        <w:t>.</w:t>
      </w:r>
    </w:p>
    <w:p w14:paraId="7ED4DA46" w14:textId="77777777" w:rsidR="0056074B" w:rsidRDefault="0056074B" w:rsidP="0056074B">
      <w:pPr>
        <w:jc w:val="both"/>
        <w:rPr>
          <w:rFonts w:ascii="Montserrat" w:hAnsi="Montserrat"/>
        </w:rPr>
      </w:pPr>
    </w:p>
    <w:p w14:paraId="64E86C1E" w14:textId="60462A62" w:rsidR="003E1DBC" w:rsidRPr="00F86289" w:rsidRDefault="003E1DBC" w:rsidP="0056074B">
      <w:pPr>
        <w:jc w:val="both"/>
        <w:rPr>
          <w:rFonts w:ascii="Montserrat" w:hAnsi="Montserrat"/>
        </w:rPr>
      </w:pPr>
      <w:r w:rsidRPr="00F86289">
        <w:rPr>
          <w:rFonts w:ascii="Montserrat" w:hAnsi="Montserrat"/>
        </w:rPr>
        <w:t xml:space="preserve">La propia separación orgánica entre las conductas previstas </w:t>
      </w:r>
      <w:r>
        <w:rPr>
          <w:rFonts w:ascii="Montserrat" w:hAnsi="Montserrat"/>
        </w:rPr>
        <w:t>en los artículos 2 y 3 de la Convención</w:t>
      </w:r>
      <w:r w:rsidRPr="00F86289">
        <w:rPr>
          <w:rFonts w:ascii="Montserrat" w:hAnsi="Montserrat"/>
        </w:rPr>
        <w:t xml:space="preserve"> deja ver la intención de los Estados al no catalogar las privaciones de la libertad “que sean obra de personas o grupos de personas que actúen sin la autorización, el apoyo o la aquiescencia del Estado” como </w:t>
      </w:r>
      <w:r w:rsidRPr="00F86289">
        <w:rPr>
          <w:rFonts w:ascii="Montserrat" w:hAnsi="Montserrat"/>
        </w:rPr>
        <w:lastRenderedPageBreak/>
        <w:t>desapariciones forzadas, sino meramente como conductas punibles que los Estados deben investigar y procesar a sus responsables.</w:t>
      </w:r>
    </w:p>
    <w:p w14:paraId="7A673851" w14:textId="77777777" w:rsidR="003E1DBC" w:rsidRPr="003E1DBC" w:rsidRDefault="003E1DBC" w:rsidP="005E5AD3">
      <w:pPr>
        <w:ind w:firstLine="708"/>
        <w:jc w:val="both"/>
        <w:rPr>
          <w:rFonts w:ascii="Montserrat" w:hAnsi="Montserrat"/>
          <w:lang w:val="es-MX"/>
        </w:rPr>
      </w:pPr>
    </w:p>
    <w:p w14:paraId="4DDF9BF3" w14:textId="03A3475E" w:rsidR="0056074B" w:rsidRPr="00F86289" w:rsidRDefault="0056074B" w:rsidP="0056074B">
      <w:pPr>
        <w:pStyle w:val="Sinespaciado"/>
        <w:jc w:val="both"/>
        <w:rPr>
          <w:rFonts w:ascii="Montserrat" w:hAnsi="Montserrat"/>
        </w:rPr>
      </w:pPr>
      <w:r w:rsidRPr="00F86289">
        <w:rPr>
          <w:rFonts w:ascii="Montserrat" w:hAnsi="Montserrat"/>
        </w:rPr>
        <w:t>El proyecto de declaración recurre a los trabajos preparatorios de la Convención para señalar las preocupaciones de algunas representaciones sobre la aplicación del instrumento a desapariciones llevadas</w:t>
      </w:r>
      <w:r w:rsidR="00C705E0">
        <w:rPr>
          <w:rFonts w:ascii="Montserrat" w:hAnsi="Montserrat"/>
        </w:rPr>
        <w:t xml:space="preserve"> a cabo</w:t>
      </w:r>
      <w:r w:rsidRPr="00F86289">
        <w:rPr>
          <w:rFonts w:ascii="Montserrat" w:hAnsi="Montserrat"/>
        </w:rPr>
        <w:t xml:space="preserve"> por personas o grupos sin relación con el Estado. Sin embargo, conforme a la regla general de interpretación de los tratados, como puede enc</w:t>
      </w:r>
      <w:r>
        <w:rPr>
          <w:rFonts w:ascii="Montserrat" w:hAnsi="Montserrat"/>
        </w:rPr>
        <w:t xml:space="preserve">ontrarse en el artículo 31 </w:t>
      </w:r>
      <w:r w:rsidRPr="00F86289">
        <w:rPr>
          <w:rFonts w:ascii="Montserrat" w:hAnsi="Montserrat"/>
        </w:rPr>
        <w:t>de la Convención de Viena sobre el Derecho de los Tratados, las normas convencionales deben ser interpretadas conforme al sentido corriente que haya de atribuirse a los términos, en su contexto y teniendo en cuenta el objeto y fin del instrumento en cuestión. Los trabajos preparatorios constituyen un medio de interpretación complementario, a utilizarse si la interpretación deja ambiguo el sentido o conduce a un resultado manifiestamente absurdo o irrazonable.</w:t>
      </w:r>
    </w:p>
    <w:p w14:paraId="5F05FA65" w14:textId="0363EBAE" w:rsidR="005E5AD3" w:rsidRPr="005E5AD3" w:rsidRDefault="005E5AD3" w:rsidP="00F7193B">
      <w:pPr>
        <w:ind w:firstLine="708"/>
        <w:jc w:val="both"/>
        <w:rPr>
          <w:rFonts w:ascii="Montserrat" w:hAnsi="Montserrat"/>
          <w:lang w:val="es-MX"/>
        </w:rPr>
      </w:pPr>
    </w:p>
    <w:p w14:paraId="2B180181" w14:textId="49F84374" w:rsidR="00C90CCA" w:rsidRDefault="0056074B" w:rsidP="00C90CCA">
      <w:pPr>
        <w:pStyle w:val="Sinespaciado"/>
        <w:jc w:val="both"/>
        <w:rPr>
          <w:rFonts w:ascii="Montserrat" w:hAnsi="Montserrat"/>
        </w:rPr>
      </w:pPr>
      <w:r w:rsidRPr="00F86289">
        <w:rPr>
          <w:rFonts w:ascii="Montserrat" w:hAnsi="Montserrat"/>
        </w:rPr>
        <w:t>En el caso de las o</w:t>
      </w:r>
      <w:r>
        <w:rPr>
          <w:rFonts w:ascii="Montserrat" w:hAnsi="Montserrat"/>
        </w:rPr>
        <w:t>bligaciones contenidas en la Convención</w:t>
      </w:r>
      <w:r w:rsidRPr="00F86289">
        <w:rPr>
          <w:rFonts w:ascii="Montserrat" w:hAnsi="Montserrat"/>
        </w:rPr>
        <w:t>, se debe entender que los Estados buscaban crear un instrumento internacional para proteger a las personas de la desaparición cometida por parte de agentes del Estado o de personas o entidades que actúan con su aquiescencia</w:t>
      </w:r>
      <w:r w:rsidR="000C0AB4">
        <w:rPr>
          <w:rFonts w:ascii="Montserrat" w:hAnsi="Montserrat"/>
        </w:rPr>
        <w:t xml:space="preserve"> y así lo reflejaron al expresar claramente </w:t>
      </w:r>
      <w:r w:rsidR="00062177">
        <w:rPr>
          <w:rFonts w:ascii="Montserrat" w:hAnsi="Montserrat"/>
        </w:rPr>
        <w:t>la diferencia en dos artículos separados.</w:t>
      </w:r>
    </w:p>
    <w:p w14:paraId="09621427" w14:textId="77777777" w:rsidR="00C90CCA" w:rsidRDefault="00C90CCA" w:rsidP="00C90CCA">
      <w:pPr>
        <w:pStyle w:val="Sinespaciado"/>
        <w:jc w:val="both"/>
        <w:rPr>
          <w:rFonts w:ascii="Montserrat" w:hAnsi="Montserrat"/>
        </w:rPr>
      </w:pPr>
    </w:p>
    <w:p w14:paraId="3B25032E" w14:textId="52FE85DB" w:rsidR="00C90CCA" w:rsidRPr="001F6EBB" w:rsidRDefault="00C90CCA" w:rsidP="00C90CCA">
      <w:pPr>
        <w:pStyle w:val="Sinespaciado"/>
        <w:jc w:val="both"/>
        <w:rPr>
          <w:rFonts w:ascii="Montserrat" w:hAnsi="Montserrat"/>
        </w:rPr>
      </w:pPr>
      <w:r>
        <w:rPr>
          <w:rFonts w:ascii="Montserrat" w:hAnsi="Montserrat"/>
        </w:rPr>
        <w:t xml:space="preserve">Un caso aparte lo constituirían los actos cometidos por entidades que, aún sin estar investidas formalmente con autoridad estatal, llevan a cabo actos de autoridad </w:t>
      </w:r>
      <w:r>
        <w:rPr>
          <w:rFonts w:ascii="Montserrat" w:hAnsi="Montserrat"/>
          <w:i/>
        </w:rPr>
        <w:t xml:space="preserve">de facto </w:t>
      </w:r>
      <w:r>
        <w:rPr>
          <w:rFonts w:ascii="Montserrat" w:hAnsi="Montserrat"/>
        </w:rPr>
        <w:t>sobre un territorio ocupado en los términos del Protocolo Adicional I a los Convenios de Ginebra de 1949. Sin embargo, del proyecto de declaración no se advierte que se refiera a estas situaciones particulares.</w:t>
      </w:r>
    </w:p>
    <w:p w14:paraId="6666264C" w14:textId="77777777" w:rsidR="00C90CCA" w:rsidRDefault="00C90CCA" w:rsidP="00C90CCA">
      <w:pPr>
        <w:jc w:val="both"/>
        <w:rPr>
          <w:rFonts w:ascii="Montserrat" w:hAnsi="Montserrat"/>
          <w:lang w:val="es-MX"/>
        </w:rPr>
      </w:pPr>
    </w:p>
    <w:p w14:paraId="2D31171B" w14:textId="7C9AA2EE" w:rsidR="00EC0595" w:rsidRDefault="00C90CCA" w:rsidP="00C90CCA">
      <w:pPr>
        <w:jc w:val="both"/>
        <w:rPr>
          <w:rFonts w:ascii="Montserrat" w:hAnsi="Montserrat"/>
        </w:rPr>
      </w:pPr>
      <w:r>
        <w:rPr>
          <w:rFonts w:ascii="Montserrat" w:hAnsi="Montserrat"/>
          <w:lang w:val="es-MX"/>
        </w:rPr>
        <w:t xml:space="preserve">Adicionalmentre, </w:t>
      </w:r>
      <w:r>
        <w:rPr>
          <w:rFonts w:ascii="Montserrat" w:hAnsi="Montserrat"/>
        </w:rPr>
        <w:t>c</w:t>
      </w:r>
      <w:r w:rsidR="009F2B07">
        <w:rPr>
          <w:rFonts w:ascii="Montserrat" w:hAnsi="Montserrat"/>
        </w:rPr>
        <w:t xml:space="preserve">on respecto al párrafo 5 que contiene la definición de “aquiescencia”, </w:t>
      </w:r>
      <w:r w:rsidR="00781DE2" w:rsidRPr="00781DE2">
        <w:rPr>
          <w:rFonts w:ascii="Montserrat" w:hAnsi="Montserrat"/>
        </w:rPr>
        <w:t>la primera señala que</w:t>
      </w:r>
      <w:r>
        <w:rPr>
          <w:rFonts w:ascii="Montserrat" w:hAnsi="Montserrat"/>
        </w:rPr>
        <w:t xml:space="preserve"> ésta </w:t>
      </w:r>
      <w:r w:rsidRPr="00C90CCA">
        <w:rPr>
          <w:rFonts w:ascii="Montserrat" w:hAnsi="Montserrat"/>
        </w:rPr>
        <w:t>significa que el Estado ha aprobado, tolerado o incluso respaldado implícitamente una desaparición forzada perpetrada por un individuo o un grupo de individuos</w:t>
      </w:r>
      <w:r>
        <w:rPr>
          <w:rFonts w:ascii="Montserrat" w:hAnsi="Montserrat"/>
        </w:rPr>
        <w:t>. E</w:t>
      </w:r>
      <w:r w:rsidR="009F2B07">
        <w:rPr>
          <w:rFonts w:ascii="Montserrat" w:hAnsi="Montserrat"/>
        </w:rPr>
        <w:t xml:space="preserve">l Estado mexicano observa que </w:t>
      </w:r>
      <w:r w:rsidR="00480B01">
        <w:rPr>
          <w:rFonts w:ascii="Montserrat" w:hAnsi="Montserrat"/>
        </w:rPr>
        <w:t>el delimi</w:t>
      </w:r>
      <w:r w:rsidR="00EC0595">
        <w:rPr>
          <w:rFonts w:ascii="Montserrat" w:hAnsi="Montserrat"/>
        </w:rPr>
        <w:t>t</w:t>
      </w:r>
      <w:r w:rsidR="00480B01">
        <w:rPr>
          <w:rFonts w:ascii="Montserrat" w:hAnsi="Montserrat"/>
        </w:rPr>
        <w:t xml:space="preserve">ar la aplicación de la aquiescencia </w:t>
      </w:r>
      <w:r w:rsidR="00EC0595">
        <w:rPr>
          <w:rFonts w:ascii="Montserrat" w:hAnsi="Montserrat"/>
        </w:rPr>
        <w:t xml:space="preserve">a casos como la </w:t>
      </w:r>
      <w:r w:rsidR="00CC150C">
        <w:rPr>
          <w:rFonts w:ascii="Montserrat" w:hAnsi="Montserrat"/>
        </w:rPr>
        <w:t>“…</w:t>
      </w:r>
      <w:r w:rsidR="00781DE2" w:rsidRPr="00CC150C">
        <w:rPr>
          <w:rFonts w:ascii="Montserrat" w:hAnsi="Montserrat"/>
          <w:i/>
          <w:iCs/>
        </w:rPr>
        <w:t xml:space="preserve">aprobación, tolerancia o </w:t>
      </w:r>
      <w:r w:rsidR="00CC150C" w:rsidRPr="00CC150C">
        <w:rPr>
          <w:rFonts w:ascii="Montserrat" w:hAnsi="Montserrat"/>
          <w:i/>
          <w:iCs/>
        </w:rPr>
        <w:t>respaldo implícito</w:t>
      </w:r>
      <w:r w:rsidR="00CC150C">
        <w:rPr>
          <w:rFonts w:ascii="Montserrat" w:hAnsi="Montserrat"/>
        </w:rPr>
        <w:t>…”, s</w:t>
      </w:r>
      <w:r w:rsidR="00EC0595">
        <w:rPr>
          <w:rFonts w:ascii="Montserrat" w:hAnsi="Montserrat"/>
        </w:rPr>
        <w:t>upone pr</w:t>
      </w:r>
      <w:r w:rsidR="009F2B07">
        <w:rPr>
          <w:rFonts w:ascii="Montserrat" w:hAnsi="Montserrat"/>
        </w:rPr>
        <w:t xml:space="preserve">oponer una lista de algunos </w:t>
      </w:r>
      <w:r w:rsidR="00EC0595">
        <w:rPr>
          <w:rFonts w:ascii="Montserrat" w:hAnsi="Montserrat"/>
        </w:rPr>
        <w:t>ejemplos que podrían delimitar</w:t>
      </w:r>
      <w:r w:rsidR="000D2416">
        <w:rPr>
          <w:rFonts w:ascii="Montserrat" w:hAnsi="Montserrat"/>
        </w:rPr>
        <w:t xml:space="preserve"> inadecuadamente</w:t>
      </w:r>
      <w:r w:rsidR="00EC0595">
        <w:rPr>
          <w:rFonts w:ascii="Montserrat" w:hAnsi="Montserrat"/>
        </w:rPr>
        <w:t xml:space="preserve"> su aplicación.</w:t>
      </w:r>
    </w:p>
    <w:p w14:paraId="29209D9D" w14:textId="77777777" w:rsidR="00C90CCA" w:rsidRDefault="00C90CCA" w:rsidP="00C90CCA">
      <w:pPr>
        <w:jc w:val="both"/>
        <w:rPr>
          <w:rFonts w:ascii="Montserrat" w:hAnsi="Montserrat"/>
        </w:rPr>
      </w:pPr>
    </w:p>
    <w:p w14:paraId="4B5EABA0" w14:textId="0F5B5099" w:rsidR="00CC150C" w:rsidRDefault="00CC150C" w:rsidP="00C90CCA">
      <w:pPr>
        <w:jc w:val="both"/>
        <w:rPr>
          <w:rFonts w:ascii="Montserrat" w:hAnsi="Montserrat"/>
          <w:lang w:val="es-MX"/>
        </w:rPr>
      </w:pPr>
      <w:r>
        <w:rPr>
          <w:rFonts w:ascii="Montserrat" w:hAnsi="Montserrat"/>
        </w:rPr>
        <w:t xml:space="preserve">Al respecto, </w:t>
      </w:r>
      <w:r w:rsidR="008F7D3C">
        <w:rPr>
          <w:rFonts w:ascii="Montserrat" w:hAnsi="Montserrat"/>
        </w:rPr>
        <w:t xml:space="preserve">no se debe perder de vista que </w:t>
      </w:r>
      <w:r w:rsidR="00802A20">
        <w:rPr>
          <w:rFonts w:ascii="Montserrat" w:hAnsi="Montserrat"/>
        </w:rPr>
        <w:t xml:space="preserve">la aquiescencia es una </w:t>
      </w:r>
      <w:r w:rsidR="00EC0595" w:rsidRPr="004179A2">
        <w:rPr>
          <w:rFonts w:ascii="Montserrat" w:hAnsi="Montserrat"/>
        </w:rPr>
        <w:t xml:space="preserve">norma </w:t>
      </w:r>
      <w:r w:rsidR="00802A20" w:rsidRPr="004179A2">
        <w:rPr>
          <w:rFonts w:ascii="Montserrat" w:hAnsi="Montserrat"/>
        </w:rPr>
        <w:t xml:space="preserve">prevista en el </w:t>
      </w:r>
      <w:r w:rsidR="00C90CCA">
        <w:rPr>
          <w:rFonts w:ascii="Montserrat" w:hAnsi="Montserrat"/>
        </w:rPr>
        <w:t>derecho internacional público general</w:t>
      </w:r>
      <w:r w:rsidR="00802A20" w:rsidRPr="004179A2">
        <w:rPr>
          <w:rFonts w:ascii="Montserrat" w:hAnsi="Montserrat"/>
        </w:rPr>
        <w:t xml:space="preserve"> </w:t>
      </w:r>
      <w:r w:rsidR="00EC0595">
        <w:rPr>
          <w:rFonts w:ascii="Montserrat" w:hAnsi="Montserrat"/>
        </w:rPr>
        <w:t xml:space="preserve">como </w:t>
      </w:r>
      <w:r w:rsidR="00CD165B" w:rsidRPr="00CD165B">
        <w:rPr>
          <w:rFonts w:ascii="Montserrat" w:hAnsi="Montserrat"/>
          <w:lang w:val="es-MX"/>
        </w:rPr>
        <w:t>un reconocimiento tácito manifestado por una conducta unilateral del Estado que la otra parte</w:t>
      </w:r>
      <w:r w:rsidR="00EC0595">
        <w:rPr>
          <w:rFonts w:ascii="Montserrat" w:hAnsi="Montserrat"/>
          <w:lang w:val="es-MX"/>
        </w:rPr>
        <w:t>, en este caso los particulares o grupos de particulares que perpetran la desaparición forzada,</w:t>
      </w:r>
      <w:r w:rsidR="00CD165B" w:rsidRPr="00CD165B">
        <w:rPr>
          <w:rFonts w:ascii="Montserrat" w:hAnsi="Montserrat"/>
          <w:lang w:val="es-MX"/>
        </w:rPr>
        <w:t xml:space="preserve"> interpreta</w:t>
      </w:r>
      <w:r w:rsidR="00EC0595">
        <w:rPr>
          <w:rFonts w:ascii="Montserrat" w:hAnsi="Montserrat"/>
          <w:lang w:val="es-MX"/>
        </w:rPr>
        <w:t>n</w:t>
      </w:r>
      <w:r w:rsidR="00CD165B" w:rsidRPr="00CD165B">
        <w:rPr>
          <w:rFonts w:ascii="Montserrat" w:hAnsi="Montserrat"/>
          <w:lang w:val="es-MX"/>
        </w:rPr>
        <w:t xml:space="preserve"> como consentimiento</w:t>
      </w:r>
      <w:r w:rsidR="00AD1538">
        <w:rPr>
          <w:rFonts w:ascii="Montserrat" w:hAnsi="Montserrat"/>
          <w:lang w:val="es-MX"/>
        </w:rPr>
        <w:t>.</w:t>
      </w:r>
      <w:r w:rsidR="00CD165B" w:rsidRPr="00CD165B">
        <w:rPr>
          <w:rFonts w:ascii="Montserrat" w:hAnsi="Montserrat"/>
          <w:vertAlign w:val="superscript"/>
          <w:lang w:val="en-US"/>
        </w:rPr>
        <w:footnoteReference w:id="1"/>
      </w:r>
    </w:p>
    <w:p w14:paraId="78EB6943" w14:textId="77777777" w:rsidR="00C90CCA" w:rsidRDefault="00C90CCA" w:rsidP="00C90CCA">
      <w:pPr>
        <w:jc w:val="both"/>
        <w:rPr>
          <w:rFonts w:ascii="Montserrat" w:hAnsi="Montserrat"/>
          <w:lang w:val="es-MX"/>
        </w:rPr>
      </w:pPr>
    </w:p>
    <w:p w14:paraId="71321861" w14:textId="6B71698E" w:rsidR="003175C2" w:rsidRDefault="00AD1538" w:rsidP="00C90CCA">
      <w:pPr>
        <w:jc w:val="both"/>
        <w:rPr>
          <w:rFonts w:ascii="Montserrat" w:hAnsi="Montserrat"/>
          <w:lang w:val="es-ES_tradnl"/>
        </w:rPr>
      </w:pPr>
      <w:r>
        <w:rPr>
          <w:rFonts w:ascii="Montserrat" w:hAnsi="Montserrat"/>
          <w:lang w:val="es-MX"/>
        </w:rPr>
        <w:lastRenderedPageBreak/>
        <w:t xml:space="preserve">En segundo lugar, sobre este mismo punto, </w:t>
      </w:r>
      <w:r w:rsidR="00B557A3">
        <w:rPr>
          <w:rFonts w:ascii="Montserrat" w:hAnsi="Montserrat"/>
          <w:lang w:val="es-MX"/>
        </w:rPr>
        <w:t xml:space="preserve">el Estado mexicano subraya que </w:t>
      </w:r>
      <w:r w:rsidR="004A70EE">
        <w:rPr>
          <w:rFonts w:ascii="Montserrat" w:hAnsi="Montserrat"/>
          <w:lang w:val="es-MX"/>
        </w:rPr>
        <w:t>la inclusión</w:t>
      </w:r>
      <w:r w:rsidR="001F7F39">
        <w:rPr>
          <w:rFonts w:ascii="Montserrat" w:hAnsi="Montserrat"/>
          <w:lang w:val="es-MX"/>
        </w:rPr>
        <w:t xml:space="preserve"> </w:t>
      </w:r>
      <w:r w:rsidR="004A70EE">
        <w:rPr>
          <w:rFonts w:ascii="Montserrat" w:hAnsi="Montserrat"/>
          <w:lang w:val="es-MX"/>
        </w:rPr>
        <w:t xml:space="preserve">de la tolerancia en la definición de la aquiescencia es problemática a la luz de los desarrollos jurisprudenciales en el </w:t>
      </w:r>
      <w:r w:rsidR="00B557A3">
        <w:rPr>
          <w:rFonts w:ascii="Montserrat" w:hAnsi="Montserrat"/>
          <w:lang w:val="es-MX"/>
        </w:rPr>
        <w:t>Sistema Interamericano de Derechos Humanos</w:t>
      </w:r>
      <w:r w:rsidR="004A70EE">
        <w:rPr>
          <w:rFonts w:ascii="Montserrat" w:hAnsi="Montserrat"/>
          <w:lang w:val="es-MX"/>
        </w:rPr>
        <w:t>. Al respecto, la Corte Interamericana de Derechos Humanos ha indicado</w:t>
      </w:r>
      <w:r w:rsidR="003175C2">
        <w:rPr>
          <w:rFonts w:ascii="Montserrat" w:hAnsi="Montserrat"/>
          <w:lang w:val="es-MX"/>
        </w:rPr>
        <w:t>, por ejemplo,</w:t>
      </w:r>
      <w:r w:rsidR="005D12B0">
        <w:rPr>
          <w:rFonts w:ascii="Montserrat" w:hAnsi="Montserrat"/>
          <w:lang w:val="es-MX"/>
        </w:rPr>
        <w:t xml:space="preserve"> </w:t>
      </w:r>
      <w:r w:rsidR="001F7F39">
        <w:rPr>
          <w:rFonts w:ascii="Montserrat" w:hAnsi="Montserrat"/>
          <w:lang w:val="es-MX"/>
        </w:rPr>
        <w:t>que</w:t>
      </w:r>
      <w:r w:rsidR="005D12B0">
        <w:rPr>
          <w:rFonts w:ascii="Montserrat" w:hAnsi="Montserrat"/>
          <w:lang w:val="es-MX"/>
        </w:rPr>
        <w:t xml:space="preserve"> las obli</w:t>
      </w:r>
      <w:r w:rsidR="001F7F39">
        <w:rPr>
          <w:rFonts w:ascii="Montserrat" w:hAnsi="Montserrat"/>
          <w:lang w:val="es-MX"/>
        </w:rPr>
        <w:t>ga</w:t>
      </w:r>
      <w:r w:rsidR="005D12B0">
        <w:rPr>
          <w:rFonts w:ascii="Montserrat" w:hAnsi="Montserrat"/>
          <w:lang w:val="es-MX"/>
        </w:rPr>
        <w:t xml:space="preserve">ciones positivas de los Estados </w:t>
      </w:r>
      <w:r w:rsidR="001F7F39">
        <w:rPr>
          <w:rFonts w:ascii="Montserrat" w:hAnsi="Montserrat"/>
          <w:lang w:val="es-MX"/>
        </w:rPr>
        <w:t xml:space="preserve">implican un </w:t>
      </w:r>
      <w:r w:rsidR="005D12B0" w:rsidRPr="005D12B0">
        <w:rPr>
          <w:rFonts w:ascii="Montserrat" w:hAnsi="Montserrat"/>
        </w:rPr>
        <w:t xml:space="preserve">deber especial de </w:t>
      </w:r>
      <w:r w:rsidR="003175C2" w:rsidRPr="005D12B0">
        <w:rPr>
          <w:rFonts w:ascii="Montserrat" w:hAnsi="Montserrat"/>
        </w:rPr>
        <w:t>protección</w:t>
      </w:r>
      <w:r w:rsidR="005D12B0" w:rsidRPr="005D12B0">
        <w:rPr>
          <w:rFonts w:ascii="Montserrat" w:hAnsi="Montserrat"/>
        </w:rPr>
        <w:t xml:space="preserve"> con respecto a actuaciones y </w:t>
      </w:r>
      <w:r w:rsidR="003175C2" w:rsidRPr="005D12B0">
        <w:rPr>
          <w:rFonts w:ascii="Montserrat" w:hAnsi="Montserrat"/>
        </w:rPr>
        <w:t>prácticas</w:t>
      </w:r>
      <w:r w:rsidR="005D12B0" w:rsidRPr="005D12B0">
        <w:rPr>
          <w:rFonts w:ascii="Montserrat" w:hAnsi="Montserrat"/>
        </w:rPr>
        <w:t xml:space="preserve"> de terceros que, </w:t>
      </w:r>
      <w:r w:rsidR="004179A2">
        <w:rPr>
          <w:rFonts w:ascii="Montserrat" w:hAnsi="Montserrat"/>
        </w:rPr>
        <w:t>“</w:t>
      </w:r>
      <w:r w:rsidR="005D12B0" w:rsidRPr="005D12B0">
        <w:rPr>
          <w:rFonts w:ascii="Montserrat" w:hAnsi="Montserrat"/>
        </w:rPr>
        <w:t xml:space="preserve">bajo su </w:t>
      </w:r>
      <w:r w:rsidR="005D12B0" w:rsidRPr="005D12B0">
        <w:rPr>
          <w:rFonts w:ascii="Montserrat" w:hAnsi="Montserrat"/>
          <w:u w:val="single"/>
        </w:rPr>
        <w:t>tolerancia o aquiescencia</w:t>
      </w:r>
      <w:r w:rsidR="005D12B0" w:rsidRPr="005D12B0">
        <w:rPr>
          <w:rFonts w:ascii="Montserrat" w:hAnsi="Montserrat"/>
        </w:rPr>
        <w:t xml:space="preserve">, creen, mantengan o favorezcan las situaciones </w:t>
      </w:r>
      <w:r w:rsidR="001F7F39" w:rsidRPr="00210F15">
        <w:rPr>
          <w:rFonts w:ascii="Montserrat" w:hAnsi="Montserrat"/>
        </w:rPr>
        <w:t>violatorias de derechos humanos</w:t>
      </w:r>
      <w:r w:rsidR="004179A2">
        <w:rPr>
          <w:rFonts w:ascii="Montserrat" w:hAnsi="Montserrat"/>
        </w:rPr>
        <w:t>”</w:t>
      </w:r>
      <w:r w:rsidR="001F7F39" w:rsidRPr="00210F15">
        <w:rPr>
          <w:rFonts w:ascii="Montserrat" w:hAnsi="Montserrat"/>
        </w:rPr>
        <w:t>.</w:t>
      </w:r>
      <w:r w:rsidR="005D12B0" w:rsidRPr="00210F15">
        <w:rPr>
          <w:rFonts w:ascii="Montserrat" w:hAnsi="Montserrat"/>
          <w:vertAlign w:val="superscript"/>
          <w:lang w:val="es-ES_tradnl"/>
        </w:rPr>
        <w:footnoteReference w:id="2"/>
      </w:r>
      <w:r w:rsidR="001F7F39" w:rsidRPr="00210F15">
        <w:rPr>
          <w:rFonts w:ascii="Montserrat" w:hAnsi="Montserrat"/>
        </w:rPr>
        <w:t xml:space="preserve"> Al mismo tiempo, la Corte IDH ha indicado que para que la responsabilidad del Estado exista se debe demostrar que </w:t>
      </w:r>
      <w:r w:rsidR="001F7F39" w:rsidRPr="00210F15">
        <w:rPr>
          <w:rFonts w:ascii="Montserrat" w:hAnsi="Montserrat"/>
          <w:iCs/>
        </w:rPr>
        <w:t xml:space="preserve">ha habido </w:t>
      </w:r>
      <w:r w:rsidR="001F7F39" w:rsidRPr="00210F15">
        <w:rPr>
          <w:rFonts w:ascii="Montserrat" w:hAnsi="Montserrat"/>
          <w:iCs/>
          <w:u w:val="single"/>
        </w:rPr>
        <w:t>apoyo o tolerancia</w:t>
      </w:r>
      <w:r w:rsidR="001F7F39" w:rsidRPr="00210F15">
        <w:rPr>
          <w:rFonts w:ascii="Montserrat" w:hAnsi="Montserrat"/>
          <w:iCs/>
        </w:rPr>
        <w:t xml:space="preserve"> del poder público en la infracción de los derechos reconocidos en la Convención, omisiones que hayan permitido la perpetración de esas violaciones</w:t>
      </w:r>
      <w:r w:rsidR="001F7F39" w:rsidRPr="00210F15">
        <w:rPr>
          <w:rFonts w:ascii="Montserrat" w:hAnsi="Montserrat"/>
          <w:lang w:val="es-MX"/>
        </w:rPr>
        <w:t>.</w:t>
      </w:r>
      <w:r w:rsidR="001F7F39" w:rsidRPr="00210F15">
        <w:rPr>
          <w:rFonts w:ascii="Montserrat" w:hAnsi="Montserrat"/>
          <w:vertAlign w:val="superscript"/>
          <w:lang w:val="es-MX"/>
        </w:rPr>
        <w:footnoteReference w:id="3"/>
      </w:r>
      <w:r w:rsidR="003175C2" w:rsidRPr="00210F15">
        <w:rPr>
          <w:rFonts w:ascii="Montserrat" w:hAnsi="Montserrat"/>
          <w:lang w:val="es-MX"/>
        </w:rPr>
        <w:t xml:space="preserve"> Sobre estas reflexiones, el entonces Juez </w:t>
      </w:r>
      <w:r w:rsidR="003175C2" w:rsidRPr="00210F15">
        <w:rPr>
          <w:rFonts w:ascii="Montserrat" w:hAnsi="Montserrat"/>
        </w:rPr>
        <w:t xml:space="preserve">Cançado Trindade </w:t>
      </w:r>
      <w:r w:rsidR="003175C2" w:rsidRPr="00210F15">
        <w:rPr>
          <w:rFonts w:ascii="Montserrat" w:hAnsi="Montserrat"/>
          <w:lang w:val="es-ES_tradnl"/>
        </w:rPr>
        <w:t>indicó que:</w:t>
      </w:r>
    </w:p>
    <w:p w14:paraId="3C4AFE62" w14:textId="77777777" w:rsidR="00EC4CA4" w:rsidRDefault="003175C2" w:rsidP="00EC4CA4">
      <w:pPr>
        <w:ind w:left="708" w:firstLine="708"/>
        <w:jc w:val="both"/>
        <w:rPr>
          <w:rFonts w:ascii="Montserrat" w:hAnsi="Montserrat"/>
          <w:lang w:val="es-ES_tradnl"/>
        </w:rPr>
      </w:pPr>
      <w:r w:rsidRPr="003175C2">
        <w:rPr>
          <w:rFonts w:ascii="Montserrat" w:hAnsi="Montserrat"/>
          <w:i/>
          <w:iCs/>
          <w:lang w:val="es-MX"/>
        </w:rPr>
        <w:t>“… en el plano conceptual, no veo, en definitiva, cómo dejar de admitir la ocurrencia de un crimen de Estado en el derecho internacional general, sobre todo en la medida en que hay intención (falta o culpa), o tolerancia, acquiescencia, negligencia, u omisión, por parte del Estado en relación con violaciones graves de los derechos humanos y del Derecho Internacional Humanitario perpetradas por sus agentes, inclusive en nombre de un política de Esta</w:t>
      </w:r>
      <w:r w:rsidRPr="003175C2">
        <w:rPr>
          <w:rFonts w:ascii="Montserrat" w:hAnsi="Montserrat"/>
          <w:i/>
          <w:iCs/>
          <w:lang w:val="es-ES_tradnl"/>
        </w:rPr>
        <w:t>do…</w:t>
      </w:r>
      <w:r w:rsidRPr="003175C2">
        <w:rPr>
          <w:rFonts w:ascii="Montserrat" w:hAnsi="Montserrat"/>
          <w:lang w:val="es-ES_tradnl"/>
        </w:rPr>
        <w:t>”.</w:t>
      </w:r>
      <w:r w:rsidRPr="003175C2">
        <w:rPr>
          <w:rFonts w:ascii="Montserrat" w:hAnsi="Montserrat"/>
          <w:vertAlign w:val="superscript"/>
          <w:lang w:val="es-ES_tradnl"/>
        </w:rPr>
        <w:footnoteReference w:id="4"/>
      </w:r>
    </w:p>
    <w:p w14:paraId="3F916298" w14:textId="77777777" w:rsidR="00EC4CA4" w:rsidRDefault="00EC4CA4" w:rsidP="00EC4CA4">
      <w:pPr>
        <w:jc w:val="both"/>
        <w:rPr>
          <w:rFonts w:ascii="Montserrat" w:hAnsi="Montserrat"/>
          <w:i/>
          <w:iCs/>
          <w:lang w:val="es-ES_tradnl"/>
        </w:rPr>
      </w:pPr>
    </w:p>
    <w:p w14:paraId="7C908BDA" w14:textId="04ED7070" w:rsidR="003175C2" w:rsidRDefault="00D32E02" w:rsidP="00EC4CA4">
      <w:pPr>
        <w:jc w:val="both"/>
        <w:rPr>
          <w:rFonts w:ascii="Montserrat" w:hAnsi="Montserrat"/>
        </w:rPr>
      </w:pPr>
      <w:r>
        <w:rPr>
          <w:rFonts w:ascii="Montserrat" w:hAnsi="Montserrat"/>
          <w:lang w:val="es-ES_tradnl"/>
        </w:rPr>
        <w:t>Como se ve, el contenido de la aquiescencia, según la jurisprudencia de la Corte IDH se distingue de</w:t>
      </w:r>
      <w:r w:rsidR="0047150A">
        <w:rPr>
          <w:rFonts w:ascii="Montserrat" w:hAnsi="Montserrat"/>
          <w:lang w:val="es-ES_tradnl"/>
        </w:rPr>
        <w:t xml:space="preserve">l </w:t>
      </w:r>
      <w:r w:rsidR="00210F15">
        <w:rPr>
          <w:rFonts w:ascii="Montserrat" w:hAnsi="Montserrat"/>
          <w:lang w:val="es-ES_tradnl"/>
        </w:rPr>
        <w:t xml:space="preserve">de la </w:t>
      </w:r>
      <w:r>
        <w:rPr>
          <w:rFonts w:ascii="Montserrat" w:hAnsi="Montserrat"/>
          <w:lang w:val="es-ES_tradnl"/>
        </w:rPr>
        <w:t xml:space="preserve">tolerancia. En </w:t>
      </w:r>
      <w:r w:rsidR="0047150A">
        <w:rPr>
          <w:rFonts w:ascii="Montserrat" w:hAnsi="Montserrat"/>
          <w:lang w:val="es-ES_tradnl"/>
        </w:rPr>
        <w:t>virtud de las anteriores consideraciones</w:t>
      </w:r>
      <w:r>
        <w:rPr>
          <w:rFonts w:ascii="Montserrat" w:hAnsi="Montserrat"/>
          <w:lang w:val="es-ES_tradnl"/>
        </w:rPr>
        <w:t xml:space="preserve">, el Estado mexicano considera que no es adecuado </w:t>
      </w:r>
      <w:r w:rsidR="00EC4CA4">
        <w:rPr>
          <w:rFonts w:ascii="Montserrat" w:hAnsi="Montserrat"/>
          <w:lang w:val="es-ES_tradnl"/>
        </w:rPr>
        <w:t xml:space="preserve">subsumir </w:t>
      </w:r>
      <w:r>
        <w:rPr>
          <w:rFonts w:ascii="Montserrat" w:hAnsi="Montserrat"/>
          <w:lang w:val="es-ES_tradnl"/>
        </w:rPr>
        <w:t>a la tolerancia en la definición de la aquiescencia</w:t>
      </w:r>
      <w:r w:rsidR="0047150A">
        <w:rPr>
          <w:rFonts w:ascii="Montserrat" w:hAnsi="Montserrat"/>
          <w:lang w:val="es-ES_tradnl"/>
        </w:rPr>
        <w:t xml:space="preserve"> y, en ese sentido, propone que la redacción de esta porción </w:t>
      </w:r>
      <w:r w:rsidR="001D07A9">
        <w:rPr>
          <w:rFonts w:ascii="Montserrat" w:hAnsi="Montserrat"/>
          <w:lang w:val="es-ES_tradnl"/>
        </w:rPr>
        <w:t xml:space="preserve">de la resolución </w:t>
      </w:r>
      <w:r w:rsidR="0047150A">
        <w:rPr>
          <w:rFonts w:ascii="Montserrat" w:hAnsi="Montserrat"/>
          <w:lang w:val="es-ES_tradnl"/>
        </w:rPr>
        <w:t>señale</w:t>
      </w:r>
      <w:r w:rsidR="001D07A9">
        <w:rPr>
          <w:rFonts w:ascii="Montserrat" w:hAnsi="Montserrat"/>
          <w:lang w:val="es-ES_tradnl"/>
        </w:rPr>
        <w:t>:</w:t>
      </w:r>
      <w:r w:rsidR="0047150A">
        <w:rPr>
          <w:rFonts w:ascii="Montserrat" w:hAnsi="Montserrat"/>
          <w:lang w:val="es-ES_tradnl"/>
        </w:rPr>
        <w:t xml:space="preserve"> “</w:t>
      </w:r>
      <w:r w:rsidR="000A305E">
        <w:rPr>
          <w:rFonts w:ascii="Montserrat" w:hAnsi="Montserrat"/>
          <w:lang w:val="es-ES_tradnl"/>
        </w:rPr>
        <w:t>…</w:t>
      </w:r>
      <w:r w:rsidR="0047150A" w:rsidRPr="000A305E">
        <w:rPr>
          <w:rFonts w:ascii="Montserrat" w:hAnsi="Montserrat"/>
          <w:i/>
          <w:iCs/>
          <w:lang w:val="es-ES_tradnl"/>
        </w:rPr>
        <w:t>&lt;&lt;Aquiescence</w:t>
      </w:r>
      <w:r w:rsidR="000A305E" w:rsidRPr="000A305E">
        <w:rPr>
          <w:rFonts w:ascii="Montserrat" w:hAnsi="Montserrat"/>
          <w:i/>
          <w:iCs/>
          <w:lang w:val="es-ES_tradnl"/>
        </w:rPr>
        <w:t>&gt;&gt;</w:t>
      </w:r>
      <w:r w:rsidR="0047150A" w:rsidRPr="000A305E">
        <w:rPr>
          <w:rFonts w:ascii="Montserrat" w:hAnsi="Montserrat"/>
          <w:i/>
          <w:iCs/>
          <w:lang w:val="es-ES_tradnl"/>
        </w:rPr>
        <w:t xml:space="preserve"> is equivalent to tacit recognition manifested by unilateral </w:t>
      </w:r>
      <w:r w:rsidR="00CB074D" w:rsidRPr="000A305E">
        <w:rPr>
          <w:rFonts w:ascii="Montserrat" w:hAnsi="Montserrat"/>
          <w:i/>
          <w:iCs/>
          <w:lang w:val="es-ES_tradnl"/>
        </w:rPr>
        <w:t>conduct of the State</w:t>
      </w:r>
      <w:r w:rsidR="000A305E" w:rsidRPr="000A305E">
        <w:rPr>
          <w:rFonts w:ascii="Montserrat" w:hAnsi="Montserrat"/>
          <w:i/>
          <w:iCs/>
          <w:lang w:val="es-ES_tradnl"/>
        </w:rPr>
        <w:t xml:space="preserve"> interpreted as consent </w:t>
      </w:r>
      <w:r w:rsidR="000A305E" w:rsidRPr="000A305E">
        <w:rPr>
          <w:rFonts w:ascii="Montserrat" w:hAnsi="Montserrat"/>
          <w:i/>
          <w:iCs/>
        </w:rPr>
        <w:t>by an individual or a group of individuals</w:t>
      </w:r>
      <w:r w:rsidR="00210F15">
        <w:rPr>
          <w:rFonts w:ascii="Montserrat" w:hAnsi="Montserrat"/>
          <w:i/>
          <w:iCs/>
        </w:rPr>
        <w:t xml:space="preserve">, </w:t>
      </w:r>
      <w:r w:rsidR="00210F15" w:rsidRPr="000A305E">
        <w:rPr>
          <w:rFonts w:ascii="Montserrat" w:hAnsi="Montserrat"/>
          <w:i/>
          <w:iCs/>
          <w:lang w:val="es-ES_tradnl"/>
        </w:rPr>
        <w:t xml:space="preserve">with respect to </w:t>
      </w:r>
      <w:r w:rsidR="00210F15" w:rsidRPr="000A305E">
        <w:rPr>
          <w:rFonts w:ascii="Montserrat" w:hAnsi="Montserrat"/>
          <w:i/>
          <w:iCs/>
        </w:rPr>
        <w:t>an enf</w:t>
      </w:r>
      <w:r w:rsidR="00210F15">
        <w:rPr>
          <w:rFonts w:ascii="Montserrat" w:hAnsi="Montserrat"/>
          <w:i/>
          <w:iCs/>
        </w:rPr>
        <w:t>orced disappearance perpetrated by non-State actors</w:t>
      </w:r>
      <w:r w:rsidR="000A305E">
        <w:rPr>
          <w:rFonts w:ascii="Montserrat" w:hAnsi="Montserrat"/>
        </w:rPr>
        <w:t>…”.</w:t>
      </w:r>
    </w:p>
    <w:p w14:paraId="3490C531" w14:textId="77777777" w:rsidR="00EC4CA4" w:rsidRDefault="00EC4CA4" w:rsidP="00EC4CA4">
      <w:pPr>
        <w:jc w:val="both"/>
        <w:rPr>
          <w:rFonts w:ascii="Montserrat" w:hAnsi="Montserrat"/>
          <w:lang w:val="es-ES_tradnl"/>
        </w:rPr>
      </w:pPr>
    </w:p>
    <w:p w14:paraId="1E90166C" w14:textId="5E89C95C" w:rsidR="00B1533F" w:rsidRDefault="00713058" w:rsidP="00EC4CA4">
      <w:pPr>
        <w:jc w:val="both"/>
        <w:rPr>
          <w:rFonts w:ascii="Montserrat" w:hAnsi="Montserrat"/>
          <w:i/>
          <w:iCs/>
          <w:lang w:val="en-US"/>
        </w:rPr>
      </w:pPr>
      <w:r w:rsidRPr="00354DD8">
        <w:rPr>
          <w:rFonts w:ascii="Montserrat" w:hAnsi="Montserrat"/>
          <w:lang w:val="es-ES_tradnl"/>
        </w:rPr>
        <w:t>E</w:t>
      </w:r>
      <w:r w:rsidR="00EC4CA4">
        <w:rPr>
          <w:rFonts w:ascii="Montserrat" w:hAnsi="Montserrat"/>
          <w:lang w:val="es-ES_tradnl"/>
        </w:rPr>
        <w:t xml:space="preserve">l </w:t>
      </w:r>
      <w:r w:rsidRPr="00354DD8">
        <w:rPr>
          <w:rFonts w:ascii="Montserrat" w:hAnsi="Montserrat"/>
          <w:lang w:val="es-ES_tradnl"/>
        </w:rPr>
        <w:t xml:space="preserve">Estado mexicano coincide con </w:t>
      </w:r>
      <w:r w:rsidR="00913DC5">
        <w:rPr>
          <w:rFonts w:ascii="Montserrat" w:hAnsi="Montserrat"/>
          <w:lang w:val="es-ES_tradnl"/>
        </w:rPr>
        <w:t xml:space="preserve">respecto a que el test de la aquiescencia requiere demostrar que </w:t>
      </w:r>
      <w:r w:rsidR="00913DC5" w:rsidRPr="001D1F73">
        <w:rPr>
          <w:rFonts w:ascii="Montserrat" w:hAnsi="Montserrat"/>
          <w:u w:val="single"/>
          <w:lang w:val="es-ES_tradnl"/>
        </w:rPr>
        <w:t>el Estado tuvo conocimiento previo</w:t>
      </w:r>
      <w:r w:rsidR="00A87868">
        <w:rPr>
          <w:rFonts w:ascii="Montserrat" w:hAnsi="Montserrat"/>
          <w:lang w:val="es-ES_tradnl"/>
        </w:rPr>
        <w:t xml:space="preserve"> de una situación de riesgo real e inminente</w:t>
      </w:r>
      <w:r w:rsidR="00917E29">
        <w:rPr>
          <w:rFonts w:ascii="Montserrat" w:hAnsi="Montserrat"/>
          <w:lang w:val="es-ES_tradnl"/>
        </w:rPr>
        <w:t xml:space="preserve"> de violaciones a los derechos de las personas bajo su jurisdicción</w:t>
      </w:r>
      <w:r w:rsidR="00913DC5">
        <w:rPr>
          <w:rFonts w:ascii="Montserrat" w:hAnsi="Montserrat"/>
          <w:lang w:val="es-ES_tradnl"/>
        </w:rPr>
        <w:t>.</w:t>
      </w:r>
      <w:r w:rsidR="00A87868">
        <w:rPr>
          <w:rStyle w:val="Refdenotaalpie"/>
          <w:rFonts w:ascii="Montserrat" w:hAnsi="Montserrat"/>
          <w:lang w:val="es-ES_tradnl"/>
        </w:rPr>
        <w:footnoteReference w:id="5"/>
      </w:r>
      <w:r w:rsidR="00913DC5">
        <w:rPr>
          <w:rFonts w:ascii="Montserrat" w:hAnsi="Montserrat"/>
          <w:lang w:val="es-ES_tradnl"/>
        </w:rPr>
        <w:t xml:space="preserve"> Sin embargo, el Estado no coincide con la formulación “…</w:t>
      </w:r>
      <w:r w:rsidR="00913DC5" w:rsidRPr="00913DC5">
        <w:rPr>
          <w:rFonts w:ascii="Montserrat" w:hAnsi="Montserrat"/>
          <w:i/>
          <w:iCs/>
          <w:lang w:val="es-ES_tradnl"/>
        </w:rPr>
        <w:t>it includes circumstances</w:t>
      </w:r>
      <w:r w:rsidR="00913DC5">
        <w:rPr>
          <w:rFonts w:ascii="Montserrat" w:hAnsi="Montserrat"/>
          <w:i/>
          <w:iCs/>
          <w:lang w:val="es-ES_tradnl"/>
        </w:rPr>
        <w:t xml:space="preserve"> where</w:t>
      </w:r>
      <w:r w:rsidR="00913DC5">
        <w:rPr>
          <w:rFonts w:ascii="Montserrat" w:hAnsi="Montserrat"/>
          <w:lang w:val="es-ES_tradnl"/>
        </w:rPr>
        <w:t xml:space="preserve">…” pues parecería que </w:t>
      </w:r>
      <w:r w:rsidR="00EC4CA4">
        <w:rPr>
          <w:rFonts w:ascii="Montserrat" w:hAnsi="Montserrat"/>
          <w:lang w:val="es-ES_tradnl"/>
        </w:rPr>
        <w:t xml:space="preserve">se pretende establecer que </w:t>
      </w:r>
      <w:r w:rsidR="00A25BDB">
        <w:rPr>
          <w:rFonts w:ascii="Montserrat" w:hAnsi="Montserrat"/>
          <w:lang w:val="es-ES_tradnl"/>
        </w:rPr>
        <w:t xml:space="preserve">la </w:t>
      </w:r>
      <w:r w:rsidR="00A25BDB">
        <w:rPr>
          <w:rFonts w:ascii="Montserrat" w:hAnsi="Montserrat"/>
          <w:lang w:val="es-ES_tradnl"/>
        </w:rPr>
        <w:lastRenderedPageBreak/>
        <w:t xml:space="preserve">acreditación de este elemento es opcional, lo que no es así, pues se trata de un test </w:t>
      </w:r>
      <w:r w:rsidR="004179A2">
        <w:rPr>
          <w:rFonts w:ascii="Montserrat" w:hAnsi="Montserrat"/>
          <w:lang w:val="es-ES_tradnl"/>
        </w:rPr>
        <w:t>a</w:t>
      </w:r>
      <w:r w:rsidR="00A25BDB">
        <w:rPr>
          <w:rFonts w:ascii="Montserrat" w:hAnsi="Montserrat"/>
          <w:lang w:val="es-ES_tradnl"/>
        </w:rPr>
        <w:t xml:space="preserve">cumulativo y no alternativo. </w:t>
      </w:r>
      <w:r w:rsidR="00A25BDB" w:rsidRPr="00A25BDB">
        <w:rPr>
          <w:rFonts w:ascii="Montserrat" w:hAnsi="Montserrat"/>
          <w:lang w:val="en-US"/>
        </w:rPr>
        <w:t>En ese tenor, se sugiere modificar la redacción para indicar: “</w:t>
      </w:r>
      <w:r w:rsidR="00A25BDB">
        <w:rPr>
          <w:rFonts w:ascii="Montserrat" w:hAnsi="Montserrat"/>
          <w:lang w:val="en-US"/>
        </w:rPr>
        <w:t>…</w:t>
      </w:r>
      <w:r w:rsidR="00BC6051">
        <w:rPr>
          <w:rFonts w:ascii="Montserrat" w:hAnsi="Montserrat"/>
          <w:lang w:val="en-US"/>
        </w:rPr>
        <w:t>&lt;&lt;</w:t>
      </w:r>
      <w:r w:rsidR="00A25BDB" w:rsidRPr="00A25BDB">
        <w:rPr>
          <w:rFonts w:ascii="Montserrat" w:hAnsi="Montserrat"/>
          <w:i/>
          <w:iCs/>
          <w:lang w:val="en-US"/>
        </w:rPr>
        <w:t>Aquiescence</w:t>
      </w:r>
      <w:r w:rsidR="00BC6051">
        <w:rPr>
          <w:rFonts w:ascii="Montserrat" w:hAnsi="Montserrat"/>
          <w:i/>
          <w:iCs/>
          <w:lang w:val="en-US"/>
        </w:rPr>
        <w:t>&gt;&gt;</w:t>
      </w:r>
      <w:r w:rsidR="00A25BDB" w:rsidRPr="00A25BDB">
        <w:rPr>
          <w:rFonts w:ascii="Montserrat" w:hAnsi="Montserrat"/>
          <w:i/>
          <w:iCs/>
          <w:lang w:val="en-US"/>
        </w:rPr>
        <w:t xml:space="preserve"> takes place in cases where the State</w:t>
      </w:r>
      <w:r w:rsidR="00A25BDB" w:rsidRPr="00A25BDB">
        <w:rPr>
          <w:rFonts w:ascii="Montserrat" w:hAnsi="Montserrat"/>
          <w:lang w:val="en-US"/>
        </w:rPr>
        <w:t xml:space="preserve"> </w:t>
      </w:r>
      <w:r w:rsidRPr="00913DC5">
        <w:rPr>
          <w:rFonts w:ascii="Montserrat" w:hAnsi="Montserrat"/>
          <w:i/>
          <w:iCs/>
          <w:lang w:val="en-US"/>
        </w:rPr>
        <w:t>knew, had reasons to know, or ought to have known of the commission or of the real and imminent risk of commission of an enforced disappearance by persons or groups persons</w:t>
      </w:r>
      <w:r w:rsidR="009F72E1">
        <w:rPr>
          <w:rFonts w:ascii="Montserrat" w:hAnsi="Montserrat"/>
          <w:i/>
          <w:iCs/>
          <w:lang w:val="en-US"/>
        </w:rPr>
        <w:t>, and</w:t>
      </w:r>
      <w:r w:rsidR="00BC6051">
        <w:rPr>
          <w:rFonts w:ascii="Montserrat" w:hAnsi="Montserrat"/>
          <w:i/>
          <w:iCs/>
          <w:lang w:val="en-US"/>
        </w:rPr>
        <w:t xml:space="preserve"> </w:t>
      </w:r>
      <w:r w:rsidR="009F72E1">
        <w:rPr>
          <w:rFonts w:ascii="Montserrat" w:hAnsi="Montserrat"/>
          <w:i/>
          <w:iCs/>
          <w:lang w:val="en-US"/>
        </w:rPr>
        <w:t xml:space="preserve">the State </w:t>
      </w:r>
      <w:r w:rsidR="00BC6051">
        <w:rPr>
          <w:rFonts w:ascii="Montserrat" w:hAnsi="Montserrat"/>
          <w:i/>
          <w:iCs/>
          <w:lang w:val="en-US"/>
        </w:rPr>
        <w:t>consented through its action</w:t>
      </w:r>
      <w:r w:rsidR="00276725">
        <w:rPr>
          <w:rFonts w:ascii="Montserrat" w:hAnsi="Montserrat"/>
          <w:i/>
          <w:iCs/>
          <w:lang w:val="en-US"/>
        </w:rPr>
        <w:t>s…”.</w:t>
      </w:r>
      <w:r w:rsidR="00B1533F">
        <w:rPr>
          <w:rFonts w:ascii="Montserrat" w:hAnsi="Montserrat"/>
          <w:i/>
          <w:iCs/>
          <w:lang w:val="en-US"/>
        </w:rPr>
        <w:t xml:space="preserve"> </w:t>
      </w:r>
    </w:p>
    <w:p w14:paraId="66FEBCDD" w14:textId="77777777" w:rsidR="00EC4CA4" w:rsidRDefault="00EC4CA4" w:rsidP="00EC4CA4">
      <w:pPr>
        <w:jc w:val="both"/>
        <w:rPr>
          <w:rFonts w:ascii="Montserrat" w:hAnsi="Montserrat"/>
          <w:i/>
          <w:iCs/>
          <w:lang w:val="en-US"/>
        </w:rPr>
      </w:pPr>
    </w:p>
    <w:p w14:paraId="679B5EB4" w14:textId="79BB969A" w:rsidR="00F61329" w:rsidRPr="004179A2" w:rsidRDefault="001D1F73" w:rsidP="001D1F73">
      <w:pPr>
        <w:jc w:val="both"/>
        <w:rPr>
          <w:rFonts w:ascii="Montserrat" w:hAnsi="Montserrat"/>
          <w:lang w:val="es-MX"/>
        </w:rPr>
      </w:pPr>
      <w:r>
        <w:rPr>
          <w:rFonts w:ascii="Montserrat" w:hAnsi="Montserrat"/>
          <w:lang w:val="en-US"/>
        </w:rPr>
        <w:t>C</w:t>
      </w:r>
      <w:r w:rsidR="004179A2">
        <w:rPr>
          <w:rFonts w:ascii="Montserrat" w:hAnsi="Montserrat"/>
          <w:lang w:val="en-US"/>
        </w:rPr>
        <w:t xml:space="preserve">on respecto al texto </w:t>
      </w:r>
      <w:r w:rsidR="00B1533F" w:rsidRPr="00597C31">
        <w:rPr>
          <w:rFonts w:ascii="Montserrat" w:hAnsi="Montserrat"/>
          <w:lang w:val="en-US"/>
        </w:rPr>
        <w:t xml:space="preserve">que indica </w:t>
      </w:r>
      <w:r w:rsidR="00597C31">
        <w:rPr>
          <w:rFonts w:ascii="Montserrat" w:hAnsi="Montserrat"/>
          <w:lang w:val="en-US"/>
        </w:rPr>
        <w:t>“…</w:t>
      </w:r>
      <w:r w:rsidR="00597C31" w:rsidRPr="00597C31">
        <w:rPr>
          <w:rFonts w:ascii="Montserrat" w:hAnsi="Montserrat"/>
          <w:i/>
          <w:iCs/>
          <w:lang w:val="en-GB"/>
        </w:rPr>
        <w:t>it also includes situations when there is a known pattern of disappearances of persons and the State has failed to take the necessary measures to prevent further disappearances, to investigate and bring the perpetrators to justice</w:t>
      </w:r>
      <w:r w:rsidR="00597C31">
        <w:rPr>
          <w:rFonts w:ascii="Montserrat" w:hAnsi="Montserrat"/>
          <w:lang w:val="en-GB"/>
        </w:rPr>
        <w:t xml:space="preserve">…”, el Estado </w:t>
      </w:r>
      <w:r w:rsidR="00276725">
        <w:rPr>
          <w:rFonts w:ascii="Montserrat" w:hAnsi="Montserrat"/>
          <w:lang w:val="en-GB"/>
        </w:rPr>
        <w:t xml:space="preserve">mexicano </w:t>
      </w:r>
      <w:r w:rsidR="00597C31">
        <w:rPr>
          <w:rFonts w:ascii="Montserrat" w:hAnsi="Montserrat"/>
          <w:lang w:val="en-GB"/>
        </w:rPr>
        <w:t xml:space="preserve">observa que esta aseveración no </w:t>
      </w:r>
      <w:r w:rsidR="004179A2">
        <w:rPr>
          <w:rFonts w:ascii="Montserrat" w:hAnsi="Montserrat"/>
          <w:lang w:val="en-GB"/>
        </w:rPr>
        <w:t>es coherente</w:t>
      </w:r>
      <w:r w:rsidR="00597C31">
        <w:rPr>
          <w:rFonts w:ascii="Montserrat" w:hAnsi="Montserrat"/>
          <w:lang w:val="en-GB"/>
        </w:rPr>
        <w:t xml:space="preserve"> con la jurisprudencia de ese Comité.</w:t>
      </w:r>
      <w:r w:rsidR="004179A2">
        <w:rPr>
          <w:rFonts w:ascii="Montserrat" w:hAnsi="Montserrat"/>
          <w:lang w:val="en-GB"/>
        </w:rPr>
        <w:t xml:space="preserve"> </w:t>
      </w:r>
      <w:r w:rsidR="00597C31" w:rsidRPr="00597C31">
        <w:rPr>
          <w:rFonts w:ascii="Montserrat" w:hAnsi="Montserrat"/>
        </w:rPr>
        <w:t xml:space="preserve">En el caso </w:t>
      </w:r>
      <w:r w:rsidR="00597C31" w:rsidRPr="00597C31">
        <w:rPr>
          <w:rFonts w:ascii="Montserrat" w:hAnsi="Montserrat"/>
          <w:i/>
        </w:rPr>
        <w:t>Jesús Israel Moreno Pérez y otros vs México</w:t>
      </w:r>
      <w:r w:rsidR="00597C31">
        <w:rPr>
          <w:rFonts w:ascii="Montserrat" w:hAnsi="Montserrat"/>
          <w:iCs/>
        </w:rPr>
        <w:t>,</w:t>
      </w:r>
      <w:r w:rsidR="00276725">
        <w:rPr>
          <w:rFonts w:ascii="Montserrat" w:hAnsi="Montserrat"/>
          <w:iCs/>
        </w:rPr>
        <w:t xml:space="preserve"> por ejemplo,</w:t>
      </w:r>
      <w:r w:rsidR="00597C31">
        <w:rPr>
          <w:rFonts w:ascii="Montserrat" w:hAnsi="Montserrat"/>
          <w:iCs/>
        </w:rPr>
        <w:t xml:space="preserve"> ese Comité determinó que es necesario demostrar la </w:t>
      </w:r>
      <w:r w:rsidR="00597C31" w:rsidRPr="001D1F73">
        <w:rPr>
          <w:rFonts w:ascii="Montserrat" w:hAnsi="Montserrat"/>
          <w:iCs/>
          <w:u w:val="single"/>
        </w:rPr>
        <w:t>aquiescencia directa de agentes del Estado</w:t>
      </w:r>
      <w:r w:rsidR="00597C31">
        <w:rPr>
          <w:rFonts w:ascii="Montserrat" w:hAnsi="Montserrat"/>
          <w:iCs/>
        </w:rPr>
        <w:t xml:space="preserve"> y, de no ser así, es necesario que se demuestre un contexto </w:t>
      </w:r>
      <w:r w:rsidR="0015585B">
        <w:rPr>
          <w:rFonts w:ascii="Montserrat" w:hAnsi="Montserrat"/>
          <w:iCs/>
        </w:rPr>
        <w:t xml:space="preserve">de violaciones de derechos humanos en la región y temporalidad de los hechos, </w:t>
      </w:r>
      <w:r w:rsidR="004179A2">
        <w:rPr>
          <w:rFonts w:ascii="Montserrat" w:hAnsi="Montserrat"/>
          <w:iCs/>
        </w:rPr>
        <w:t>y además</w:t>
      </w:r>
      <w:r w:rsidR="0015585B">
        <w:rPr>
          <w:rFonts w:ascii="Montserrat" w:hAnsi="Montserrat"/>
          <w:iCs/>
        </w:rPr>
        <w:t xml:space="preserve"> acreditar </w:t>
      </w:r>
      <w:r w:rsidR="00276725">
        <w:rPr>
          <w:rFonts w:ascii="Montserrat" w:hAnsi="Montserrat"/>
          <w:iCs/>
        </w:rPr>
        <w:t xml:space="preserve">con una prueba indiciaria la presunción </w:t>
      </w:r>
      <w:r w:rsidR="0015585B">
        <w:rPr>
          <w:rFonts w:ascii="Montserrat" w:hAnsi="Montserrat"/>
          <w:iCs/>
        </w:rPr>
        <w:t>de aquiescencia de agentes del Estado en la desaparición</w:t>
      </w:r>
      <w:r w:rsidR="005E19F8">
        <w:rPr>
          <w:rFonts w:ascii="Montserrat" w:hAnsi="Montserrat"/>
          <w:iCs/>
        </w:rPr>
        <w:t>.</w:t>
      </w:r>
      <w:r w:rsidR="005E19F8">
        <w:rPr>
          <w:rStyle w:val="Refdenotaalpie"/>
          <w:rFonts w:ascii="Montserrat" w:hAnsi="Montserrat"/>
        </w:rPr>
        <w:footnoteReference w:id="6"/>
      </w:r>
    </w:p>
    <w:p w14:paraId="4D2F98EF" w14:textId="77777777" w:rsidR="001D1F73" w:rsidRDefault="001D1F73" w:rsidP="001D1F73">
      <w:pPr>
        <w:jc w:val="both"/>
        <w:rPr>
          <w:rFonts w:ascii="Montserrat" w:hAnsi="Montserrat"/>
          <w:iCs/>
        </w:rPr>
      </w:pPr>
    </w:p>
    <w:p w14:paraId="29FB5343" w14:textId="360AD434" w:rsidR="00F61329" w:rsidRDefault="00F61329" w:rsidP="001D1F73">
      <w:pPr>
        <w:jc w:val="both"/>
        <w:rPr>
          <w:rFonts w:ascii="Montserrat" w:hAnsi="Montserrat"/>
          <w:lang w:val="es-MX"/>
        </w:rPr>
      </w:pPr>
      <w:r>
        <w:rPr>
          <w:rFonts w:ascii="Montserrat" w:hAnsi="Montserrat"/>
          <w:iCs/>
        </w:rPr>
        <w:t>Estas consideraciones encuentran sustento también en el Derecho Internacional pues, para la acreditación de la aquiescencia</w:t>
      </w:r>
      <w:r w:rsidR="00353826">
        <w:rPr>
          <w:rFonts w:ascii="Montserrat" w:hAnsi="Montserrat"/>
          <w:iCs/>
        </w:rPr>
        <w:t xml:space="preserve"> se requiere analizar la razonabilidad del actuar del Estado, determinación sobre la cual debe </w:t>
      </w:r>
      <w:r w:rsidR="00353826">
        <w:rPr>
          <w:rFonts w:ascii="Montserrat" w:hAnsi="Montserrat"/>
          <w:lang w:val="es-MX"/>
        </w:rPr>
        <w:t xml:space="preserve">probarse </w:t>
      </w:r>
      <w:r w:rsidRPr="00CD165B">
        <w:rPr>
          <w:rFonts w:ascii="Montserrat" w:hAnsi="Montserrat"/>
          <w:lang w:val="es-MX"/>
        </w:rPr>
        <w:t>que la conducta del Estado que aquiesce debe mostrarse de manera manifiesta y sin lugar a dudas a la luz de los hechos relevantes.</w:t>
      </w:r>
      <w:r w:rsidRPr="00CD165B">
        <w:rPr>
          <w:rFonts w:ascii="Montserrat" w:hAnsi="Montserrat"/>
          <w:vertAlign w:val="superscript"/>
          <w:lang w:val="en-US"/>
        </w:rPr>
        <w:footnoteReference w:id="7"/>
      </w:r>
    </w:p>
    <w:p w14:paraId="330E01CA" w14:textId="77777777" w:rsidR="001D1F73" w:rsidRDefault="001D1F73" w:rsidP="001D1F73">
      <w:pPr>
        <w:jc w:val="both"/>
        <w:rPr>
          <w:rFonts w:ascii="Montserrat" w:hAnsi="Montserrat"/>
          <w:iCs/>
        </w:rPr>
      </w:pPr>
    </w:p>
    <w:p w14:paraId="7BFE121F" w14:textId="00EA1199" w:rsidR="00F61329" w:rsidRDefault="00070504" w:rsidP="001D1F73">
      <w:pPr>
        <w:jc w:val="both"/>
        <w:rPr>
          <w:rFonts w:ascii="Montserrat" w:hAnsi="Montserrat"/>
          <w:iCs/>
        </w:rPr>
      </w:pPr>
      <w:r>
        <w:rPr>
          <w:rFonts w:ascii="Montserrat" w:hAnsi="Montserrat"/>
          <w:iCs/>
        </w:rPr>
        <w:t xml:space="preserve">En consecuencia, el Estado mexicano considera que </w:t>
      </w:r>
      <w:r w:rsidR="004179A2">
        <w:rPr>
          <w:rFonts w:ascii="Montserrat" w:hAnsi="Montserrat"/>
          <w:iCs/>
        </w:rPr>
        <w:t>esta parte de la declaración</w:t>
      </w:r>
      <w:r>
        <w:rPr>
          <w:rFonts w:ascii="Montserrat" w:hAnsi="Montserrat"/>
          <w:iCs/>
        </w:rPr>
        <w:t xml:space="preserve"> extralimita el contenido de la norma de aquiescencia</w:t>
      </w:r>
      <w:r w:rsidR="004179A2">
        <w:rPr>
          <w:rFonts w:ascii="Montserrat" w:hAnsi="Montserrat"/>
          <w:iCs/>
        </w:rPr>
        <w:t xml:space="preserve"> establecida en el derecho internacional</w:t>
      </w:r>
      <w:r w:rsidR="001D1F73">
        <w:rPr>
          <w:rFonts w:ascii="Montserrat" w:hAnsi="Montserrat"/>
          <w:iCs/>
        </w:rPr>
        <w:t xml:space="preserve"> general</w:t>
      </w:r>
      <w:r w:rsidR="004179A2">
        <w:rPr>
          <w:rFonts w:ascii="Montserrat" w:hAnsi="Montserrat"/>
          <w:iCs/>
        </w:rPr>
        <w:t>,</w:t>
      </w:r>
      <w:r>
        <w:rPr>
          <w:rFonts w:ascii="Montserrat" w:hAnsi="Montserrat"/>
          <w:iCs/>
        </w:rPr>
        <w:t xml:space="preserve"> por lo que se sugiere su elimina</w:t>
      </w:r>
      <w:r w:rsidR="00276725">
        <w:rPr>
          <w:rFonts w:ascii="Montserrat" w:hAnsi="Montserrat"/>
          <w:iCs/>
        </w:rPr>
        <w:t>ción.</w:t>
      </w:r>
      <w:r w:rsidR="004179A2">
        <w:rPr>
          <w:rFonts w:ascii="Montserrat" w:hAnsi="Montserrat"/>
          <w:iCs/>
        </w:rPr>
        <w:t xml:space="preserve"> Dicha</w:t>
      </w:r>
      <w:r w:rsidR="00A62110">
        <w:rPr>
          <w:rFonts w:ascii="Montserrat" w:hAnsi="Montserrat"/>
          <w:iCs/>
        </w:rPr>
        <w:t xml:space="preserve"> eliminación </w:t>
      </w:r>
      <w:r w:rsidR="004179A2">
        <w:rPr>
          <w:rFonts w:ascii="Montserrat" w:hAnsi="Montserrat"/>
          <w:iCs/>
        </w:rPr>
        <w:t>no</w:t>
      </w:r>
      <w:r w:rsidR="00A62110">
        <w:rPr>
          <w:rFonts w:ascii="Montserrat" w:hAnsi="Montserrat"/>
          <w:iCs/>
        </w:rPr>
        <w:t xml:space="preserve"> afecta la efectividad de los derechos previstos en la Convención pues, al respecto, se resalta que siguen siendo aplicables las reglas generales previstas en el </w:t>
      </w:r>
      <w:r w:rsidR="00AB350E">
        <w:rPr>
          <w:rFonts w:ascii="Montserrat" w:hAnsi="Montserrat"/>
          <w:iCs/>
        </w:rPr>
        <w:t>Derecho Internacional de los Derechos Humanos</w:t>
      </w:r>
      <w:r w:rsidR="00A62110">
        <w:rPr>
          <w:rFonts w:ascii="Montserrat" w:hAnsi="Montserrat"/>
          <w:iCs/>
        </w:rPr>
        <w:t>.</w:t>
      </w:r>
    </w:p>
    <w:p w14:paraId="07A0C564" w14:textId="33BD4C09" w:rsidR="005970CD" w:rsidRPr="0056100D" w:rsidRDefault="005970CD" w:rsidP="001D1F73">
      <w:pPr>
        <w:jc w:val="both"/>
        <w:rPr>
          <w:rFonts w:ascii="Montserrat" w:hAnsi="Montserrat"/>
          <w:iCs/>
        </w:rPr>
      </w:pPr>
      <w:bookmarkStart w:id="0" w:name="_GoBack"/>
      <w:bookmarkEnd w:id="0"/>
    </w:p>
    <w:sectPr w:rsidR="005970CD" w:rsidRPr="0056100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CFA5" w14:textId="77777777" w:rsidR="00135284" w:rsidRDefault="00135284">
      <w:r>
        <w:separator/>
      </w:r>
    </w:p>
  </w:endnote>
  <w:endnote w:type="continuationSeparator" w:id="0">
    <w:p w14:paraId="656353CD" w14:textId="77777777" w:rsidR="00135284" w:rsidRDefault="001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26592931" w14:textId="77777777" w:rsidR="002761E8" w:rsidRDefault="00815B16" w:rsidP="002761E8">
            <w:pPr>
              <w:pStyle w:val="Piedepgina"/>
            </w:pPr>
            <w:r>
              <w:rPr>
                <w:noProof/>
                <w:lang w:val="es-MX" w:eastAsia="es-MX"/>
              </w:rPr>
              <mc:AlternateContent>
                <mc:Choice Requires="wps">
                  <w:drawing>
                    <wp:anchor distT="0" distB="0" distL="114300" distR="114300" simplePos="0" relativeHeight="251659264" behindDoc="0" locked="0" layoutInCell="1" allowOverlap="1" wp14:anchorId="153E4570" wp14:editId="10FAA42B">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68CFBA44" w14:textId="77777777" w:rsidR="002761E8" w:rsidRPr="009055E2" w:rsidRDefault="00815B16"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429B92B" w14:textId="77777777" w:rsidR="002761E8" w:rsidRPr="009055E2" w:rsidRDefault="00815B16"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4FB160C4" w14:textId="77777777" w:rsidR="002761E8" w:rsidRDefault="00135284"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3E4570"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" filled="f" stroked="f" strokeweight=".5pt">
                      <v:textbox>
                        <w:txbxContent>
                          <w:p w14:paraId="68CFBA44" w14:textId="77777777" w:rsidR="002761E8" w:rsidRPr="009055E2" w:rsidRDefault="00815B16"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429B92B" w14:textId="77777777" w:rsidR="002761E8" w:rsidRPr="009055E2" w:rsidRDefault="00815B16"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4FB160C4" w14:textId="77777777" w:rsidR="002761E8" w:rsidRDefault="003312E1" w:rsidP="002761E8"/>
                        </w:txbxContent>
                      </v:textbox>
                    </v:shape>
                  </w:pict>
                </mc:Fallback>
              </mc:AlternateContent>
            </w:r>
          </w:p>
          <w:p w14:paraId="458E0256" w14:textId="77777777" w:rsidR="00901A98" w:rsidRDefault="00815B16" w:rsidP="00F0307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332A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332AD">
              <w:rPr>
                <w:b/>
                <w:bCs/>
                <w:noProof/>
              </w:rPr>
              <w:t>5</w:t>
            </w:r>
            <w:r>
              <w:rPr>
                <w:b/>
                <w:bCs/>
                <w:sz w:val="24"/>
                <w:szCs w:val="24"/>
              </w:rPr>
              <w:fldChar w:fldCharType="end"/>
            </w:r>
          </w:p>
        </w:sdtContent>
      </w:sdt>
    </w:sdtContent>
  </w:sdt>
  <w:p w14:paraId="73FC664B" w14:textId="77777777" w:rsidR="005930BF" w:rsidRDefault="00135284" w:rsidP="00901A98">
    <w:pPr>
      <w:pStyle w:val="Piedepgina"/>
    </w:pPr>
  </w:p>
  <w:p w14:paraId="34ED4F45" w14:textId="77777777" w:rsidR="00E31D73" w:rsidRDefault="00E31D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7166" w14:textId="77777777" w:rsidR="00135284" w:rsidRDefault="00135284">
      <w:r>
        <w:separator/>
      </w:r>
    </w:p>
  </w:footnote>
  <w:footnote w:type="continuationSeparator" w:id="0">
    <w:p w14:paraId="7E3A37EE" w14:textId="77777777" w:rsidR="00135284" w:rsidRDefault="00135284">
      <w:r>
        <w:continuationSeparator/>
      </w:r>
    </w:p>
  </w:footnote>
  <w:footnote w:id="1">
    <w:p w14:paraId="79D94BBF" w14:textId="7199491C" w:rsidR="00CD165B" w:rsidRPr="00F332AD" w:rsidRDefault="00CD165B" w:rsidP="007E6CC0">
      <w:pPr>
        <w:pStyle w:val="Textonotapie"/>
        <w:jc w:val="both"/>
        <w:rPr>
          <w:rFonts w:ascii="Montserrat" w:hAnsi="Montserrat"/>
          <w:lang w:val="es-ES"/>
        </w:rPr>
      </w:pPr>
      <w:r w:rsidRPr="00F332AD">
        <w:rPr>
          <w:rStyle w:val="Refdenotaalpie"/>
          <w:rFonts w:ascii="Montserrat" w:hAnsi="Montserrat"/>
        </w:rPr>
        <w:footnoteRef/>
      </w:r>
      <w:r w:rsidRPr="00F332AD">
        <w:rPr>
          <w:rFonts w:ascii="Montserrat" w:hAnsi="Montserrat"/>
          <w:lang w:val="en-US"/>
        </w:rPr>
        <w:t xml:space="preserve"> Cfr. </w:t>
      </w:r>
      <w:r w:rsidR="00134D44" w:rsidRPr="00F332AD">
        <w:rPr>
          <w:rFonts w:ascii="Montserrat" w:hAnsi="Montserrat"/>
          <w:lang w:val="en-US"/>
        </w:rPr>
        <w:t>ICJ</w:t>
      </w:r>
      <w:r w:rsidRPr="00F332AD">
        <w:rPr>
          <w:rFonts w:ascii="Montserrat" w:hAnsi="Montserrat"/>
          <w:lang w:val="en-US"/>
        </w:rPr>
        <w:t xml:space="preserve">, </w:t>
      </w:r>
      <w:r w:rsidR="00134D44" w:rsidRPr="00F332AD">
        <w:rPr>
          <w:rFonts w:ascii="Montserrat" w:hAnsi="Montserrat"/>
          <w:i/>
          <w:lang w:val="en-US"/>
        </w:rPr>
        <w:t>Delimitation of the Maritime Boundary in the Gu</w:t>
      </w:r>
      <w:r w:rsidR="000219CD" w:rsidRPr="00F332AD">
        <w:rPr>
          <w:rFonts w:ascii="Montserrat" w:hAnsi="Montserrat"/>
          <w:i/>
          <w:lang w:val="en-US"/>
        </w:rPr>
        <w:t>l</w:t>
      </w:r>
      <w:r w:rsidR="00134D44" w:rsidRPr="00F332AD">
        <w:rPr>
          <w:rFonts w:ascii="Montserrat" w:hAnsi="Montserrat"/>
          <w:i/>
          <w:lang w:val="en-US"/>
        </w:rPr>
        <w:t>f of Maine Area</w:t>
      </w:r>
      <w:r w:rsidR="00134D44" w:rsidRPr="00F332AD">
        <w:rPr>
          <w:rFonts w:ascii="Montserrat" w:hAnsi="Montserrat"/>
          <w:lang w:val="en-US"/>
        </w:rPr>
        <w:t xml:space="preserve"> (Canada/United States of America) </w:t>
      </w:r>
      <w:r w:rsidR="000219CD" w:rsidRPr="00F332AD">
        <w:rPr>
          <w:rFonts w:ascii="Montserrat" w:hAnsi="Montserrat"/>
          <w:lang w:val="en-US"/>
        </w:rPr>
        <w:t>(</w:t>
      </w:r>
      <w:r w:rsidR="00134D44" w:rsidRPr="00F332AD">
        <w:rPr>
          <w:rFonts w:ascii="Montserrat" w:hAnsi="Montserrat"/>
          <w:lang w:val="en-US"/>
        </w:rPr>
        <w:t>Judgment</w:t>
      </w:r>
      <w:r w:rsidR="000219CD" w:rsidRPr="00F332AD">
        <w:rPr>
          <w:rFonts w:ascii="Montserrat" w:hAnsi="Montserrat"/>
          <w:lang w:val="en-US"/>
        </w:rPr>
        <w:t>)</w:t>
      </w:r>
      <w:r w:rsidR="00134D44" w:rsidRPr="00F332AD">
        <w:rPr>
          <w:rFonts w:ascii="Montserrat" w:hAnsi="Montserrat"/>
          <w:lang w:val="en-US"/>
        </w:rPr>
        <w:t xml:space="preserve"> </w:t>
      </w:r>
      <w:r w:rsidR="000219CD" w:rsidRPr="00F332AD">
        <w:rPr>
          <w:rFonts w:ascii="Montserrat" w:hAnsi="Montserrat"/>
          <w:lang w:val="en-US"/>
        </w:rPr>
        <w:t>[</w:t>
      </w:r>
      <w:r w:rsidR="00134D44" w:rsidRPr="00F332AD">
        <w:rPr>
          <w:rFonts w:ascii="Montserrat" w:hAnsi="Montserrat"/>
          <w:lang w:val="en-US"/>
        </w:rPr>
        <w:t>1984</w:t>
      </w:r>
      <w:r w:rsidR="000219CD" w:rsidRPr="00F332AD">
        <w:rPr>
          <w:rFonts w:ascii="Montserrat" w:hAnsi="Montserrat"/>
          <w:lang w:val="en-US"/>
        </w:rPr>
        <w:t>]</w:t>
      </w:r>
      <w:r w:rsidR="00134D44" w:rsidRPr="00F332AD">
        <w:rPr>
          <w:rFonts w:ascii="Montserrat" w:hAnsi="Montserrat"/>
          <w:lang w:val="en-US"/>
        </w:rPr>
        <w:t>,</w:t>
      </w:r>
      <w:r w:rsidRPr="00F332AD">
        <w:rPr>
          <w:rFonts w:ascii="Montserrat" w:hAnsi="Montserrat"/>
          <w:lang w:val="en-US"/>
        </w:rPr>
        <w:t xml:space="preserve"> pág. 305, parra. </w:t>
      </w:r>
      <w:r w:rsidRPr="00F332AD">
        <w:rPr>
          <w:rFonts w:ascii="Montserrat" w:hAnsi="Montserrat"/>
          <w:lang w:val="es-ES"/>
        </w:rPr>
        <w:t xml:space="preserve">130; MARQUES, Nuno, </w:t>
      </w:r>
      <w:r w:rsidRPr="00F332AD">
        <w:rPr>
          <w:rFonts w:ascii="Montserrat" w:hAnsi="Montserrat"/>
          <w:i/>
          <w:lang w:val="es-ES"/>
        </w:rPr>
        <w:t>Acquiescense</w:t>
      </w:r>
      <w:r w:rsidRPr="00F332AD">
        <w:rPr>
          <w:rFonts w:ascii="Montserrat" w:hAnsi="Montserrat"/>
          <w:lang w:val="es-ES"/>
        </w:rPr>
        <w:t>, Max Planck Encyclopedia of Public International Law, Reino Unido, 2006, párr. 25.</w:t>
      </w:r>
    </w:p>
  </w:footnote>
  <w:footnote w:id="2">
    <w:p w14:paraId="01849863" w14:textId="7F71FDBA" w:rsidR="005D12B0" w:rsidRPr="00F332AD" w:rsidRDefault="005D12B0" w:rsidP="007E6CC0">
      <w:pPr>
        <w:pStyle w:val="Textonotapie"/>
        <w:jc w:val="both"/>
        <w:rPr>
          <w:rFonts w:ascii="Montserrat" w:hAnsi="Montserrat" w:cs="Arial"/>
        </w:rPr>
      </w:pPr>
      <w:r w:rsidRPr="00F332AD">
        <w:rPr>
          <w:rStyle w:val="Refdenotaalpie"/>
          <w:rFonts w:ascii="Montserrat" w:hAnsi="Montserrat" w:cs="Arial"/>
        </w:rPr>
        <w:footnoteRef/>
      </w:r>
      <w:r w:rsidRPr="00F332AD">
        <w:rPr>
          <w:rFonts w:ascii="Montserrat" w:hAnsi="Montserrat" w:cs="Arial"/>
        </w:rPr>
        <w:t xml:space="preserve"> </w:t>
      </w:r>
      <w:r w:rsidR="001F7F39" w:rsidRPr="00F332AD">
        <w:rPr>
          <w:rFonts w:ascii="Montserrat" w:hAnsi="Montserrat" w:cs="Arial"/>
        </w:rPr>
        <w:t xml:space="preserve">Cfr. </w:t>
      </w:r>
      <w:r w:rsidRPr="00F332AD">
        <w:rPr>
          <w:rFonts w:ascii="Montserrat" w:hAnsi="Montserrat" w:cs="Arial"/>
        </w:rPr>
        <w:t>C</w:t>
      </w:r>
      <w:r w:rsidR="00134D44" w:rsidRPr="00F332AD">
        <w:rPr>
          <w:rFonts w:ascii="Montserrat" w:hAnsi="Montserrat" w:cs="Arial"/>
        </w:rPr>
        <w:t>orte IDH</w:t>
      </w:r>
      <w:r w:rsidRPr="00F332AD">
        <w:rPr>
          <w:rFonts w:ascii="Montserrat" w:hAnsi="Montserrat" w:cs="Arial"/>
        </w:rPr>
        <w:t xml:space="preserve">, </w:t>
      </w:r>
      <w:r w:rsidRPr="00F332AD">
        <w:rPr>
          <w:rFonts w:ascii="Montserrat" w:hAnsi="Montserrat" w:cs="Arial"/>
          <w:i/>
          <w:iCs/>
          <w:lang w:val="es-ES"/>
        </w:rPr>
        <w:t>Caso Norín Catrimán y otros (Dirigentes, miembros y activista del pueblo indígena Mapuche) vs Chile</w:t>
      </w:r>
      <w:r w:rsidRPr="00F332AD">
        <w:rPr>
          <w:rFonts w:ascii="Montserrat" w:hAnsi="Montserrat" w:cs="Arial"/>
          <w:lang w:val="es-ES"/>
        </w:rPr>
        <w:t>, Sentencia de fondo, repar</w:t>
      </w:r>
      <w:r w:rsidR="000219CD" w:rsidRPr="00F332AD">
        <w:rPr>
          <w:rFonts w:ascii="Montserrat" w:hAnsi="Montserrat" w:cs="Arial"/>
          <w:lang w:val="es-ES"/>
        </w:rPr>
        <w:t>aciones y costas [2014]</w:t>
      </w:r>
      <w:r w:rsidRPr="00F332AD">
        <w:rPr>
          <w:rFonts w:ascii="Montserrat" w:hAnsi="Montserrat" w:cs="Arial"/>
          <w:lang w:val="es-ES"/>
        </w:rPr>
        <w:t>, pár</w:t>
      </w:r>
      <w:r w:rsidR="00134D44" w:rsidRPr="00F332AD">
        <w:rPr>
          <w:rFonts w:ascii="Montserrat" w:hAnsi="Montserrat" w:cs="Arial"/>
          <w:lang w:val="es-ES"/>
        </w:rPr>
        <w:t>r</w:t>
      </w:r>
      <w:r w:rsidRPr="00F332AD">
        <w:rPr>
          <w:rFonts w:ascii="Montserrat" w:hAnsi="Montserrat" w:cs="Arial"/>
          <w:lang w:val="es-ES"/>
        </w:rPr>
        <w:t xml:space="preserve">. 70, párr. </w:t>
      </w:r>
      <w:r w:rsidRPr="00F332AD">
        <w:rPr>
          <w:rFonts w:ascii="Montserrat" w:hAnsi="Montserrat" w:cs="Arial"/>
        </w:rPr>
        <w:t>201.</w:t>
      </w:r>
    </w:p>
  </w:footnote>
  <w:footnote w:id="3">
    <w:p w14:paraId="5943320E" w14:textId="18C0C0C3" w:rsidR="001F7F39" w:rsidRPr="00F332AD" w:rsidRDefault="001F7F39" w:rsidP="007E6CC0">
      <w:pPr>
        <w:pStyle w:val="Textonotapie"/>
        <w:jc w:val="both"/>
        <w:rPr>
          <w:rFonts w:ascii="Montserrat" w:hAnsi="Montserrat" w:cs="Arial"/>
        </w:rPr>
      </w:pPr>
      <w:r w:rsidRPr="00F332AD">
        <w:rPr>
          <w:rStyle w:val="Refdenotaalpie"/>
          <w:rFonts w:ascii="Montserrat" w:hAnsi="Montserrat" w:cs="Arial"/>
        </w:rPr>
        <w:footnoteRef/>
      </w:r>
      <w:r w:rsidRPr="00F332AD">
        <w:rPr>
          <w:rFonts w:ascii="Montserrat" w:hAnsi="Montserrat" w:cs="Arial"/>
        </w:rPr>
        <w:t xml:space="preserve"> Cfr. C</w:t>
      </w:r>
      <w:r w:rsidR="00134D44" w:rsidRPr="00F332AD">
        <w:rPr>
          <w:rFonts w:ascii="Montserrat" w:hAnsi="Montserrat" w:cs="Arial"/>
        </w:rPr>
        <w:t>orte IDH</w:t>
      </w:r>
      <w:r w:rsidRPr="00F332AD">
        <w:rPr>
          <w:rFonts w:ascii="Montserrat" w:hAnsi="Montserrat" w:cs="Arial"/>
        </w:rPr>
        <w:t xml:space="preserve">, </w:t>
      </w:r>
      <w:r w:rsidRPr="00F332AD">
        <w:rPr>
          <w:rFonts w:ascii="Montserrat" w:hAnsi="Montserrat" w:cs="Arial"/>
          <w:i/>
          <w:iCs/>
          <w:lang w:val="es-ES"/>
        </w:rPr>
        <w:t>Caso Zambrano Vélez y otros vs Ecuador</w:t>
      </w:r>
      <w:r w:rsidRPr="00F332AD">
        <w:rPr>
          <w:rFonts w:ascii="Montserrat" w:hAnsi="Montserrat" w:cs="Arial"/>
          <w:lang w:val="es-ES"/>
        </w:rPr>
        <w:t xml:space="preserve">, Sentencia de Fondo, Reparaciones y Costas de 4 de julio de 2007, Serie C, No. 166, pág 31, párra. </w:t>
      </w:r>
      <w:r w:rsidRPr="00F332AD">
        <w:rPr>
          <w:rFonts w:ascii="Montserrat" w:hAnsi="Montserrat" w:cs="Arial"/>
        </w:rPr>
        <w:t>104.</w:t>
      </w:r>
    </w:p>
  </w:footnote>
  <w:footnote w:id="4">
    <w:p w14:paraId="1FA1A0FD" w14:textId="41B9D868" w:rsidR="003175C2" w:rsidRPr="00F332AD" w:rsidRDefault="003175C2" w:rsidP="007E6CC0">
      <w:pPr>
        <w:pStyle w:val="Textonotapie"/>
        <w:jc w:val="both"/>
        <w:rPr>
          <w:rFonts w:ascii="Montserrat" w:hAnsi="Montserrat" w:cs="Arial"/>
          <w:lang w:val="en-US"/>
        </w:rPr>
      </w:pPr>
      <w:r w:rsidRPr="00F332AD">
        <w:rPr>
          <w:rStyle w:val="Refdenotaalpie"/>
          <w:rFonts w:ascii="Montserrat" w:hAnsi="Montserrat" w:cs="Arial"/>
        </w:rPr>
        <w:footnoteRef/>
      </w:r>
      <w:r w:rsidRPr="00F332AD">
        <w:rPr>
          <w:rFonts w:ascii="Montserrat" w:hAnsi="Montserrat" w:cs="Arial"/>
        </w:rPr>
        <w:t xml:space="preserve"> C</w:t>
      </w:r>
      <w:r w:rsidR="00134D44" w:rsidRPr="00F332AD">
        <w:rPr>
          <w:rFonts w:ascii="Montserrat" w:hAnsi="Montserrat" w:cs="Arial"/>
        </w:rPr>
        <w:t>orte IDH</w:t>
      </w:r>
      <w:r w:rsidRPr="00F332AD">
        <w:rPr>
          <w:rFonts w:ascii="Montserrat" w:hAnsi="Montserrat" w:cs="Arial"/>
        </w:rPr>
        <w:t xml:space="preserve">, </w:t>
      </w:r>
      <w:r w:rsidRPr="00F332AD">
        <w:rPr>
          <w:rFonts w:ascii="Montserrat" w:hAnsi="Montserrat" w:cs="Arial"/>
          <w:i/>
          <w:iCs/>
        </w:rPr>
        <w:t>Caso Myrna Mack Chang vs Guatemala</w:t>
      </w:r>
      <w:r w:rsidRPr="00F332AD">
        <w:rPr>
          <w:rFonts w:ascii="Montserrat" w:hAnsi="Montserrat" w:cs="Arial"/>
        </w:rPr>
        <w:t>, Sentencia d</w:t>
      </w:r>
      <w:r w:rsidR="00D85414" w:rsidRPr="00F332AD">
        <w:rPr>
          <w:rFonts w:ascii="Montserrat" w:hAnsi="Montserrat" w:cs="Arial"/>
        </w:rPr>
        <w:t>e Fondo, Reparaciones y Costas</w:t>
      </w:r>
      <w:r w:rsidRPr="00F332AD">
        <w:rPr>
          <w:rFonts w:ascii="Montserrat" w:hAnsi="Montserrat" w:cs="Arial"/>
        </w:rPr>
        <w:t xml:space="preserve"> </w:t>
      </w:r>
      <w:r w:rsidR="00D85414" w:rsidRPr="00F332AD">
        <w:rPr>
          <w:rFonts w:ascii="Montserrat" w:hAnsi="Montserrat" w:cs="Arial"/>
        </w:rPr>
        <w:t>[</w:t>
      </w:r>
      <w:r w:rsidRPr="00F332AD">
        <w:rPr>
          <w:rFonts w:ascii="Montserrat" w:hAnsi="Montserrat" w:cs="Arial"/>
        </w:rPr>
        <w:t>2003</w:t>
      </w:r>
      <w:r w:rsidR="00D85414" w:rsidRPr="00F332AD">
        <w:rPr>
          <w:rFonts w:ascii="Montserrat" w:hAnsi="Montserrat" w:cs="Arial"/>
        </w:rPr>
        <w:t>]</w:t>
      </w:r>
      <w:r w:rsidRPr="00F332AD">
        <w:rPr>
          <w:rFonts w:ascii="Montserrat" w:hAnsi="Montserrat" w:cs="Arial"/>
        </w:rPr>
        <w:t xml:space="preserve">, </w:t>
      </w:r>
      <w:r w:rsidRPr="00F332AD">
        <w:rPr>
          <w:rFonts w:ascii="Montserrat" w:hAnsi="Montserrat" w:cs="Arial"/>
          <w:i/>
          <w:iCs/>
        </w:rPr>
        <w:t>Voto razonado del Juez A.A. Cancado Trindade</w:t>
      </w:r>
      <w:r w:rsidRPr="00F332AD">
        <w:rPr>
          <w:rFonts w:ascii="Montserrat" w:hAnsi="Montserrat" w:cs="Arial"/>
        </w:rPr>
        <w:t xml:space="preserve">, pág. 7, párr. </w:t>
      </w:r>
      <w:r w:rsidRPr="00F332AD">
        <w:rPr>
          <w:rFonts w:ascii="Montserrat" w:hAnsi="Montserrat" w:cs="Arial"/>
          <w:lang w:val="en-US"/>
        </w:rPr>
        <w:t>19</w:t>
      </w:r>
      <w:r w:rsidR="00134D44" w:rsidRPr="00F332AD">
        <w:rPr>
          <w:rFonts w:ascii="Montserrat" w:hAnsi="Montserrat" w:cs="Arial"/>
          <w:lang w:val="en-US"/>
        </w:rPr>
        <w:t>.</w:t>
      </w:r>
    </w:p>
  </w:footnote>
  <w:footnote w:id="5">
    <w:p w14:paraId="72610A34" w14:textId="0E4BA94D" w:rsidR="00A87868" w:rsidRPr="00F332AD" w:rsidRDefault="00A87868" w:rsidP="0047393B">
      <w:pPr>
        <w:pStyle w:val="Textonotapie"/>
        <w:jc w:val="both"/>
        <w:rPr>
          <w:rFonts w:ascii="Montserrat" w:hAnsi="Montserrat"/>
          <w:lang w:val="es-ES"/>
        </w:rPr>
      </w:pPr>
      <w:r w:rsidRPr="00F332AD">
        <w:rPr>
          <w:rStyle w:val="Refdenotaalpie"/>
          <w:rFonts w:ascii="Montserrat" w:hAnsi="Montserrat"/>
        </w:rPr>
        <w:footnoteRef/>
      </w:r>
      <w:r w:rsidRPr="00F332AD">
        <w:rPr>
          <w:rFonts w:ascii="Montserrat" w:hAnsi="Montserrat"/>
          <w:lang w:val="en-US"/>
        </w:rPr>
        <w:t xml:space="preserve"> Cfr. </w:t>
      </w:r>
      <w:r w:rsidR="000219CD" w:rsidRPr="00F332AD">
        <w:rPr>
          <w:rFonts w:ascii="Montserrat" w:hAnsi="Montserrat"/>
          <w:lang w:val="en-US"/>
        </w:rPr>
        <w:t>ICJ</w:t>
      </w:r>
      <w:r w:rsidRPr="00F332AD">
        <w:rPr>
          <w:rFonts w:ascii="Montserrat" w:hAnsi="Montserrat"/>
          <w:lang w:val="en-US"/>
        </w:rPr>
        <w:t xml:space="preserve">, </w:t>
      </w:r>
      <w:r w:rsidR="000219CD" w:rsidRPr="00F332AD">
        <w:rPr>
          <w:rFonts w:ascii="Montserrat" w:hAnsi="Montserrat"/>
          <w:i/>
          <w:lang w:val="en-US"/>
        </w:rPr>
        <w:t xml:space="preserve">Sovereignty </w:t>
      </w:r>
      <w:r w:rsidR="000219CD" w:rsidRPr="00F332AD">
        <w:rPr>
          <w:rFonts w:ascii="Montserrat" w:hAnsi="Montserrat"/>
          <w:i/>
          <w:iCs/>
          <w:lang w:val="en-US"/>
        </w:rPr>
        <w:t xml:space="preserve">over Pedra Branca/Palau Batu Puteh, Middle Rocks and South Ledge </w:t>
      </w:r>
      <w:r w:rsidR="00D85414" w:rsidRPr="00F332AD">
        <w:rPr>
          <w:rFonts w:ascii="Montserrat" w:hAnsi="Montserrat"/>
          <w:iCs/>
          <w:lang w:val="en-US"/>
        </w:rPr>
        <w:t>(Malaysia/Singapore</w:t>
      </w:r>
      <w:r w:rsidRPr="00F332AD">
        <w:rPr>
          <w:rFonts w:ascii="Montserrat" w:hAnsi="Montserrat"/>
          <w:iCs/>
          <w:lang w:val="en-US"/>
        </w:rPr>
        <w:t>)</w:t>
      </w:r>
      <w:r w:rsidRPr="00F332AD">
        <w:rPr>
          <w:rFonts w:ascii="Montserrat" w:hAnsi="Montserrat"/>
          <w:i/>
          <w:iCs/>
          <w:lang w:val="en-US"/>
        </w:rPr>
        <w:t xml:space="preserve"> </w:t>
      </w:r>
      <w:r w:rsidRPr="00F332AD">
        <w:rPr>
          <w:rFonts w:ascii="Montserrat" w:hAnsi="Montserrat"/>
          <w:lang w:val="en-US"/>
        </w:rPr>
        <w:t xml:space="preserve">(Judgment) [2008] ICJ Rep 12, pág. 50-51, párra. </w:t>
      </w:r>
      <w:r w:rsidRPr="00F332AD">
        <w:rPr>
          <w:rFonts w:ascii="Montserrat" w:hAnsi="Montserrat"/>
          <w:lang w:val="es-ES"/>
        </w:rPr>
        <w:t xml:space="preserve">121; </w:t>
      </w:r>
      <w:r w:rsidR="00D85414" w:rsidRPr="00F332AD">
        <w:rPr>
          <w:rFonts w:ascii="Montserrat" w:hAnsi="Montserrat"/>
        </w:rPr>
        <w:t>Corte IDH</w:t>
      </w:r>
      <w:r w:rsidRPr="00F332AD">
        <w:rPr>
          <w:rFonts w:ascii="Montserrat" w:hAnsi="Montserrat"/>
        </w:rPr>
        <w:t xml:space="preserve">, </w:t>
      </w:r>
      <w:r w:rsidRPr="00F332AD">
        <w:rPr>
          <w:rFonts w:ascii="Montserrat" w:hAnsi="Montserrat"/>
          <w:i/>
          <w:iCs/>
        </w:rPr>
        <w:t>Caso Comunidad Indígena Sawhoyamaxa vs Paraguay</w:t>
      </w:r>
      <w:r w:rsidRPr="00F332AD">
        <w:rPr>
          <w:rFonts w:ascii="Montserrat" w:hAnsi="Montserrat"/>
        </w:rPr>
        <w:t xml:space="preserve">, </w:t>
      </w:r>
      <w:r w:rsidR="00D85414" w:rsidRPr="00F332AD">
        <w:rPr>
          <w:rFonts w:ascii="Montserrat" w:hAnsi="Montserrat"/>
        </w:rPr>
        <w:t>Sentencia de Fondo, Reparaciones y Costas [2006]</w:t>
      </w:r>
      <w:r w:rsidRPr="00F332AD">
        <w:rPr>
          <w:rFonts w:ascii="Montserrat" w:hAnsi="Montserrat"/>
        </w:rPr>
        <w:t>, párr. 159 y 160; C</w:t>
      </w:r>
      <w:r w:rsidR="00D85414" w:rsidRPr="00F332AD">
        <w:rPr>
          <w:rFonts w:ascii="Montserrat" w:hAnsi="Montserrat"/>
        </w:rPr>
        <w:t>orte IDH</w:t>
      </w:r>
      <w:r w:rsidRPr="00F332AD">
        <w:rPr>
          <w:rFonts w:ascii="Montserrat" w:hAnsi="Montserrat"/>
        </w:rPr>
        <w:t xml:space="preserve">, </w:t>
      </w:r>
      <w:r w:rsidRPr="00F332AD">
        <w:rPr>
          <w:rFonts w:ascii="Montserrat" w:hAnsi="Montserrat"/>
          <w:i/>
          <w:iCs/>
        </w:rPr>
        <w:t>Caso Arrom Suhurt y otros vs Paraguay</w:t>
      </w:r>
      <w:r w:rsidRPr="00F332AD">
        <w:rPr>
          <w:rFonts w:ascii="Montserrat" w:hAnsi="Montserrat"/>
        </w:rPr>
        <w:t xml:space="preserve">, Sentencia de fondo </w:t>
      </w:r>
      <w:r w:rsidR="00D85414" w:rsidRPr="00F332AD">
        <w:rPr>
          <w:rFonts w:ascii="Montserrat" w:hAnsi="Montserrat"/>
        </w:rPr>
        <w:t>[</w:t>
      </w:r>
      <w:r w:rsidRPr="00F332AD">
        <w:rPr>
          <w:rFonts w:ascii="Montserrat" w:hAnsi="Montserrat"/>
        </w:rPr>
        <w:t>2019</w:t>
      </w:r>
      <w:r w:rsidR="00D85414" w:rsidRPr="00F332AD">
        <w:rPr>
          <w:rFonts w:ascii="Montserrat" w:hAnsi="Montserrat"/>
        </w:rPr>
        <w:t>]</w:t>
      </w:r>
      <w:r w:rsidRPr="00F332AD">
        <w:rPr>
          <w:rFonts w:ascii="Montserrat" w:hAnsi="Montserrat"/>
        </w:rPr>
        <w:t>, pág. 26, párr. 96.</w:t>
      </w:r>
    </w:p>
  </w:footnote>
  <w:footnote w:id="6">
    <w:p w14:paraId="53A57444" w14:textId="46501A22" w:rsidR="005E19F8" w:rsidRPr="00F332AD" w:rsidRDefault="005E19F8" w:rsidP="0047393B">
      <w:pPr>
        <w:pStyle w:val="Textonotapie"/>
        <w:jc w:val="both"/>
        <w:rPr>
          <w:rFonts w:ascii="Montserrat" w:hAnsi="Montserrat"/>
          <w:lang w:val="en-US"/>
        </w:rPr>
      </w:pPr>
      <w:r w:rsidRPr="00F332AD">
        <w:rPr>
          <w:rStyle w:val="Refdenotaalpie"/>
          <w:rFonts w:ascii="Montserrat" w:hAnsi="Montserrat"/>
        </w:rPr>
        <w:footnoteRef/>
      </w:r>
      <w:r w:rsidRPr="00F332AD">
        <w:rPr>
          <w:rFonts w:ascii="Montserrat" w:hAnsi="Montserrat"/>
          <w:lang w:val="es-ES"/>
        </w:rPr>
        <w:t xml:space="preserve"> </w:t>
      </w:r>
      <w:r w:rsidRPr="00F332AD">
        <w:rPr>
          <w:rFonts w:ascii="Montserrat" w:hAnsi="Montserrat"/>
        </w:rPr>
        <w:t>C</w:t>
      </w:r>
      <w:r w:rsidR="00A86EC1" w:rsidRPr="00F332AD">
        <w:rPr>
          <w:rFonts w:ascii="Montserrat" w:hAnsi="Montserrat"/>
        </w:rPr>
        <w:t>CPR</w:t>
      </w:r>
      <w:r w:rsidRPr="00F332AD">
        <w:rPr>
          <w:rFonts w:ascii="Montserrat" w:hAnsi="Montserrat"/>
        </w:rPr>
        <w:t xml:space="preserve">, Comunicación 2760/2016, </w:t>
      </w:r>
      <w:r w:rsidRPr="00F332AD">
        <w:rPr>
          <w:rFonts w:ascii="Montserrat" w:hAnsi="Montserrat"/>
          <w:i/>
        </w:rPr>
        <w:t>Jesús Israel Moreno Pérez y otros vs México</w:t>
      </w:r>
      <w:r w:rsidRPr="00F332AD">
        <w:rPr>
          <w:rFonts w:ascii="Montserrat" w:hAnsi="Montserrat"/>
        </w:rPr>
        <w:t xml:space="preserve"> </w:t>
      </w:r>
      <w:r w:rsidR="00A86EC1" w:rsidRPr="00F332AD">
        <w:rPr>
          <w:rFonts w:ascii="Montserrat" w:hAnsi="Montserrat"/>
        </w:rPr>
        <w:t>[</w:t>
      </w:r>
      <w:r w:rsidRPr="00F332AD">
        <w:rPr>
          <w:rFonts w:ascii="Montserrat" w:hAnsi="Montserrat"/>
        </w:rPr>
        <w:t>2019</w:t>
      </w:r>
      <w:r w:rsidR="00A86EC1" w:rsidRPr="00F332AD">
        <w:rPr>
          <w:rFonts w:ascii="Montserrat" w:hAnsi="Montserrat"/>
        </w:rPr>
        <w:t>]</w:t>
      </w:r>
      <w:r w:rsidRPr="00F332AD">
        <w:rPr>
          <w:rFonts w:ascii="Montserrat" w:hAnsi="Montserrat"/>
        </w:rPr>
        <w:t xml:space="preserve"> pág. 14, párr. </w:t>
      </w:r>
      <w:r w:rsidRPr="00F332AD">
        <w:rPr>
          <w:rFonts w:ascii="Montserrat" w:hAnsi="Montserrat"/>
          <w:lang w:val="es-ES"/>
        </w:rPr>
        <w:t xml:space="preserve">12.3. En el mismo sentido: </w:t>
      </w:r>
      <w:r w:rsidRPr="00F332AD">
        <w:rPr>
          <w:rFonts w:ascii="Montserrat" w:hAnsi="Montserrat"/>
        </w:rPr>
        <w:t>C</w:t>
      </w:r>
      <w:r w:rsidR="00A86EC1" w:rsidRPr="00F332AD">
        <w:rPr>
          <w:rFonts w:ascii="Montserrat" w:hAnsi="Montserrat"/>
        </w:rPr>
        <w:t>CPR</w:t>
      </w:r>
      <w:r w:rsidRPr="00F332AD">
        <w:rPr>
          <w:rFonts w:ascii="Montserrat" w:hAnsi="Montserrat"/>
        </w:rPr>
        <w:t xml:space="preserve">, Comunicación núm. 2134/2012, </w:t>
      </w:r>
      <w:r w:rsidRPr="00F332AD">
        <w:rPr>
          <w:rFonts w:ascii="Montserrat" w:hAnsi="Montserrat"/>
          <w:i/>
        </w:rPr>
        <w:t>Julio Eduardo Molina Arias y otros vs Colombia</w:t>
      </w:r>
      <w:r w:rsidR="00A86EC1" w:rsidRPr="00F332AD">
        <w:rPr>
          <w:rFonts w:ascii="Montserrat" w:hAnsi="Montserrat"/>
        </w:rPr>
        <w:t xml:space="preserve"> [2015]</w:t>
      </w:r>
      <w:r w:rsidRPr="00F332AD">
        <w:rPr>
          <w:rFonts w:ascii="Montserrat" w:hAnsi="Montserrat"/>
        </w:rPr>
        <w:t xml:space="preserve">, pág. 4, 6, párr. 2.9, 2.20, 2.21; </w:t>
      </w:r>
      <w:r w:rsidRPr="00F332AD">
        <w:rPr>
          <w:rFonts w:ascii="Montserrat" w:hAnsi="Montserrat"/>
          <w:lang w:val="es-ES"/>
        </w:rPr>
        <w:t>C</w:t>
      </w:r>
      <w:r w:rsidR="00A86EC1" w:rsidRPr="00F332AD">
        <w:rPr>
          <w:rFonts w:ascii="Montserrat" w:hAnsi="Montserrat"/>
          <w:lang w:val="es-ES"/>
        </w:rPr>
        <w:t>CPR</w:t>
      </w:r>
      <w:r w:rsidRPr="00F332AD">
        <w:rPr>
          <w:rFonts w:ascii="Montserrat" w:hAnsi="Montserrat"/>
          <w:lang w:val="es-ES"/>
        </w:rPr>
        <w:t xml:space="preserve">, Comunicación 3018/2017, </w:t>
      </w:r>
      <w:r w:rsidRPr="00F332AD">
        <w:rPr>
          <w:rFonts w:ascii="Montserrat" w:hAnsi="Montserrat"/>
          <w:i/>
          <w:iCs/>
          <w:lang w:val="es-ES"/>
        </w:rPr>
        <w:t>Alcedo Mora Márquez vs Venezuela</w:t>
      </w:r>
      <w:r w:rsidR="00A86EC1" w:rsidRPr="00F332AD">
        <w:rPr>
          <w:rFonts w:ascii="Montserrat" w:hAnsi="Montserrat"/>
          <w:lang w:val="es-ES"/>
        </w:rPr>
        <w:t xml:space="preserve"> [2020]</w:t>
      </w:r>
      <w:r w:rsidRPr="00F332AD">
        <w:rPr>
          <w:rFonts w:ascii="Montserrat" w:hAnsi="Montserrat"/>
          <w:lang w:val="es-ES"/>
        </w:rPr>
        <w:t xml:space="preserve"> pág. 7 y 8, párr. 9.3; </w:t>
      </w:r>
      <w:r w:rsidRPr="00F332AD">
        <w:rPr>
          <w:rFonts w:ascii="Montserrat" w:hAnsi="Montserrat"/>
        </w:rPr>
        <w:t>C</w:t>
      </w:r>
      <w:r w:rsidR="00A86EC1" w:rsidRPr="00F332AD">
        <w:rPr>
          <w:rFonts w:ascii="Montserrat" w:hAnsi="Montserrat"/>
        </w:rPr>
        <w:t>orte IDH</w:t>
      </w:r>
      <w:r w:rsidRPr="00F332AD">
        <w:rPr>
          <w:rFonts w:ascii="Montserrat" w:hAnsi="Montserrat"/>
        </w:rPr>
        <w:t xml:space="preserve">, </w:t>
      </w:r>
      <w:r w:rsidRPr="00F332AD">
        <w:rPr>
          <w:rFonts w:ascii="Montserrat" w:hAnsi="Montserrat"/>
          <w:i/>
          <w:iCs/>
        </w:rPr>
        <w:t>Caso Arrom Suhurt y otros vs Paraguay</w:t>
      </w:r>
      <w:r w:rsidRPr="00F332AD">
        <w:rPr>
          <w:rFonts w:ascii="Montserrat" w:hAnsi="Montserrat"/>
        </w:rPr>
        <w:t xml:space="preserve">, </w:t>
      </w:r>
      <w:r w:rsidR="00A86EC1" w:rsidRPr="00F332AD">
        <w:rPr>
          <w:rFonts w:ascii="Montserrat" w:hAnsi="Montserrat"/>
        </w:rPr>
        <w:t>Op. Cit.</w:t>
      </w:r>
      <w:r w:rsidRPr="00F332AD">
        <w:rPr>
          <w:rFonts w:ascii="Montserrat" w:hAnsi="Montserrat"/>
        </w:rPr>
        <w:t>, pág. 26, párr. 96; C</w:t>
      </w:r>
      <w:r w:rsidR="00A86EC1" w:rsidRPr="00F332AD">
        <w:rPr>
          <w:rFonts w:ascii="Montserrat" w:hAnsi="Montserrat"/>
        </w:rPr>
        <w:t>orte IDH</w:t>
      </w:r>
      <w:r w:rsidRPr="00F332AD">
        <w:rPr>
          <w:rFonts w:ascii="Montserrat" w:hAnsi="Montserrat"/>
        </w:rPr>
        <w:t xml:space="preserve">, </w:t>
      </w:r>
      <w:r w:rsidRPr="00F332AD">
        <w:rPr>
          <w:rFonts w:ascii="Montserrat" w:hAnsi="Montserrat"/>
          <w:i/>
          <w:iCs/>
        </w:rPr>
        <w:t>Caso Terrones Silva y otros vs Perú</w:t>
      </w:r>
      <w:r w:rsidRPr="00F332AD">
        <w:rPr>
          <w:rFonts w:ascii="Montserrat" w:hAnsi="Montserrat"/>
        </w:rPr>
        <w:t xml:space="preserve">, Sentencia de Excepción Preliminar, Fondo, Reparaciones y Costas </w:t>
      </w:r>
      <w:r w:rsidR="00A86EC1" w:rsidRPr="00F332AD">
        <w:rPr>
          <w:rFonts w:ascii="Montserrat" w:hAnsi="Montserrat"/>
        </w:rPr>
        <w:t>[</w:t>
      </w:r>
      <w:r w:rsidRPr="00F332AD">
        <w:rPr>
          <w:rFonts w:ascii="Montserrat" w:hAnsi="Montserrat"/>
        </w:rPr>
        <w:t>2018</w:t>
      </w:r>
      <w:r w:rsidR="00A86EC1" w:rsidRPr="00F332AD">
        <w:rPr>
          <w:rFonts w:ascii="Montserrat" w:hAnsi="Montserrat"/>
        </w:rPr>
        <w:t>]</w:t>
      </w:r>
      <w:r w:rsidRPr="00F332AD">
        <w:rPr>
          <w:rFonts w:ascii="Montserrat" w:hAnsi="Montserrat"/>
        </w:rPr>
        <w:t xml:space="preserve">, Serie C. No. 360, pág. 45, párr. </w:t>
      </w:r>
      <w:r w:rsidRPr="00F332AD">
        <w:rPr>
          <w:rFonts w:ascii="Montserrat" w:hAnsi="Montserrat"/>
          <w:lang w:val="en-US"/>
        </w:rPr>
        <w:t>137.</w:t>
      </w:r>
    </w:p>
  </w:footnote>
  <w:footnote w:id="7">
    <w:p w14:paraId="1069AFE3" w14:textId="534785AE" w:rsidR="00F61329" w:rsidRPr="00F332AD" w:rsidRDefault="00F61329" w:rsidP="0047393B">
      <w:pPr>
        <w:pStyle w:val="Textonotapie"/>
        <w:jc w:val="both"/>
        <w:rPr>
          <w:rFonts w:ascii="Montserrat" w:hAnsi="Montserrat"/>
          <w:lang w:val="es-ES"/>
        </w:rPr>
      </w:pPr>
      <w:r w:rsidRPr="00F332AD">
        <w:rPr>
          <w:rStyle w:val="Refdenotaalpie"/>
          <w:rFonts w:ascii="Montserrat" w:hAnsi="Montserrat"/>
        </w:rPr>
        <w:footnoteRef/>
      </w:r>
      <w:r w:rsidRPr="00F332AD">
        <w:rPr>
          <w:rFonts w:ascii="Montserrat" w:hAnsi="Montserrat"/>
          <w:lang w:val="en-US"/>
        </w:rPr>
        <w:t xml:space="preserve"> Cfr. </w:t>
      </w:r>
      <w:r w:rsidR="007E6CC0" w:rsidRPr="00F332AD">
        <w:rPr>
          <w:rFonts w:ascii="Montserrat" w:hAnsi="Montserrat"/>
          <w:lang w:val="en-US"/>
        </w:rPr>
        <w:t xml:space="preserve">ICJ, </w:t>
      </w:r>
      <w:r w:rsidR="007E6CC0" w:rsidRPr="00F332AD">
        <w:rPr>
          <w:rFonts w:ascii="Montserrat" w:hAnsi="Montserrat"/>
          <w:i/>
          <w:lang w:val="en-US"/>
        </w:rPr>
        <w:t>Temple of Preah Vihear</w:t>
      </w:r>
      <w:r w:rsidR="007E6CC0" w:rsidRPr="00F332AD">
        <w:rPr>
          <w:rFonts w:ascii="Montserrat" w:hAnsi="Montserrat"/>
          <w:lang w:val="en-US"/>
        </w:rPr>
        <w:t xml:space="preserve"> (Cambodia vs Tailandia) (Judgment) [1962], pág. 23; ICJ</w:t>
      </w:r>
      <w:r w:rsidRPr="00F332AD">
        <w:rPr>
          <w:rFonts w:ascii="Montserrat" w:hAnsi="Montserrat"/>
          <w:i/>
          <w:iCs/>
          <w:lang w:val="en-US"/>
        </w:rPr>
        <w:t xml:space="preserve">, </w:t>
      </w:r>
      <w:r w:rsidR="007E6CC0" w:rsidRPr="00F332AD">
        <w:rPr>
          <w:rFonts w:ascii="Montserrat" w:hAnsi="Montserrat"/>
          <w:i/>
          <w:lang w:val="en-US"/>
        </w:rPr>
        <w:t xml:space="preserve">Sovereignty </w:t>
      </w:r>
      <w:r w:rsidR="007E6CC0" w:rsidRPr="00F332AD">
        <w:rPr>
          <w:rFonts w:ascii="Montserrat" w:hAnsi="Montserrat"/>
          <w:i/>
          <w:iCs/>
          <w:lang w:val="en-US"/>
        </w:rPr>
        <w:t>over Pedra Branca/Palau Batu Puteh, Middle Rocks and South Ledge</w:t>
      </w:r>
      <w:r w:rsidR="007E6CC0" w:rsidRPr="00F332AD">
        <w:rPr>
          <w:rFonts w:ascii="Montserrat" w:hAnsi="Montserrat"/>
          <w:iCs/>
          <w:lang w:val="en-US"/>
        </w:rPr>
        <w:t>,</w:t>
      </w:r>
      <w:r w:rsidRPr="00F332AD">
        <w:rPr>
          <w:rFonts w:ascii="Montserrat" w:hAnsi="Montserrat"/>
          <w:iCs/>
          <w:lang w:val="en-US"/>
        </w:rPr>
        <w:t xml:space="preserve"> Op. </w:t>
      </w:r>
      <w:r w:rsidRPr="00F332AD">
        <w:rPr>
          <w:rFonts w:ascii="Montserrat" w:hAnsi="Montserrat"/>
          <w:iCs/>
          <w:lang w:val="es-ES"/>
        </w:rPr>
        <w:t>Cit.</w:t>
      </w:r>
      <w:r w:rsidRPr="00F332AD">
        <w:rPr>
          <w:rFonts w:ascii="Montserrat" w:hAnsi="Montserrat"/>
          <w:lang w:val="es-ES"/>
        </w:rPr>
        <w:t xml:space="preserve">, pág. 50-51, párra. 121;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3484" w14:textId="77777777" w:rsidR="0098098C" w:rsidRDefault="00815B16" w:rsidP="0098098C">
    <w:pPr>
      <w:pStyle w:val="Encabezado"/>
      <w:jc w:val="right"/>
    </w:pPr>
    <w:r>
      <w:rPr>
        <w:noProof/>
        <w:lang w:val="es-MX" w:eastAsia="es-MX"/>
      </w:rPr>
      <w:drawing>
        <wp:anchor distT="0" distB="0" distL="0" distR="0" simplePos="0" relativeHeight="251660288" behindDoc="1" locked="0" layoutInCell="1" hidden="0" allowOverlap="1" wp14:anchorId="5A4B5AF8" wp14:editId="17EDB4D0">
          <wp:simplePos x="0" y="0"/>
          <wp:positionH relativeFrom="margin">
            <wp:posOffset>-1416906</wp:posOffset>
          </wp:positionH>
          <wp:positionV relativeFrom="paragraph">
            <wp:posOffset>-929446</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18E674B6" w14:textId="77777777" w:rsidR="00E31D73" w:rsidRDefault="00E31D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580"/>
    <w:multiLevelType w:val="hybridMultilevel"/>
    <w:tmpl w:val="7CCC1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B72FA"/>
    <w:multiLevelType w:val="hybridMultilevel"/>
    <w:tmpl w:val="B6B60A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42057F"/>
    <w:multiLevelType w:val="hybridMultilevel"/>
    <w:tmpl w:val="0226D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7B0A85"/>
    <w:multiLevelType w:val="hybridMultilevel"/>
    <w:tmpl w:val="7FF0AF42"/>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4" w15:restartNumberingAfterBreak="0">
    <w:nsid w:val="11A23333"/>
    <w:multiLevelType w:val="hybridMultilevel"/>
    <w:tmpl w:val="E20A3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B1A78"/>
    <w:multiLevelType w:val="hybridMultilevel"/>
    <w:tmpl w:val="3588E9CE"/>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6" w15:restartNumberingAfterBreak="0">
    <w:nsid w:val="17531273"/>
    <w:multiLevelType w:val="hybridMultilevel"/>
    <w:tmpl w:val="0B02B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230A7"/>
    <w:multiLevelType w:val="hybridMultilevel"/>
    <w:tmpl w:val="5D5AD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4B385F"/>
    <w:multiLevelType w:val="hybridMultilevel"/>
    <w:tmpl w:val="C44C24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5C11AD8"/>
    <w:multiLevelType w:val="hybridMultilevel"/>
    <w:tmpl w:val="E0001526"/>
    <w:lvl w:ilvl="0" w:tplc="067E598C">
      <w:start w:val="28"/>
      <w:numFmt w:val="decimal"/>
      <w:lvlText w:val="%1"/>
      <w:lvlJc w:val="left"/>
      <w:pPr>
        <w:ind w:left="5606" w:hanging="360"/>
      </w:pPr>
      <w:rPr>
        <w:rFonts w:hint="default"/>
      </w:rPr>
    </w:lvl>
    <w:lvl w:ilvl="1" w:tplc="080A0019" w:tentative="1">
      <w:start w:val="1"/>
      <w:numFmt w:val="lowerLetter"/>
      <w:lvlText w:val="%2."/>
      <w:lvlJc w:val="left"/>
      <w:pPr>
        <w:ind w:left="6326" w:hanging="360"/>
      </w:pPr>
    </w:lvl>
    <w:lvl w:ilvl="2" w:tplc="080A001B" w:tentative="1">
      <w:start w:val="1"/>
      <w:numFmt w:val="lowerRoman"/>
      <w:lvlText w:val="%3."/>
      <w:lvlJc w:val="right"/>
      <w:pPr>
        <w:ind w:left="7046" w:hanging="180"/>
      </w:pPr>
    </w:lvl>
    <w:lvl w:ilvl="3" w:tplc="080A000F" w:tentative="1">
      <w:start w:val="1"/>
      <w:numFmt w:val="decimal"/>
      <w:lvlText w:val="%4."/>
      <w:lvlJc w:val="left"/>
      <w:pPr>
        <w:ind w:left="7766" w:hanging="360"/>
      </w:pPr>
    </w:lvl>
    <w:lvl w:ilvl="4" w:tplc="080A0019" w:tentative="1">
      <w:start w:val="1"/>
      <w:numFmt w:val="lowerLetter"/>
      <w:lvlText w:val="%5."/>
      <w:lvlJc w:val="left"/>
      <w:pPr>
        <w:ind w:left="8486" w:hanging="360"/>
      </w:pPr>
    </w:lvl>
    <w:lvl w:ilvl="5" w:tplc="080A001B" w:tentative="1">
      <w:start w:val="1"/>
      <w:numFmt w:val="lowerRoman"/>
      <w:lvlText w:val="%6."/>
      <w:lvlJc w:val="right"/>
      <w:pPr>
        <w:ind w:left="9206" w:hanging="180"/>
      </w:pPr>
    </w:lvl>
    <w:lvl w:ilvl="6" w:tplc="080A000F" w:tentative="1">
      <w:start w:val="1"/>
      <w:numFmt w:val="decimal"/>
      <w:lvlText w:val="%7."/>
      <w:lvlJc w:val="left"/>
      <w:pPr>
        <w:ind w:left="9926" w:hanging="360"/>
      </w:pPr>
    </w:lvl>
    <w:lvl w:ilvl="7" w:tplc="080A0019" w:tentative="1">
      <w:start w:val="1"/>
      <w:numFmt w:val="lowerLetter"/>
      <w:lvlText w:val="%8."/>
      <w:lvlJc w:val="left"/>
      <w:pPr>
        <w:ind w:left="10646" w:hanging="360"/>
      </w:pPr>
    </w:lvl>
    <w:lvl w:ilvl="8" w:tplc="080A001B" w:tentative="1">
      <w:start w:val="1"/>
      <w:numFmt w:val="lowerRoman"/>
      <w:lvlText w:val="%9."/>
      <w:lvlJc w:val="right"/>
      <w:pPr>
        <w:ind w:left="11366" w:hanging="180"/>
      </w:pPr>
    </w:lvl>
  </w:abstractNum>
  <w:abstractNum w:abstractNumId="10" w15:restartNumberingAfterBreak="0">
    <w:nsid w:val="289338E2"/>
    <w:multiLevelType w:val="hybridMultilevel"/>
    <w:tmpl w:val="F500B7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C71AF5"/>
    <w:multiLevelType w:val="hybridMultilevel"/>
    <w:tmpl w:val="EB7CB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547EB9"/>
    <w:multiLevelType w:val="hybridMultilevel"/>
    <w:tmpl w:val="58CE4A56"/>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3" w15:restartNumberingAfterBreak="0">
    <w:nsid w:val="451159B5"/>
    <w:multiLevelType w:val="hybridMultilevel"/>
    <w:tmpl w:val="C8FAD3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7F1E63"/>
    <w:multiLevelType w:val="hybridMultilevel"/>
    <w:tmpl w:val="AB5A1D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5337A5"/>
    <w:multiLevelType w:val="hybridMultilevel"/>
    <w:tmpl w:val="F1448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2551FC"/>
    <w:multiLevelType w:val="hybridMultilevel"/>
    <w:tmpl w:val="DC5C2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C570A6"/>
    <w:multiLevelType w:val="hybridMultilevel"/>
    <w:tmpl w:val="4FF272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1F0118"/>
    <w:multiLevelType w:val="hybridMultilevel"/>
    <w:tmpl w:val="39109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965735"/>
    <w:multiLevelType w:val="hybridMultilevel"/>
    <w:tmpl w:val="5D2A68DC"/>
    <w:lvl w:ilvl="0" w:tplc="B9D812B0">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3F1E9B"/>
    <w:multiLevelType w:val="hybridMultilevel"/>
    <w:tmpl w:val="895855EC"/>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1" w15:restartNumberingAfterBreak="0">
    <w:nsid w:val="65B942B2"/>
    <w:multiLevelType w:val="hybridMultilevel"/>
    <w:tmpl w:val="E88259F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2" w15:restartNumberingAfterBreak="0">
    <w:nsid w:val="6AC25F9F"/>
    <w:multiLevelType w:val="hybridMultilevel"/>
    <w:tmpl w:val="DCA64C5C"/>
    <w:lvl w:ilvl="0" w:tplc="AE601528">
      <w:start w:val="28"/>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6D465B5A"/>
    <w:multiLevelType w:val="hybridMultilevel"/>
    <w:tmpl w:val="9B520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C2B9C"/>
    <w:multiLevelType w:val="hybridMultilevel"/>
    <w:tmpl w:val="932EB568"/>
    <w:lvl w:ilvl="0" w:tplc="3CD29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A3D52"/>
    <w:multiLevelType w:val="hybridMultilevel"/>
    <w:tmpl w:val="24D0A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22"/>
  </w:num>
  <w:num w:numId="5">
    <w:abstractNumId w:val="25"/>
  </w:num>
  <w:num w:numId="6">
    <w:abstractNumId w:val="18"/>
  </w:num>
  <w:num w:numId="7">
    <w:abstractNumId w:val="1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1"/>
  </w:num>
  <w:num w:numId="13">
    <w:abstractNumId w:val="3"/>
  </w:num>
  <w:num w:numId="14">
    <w:abstractNumId w:val="5"/>
  </w:num>
  <w:num w:numId="15">
    <w:abstractNumId w:val="3"/>
  </w:num>
  <w:num w:numId="16">
    <w:abstractNumId w:val="1"/>
  </w:num>
  <w:num w:numId="17">
    <w:abstractNumId w:val="6"/>
  </w:num>
  <w:num w:numId="18">
    <w:abstractNumId w:val="17"/>
  </w:num>
  <w:num w:numId="19">
    <w:abstractNumId w:val="10"/>
  </w:num>
  <w:num w:numId="20">
    <w:abstractNumId w:val="14"/>
  </w:num>
  <w:num w:numId="21">
    <w:abstractNumId w:val="4"/>
  </w:num>
  <w:num w:numId="22">
    <w:abstractNumId w:val="23"/>
  </w:num>
  <w:num w:numId="23">
    <w:abstractNumId w:val="0"/>
  </w:num>
  <w:num w:numId="24">
    <w:abstractNumId w:val="16"/>
  </w:num>
  <w:num w:numId="25">
    <w:abstractNumId w:val="13"/>
  </w:num>
  <w:num w:numId="26">
    <w:abstractNumId w:val="24"/>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D7"/>
    <w:rsid w:val="000021B5"/>
    <w:rsid w:val="000219CD"/>
    <w:rsid w:val="00054EBA"/>
    <w:rsid w:val="00055D31"/>
    <w:rsid w:val="00062177"/>
    <w:rsid w:val="00070504"/>
    <w:rsid w:val="000824DD"/>
    <w:rsid w:val="00086C02"/>
    <w:rsid w:val="000A0965"/>
    <w:rsid w:val="000A0D21"/>
    <w:rsid w:val="000A305E"/>
    <w:rsid w:val="000A6325"/>
    <w:rsid w:val="000B6D77"/>
    <w:rsid w:val="000C0AB4"/>
    <w:rsid w:val="000D2416"/>
    <w:rsid w:val="000E5C37"/>
    <w:rsid w:val="000E5E51"/>
    <w:rsid w:val="0011316F"/>
    <w:rsid w:val="00115F48"/>
    <w:rsid w:val="00134D44"/>
    <w:rsid w:val="00135284"/>
    <w:rsid w:val="001365D9"/>
    <w:rsid w:val="001449E1"/>
    <w:rsid w:val="0014628D"/>
    <w:rsid w:val="001466D3"/>
    <w:rsid w:val="00150AE3"/>
    <w:rsid w:val="0015585B"/>
    <w:rsid w:val="00184AD8"/>
    <w:rsid w:val="001872B3"/>
    <w:rsid w:val="0019482D"/>
    <w:rsid w:val="001A3F7A"/>
    <w:rsid w:val="001B3D0E"/>
    <w:rsid w:val="001C39C7"/>
    <w:rsid w:val="001D07A9"/>
    <w:rsid w:val="001D1F73"/>
    <w:rsid w:val="001F7F39"/>
    <w:rsid w:val="00210F15"/>
    <w:rsid w:val="00225CCF"/>
    <w:rsid w:val="00231F0A"/>
    <w:rsid w:val="00233A61"/>
    <w:rsid w:val="00264C88"/>
    <w:rsid w:val="002657FE"/>
    <w:rsid w:val="00276725"/>
    <w:rsid w:val="00282B71"/>
    <w:rsid w:val="002963F2"/>
    <w:rsid w:val="002A7287"/>
    <w:rsid w:val="002C36F7"/>
    <w:rsid w:val="002E64C4"/>
    <w:rsid w:val="002E6ADD"/>
    <w:rsid w:val="002F3413"/>
    <w:rsid w:val="002F6C29"/>
    <w:rsid w:val="00307038"/>
    <w:rsid w:val="003175C2"/>
    <w:rsid w:val="003228D8"/>
    <w:rsid w:val="00344133"/>
    <w:rsid w:val="00346066"/>
    <w:rsid w:val="00353826"/>
    <w:rsid w:val="00354DD8"/>
    <w:rsid w:val="00356A1B"/>
    <w:rsid w:val="00372697"/>
    <w:rsid w:val="00373B4D"/>
    <w:rsid w:val="003A1A7D"/>
    <w:rsid w:val="003E034B"/>
    <w:rsid w:val="003E1DBC"/>
    <w:rsid w:val="003E2F01"/>
    <w:rsid w:val="003E4EE9"/>
    <w:rsid w:val="0041128C"/>
    <w:rsid w:val="004179A2"/>
    <w:rsid w:val="00423FAE"/>
    <w:rsid w:val="004328FC"/>
    <w:rsid w:val="0044218B"/>
    <w:rsid w:val="004650DE"/>
    <w:rsid w:val="0047150A"/>
    <w:rsid w:val="0047393B"/>
    <w:rsid w:val="00480B01"/>
    <w:rsid w:val="0048141D"/>
    <w:rsid w:val="004862F5"/>
    <w:rsid w:val="00494160"/>
    <w:rsid w:val="004A70EE"/>
    <w:rsid w:val="004B4132"/>
    <w:rsid w:val="004C79EF"/>
    <w:rsid w:val="004F51FA"/>
    <w:rsid w:val="00504139"/>
    <w:rsid w:val="005110EB"/>
    <w:rsid w:val="00513ADC"/>
    <w:rsid w:val="00515BC2"/>
    <w:rsid w:val="005212FC"/>
    <w:rsid w:val="00535358"/>
    <w:rsid w:val="00540A64"/>
    <w:rsid w:val="00547116"/>
    <w:rsid w:val="0056074B"/>
    <w:rsid w:val="0056100D"/>
    <w:rsid w:val="00576B76"/>
    <w:rsid w:val="005858EC"/>
    <w:rsid w:val="005970CD"/>
    <w:rsid w:val="00597C31"/>
    <w:rsid w:val="005A5377"/>
    <w:rsid w:val="005B77F6"/>
    <w:rsid w:val="005C2BC8"/>
    <w:rsid w:val="005D12B0"/>
    <w:rsid w:val="005D5D15"/>
    <w:rsid w:val="005D6F85"/>
    <w:rsid w:val="005E19F8"/>
    <w:rsid w:val="005E5668"/>
    <w:rsid w:val="005E5AD3"/>
    <w:rsid w:val="00614F84"/>
    <w:rsid w:val="0062075C"/>
    <w:rsid w:val="00624999"/>
    <w:rsid w:val="006329B0"/>
    <w:rsid w:val="00646EE1"/>
    <w:rsid w:val="00647214"/>
    <w:rsid w:val="00660496"/>
    <w:rsid w:val="00672436"/>
    <w:rsid w:val="00682E5F"/>
    <w:rsid w:val="006849F3"/>
    <w:rsid w:val="00692EAB"/>
    <w:rsid w:val="006E23C2"/>
    <w:rsid w:val="006E2AF1"/>
    <w:rsid w:val="006F78C3"/>
    <w:rsid w:val="00713058"/>
    <w:rsid w:val="0072053D"/>
    <w:rsid w:val="00726FC7"/>
    <w:rsid w:val="00747BDB"/>
    <w:rsid w:val="007536BD"/>
    <w:rsid w:val="0077233C"/>
    <w:rsid w:val="00781DE2"/>
    <w:rsid w:val="00785A06"/>
    <w:rsid w:val="007946BB"/>
    <w:rsid w:val="007B0EA9"/>
    <w:rsid w:val="007D6424"/>
    <w:rsid w:val="007D7402"/>
    <w:rsid w:val="007E44A3"/>
    <w:rsid w:val="007E6CC0"/>
    <w:rsid w:val="007F01BF"/>
    <w:rsid w:val="007F680C"/>
    <w:rsid w:val="00802A20"/>
    <w:rsid w:val="00815B16"/>
    <w:rsid w:val="00823F59"/>
    <w:rsid w:val="008265AC"/>
    <w:rsid w:val="00826F99"/>
    <w:rsid w:val="00844AED"/>
    <w:rsid w:val="00851DFA"/>
    <w:rsid w:val="00857033"/>
    <w:rsid w:val="00876994"/>
    <w:rsid w:val="00886FEE"/>
    <w:rsid w:val="00891474"/>
    <w:rsid w:val="008A40AB"/>
    <w:rsid w:val="008B09F4"/>
    <w:rsid w:val="008C38A5"/>
    <w:rsid w:val="008D4A1F"/>
    <w:rsid w:val="008E6811"/>
    <w:rsid w:val="008F7D3C"/>
    <w:rsid w:val="00901328"/>
    <w:rsid w:val="00902746"/>
    <w:rsid w:val="00913DC5"/>
    <w:rsid w:val="00917E29"/>
    <w:rsid w:val="009235D7"/>
    <w:rsid w:val="0094065B"/>
    <w:rsid w:val="00972368"/>
    <w:rsid w:val="009811D0"/>
    <w:rsid w:val="0099056B"/>
    <w:rsid w:val="00991CB2"/>
    <w:rsid w:val="00992D8F"/>
    <w:rsid w:val="00996EBE"/>
    <w:rsid w:val="009A1BD4"/>
    <w:rsid w:val="009D5F5A"/>
    <w:rsid w:val="009F2B07"/>
    <w:rsid w:val="009F72E1"/>
    <w:rsid w:val="00A0489F"/>
    <w:rsid w:val="00A25BDB"/>
    <w:rsid w:val="00A54258"/>
    <w:rsid w:val="00A62110"/>
    <w:rsid w:val="00A8241F"/>
    <w:rsid w:val="00A86EC1"/>
    <w:rsid w:val="00A87868"/>
    <w:rsid w:val="00A9046A"/>
    <w:rsid w:val="00A904FB"/>
    <w:rsid w:val="00AB350E"/>
    <w:rsid w:val="00AD1538"/>
    <w:rsid w:val="00AD1D2A"/>
    <w:rsid w:val="00AD74F4"/>
    <w:rsid w:val="00B07EC4"/>
    <w:rsid w:val="00B13ECA"/>
    <w:rsid w:val="00B1533F"/>
    <w:rsid w:val="00B263A7"/>
    <w:rsid w:val="00B46490"/>
    <w:rsid w:val="00B53E1E"/>
    <w:rsid w:val="00B557A3"/>
    <w:rsid w:val="00B942A3"/>
    <w:rsid w:val="00B96743"/>
    <w:rsid w:val="00BA488E"/>
    <w:rsid w:val="00BA66B1"/>
    <w:rsid w:val="00BB0705"/>
    <w:rsid w:val="00BC6051"/>
    <w:rsid w:val="00BE074C"/>
    <w:rsid w:val="00BE4973"/>
    <w:rsid w:val="00C0441E"/>
    <w:rsid w:val="00C47A0E"/>
    <w:rsid w:val="00C64651"/>
    <w:rsid w:val="00C705E0"/>
    <w:rsid w:val="00C8684F"/>
    <w:rsid w:val="00C90CCA"/>
    <w:rsid w:val="00CA0F8B"/>
    <w:rsid w:val="00CB074D"/>
    <w:rsid w:val="00CC150C"/>
    <w:rsid w:val="00CD165B"/>
    <w:rsid w:val="00CF1792"/>
    <w:rsid w:val="00CF24A4"/>
    <w:rsid w:val="00D224D2"/>
    <w:rsid w:val="00D229F2"/>
    <w:rsid w:val="00D27B9E"/>
    <w:rsid w:val="00D32649"/>
    <w:rsid w:val="00D32E02"/>
    <w:rsid w:val="00D338D0"/>
    <w:rsid w:val="00D57B40"/>
    <w:rsid w:val="00D742F9"/>
    <w:rsid w:val="00D74570"/>
    <w:rsid w:val="00D85414"/>
    <w:rsid w:val="00DB3149"/>
    <w:rsid w:val="00DB3B9B"/>
    <w:rsid w:val="00DC482A"/>
    <w:rsid w:val="00DF21C1"/>
    <w:rsid w:val="00E101E8"/>
    <w:rsid w:val="00E31D73"/>
    <w:rsid w:val="00E37135"/>
    <w:rsid w:val="00E42584"/>
    <w:rsid w:val="00E45A41"/>
    <w:rsid w:val="00E5127A"/>
    <w:rsid w:val="00E54C72"/>
    <w:rsid w:val="00E72106"/>
    <w:rsid w:val="00E90FE7"/>
    <w:rsid w:val="00EA35DB"/>
    <w:rsid w:val="00EB3282"/>
    <w:rsid w:val="00EC0595"/>
    <w:rsid w:val="00EC4CA4"/>
    <w:rsid w:val="00EE10CB"/>
    <w:rsid w:val="00F1415E"/>
    <w:rsid w:val="00F141D3"/>
    <w:rsid w:val="00F332AD"/>
    <w:rsid w:val="00F4380A"/>
    <w:rsid w:val="00F61329"/>
    <w:rsid w:val="00F70AD3"/>
    <w:rsid w:val="00F7193B"/>
    <w:rsid w:val="00FA4B65"/>
    <w:rsid w:val="00FB4E51"/>
    <w:rsid w:val="00FD173C"/>
    <w:rsid w:val="00FE25F1"/>
    <w:rsid w:val="00FE5BE9"/>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9CBF4"/>
  <w15:chartTrackingRefBased/>
  <w15:docId w15:val="{36777A98-3D74-4EAE-B0D4-AC2CB4C0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5D7"/>
    <w:pPr>
      <w:spacing w:after="0" w:line="240" w:lineRule="auto"/>
    </w:pPr>
    <w:rPr>
      <w:rFonts w:ascii="Calibri" w:hAnsi="Calibri" w:cs="Calibri"/>
      <w:lang w:val="es-ES"/>
    </w:rPr>
  </w:style>
  <w:style w:type="paragraph" w:styleId="Ttulo1">
    <w:name w:val="heading 1"/>
    <w:basedOn w:val="Normal"/>
    <w:next w:val="Normal"/>
    <w:link w:val="Ttulo1Car"/>
    <w:uiPriority w:val="9"/>
    <w:qFormat/>
    <w:rsid w:val="001462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9235D7"/>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9235D7"/>
    <w:pPr>
      <w:tabs>
        <w:tab w:val="center" w:pos="4419"/>
        <w:tab w:val="right" w:pos="8838"/>
      </w:tabs>
    </w:pPr>
  </w:style>
  <w:style w:type="character" w:customStyle="1" w:styleId="EncabezadoCar">
    <w:name w:val="Encabezado Car"/>
    <w:basedOn w:val="Fuentedeprrafopredeter"/>
    <w:link w:val="Encabezado"/>
    <w:uiPriority w:val="99"/>
    <w:rsid w:val="009235D7"/>
    <w:rPr>
      <w:rFonts w:ascii="Calibri" w:hAnsi="Calibri" w:cs="Calibri"/>
      <w:lang w:val="es-ES"/>
    </w:rPr>
  </w:style>
  <w:style w:type="paragraph" w:styleId="Piedepgina">
    <w:name w:val="footer"/>
    <w:basedOn w:val="Normal"/>
    <w:link w:val="PiedepginaCar"/>
    <w:uiPriority w:val="99"/>
    <w:unhideWhenUsed/>
    <w:rsid w:val="009235D7"/>
    <w:pPr>
      <w:tabs>
        <w:tab w:val="center" w:pos="4419"/>
        <w:tab w:val="right" w:pos="8838"/>
      </w:tabs>
    </w:pPr>
  </w:style>
  <w:style w:type="character" w:customStyle="1" w:styleId="PiedepginaCar">
    <w:name w:val="Pie de página Car"/>
    <w:basedOn w:val="Fuentedeprrafopredeter"/>
    <w:link w:val="Piedepgina"/>
    <w:uiPriority w:val="99"/>
    <w:rsid w:val="009235D7"/>
    <w:rPr>
      <w:rFonts w:ascii="Calibri" w:hAnsi="Calibri" w:cs="Calibri"/>
      <w:lang w:val="es-ES"/>
    </w:rPr>
  </w:style>
  <w:style w:type="paragraph" w:styleId="Prrafodelista">
    <w:name w:val="List Paragraph"/>
    <w:aliases w:val="Cita texto,Footnote"/>
    <w:basedOn w:val="Normal"/>
    <w:link w:val="PrrafodelistaCar"/>
    <w:uiPriority w:val="34"/>
    <w:qFormat/>
    <w:rsid w:val="009235D7"/>
    <w:pPr>
      <w:ind w:left="720"/>
      <w:contextualSpacing/>
    </w:pPr>
  </w:style>
  <w:style w:type="paragraph" w:styleId="NormalWeb">
    <w:name w:val="Normal (Web)"/>
    <w:aliases w:val="Normal (Web) Car Car,Normal (Web) Car Car Car Car,Normal (Web) Car Car Car Car Car Car Car Car Car Car Car Car Car Car Car Car Car,Normal (Web) C..."/>
    <w:basedOn w:val="Normal"/>
    <w:link w:val="NormalWebCar"/>
    <w:uiPriority w:val="99"/>
    <w:unhideWhenUsed/>
    <w:qFormat/>
    <w:rsid w:val="009235D7"/>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ar">
    <w:name w:val="Normal (Web) Car"/>
    <w:aliases w:val="Normal (Web) Car Car Car,Normal (Web) Car Car Car Car Car,Normal (Web) Car Car Car Car Car Car Car Car Car Car Car Car Car Car Car Car Car Car,Normal (Web) C... Car"/>
    <w:link w:val="NormalWeb"/>
    <w:uiPriority w:val="99"/>
    <w:rsid w:val="009235D7"/>
    <w:rPr>
      <w:rFonts w:ascii="Times New Roman" w:eastAsia="Times New Roman" w:hAnsi="Times New Roman" w:cs="Times New Roman"/>
      <w:sz w:val="24"/>
      <w:szCs w:val="24"/>
      <w:lang w:eastAsia="es-MX"/>
    </w:rPr>
  </w:style>
  <w:style w:type="character" w:customStyle="1" w:styleId="PrrafodelistaCar">
    <w:name w:val="Párrafo de lista Car"/>
    <w:aliases w:val="Cita texto Car,Footnote Car"/>
    <w:link w:val="Prrafodelista"/>
    <w:uiPriority w:val="34"/>
    <w:locked/>
    <w:rsid w:val="009235D7"/>
    <w:rPr>
      <w:rFonts w:ascii="Calibri" w:hAnsi="Calibri" w:cs="Calibri"/>
      <w:lang w:val="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
    <w:basedOn w:val="Fuentedeprrafopredeter"/>
    <w:uiPriority w:val="99"/>
    <w:semiHidden/>
    <w:unhideWhenUsed/>
    <w:rsid w:val="00C64651"/>
    <w:rPr>
      <w:vertAlign w:val="superscript"/>
    </w:rPr>
  </w:style>
  <w:style w:type="character" w:styleId="Hipervnculo">
    <w:name w:val="Hyperlink"/>
    <w:basedOn w:val="Fuentedeprrafopredeter"/>
    <w:uiPriority w:val="99"/>
    <w:unhideWhenUsed/>
    <w:rsid w:val="00C64651"/>
    <w:rPr>
      <w:color w:val="0000FF"/>
      <w:u w:val="single"/>
    </w:rPr>
  </w:style>
  <w:style w:type="paragraph" w:styleId="Textonotapie">
    <w:name w:val="footnote text"/>
    <w:basedOn w:val="Normal"/>
    <w:link w:val="TextonotapieCar"/>
    <w:uiPriority w:val="99"/>
    <w:unhideWhenUsed/>
    <w:rsid w:val="00C64651"/>
    <w:rPr>
      <w:rFonts w:ascii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C64651"/>
    <w:rPr>
      <w:sz w:val="20"/>
      <w:szCs w:val="20"/>
    </w:rPr>
  </w:style>
  <w:style w:type="character" w:styleId="Hipervnculovisitado">
    <w:name w:val="FollowedHyperlink"/>
    <w:basedOn w:val="Fuentedeprrafopredeter"/>
    <w:uiPriority w:val="99"/>
    <w:semiHidden/>
    <w:unhideWhenUsed/>
    <w:rsid w:val="002963F2"/>
    <w:rPr>
      <w:color w:val="954F72" w:themeColor="followedHyperlink"/>
      <w:u w:val="single"/>
    </w:rPr>
  </w:style>
  <w:style w:type="character" w:customStyle="1" w:styleId="UnresolvedMention1">
    <w:name w:val="Unresolved Mention1"/>
    <w:basedOn w:val="Fuentedeprrafopredeter"/>
    <w:uiPriority w:val="99"/>
    <w:semiHidden/>
    <w:unhideWhenUsed/>
    <w:rsid w:val="005B77F6"/>
    <w:rPr>
      <w:color w:val="605E5C"/>
      <w:shd w:val="clear" w:color="auto" w:fill="E1DFDD"/>
    </w:rPr>
  </w:style>
  <w:style w:type="character" w:customStyle="1" w:styleId="Ttulo1Car">
    <w:name w:val="Título 1 Car"/>
    <w:basedOn w:val="Fuentedeprrafopredeter"/>
    <w:link w:val="Ttulo1"/>
    <w:uiPriority w:val="9"/>
    <w:rsid w:val="0014628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054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17780">
      <w:bodyDiv w:val="1"/>
      <w:marLeft w:val="0"/>
      <w:marRight w:val="0"/>
      <w:marTop w:val="0"/>
      <w:marBottom w:val="0"/>
      <w:divBdr>
        <w:top w:val="none" w:sz="0" w:space="0" w:color="auto"/>
        <w:left w:val="none" w:sz="0" w:space="0" w:color="auto"/>
        <w:bottom w:val="none" w:sz="0" w:space="0" w:color="auto"/>
        <w:right w:val="none" w:sz="0" w:space="0" w:color="auto"/>
      </w:divBdr>
    </w:div>
    <w:div w:id="610016893">
      <w:bodyDiv w:val="1"/>
      <w:marLeft w:val="0"/>
      <w:marRight w:val="0"/>
      <w:marTop w:val="0"/>
      <w:marBottom w:val="0"/>
      <w:divBdr>
        <w:top w:val="none" w:sz="0" w:space="0" w:color="auto"/>
        <w:left w:val="none" w:sz="0" w:space="0" w:color="auto"/>
        <w:bottom w:val="none" w:sz="0" w:space="0" w:color="auto"/>
        <w:right w:val="none" w:sz="0" w:space="0" w:color="auto"/>
      </w:divBdr>
      <w:divsChild>
        <w:div w:id="1536188310">
          <w:marLeft w:val="0"/>
          <w:marRight w:val="0"/>
          <w:marTop w:val="0"/>
          <w:marBottom w:val="0"/>
          <w:divBdr>
            <w:top w:val="none" w:sz="0" w:space="0" w:color="auto"/>
            <w:left w:val="none" w:sz="0" w:space="0" w:color="auto"/>
            <w:bottom w:val="none" w:sz="0" w:space="0" w:color="auto"/>
            <w:right w:val="none" w:sz="0" w:space="0" w:color="auto"/>
          </w:divBdr>
          <w:divsChild>
            <w:div w:id="1691447900">
              <w:marLeft w:val="0"/>
              <w:marRight w:val="0"/>
              <w:marTop w:val="0"/>
              <w:marBottom w:val="0"/>
              <w:divBdr>
                <w:top w:val="none" w:sz="0" w:space="0" w:color="auto"/>
                <w:left w:val="none" w:sz="0" w:space="0" w:color="auto"/>
                <w:bottom w:val="none" w:sz="0" w:space="0" w:color="auto"/>
                <w:right w:val="none" w:sz="0" w:space="0" w:color="auto"/>
              </w:divBdr>
              <w:divsChild>
                <w:div w:id="7641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9017">
      <w:bodyDiv w:val="1"/>
      <w:marLeft w:val="0"/>
      <w:marRight w:val="0"/>
      <w:marTop w:val="0"/>
      <w:marBottom w:val="0"/>
      <w:divBdr>
        <w:top w:val="none" w:sz="0" w:space="0" w:color="auto"/>
        <w:left w:val="none" w:sz="0" w:space="0" w:color="auto"/>
        <w:bottom w:val="none" w:sz="0" w:space="0" w:color="auto"/>
        <w:right w:val="none" w:sz="0" w:space="0" w:color="auto"/>
      </w:divBdr>
      <w:divsChild>
        <w:div w:id="237523141">
          <w:marLeft w:val="0"/>
          <w:marRight w:val="0"/>
          <w:marTop w:val="0"/>
          <w:marBottom w:val="0"/>
          <w:divBdr>
            <w:top w:val="none" w:sz="0" w:space="0" w:color="auto"/>
            <w:left w:val="none" w:sz="0" w:space="0" w:color="auto"/>
            <w:bottom w:val="none" w:sz="0" w:space="0" w:color="auto"/>
            <w:right w:val="none" w:sz="0" w:space="0" w:color="auto"/>
          </w:divBdr>
          <w:divsChild>
            <w:div w:id="1456945179">
              <w:marLeft w:val="0"/>
              <w:marRight w:val="0"/>
              <w:marTop w:val="0"/>
              <w:marBottom w:val="0"/>
              <w:divBdr>
                <w:top w:val="none" w:sz="0" w:space="0" w:color="auto"/>
                <w:left w:val="none" w:sz="0" w:space="0" w:color="auto"/>
                <w:bottom w:val="none" w:sz="0" w:space="0" w:color="auto"/>
                <w:right w:val="none" w:sz="0" w:space="0" w:color="auto"/>
              </w:divBdr>
              <w:divsChild>
                <w:div w:id="1174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7165">
      <w:bodyDiv w:val="1"/>
      <w:marLeft w:val="0"/>
      <w:marRight w:val="0"/>
      <w:marTop w:val="0"/>
      <w:marBottom w:val="0"/>
      <w:divBdr>
        <w:top w:val="none" w:sz="0" w:space="0" w:color="auto"/>
        <w:left w:val="none" w:sz="0" w:space="0" w:color="auto"/>
        <w:bottom w:val="none" w:sz="0" w:space="0" w:color="auto"/>
        <w:right w:val="none" w:sz="0" w:space="0" w:color="auto"/>
      </w:divBdr>
      <w:divsChild>
        <w:div w:id="1043869467">
          <w:marLeft w:val="0"/>
          <w:marRight w:val="0"/>
          <w:marTop w:val="0"/>
          <w:marBottom w:val="0"/>
          <w:divBdr>
            <w:top w:val="none" w:sz="0" w:space="0" w:color="auto"/>
            <w:left w:val="none" w:sz="0" w:space="0" w:color="auto"/>
            <w:bottom w:val="none" w:sz="0" w:space="0" w:color="auto"/>
            <w:right w:val="none" w:sz="0" w:space="0" w:color="auto"/>
          </w:divBdr>
          <w:divsChild>
            <w:div w:id="378942896">
              <w:marLeft w:val="0"/>
              <w:marRight w:val="0"/>
              <w:marTop w:val="0"/>
              <w:marBottom w:val="0"/>
              <w:divBdr>
                <w:top w:val="none" w:sz="0" w:space="0" w:color="auto"/>
                <w:left w:val="none" w:sz="0" w:space="0" w:color="auto"/>
                <w:bottom w:val="none" w:sz="0" w:space="0" w:color="auto"/>
                <w:right w:val="none" w:sz="0" w:space="0" w:color="auto"/>
              </w:divBdr>
              <w:divsChild>
                <w:div w:id="900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045">
      <w:bodyDiv w:val="1"/>
      <w:marLeft w:val="0"/>
      <w:marRight w:val="0"/>
      <w:marTop w:val="0"/>
      <w:marBottom w:val="0"/>
      <w:divBdr>
        <w:top w:val="none" w:sz="0" w:space="0" w:color="auto"/>
        <w:left w:val="none" w:sz="0" w:space="0" w:color="auto"/>
        <w:bottom w:val="none" w:sz="0" w:space="0" w:color="auto"/>
        <w:right w:val="none" w:sz="0" w:space="0" w:color="auto"/>
      </w:divBdr>
    </w:div>
    <w:div w:id="1647129259">
      <w:bodyDiv w:val="1"/>
      <w:marLeft w:val="0"/>
      <w:marRight w:val="0"/>
      <w:marTop w:val="0"/>
      <w:marBottom w:val="0"/>
      <w:divBdr>
        <w:top w:val="none" w:sz="0" w:space="0" w:color="auto"/>
        <w:left w:val="none" w:sz="0" w:space="0" w:color="auto"/>
        <w:bottom w:val="none" w:sz="0" w:space="0" w:color="auto"/>
        <w:right w:val="none" w:sz="0" w:space="0" w:color="auto"/>
      </w:divBdr>
    </w:div>
    <w:div w:id="1671132567">
      <w:bodyDiv w:val="1"/>
      <w:marLeft w:val="0"/>
      <w:marRight w:val="0"/>
      <w:marTop w:val="0"/>
      <w:marBottom w:val="0"/>
      <w:divBdr>
        <w:top w:val="none" w:sz="0" w:space="0" w:color="auto"/>
        <w:left w:val="none" w:sz="0" w:space="0" w:color="auto"/>
        <w:bottom w:val="none" w:sz="0" w:space="0" w:color="auto"/>
        <w:right w:val="none" w:sz="0" w:space="0" w:color="auto"/>
      </w:divBdr>
    </w:div>
    <w:div w:id="2136024531">
      <w:bodyDiv w:val="1"/>
      <w:marLeft w:val="0"/>
      <w:marRight w:val="0"/>
      <w:marTop w:val="0"/>
      <w:marBottom w:val="0"/>
      <w:divBdr>
        <w:top w:val="none" w:sz="0" w:space="0" w:color="auto"/>
        <w:left w:val="none" w:sz="0" w:space="0" w:color="auto"/>
        <w:bottom w:val="none" w:sz="0" w:space="0" w:color="auto"/>
        <w:right w:val="none" w:sz="0" w:space="0" w:color="auto"/>
      </w:divBdr>
      <w:divsChild>
        <w:div w:id="666786365">
          <w:marLeft w:val="0"/>
          <w:marRight w:val="0"/>
          <w:marTop w:val="0"/>
          <w:marBottom w:val="0"/>
          <w:divBdr>
            <w:top w:val="none" w:sz="0" w:space="0" w:color="auto"/>
            <w:left w:val="none" w:sz="0" w:space="0" w:color="auto"/>
            <w:bottom w:val="none" w:sz="0" w:space="0" w:color="auto"/>
            <w:right w:val="none" w:sz="0" w:space="0" w:color="auto"/>
          </w:divBdr>
          <w:divsChild>
            <w:div w:id="543173356">
              <w:marLeft w:val="0"/>
              <w:marRight w:val="0"/>
              <w:marTop w:val="0"/>
              <w:marBottom w:val="0"/>
              <w:divBdr>
                <w:top w:val="none" w:sz="0" w:space="0" w:color="auto"/>
                <w:left w:val="none" w:sz="0" w:space="0" w:color="auto"/>
                <w:bottom w:val="none" w:sz="0" w:space="0" w:color="auto"/>
                <w:right w:val="none" w:sz="0" w:space="0" w:color="auto"/>
              </w:divBdr>
              <w:divsChild>
                <w:div w:id="9017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0359-C1E5-4352-A643-BD397DFA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10488</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 Arroyo, Ana Paula</dc:creator>
  <cp:keywords/>
  <dc:description/>
  <cp:lastModifiedBy>Lavalle Arroyo, Ana Paula</cp:lastModifiedBy>
  <cp:revision>2</cp:revision>
  <dcterms:created xsi:type="dcterms:W3CDTF">2022-08-25T15:37:00Z</dcterms:created>
  <dcterms:modified xsi:type="dcterms:W3CDTF">2022-08-25T15:37:00Z</dcterms:modified>
</cp:coreProperties>
</file>