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5FE7B6F" w:rsidR="006E0DDE" w:rsidRPr="001C69AC" w:rsidRDefault="001C69AC">
      <w:pPr>
        <w:spacing w:after="280" w:line="240" w:lineRule="auto"/>
        <w:jc w:val="both"/>
        <w:rPr>
          <w:rFonts w:ascii="Arial Narrow" w:eastAsia="Arial Narrow" w:hAnsi="Arial Narrow" w:cs="Arial Narrow"/>
          <w:sz w:val="24"/>
          <w:szCs w:val="24"/>
        </w:rPr>
      </w:pPr>
      <w:r w:rsidRPr="001C69AC">
        <w:rPr>
          <w:rFonts w:ascii="Arial Narrow" w:eastAsiaTheme="minorEastAsia" w:hAnsi="Arial Narrow"/>
          <w:noProof/>
          <w:sz w:val="24"/>
          <w:szCs w:val="24"/>
        </w:rPr>
        <w:drawing>
          <wp:anchor distT="0" distB="0" distL="114300" distR="114300" simplePos="0" relativeHeight="251659264" behindDoc="1" locked="0" layoutInCell="1" allowOverlap="1" wp14:anchorId="1ED23967" wp14:editId="657BB7C9">
            <wp:simplePos x="0" y="0"/>
            <wp:positionH relativeFrom="margin">
              <wp:align>center</wp:align>
            </wp:positionH>
            <wp:positionV relativeFrom="paragraph">
              <wp:posOffset>-393658</wp:posOffset>
            </wp:positionV>
            <wp:extent cx="1457325" cy="971550"/>
            <wp:effectExtent l="0" t="0" r="9525"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odh version definitiva compartir organizacion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7325" cy="971550"/>
                    </a:xfrm>
                    <a:prstGeom prst="rect">
                      <a:avLst/>
                    </a:prstGeom>
                  </pic:spPr>
                </pic:pic>
              </a:graphicData>
            </a:graphic>
            <wp14:sizeRelH relativeFrom="page">
              <wp14:pctWidth>0</wp14:pctWidth>
            </wp14:sizeRelH>
            <wp14:sizeRelV relativeFrom="page">
              <wp14:pctHeight>0</wp14:pctHeight>
            </wp14:sizeRelV>
          </wp:anchor>
        </w:drawing>
      </w:r>
    </w:p>
    <w:p w14:paraId="37954A2C" w14:textId="77777777" w:rsidR="001C69AC" w:rsidRDefault="001C69AC">
      <w:pPr>
        <w:spacing w:before="280" w:after="280" w:line="240" w:lineRule="auto"/>
        <w:jc w:val="right"/>
        <w:rPr>
          <w:rFonts w:ascii="Arial Narrow" w:eastAsia="Arial Narrow" w:hAnsi="Arial Narrow" w:cs="Arial Narrow"/>
          <w:b/>
          <w:sz w:val="24"/>
          <w:szCs w:val="24"/>
        </w:rPr>
      </w:pPr>
    </w:p>
    <w:p w14:paraId="00000002" w14:textId="5646834B" w:rsidR="006E0DDE" w:rsidRPr="001C69AC" w:rsidRDefault="003445F4">
      <w:pPr>
        <w:spacing w:before="280" w:after="280" w:line="240" w:lineRule="auto"/>
        <w:jc w:val="right"/>
        <w:rPr>
          <w:rFonts w:ascii="Arial Narrow" w:eastAsia="Arial Narrow" w:hAnsi="Arial Narrow" w:cs="Arial Narrow"/>
          <w:b/>
          <w:sz w:val="24"/>
          <w:szCs w:val="24"/>
        </w:rPr>
      </w:pPr>
      <w:r>
        <w:rPr>
          <w:rFonts w:ascii="Arial Narrow" w:eastAsia="Arial Narrow" w:hAnsi="Arial Narrow" w:cs="Arial Narrow"/>
          <w:b/>
          <w:sz w:val="24"/>
          <w:szCs w:val="24"/>
        </w:rPr>
        <w:br/>
      </w:r>
      <w:r w:rsidR="00D84328" w:rsidRPr="001C69AC">
        <w:rPr>
          <w:rFonts w:ascii="Arial Narrow" w:eastAsia="Arial Narrow" w:hAnsi="Arial Narrow" w:cs="Arial Narrow"/>
          <w:b/>
          <w:sz w:val="24"/>
          <w:szCs w:val="24"/>
        </w:rPr>
        <w:t>Ciudad de México, 30 de agosto de 2022</w:t>
      </w:r>
    </w:p>
    <w:p w14:paraId="00000003" w14:textId="6BA93C78" w:rsidR="006E0DDE" w:rsidRPr="001C69AC" w:rsidRDefault="0059319E">
      <w:pPr>
        <w:spacing w:before="280" w:after="280" w:line="240"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Integrantes del </w:t>
      </w:r>
      <w:r w:rsidR="00D84328" w:rsidRPr="001C69AC">
        <w:rPr>
          <w:rFonts w:ascii="Arial Narrow" w:eastAsia="Arial Narrow" w:hAnsi="Arial Narrow" w:cs="Arial Narrow"/>
          <w:b/>
          <w:sz w:val="24"/>
          <w:szCs w:val="24"/>
        </w:rPr>
        <w:t>Comité contra la Desaparición Forzada (CED)</w:t>
      </w:r>
    </w:p>
    <w:p w14:paraId="00000004" w14:textId="77777777" w:rsidR="006E0DDE" w:rsidRPr="001C69AC" w:rsidRDefault="006E0DDE">
      <w:pPr>
        <w:spacing w:before="280" w:after="280" w:line="240" w:lineRule="auto"/>
        <w:jc w:val="both"/>
        <w:rPr>
          <w:rFonts w:ascii="Arial Narrow" w:eastAsia="Arial Narrow" w:hAnsi="Arial Narrow" w:cs="Arial Narrow"/>
          <w:sz w:val="24"/>
          <w:szCs w:val="24"/>
        </w:rPr>
      </w:pPr>
    </w:p>
    <w:p w14:paraId="00000005" w14:textId="21ADC95E" w:rsidR="006E0DDE" w:rsidRPr="001C69AC" w:rsidRDefault="00D84328" w:rsidP="001C69AC">
      <w:pPr>
        <w:spacing w:before="280" w:after="280" w:line="240" w:lineRule="auto"/>
        <w:ind w:left="4253"/>
        <w:jc w:val="both"/>
        <w:rPr>
          <w:rFonts w:ascii="Arial Narrow" w:eastAsia="Arial Narrow" w:hAnsi="Arial Narrow" w:cs="Arial Narrow"/>
          <w:sz w:val="24"/>
          <w:szCs w:val="24"/>
        </w:rPr>
      </w:pPr>
      <w:r w:rsidRPr="001C69AC">
        <w:rPr>
          <w:rFonts w:ascii="Arial Narrow" w:eastAsia="Arial Narrow" w:hAnsi="Arial Narrow" w:cs="Arial Narrow"/>
          <w:b/>
          <w:i/>
          <w:sz w:val="24"/>
          <w:szCs w:val="24"/>
        </w:rPr>
        <w:t>REF.: Proyecto de declaración “Actores no estatales y desapariciones forzadas en</w:t>
      </w:r>
      <w:r w:rsidR="001C69AC" w:rsidRPr="001C69AC">
        <w:rPr>
          <w:rFonts w:ascii="Arial Narrow" w:eastAsia="Arial Narrow" w:hAnsi="Arial Narrow" w:cs="Arial Narrow"/>
          <w:b/>
          <w:i/>
          <w:sz w:val="24"/>
          <w:szCs w:val="24"/>
        </w:rPr>
        <w:t xml:space="preserve"> </w:t>
      </w:r>
      <w:r w:rsidRPr="001C69AC">
        <w:rPr>
          <w:rFonts w:ascii="Arial Narrow" w:eastAsia="Arial Narrow" w:hAnsi="Arial Narrow" w:cs="Arial Narrow"/>
          <w:b/>
          <w:i/>
          <w:sz w:val="24"/>
          <w:szCs w:val="24"/>
        </w:rPr>
        <w:t>el</w:t>
      </w:r>
      <w:r w:rsidR="001C69AC" w:rsidRPr="001C69AC">
        <w:rPr>
          <w:rFonts w:ascii="Arial Narrow" w:eastAsia="Arial Narrow" w:hAnsi="Arial Narrow" w:cs="Arial Narrow"/>
          <w:b/>
          <w:i/>
          <w:sz w:val="24"/>
          <w:szCs w:val="24"/>
        </w:rPr>
        <w:t xml:space="preserve"> </w:t>
      </w:r>
      <w:r w:rsidRPr="001C69AC">
        <w:rPr>
          <w:rFonts w:ascii="Arial Narrow" w:eastAsia="Arial Narrow" w:hAnsi="Arial Narrow" w:cs="Arial Narrow"/>
          <w:b/>
          <w:i/>
          <w:sz w:val="24"/>
          <w:szCs w:val="24"/>
        </w:rPr>
        <w:t>contexto de la Convención Internacional para la protección</w:t>
      </w:r>
      <w:r w:rsidR="001C69AC" w:rsidRPr="001C69AC">
        <w:rPr>
          <w:rFonts w:ascii="Arial Narrow" w:eastAsia="Arial Narrow" w:hAnsi="Arial Narrow" w:cs="Arial Narrow"/>
          <w:b/>
          <w:i/>
          <w:sz w:val="24"/>
          <w:szCs w:val="24"/>
        </w:rPr>
        <w:t xml:space="preserve"> </w:t>
      </w:r>
      <w:r w:rsidRPr="001C69AC">
        <w:rPr>
          <w:rFonts w:ascii="Arial Narrow" w:eastAsia="Arial Narrow" w:hAnsi="Arial Narrow" w:cs="Arial Narrow"/>
          <w:b/>
          <w:i/>
          <w:sz w:val="24"/>
          <w:szCs w:val="24"/>
        </w:rPr>
        <w:t>de todas las personas contra las desapariciones forzadas”</w:t>
      </w:r>
    </w:p>
    <w:p w14:paraId="00000006" w14:textId="77777777" w:rsidR="006E0DDE" w:rsidRPr="001C69AC" w:rsidRDefault="006E0DDE">
      <w:pPr>
        <w:spacing w:before="280" w:after="280" w:line="240" w:lineRule="auto"/>
        <w:jc w:val="both"/>
        <w:rPr>
          <w:rFonts w:ascii="Arial Narrow" w:eastAsia="Arial Narrow" w:hAnsi="Arial Narrow" w:cs="Arial Narrow"/>
          <w:sz w:val="24"/>
          <w:szCs w:val="24"/>
        </w:rPr>
      </w:pPr>
    </w:p>
    <w:p w14:paraId="00000007" w14:textId="77777777" w:rsidR="006E0DDE" w:rsidRPr="001C69AC" w:rsidRDefault="00D84328">
      <w:pPr>
        <w:spacing w:before="280" w:after="280" w:line="240" w:lineRule="auto"/>
        <w:jc w:val="both"/>
        <w:rPr>
          <w:rFonts w:ascii="Arial Narrow" w:eastAsia="Arial Narrow" w:hAnsi="Arial Narrow" w:cs="Arial Narrow"/>
          <w:sz w:val="24"/>
          <w:szCs w:val="24"/>
        </w:rPr>
      </w:pPr>
      <w:r w:rsidRPr="001C69AC">
        <w:rPr>
          <w:rFonts w:ascii="Arial Narrow" w:eastAsia="Arial Narrow" w:hAnsi="Arial Narrow" w:cs="Arial Narrow"/>
          <w:sz w:val="24"/>
          <w:szCs w:val="24"/>
        </w:rPr>
        <w:t>El Centro de Derechos Humanos Miguel Agustín Pro Juárez (Centro Prodh), asociación mexicana civil sin fines de lucro fundada en 1988 con Estatus Consultivo ante el Consejo Económico y Social de las Naciones Unidas, con un trabajo de defensa de casos de graves violaciones a los derechos humanos, nos dirigimos a ustedes con el fin de brindar nuestras contribuciones al proyecto de declaración en referencia adoptado por el Comité</w:t>
      </w:r>
      <w:r w:rsidRPr="001C69AC">
        <w:rPr>
          <w:rFonts w:ascii="Arial Narrow" w:eastAsia="Arial Narrow" w:hAnsi="Arial Narrow" w:cs="Arial Narrow"/>
          <w:sz w:val="24"/>
          <w:szCs w:val="24"/>
          <w:vertAlign w:val="superscript"/>
        </w:rPr>
        <w:footnoteReference w:id="1"/>
      </w:r>
      <w:r w:rsidRPr="001C69AC">
        <w:rPr>
          <w:rFonts w:ascii="Arial Narrow" w:eastAsia="Arial Narrow" w:hAnsi="Arial Narrow" w:cs="Arial Narrow"/>
          <w:sz w:val="24"/>
          <w:szCs w:val="24"/>
        </w:rPr>
        <w:t>. En particular, a partir de nuestra experiencia en el litigio de casos en el contexto de México y los estándares del Sistema Interamericano de Derechos Humanos, nos referiremos a algunos elementos que el Comité debe tomar en cuenta para considerar una desaparición cometida por actores no estatales como desaparición forzada.</w:t>
      </w:r>
    </w:p>
    <w:p w14:paraId="00000008" w14:textId="77777777" w:rsidR="006E0DDE" w:rsidRPr="001C69AC" w:rsidRDefault="00D84328">
      <w:pPr>
        <w:spacing w:before="280" w:after="280" w:line="240" w:lineRule="auto"/>
        <w:jc w:val="both"/>
        <w:rPr>
          <w:rFonts w:ascii="Arial Narrow" w:eastAsia="Arial Narrow" w:hAnsi="Arial Narrow" w:cs="Arial Narrow"/>
          <w:sz w:val="24"/>
          <w:szCs w:val="24"/>
        </w:rPr>
      </w:pPr>
      <w:r w:rsidRPr="001C69AC">
        <w:rPr>
          <w:rFonts w:ascii="Arial Narrow" w:eastAsia="Arial Narrow" w:hAnsi="Arial Narrow" w:cs="Arial Narrow"/>
          <w:sz w:val="24"/>
          <w:szCs w:val="24"/>
          <w:highlight w:val="white"/>
        </w:rPr>
        <w:t>A partir de lo anterior, ponemos a consideración de este Comité, la relevancia de incluir, a la luz de la sección 2 del proyecto de declaración, como una circunstancia para considerar que una desaparición cometida por actores no estatales, puede constituir una desaparición forzada, cuando en su intervención participan actores privados, como el crimen organizado, que sin tener un vínculo "orgánico" o explícito con  agentes estatales, se benefician de la falta de actuación o permisibilidad de dichos agentes, lo que incluso se acreditaría cuando existe un patrón de actuación por dicho grupo, sin que los actores estatales actúen.</w:t>
      </w:r>
    </w:p>
    <w:p w14:paraId="00000009" w14:textId="77777777" w:rsidR="006E0DDE" w:rsidRPr="001C69AC" w:rsidRDefault="00D84328">
      <w:pPr>
        <w:spacing w:before="280" w:after="280" w:line="240" w:lineRule="auto"/>
        <w:jc w:val="both"/>
        <w:rPr>
          <w:rFonts w:ascii="Arial Narrow" w:eastAsia="Arial Narrow" w:hAnsi="Arial Narrow" w:cs="Arial Narrow"/>
          <w:sz w:val="24"/>
          <w:szCs w:val="24"/>
        </w:rPr>
      </w:pPr>
      <w:r w:rsidRPr="001C69AC">
        <w:rPr>
          <w:rFonts w:ascii="Arial Narrow" w:eastAsia="Arial Narrow" w:hAnsi="Arial Narrow" w:cs="Arial Narrow"/>
          <w:sz w:val="24"/>
          <w:szCs w:val="24"/>
        </w:rPr>
        <w:t>Esta circunstancia está especialmente presente en el contexto mexicano. Como constató el Comité en el informe sobre su visita a México en noviembre de 2021, en el país “se mantiene una situación generalizada de desapariciones en gran parte del territorio nacional, frente a la cual imperan una impunidad casi absoluta […]”</w:t>
      </w:r>
      <w:r w:rsidRPr="001C69AC">
        <w:rPr>
          <w:rFonts w:ascii="Arial Narrow" w:eastAsia="Arial Narrow" w:hAnsi="Arial Narrow" w:cs="Arial Narrow"/>
          <w:sz w:val="24"/>
          <w:szCs w:val="24"/>
          <w:vertAlign w:val="superscript"/>
        </w:rPr>
        <w:footnoteReference w:id="2"/>
      </w:r>
      <w:r w:rsidRPr="001C69AC">
        <w:rPr>
          <w:rFonts w:ascii="Arial Narrow" w:eastAsia="Arial Narrow" w:hAnsi="Arial Narrow" w:cs="Arial Narrow"/>
          <w:sz w:val="24"/>
          <w:szCs w:val="24"/>
        </w:rPr>
        <w:t xml:space="preserve">; y “la delincuencia organizada se ha convertido en un perpetrador </w:t>
      </w:r>
      <w:r w:rsidRPr="001C69AC">
        <w:rPr>
          <w:rFonts w:ascii="Arial Narrow" w:eastAsia="Arial Narrow" w:hAnsi="Arial Narrow" w:cs="Arial Narrow"/>
          <w:sz w:val="24"/>
          <w:szCs w:val="24"/>
        </w:rPr>
        <w:lastRenderedPageBreak/>
        <w:t>central de desapariciones, con diversas formas de connivencia y diversos grados de participación, aquiescencia u omisión de servidores públicos”</w:t>
      </w:r>
      <w:r w:rsidRPr="001C69AC">
        <w:rPr>
          <w:rFonts w:ascii="Arial Narrow" w:eastAsia="Arial Narrow" w:hAnsi="Arial Narrow" w:cs="Arial Narrow"/>
          <w:sz w:val="24"/>
          <w:szCs w:val="24"/>
          <w:vertAlign w:val="superscript"/>
        </w:rPr>
        <w:footnoteReference w:id="3"/>
      </w:r>
      <w:r w:rsidRPr="001C69AC">
        <w:rPr>
          <w:rFonts w:ascii="Arial Narrow" w:eastAsia="Arial Narrow" w:hAnsi="Arial Narrow" w:cs="Arial Narrow"/>
          <w:sz w:val="24"/>
          <w:szCs w:val="24"/>
        </w:rPr>
        <w:t>.</w:t>
      </w:r>
    </w:p>
    <w:p w14:paraId="0000000A" w14:textId="77777777" w:rsidR="006E0DDE" w:rsidRPr="001C69AC" w:rsidRDefault="00D84328">
      <w:pPr>
        <w:pBdr>
          <w:top w:val="nil"/>
          <w:left w:val="nil"/>
          <w:bottom w:val="nil"/>
          <w:right w:val="nil"/>
          <w:between w:val="nil"/>
        </w:pBdr>
        <w:spacing w:before="280" w:after="280" w:line="240" w:lineRule="auto"/>
        <w:jc w:val="both"/>
        <w:rPr>
          <w:rFonts w:ascii="Arial Narrow" w:eastAsia="Arial Narrow" w:hAnsi="Arial Narrow" w:cs="Arial Narrow"/>
          <w:sz w:val="24"/>
          <w:szCs w:val="24"/>
        </w:rPr>
      </w:pPr>
      <w:r w:rsidRPr="001C69AC">
        <w:rPr>
          <w:rFonts w:ascii="Arial Narrow" w:eastAsia="Arial Narrow" w:hAnsi="Arial Narrow" w:cs="Arial Narrow"/>
          <w:sz w:val="24"/>
          <w:szCs w:val="24"/>
        </w:rPr>
        <w:t>El CED ha señalado que entre los años 2006 y 2021 crecieron exponencialmente las desapariciones en México, lo que evidencia “la estrecha relación” entre el incremento de las desapariciones y la llamada “guerra contra el narcotráfico” iniciada por el gobierno en 2006 y por la cual se desplegó a las fuerzas armadas para realizar tareas de seguridad pública, práctica que “se mantuvo e incluso se ha agudizado en los siguientes sexenios”</w:t>
      </w:r>
      <w:r w:rsidRPr="001C69AC">
        <w:rPr>
          <w:rFonts w:ascii="Arial Narrow" w:eastAsia="Arial Narrow" w:hAnsi="Arial Narrow" w:cs="Arial Narrow"/>
          <w:sz w:val="24"/>
          <w:szCs w:val="24"/>
          <w:vertAlign w:val="superscript"/>
        </w:rPr>
        <w:footnoteReference w:id="4"/>
      </w:r>
      <w:r w:rsidRPr="001C69AC">
        <w:rPr>
          <w:rFonts w:ascii="Arial Narrow" w:eastAsia="Arial Narrow" w:hAnsi="Arial Narrow" w:cs="Arial Narrow"/>
          <w:sz w:val="24"/>
          <w:szCs w:val="24"/>
        </w:rPr>
        <w:t>. Según el Comité, “a partir de 2006 las desapariciones reflejan una gran diversidad de perpetradores, modalidades y víctimas”</w:t>
      </w:r>
      <w:r w:rsidRPr="001C69AC">
        <w:rPr>
          <w:rFonts w:ascii="Arial Narrow" w:eastAsia="Arial Narrow" w:hAnsi="Arial Narrow" w:cs="Arial Narrow"/>
          <w:sz w:val="24"/>
          <w:szCs w:val="24"/>
          <w:vertAlign w:val="superscript"/>
        </w:rPr>
        <w:footnoteReference w:id="5"/>
      </w:r>
      <w:r w:rsidRPr="001C69AC">
        <w:rPr>
          <w:rFonts w:ascii="Arial Narrow" w:eastAsia="Arial Narrow" w:hAnsi="Arial Narrow" w:cs="Arial Narrow"/>
          <w:sz w:val="24"/>
          <w:szCs w:val="24"/>
        </w:rPr>
        <w:t>. Este contexto ha sido también constatado por la Corte Interamericana de Derechos Humanos (Corte IDH)</w:t>
      </w:r>
      <w:r w:rsidRPr="001C69AC">
        <w:rPr>
          <w:rFonts w:ascii="Arial Narrow" w:eastAsia="Arial Narrow" w:hAnsi="Arial Narrow" w:cs="Arial Narrow"/>
          <w:sz w:val="24"/>
          <w:szCs w:val="24"/>
          <w:vertAlign w:val="superscript"/>
        </w:rPr>
        <w:footnoteReference w:id="6"/>
      </w:r>
      <w:r w:rsidRPr="001C69AC">
        <w:rPr>
          <w:rFonts w:ascii="Arial Narrow" w:eastAsia="Arial Narrow" w:hAnsi="Arial Narrow" w:cs="Arial Narrow"/>
          <w:sz w:val="24"/>
          <w:szCs w:val="24"/>
        </w:rPr>
        <w:t xml:space="preserve"> y la Comisión Interamericana de Derechos Humanos (CIDH)</w:t>
      </w:r>
      <w:r w:rsidRPr="001C69AC">
        <w:rPr>
          <w:rFonts w:ascii="Arial Narrow" w:eastAsia="Arial Narrow" w:hAnsi="Arial Narrow" w:cs="Arial Narrow"/>
          <w:sz w:val="24"/>
          <w:szCs w:val="24"/>
          <w:vertAlign w:val="superscript"/>
        </w:rPr>
        <w:footnoteReference w:id="7"/>
      </w:r>
      <w:r w:rsidRPr="001C69AC">
        <w:rPr>
          <w:rFonts w:ascii="Arial Narrow" w:eastAsia="Arial Narrow" w:hAnsi="Arial Narrow" w:cs="Arial Narrow"/>
          <w:sz w:val="24"/>
          <w:szCs w:val="24"/>
        </w:rPr>
        <w:t>.</w:t>
      </w:r>
    </w:p>
    <w:p w14:paraId="0000000B" w14:textId="77777777" w:rsidR="006E0DDE" w:rsidRPr="001C69AC" w:rsidRDefault="00D84328">
      <w:pPr>
        <w:pBdr>
          <w:top w:val="nil"/>
          <w:left w:val="nil"/>
          <w:bottom w:val="nil"/>
          <w:right w:val="nil"/>
          <w:between w:val="nil"/>
        </w:pBdr>
        <w:spacing w:before="280" w:after="280" w:line="240" w:lineRule="auto"/>
        <w:jc w:val="both"/>
        <w:rPr>
          <w:rFonts w:ascii="Arial Narrow" w:eastAsia="Arial Narrow" w:hAnsi="Arial Narrow" w:cs="Arial Narrow"/>
          <w:sz w:val="24"/>
          <w:szCs w:val="24"/>
        </w:rPr>
      </w:pPr>
      <w:r w:rsidRPr="001C69AC">
        <w:rPr>
          <w:rFonts w:ascii="Arial Narrow" w:eastAsia="Arial Narrow" w:hAnsi="Arial Narrow" w:cs="Arial Narrow"/>
          <w:sz w:val="24"/>
          <w:szCs w:val="24"/>
        </w:rPr>
        <w:t>El Grupo de Trabajo sobre las Desapariciones Forzadas o Involuntarias (GTDFI) ha reafirmado que en México “[u]n elevado número de secuestros y delitos con similitudes a las desapariciones forzadas son cometidos por grupos del crimen organizado. Sin embargo, no todas las personas desaparecidas habrían sido secuestradas por grupos del crimen organizado actuando de forma independiente; por el contrario, la participación del Estado en las desapariciones forzadas también está presente en el país”</w:t>
      </w:r>
      <w:r w:rsidRPr="001C69AC">
        <w:rPr>
          <w:rFonts w:ascii="Arial Narrow" w:eastAsia="Arial Narrow" w:hAnsi="Arial Narrow" w:cs="Arial Narrow"/>
          <w:sz w:val="24"/>
          <w:szCs w:val="24"/>
          <w:vertAlign w:val="superscript"/>
        </w:rPr>
        <w:footnoteReference w:id="8"/>
      </w:r>
      <w:r w:rsidRPr="001C69AC">
        <w:rPr>
          <w:rFonts w:ascii="Arial Narrow" w:eastAsia="Arial Narrow" w:hAnsi="Arial Narrow" w:cs="Arial Narrow"/>
          <w:sz w:val="24"/>
          <w:szCs w:val="24"/>
        </w:rPr>
        <w:t xml:space="preserve">.  </w:t>
      </w:r>
    </w:p>
    <w:p w14:paraId="0000000C" w14:textId="77777777" w:rsidR="006E0DDE" w:rsidRPr="001C69AC" w:rsidRDefault="00D84328">
      <w:pPr>
        <w:spacing w:before="280" w:after="280" w:line="240" w:lineRule="auto"/>
        <w:jc w:val="both"/>
        <w:rPr>
          <w:rFonts w:ascii="Arial Narrow" w:eastAsia="Arial Narrow" w:hAnsi="Arial Narrow" w:cs="Arial Narrow"/>
          <w:sz w:val="24"/>
          <w:szCs w:val="24"/>
        </w:rPr>
      </w:pPr>
      <w:r w:rsidRPr="001C69AC">
        <w:rPr>
          <w:rFonts w:ascii="Arial Narrow" w:eastAsia="Arial Narrow" w:hAnsi="Arial Narrow" w:cs="Arial Narrow"/>
          <w:sz w:val="24"/>
          <w:szCs w:val="24"/>
        </w:rPr>
        <w:t>En el caso particular de personas migrantes, el GTDFI ha observado la persistencia de secuestros y afirmado que como la mayoría permanecen impunes “es muy difícil determinar si estos casos pudieran calificarse como desapariciones forzadas”</w:t>
      </w:r>
      <w:r w:rsidRPr="001C69AC">
        <w:rPr>
          <w:rFonts w:ascii="Arial Narrow" w:eastAsia="Arial Narrow" w:hAnsi="Arial Narrow" w:cs="Arial Narrow"/>
          <w:sz w:val="24"/>
          <w:szCs w:val="24"/>
          <w:vertAlign w:val="superscript"/>
        </w:rPr>
        <w:footnoteReference w:id="9"/>
      </w:r>
      <w:r w:rsidRPr="001C69AC">
        <w:rPr>
          <w:rFonts w:ascii="Arial Narrow" w:eastAsia="Arial Narrow" w:hAnsi="Arial Narrow" w:cs="Arial Narrow"/>
          <w:sz w:val="24"/>
          <w:szCs w:val="24"/>
        </w:rPr>
        <w:t xml:space="preserve"> y que [h]asta que se realice una adecuada y completa investigación, no es posible aceptar que todos los secuestros de migrantes sean realizados exclusivamente por grupos del crimen organizado o descartar que no exista participación directa o al menos tolerancia o aquiescencia de funcionarios públicos”.</w:t>
      </w:r>
    </w:p>
    <w:p w14:paraId="0000000D" w14:textId="77777777" w:rsidR="006E0DDE" w:rsidRPr="001C69AC" w:rsidRDefault="00D84328">
      <w:pPr>
        <w:spacing w:before="280" w:after="280" w:line="240" w:lineRule="auto"/>
        <w:jc w:val="both"/>
        <w:rPr>
          <w:rFonts w:ascii="Arial Narrow" w:eastAsia="Arial Narrow" w:hAnsi="Arial Narrow" w:cs="Arial Narrow"/>
          <w:sz w:val="24"/>
          <w:szCs w:val="24"/>
        </w:rPr>
      </w:pPr>
      <w:r w:rsidRPr="001C69AC">
        <w:rPr>
          <w:rFonts w:ascii="Arial Narrow" w:eastAsia="Arial Narrow" w:hAnsi="Arial Narrow" w:cs="Arial Narrow"/>
          <w:sz w:val="24"/>
          <w:szCs w:val="24"/>
        </w:rPr>
        <w:t>Asimismo, el Grupo de Trabajo ha subrayado que en el país la impunidad es generalizada y es un patrón crónico que favorece la perpetración de desapariciones forzadas</w:t>
      </w:r>
      <w:r w:rsidRPr="001C69AC">
        <w:rPr>
          <w:rFonts w:ascii="Arial Narrow" w:eastAsia="Arial Narrow" w:hAnsi="Arial Narrow" w:cs="Arial Narrow"/>
          <w:sz w:val="24"/>
          <w:szCs w:val="24"/>
          <w:vertAlign w:val="superscript"/>
        </w:rPr>
        <w:footnoteReference w:id="10"/>
      </w:r>
      <w:r w:rsidRPr="001C69AC">
        <w:rPr>
          <w:rFonts w:ascii="Arial Narrow" w:eastAsia="Arial Narrow" w:hAnsi="Arial Narrow" w:cs="Arial Narrow"/>
          <w:sz w:val="24"/>
          <w:szCs w:val="24"/>
        </w:rPr>
        <w:t>; y que muchos casos que podrían encuadrarse como desaparición forzada se reportan o investigan bajo otra figura, o ni siquiera se consideran como delitos, de manera que no se realiza una investigación adecuada para descartar que se trata de una desaparición forzada</w:t>
      </w:r>
      <w:r w:rsidRPr="001C69AC">
        <w:rPr>
          <w:rFonts w:ascii="Arial Narrow" w:eastAsia="Arial Narrow" w:hAnsi="Arial Narrow" w:cs="Arial Narrow"/>
          <w:sz w:val="24"/>
          <w:szCs w:val="24"/>
          <w:vertAlign w:val="superscript"/>
        </w:rPr>
        <w:footnoteReference w:id="11"/>
      </w:r>
      <w:r w:rsidRPr="001C69AC">
        <w:rPr>
          <w:rFonts w:ascii="Arial Narrow" w:eastAsia="Arial Narrow" w:hAnsi="Arial Narrow" w:cs="Arial Narrow"/>
          <w:sz w:val="24"/>
          <w:szCs w:val="24"/>
        </w:rPr>
        <w:t xml:space="preserve">. De acuerdo con el Grupo de Trabajo, las desapariciones </w:t>
      </w:r>
      <w:r w:rsidRPr="001C69AC">
        <w:rPr>
          <w:rFonts w:ascii="Arial Narrow" w:eastAsia="Arial Narrow" w:hAnsi="Arial Narrow" w:cs="Arial Narrow"/>
          <w:sz w:val="24"/>
          <w:szCs w:val="24"/>
        </w:rPr>
        <w:lastRenderedPageBreak/>
        <w:t>“no pueden adjudicarse exclusivamente al crimen organizado sin una adecuada y completa investigación penal”</w:t>
      </w:r>
      <w:r w:rsidRPr="001C69AC">
        <w:rPr>
          <w:rFonts w:ascii="Arial Narrow" w:eastAsia="Arial Narrow" w:hAnsi="Arial Narrow" w:cs="Arial Narrow"/>
          <w:sz w:val="24"/>
          <w:szCs w:val="24"/>
          <w:vertAlign w:val="superscript"/>
        </w:rPr>
        <w:footnoteReference w:id="12"/>
      </w:r>
      <w:r w:rsidRPr="001C69AC">
        <w:rPr>
          <w:rFonts w:ascii="Arial Narrow" w:eastAsia="Arial Narrow" w:hAnsi="Arial Narrow" w:cs="Arial Narrow"/>
          <w:sz w:val="24"/>
          <w:szCs w:val="24"/>
        </w:rPr>
        <w:t>.</w:t>
      </w:r>
    </w:p>
    <w:p w14:paraId="0000000E" w14:textId="77777777" w:rsidR="006E0DDE" w:rsidRPr="001C69AC" w:rsidRDefault="00D84328">
      <w:pPr>
        <w:spacing w:before="280" w:after="280" w:line="240" w:lineRule="auto"/>
        <w:jc w:val="both"/>
        <w:rPr>
          <w:rFonts w:ascii="Arial Narrow" w:eastAsia="Arial Narrow" w:hAnsi="Arial Narrow" w:cs="Arial Narrow"/>
          <w:sz w:val="24"/>
          <w:szCs w:val="24"/>
        </w:rPr>
      </w:pPr>
      <w:r w:rsidRPr="001C69AC">
        <w:rPr>
          <w:rFonts w:ascii="Arial Narrow" w:eastAsia="Arial Narrow" w:hAnsi="Arial Narrow" w:cs="Arial Narrow"/>
          <w:sz w:val="24"/>
          <w:szCs w:val="24"/>
        </w:rPr>
        <w:t>Por su parte, el Comité contra la Tortura ha expresado su preocupación por el progresivo aumento de desapariciones forzadas en México cometidas presuntamente por grupos criminales o particulares que actuarían con apoyo directo o indirecto de agentes estatales</w:t>
      </w:r>
      <w:r w:rsidRPr="001C69AC">
        <w:rPr>
          <w:rFonts w:ascii="Arial Narrow" w:eastAsia="Arial Narrow" w:hAnsi="Arial Narrow" w:cs="Arial Narrow"/>
          <w:sz w:val="24"/>
          <w:szCs w:val="24"/>
          <w:vertAlign w:val="superscript"/>
        </w:rPr>
        <w:footnoteReference w:id="13"/>
      </w:r>
      <w:r w:rsidRPr="001C69AC">
        <w:rPr>
          <w:rFonts w:ascii="Arial Narrow" w:eastAsia="Arial Narrow" w:hAnsi="Arial Narrow" w:cs="Arial Narrow"/>
          <w:sz w:val="24"/>
          <w:szCs w:val="24"/>
        </w:rPr>
        <w:t>.</w:t>
      </w:r>
    </w:p>
    <w:p w14:paraId="0000000F" w14:textId="77777777" w:rsidR="006E0DDE" w:rsidRPr="001C69AC" w:rsidRDefault="00D84328">
      <w:pPr>
        <w:spacing w:before="280" w:after="280" w:line="240" w:lineRule="auto"/>
        <w:jc w:val="both"/>
        <w:rPr>
          <w:rFonts w:ascii="Arial Narrow" w:eastAsia="Arial Narrow" w:hAnsi="Arial Narrow" w:cs="Arial Narrow"/>
          <w:sz w:val="24"/>
          <w:szCs w:val="24"/>
        </w:rPr>
      </w:pPr>
      <w:r w:rsidRPr="001C69AC">
        <w:rPr>
          <w:rFonts w:ascii="Arial Narrow" w:eastAsia="Arial Narrow" w:hAnsi="Arial Narrow" w:cs="Arial Narrow"/>
          <w:sz w:val="24"/>
          <w:szCs w:val="24"/>
        </w:rPr>
        <w:t>El representante en México del Alto Comisionado de Naciones Unidas para los Derechos Humanos ha señalado que en el país “[p]or mucho tiempo, las autoridades no sólo han intentado adscribir todas o casi todas las desapariciones al crimen organizado, sino ‘explicarlas’ como casos de simple falta de localización de personas que se fueron por su propia voluntad, “no localizadas” más bien que ‘desaparecidas’”</w:t>
      </w:r>
      <w:r w:rsidRPr="001C69AC">
        <w:rPr>
          <w:rFonts w:ascii="Arial Narrow" w:eastAsia="Arial Narrow" w:hAnsi="Arial Narrow" w:cs="Arial Narrow"/>
          <w:sz w:val="24"/>
          <w:szCs w:val="24"/>
          <w:vertAlign w:val="superscript"/>
        </w:rPr>
        <w:footnoteReference w:id="14"/>
      </w:r>
      <w:r w:rsidRPr="001C69AC">
        <w:rPr>
          <w:rFonts w:ascii="Arial Narrow" w:eastAsia="Arial Narrow" w:hAnsi="Arial Narrow" w:cs="Arial Narrow"/>
          <w:sz w:val="24"/>
          <w:szCs w:val="24"/>
        </w:rPr>
        <w:t>.</w:t>
      </w:r>
    </w:p>
    <w:p w14:paraId="00000010" w14:textId="77777777" w:rsidR="006E0DDE" w:rsidRPr="001C69AC" w:rsidRDefault="00D84328">
      <w:pPr>
        <w:spacing w:before="280" w:after="280" w:line="240" w:lineRule="auto"/>
        <w:jc w:val="both"/>
        <w:rPr>
          <w:rFonts w:ascii="Arial Narrow" w:eastAsia="Arial Narrow" w:hAnsi="Arial Narrow" w:cs="Arial Narrow"/>
          <w:sz w:val="24"/>
          <w:szCs w:val="24"/>
        </w:rPr>
      </w:pPr>
      <w:r w:rsidRPr="001C69AC">
        <w:rPr>
          <w:rFonts w:ascii="Arial Narrow" w:eastAsia="Arial Narrow" w:hAnsi="Arial Narrow" w:cs="Arial Narrow"/>
          <w:sz w:val="24"/>
          <w:szCs w:val="24"/>
        </w:rPr>
        <w:t>En este marco, según cifras oficiales, México suma más de 100 mil personas desaparecidas</w:t>
      </w:r>
      <w:r w:rsidRPr="001C69AC">
        <w:rPr>
          <w:rFonts w:ascii="Arial Narrow" w:eastAsia="Arial Narrow" w:hAnsi="Arial Narrow" w:cs="Arial Narrow"/>
          <w:sz w:val="24"/>
          <w:szCs w:val="24"/>
          <w:vertAlign w:val="superscript"/>
        </w:rPr>
        <w:footnoteReference w:id="15"/>
      </w:r>
      <w:r w:rsidRPr="001C69AC">
        <w:rPr>
          <w:rFonts w:ascii="Arial Narrow" w:eastAsia="Arial Narrow" w:hAnsi="Arial Narrow" w:cs="Arial Narrow"/>
          <w:sz w:val="24"/>
          <w:szCs w:val="24"/>
        </w:rPr>
        <w:t>. Si bien en ciertos casos se ha advertido directamente la participación de agentes estatales, gran parte de las desapariciones se asocian con el crimen organizado</w:t>
      </w:r>
      <w:r w:rsidRPr="001C69AC">
        <w:rPr>
          <w:rFonts w:ascii="Arial Narrow" w:eastAsia="Arial Narrow" w:hAnsi="Arial Narrow" w:cs="Arial Narrow"/>
          <w:sz w:val="24"/>
          <w:szCs w:val="24"/>
          <w:vertAlign w:val="superscript"/>
        </w:rPr>
        <w:footnoteReference w:id="16"/>
      </w:r>
      <w:r w:rsidRPr="001C69AC">
        <w:rPr>
          <w:rFonts w:ascii="Arial Narrow" w:eastAsia="Arial Narrow" w:hAnsi="Arial Narrow" w:cs="Arial Narrow"/>
          <w:sz w:val="24"/>
          <w:szCs w:val="24"/>
        </w:rPr>
        <w:t>, y en su mayoría no se investiga la posible vinculación o responsabilidad estatal, especialmente por aquiescencia u omisión</w:t>
      </w:r>
      <w:r w:rsidRPr="001C69AC">
        <w:rPr>
          <w:rFonts w:ascii="Arial Narrow" w:eastAsia="Arial Narrow" w:hAnsi="Arial Narrow" w:cs="Arial Narrow"/>
          <w:sz w:val="24"/>
          <w:szCs w:val="24"/>
          <w:vertAlign w:val="superscript"/>
        </w:rPr>
        <w:footnoteReference w:id="17"/>
      </w:r>
      <w:r w:rsidRPr="001C69AC">
        <w:rPr>
          <w:rFonts w:ascii="Arial Narrow" w:eastAsia="Arial Narrow" w:hAnsi="Arial Narrow" w:cs="Arial Narrow"/>
          <w:sz w:val="24"/>
          <w:szCs w:val="24"/>
        </w:rPr>
        <w:t xml:space="preserve">. Esto es relevante considerando que, como se ha referido, son diversas las formas de connivencia entre agentes estatales y grupos criminales, y puede ser complejo establecer con claridad el vínculo entre ambos al cometerse una desaparición. </w:t>
      </w:r>
    </w:p>
    <w:p w14:paraId="00000011" w14:textId="77777777" w:rsidR="006E0DDE" w:rsidRPr="001C69AC" w:rsidRDefault="00D84328">
      <w:pPr>
        <w:spacing w:before="280" w:after="280" w:line="240" w:lineRule="auto"/>
        <w:jc w:val="both"/>
        <w:rPr>
          <w:rFonts w:ascii="Arial Narrow" w:eastAsia="Arial Narrow" w:hAnsi="Arial Narrow" w:cs="Arial Narrow"/>
          <w:sz w:val="24"/>
          <w:szCs w:val="24"/>
        </w:rPr>
      </w:pPr>
      <w:r w:rsidRPr="001C69AC">
        <w:rPr>
          <w:rFonts w:ascii="Arial Narrow" w:eastAsia="Arial Narrow" w:hAnsi="Arial Narrow" w:cs="Arial Narrow"/>
          <w:sz w:val="24"/>
          <w:szCs w:val="24"/>
        </w:rPr>
        <w:t>En el país se ha popularizado el término “levantón” para referirse a la práctica de desaparición, especialmente con la participación de grupos criminales</w:t>
      </w:r>
      <w:r w:rsidRPr="001C69AC">
        <w:rPr>
          <w:rFonts w:ascii="Arial Narrow" w:eastAsia="Arial Narrow" w:hAnsi="Arial Narrow" w:cs="Arial Narrow"/>
          <w:sz w:val="24"/>
          <w:szCs w:val="24"/>
          <w:vertAlign w:val="superscript"/>
        </w:rPr>
        <w:footnoteReference w:id="18"/>
      </w:r>
      <w:r w:rsidRPr="001C69AC">
        <w:rPr>
          <w:rFonts w:ascii="Arial Narrow" w:eastAsia="Arial Narrow" w:hAnsi="Arial Narrow" w:cs="Arial Narrow"/>
          <w:sz w:val="24"/>
          <w:szCs w:val="24"/>
        </w:rPr>
        <w:t xml:space="preserve">. El propio GTDFI ha constatado que “[e]n muchas ocasiones, los casos de desapariciones forzadas son eufemística y popularmente </w:t>
      </w:r>
      <w:r w:rsidRPr="001C69AC">
        <w:rPr>
          <w:rFonts w:ascii="Arial Narrow" w:eastAsia="Arial Narrow" w:hAnsi="Arial Narrow" w:cs="Arial Narrow"/>
          <w:sz w:val="24"/>
          <w:szCs w:val="24"/>
        </w:rPr>
        <w:lastRenderedPageBreak/>
        <w:t>denominados” de esta manera</w:t>
      </w:r>
      <w:r w:rsidRPr="001C69AC">
        <w:rPr>
          <w:rFonts w:ascii="Arial Narrow" w:eastAsia="Arial Narrow" w:hAnsi="Arial Narrow" w:cs="Arial Narrow"/>
          <w:sz w:val="24"/>
          <w:szCs w:val="24"/>
          <w:vertAlign w:val="superscript"/>
        </w:rPr>
        <w:footnoteReference w:id="19"/>
      </w:r>
      <w:r w:rsidRPr="001C69AC">
        <w:rPr>
          <w:rFonts w:ascii="Arial Narrow" w:eastAsia="Arial Narrow" w:hAnsi="Arial Narrow" w:cs="Arial Narrow"/>
          <w:sz w:val="24"/>
          <w:szCs w:val="24"/>
        </w:rPr>
        <w:t>. Desde la academia se ha señalado que los “levantones” son una estrategia en la que se vuelven indistinguibles los agentes estatales y los no estatales</w:t>
      </w:r>
      <w:r w:rsidRPr="001C69AC">
        <w:rPr>
          <w:rFonts w:ascii="Arial Narrow" w:eastAsia="Arial Narrow" w:hAnsi="Arial Narrow" w:cs="Arial Narrow"/>
          <w:sz w:val="24"/>
          <w:szCs w:val="24"/>
          <w:vertAlign w:val="superscript"/>
        </w:rPr>
        <w:footnoteReference w:id="20"/>
      </w:r>
      <w:r w:rsidRPr="001C69AC">
        <w:rPr>
          <w:rFonts w:ascii="Arial Narrow" w:eastAsia="Arial Narrow" w:hAnsi="Arial Narrow" w:cs="Arial Narrow"/>
          <w:sz w:val="24"/>
          <w:szCs w:val="24"/>
        </w:rPr>
        <w:t>.</w:t>
      </w:r>
    </w:p>
    <w:p w14:paraId="00000012" w14:textId="77777777" w:rsidR="006E0DDE" w:rsidRPr="001C69AC" w:rsidRDefault="00D84328">
      <w:pPr>
        <w:spacing w:before="280" w:after="280" w:line="240" w:lineRule="auto"/>
        <w:jc w:val="both"/>
        <w:rPr>
          <w:rFonts w:ascii="Arial Narrow" w:eastAsia="Arial Narrow" w:hAnsi="Arial Narrow" w:cs="Arial Narrow"/>
          <w:sz w:val="24"/>
          <w:szCs w:val="24"/>
        </w:rPr>
      </w:pPr>
      <w:r w:rsidRPr="001C69AC">
        <w:rPr>
          <w:rFonts w:ascii="Arial Narrow" w:eastAsia="Arial Narrow" w:hAnsi="Arial Narrow" w:cs="Arial Narrow"/>
          <w:sz w:val="24"/>
          <w:szCs w:val="24"/>
        </w:rPr>
        <w:t>En este panorama, cabe señalar que en gran medida el incremento de estas prácticas y la falta de investigación, llevó a que en 2017 se incluyera en la Ley General sobre desaparición</w:t>
      </w:r>
      <w:r w:rsidRPr="001C69AC">
        <w:rPr>
          <w:rFonts w:ascii="Arial Narrow" w:eastAsia="Arial Narrow" w:hAnsi="Arial Narrow" w:cs="Arial Narrow"/>
          <w:sz w:val="24"/>
          <w:szCs w:val="24"/>
          <w:vertAlign w:val="superscript"/>
        </w:rPr>
        <w:footnoteReference w:id="21"/>
      </w:r>
      <w:r w:rsidRPr="001C69AC">
        <w:rPr>
          <w:rFonts w:ascii="Arial Narrow" w:eastAsia="Arial Narrow" w:hAnsi="Arial Narrow" w:cs="Arial Narrow"/>
          <w:sz w:val="24"/>
          <w:szCs w:val="24"/>
        </w:rPr>
        <w:t>, no solamente el delito de desaparición forzada, sino también de desaparición cometida por particulares</w:t>
      </w:r>
      <w:r w:rsidRPr="001C69AC">
        <w:rPr>
          <w:rFonts w:ascii="Arial Narrow" w:eastAsia="Arial Narrow" w:hAnsi="Arial Narrow" w:cs="Arial Narrow"/>
          <w:sz w:val="24"/>
          <w:szCs w:val="24"/>
          <w:vertAlign w:val="superscript"/>
        </w:rPr>
        <w:footnoteReference w:id="22"/>
      </w:r>
      <w:r w:rsidRPr="001C69AC">
        <w:rPr>
          <w:rFonts w:ascii="Arial Narrow" w:eastAsia="Arial Narrow" w:hAnsi="Arial Narrow" w:cs="Arial Narrow"/>
          <w:sz w:val="24"/>
          <w:szCs w:val="24"/>
        </w:rPr>
        <w:t>, buscando que aquellas desapariciones cometidas por actores privados fueran igualmente investigadas (y desplegaran las acciones de búsqueda). Pese a la relevancia de reconocer la realidad del país mediante este marco normativo, la clasificación de desaparición cometida por particulares puede generar que en los hechos, se omitan investigaciones que atiendan a los diferentes vínculos y relaciones que ocurren entre el crimen organizado y las autoridades, lo que un entendimiento amplio de la aquiescencia, permitiría contemplar.</w:t>
      </w:r>
    </w:p>
    <w:p w14:paraId="00000013" w14:textId="77777777" w:rsidR="006E0DDE" w:rsidRPr="001C69AC" w:rsidRDefault="00D84328">
      <w:pPr>
        <w:spacing w:before="280" w:after="280" w:line="240" w:lineRule="auto"/>
        <w:jc w:val="both"/>
        <w:rPr>
          <w:rFonts w:ascii="Arial Narrow" w:eastAsia="Arial Narrow" w:hAnsi="Arial Narrow" w:cs="Arial Narrow"/>
          <w:sz w:val="24"/>
          <w:szCs w:val="24"/>
        </w:rPr>
      </w:pPr>
      <w:r w:rsidRPr="001C69AC">
        <w:rPr>
          <w:rFonts w:ascii="Arial Narrow" w:eastAsia="Arial Narrow" w:hAnsi="Arial Narrow" w:cs="Arial Narrow"/>
          <w:sz w:val="24"/>
          <w:szCs w:val="24"/>
        </w:rPr>
        <w:t>Frente a este panorama, consideramos importante tomar en cuenta los estándares interamericanos, particularmente en cuanto a la aquiescencia del Estado. Conforme a la jurisprudencia de la Corte IDH, cuando la desaparición es cometida por actores no estatales, lo decisivo es dilucidar “si una determinada violación […] ha tenido lugar con el apoyo o la tolerancia del poder público o si éste ha actuado de manera que la trasgresión se haya cumplido en defecto de toda prevención o impunemente”</w:t>
      </w:r>
      <w:r w:rsidRPr="001C69AC">
        <w:rPr>
          <w:rFonts w:ascii="Arial Narrow" w:eastAsia="Arial Narrow" w:hAnsi="Arial Narrow" w:cs="Arial Narrow"/>
          <w:sz w:val="24"/>
          <w:szCs w:val="24"/>
          <w:vertAlign w:val="superscript"/>
        </w:rPr>
        <w:footnoteReference w:id="23"/>
      </w:r>
      <w:r w:rsidRPr="001C69AC">
        <w:rPr>
          <w:rFonts w:ascii="Arial Narrow" w:eastAsia="Arial Narrow" w:hAnsi="Arial Narrow" w:cs="Arial Narrow"/>
          <w:sz w:val="24"/>
          <w:szCs w:val="24"/>
        </w:rPr>
        <w:t>. Así, refiere que “la aquiescencia generaría un nivel de responsabilidad más directo que aquel derivado del análisis del riesgo, [pues] comporta un consentimiento del Estado al accionar del particular, sea por la inacción deliberada o por su propio accionar al haber generado las condiciones que permitan que el hecho sea ejecutado por los particulares.”</w:t>
      </w:r>
      <w:r w:rsidRPr="001C69AC">
        <w:rPr>
          <w:rFonts w:ascii="Arial Narrow" w:eastAsia="Arial Narrow" w:hAnsi="Arial Narrow" w:cs="Arial Narrow"/>
          <w:sz w:val="24"/>
          <w:szCs w:val="24"/>
          <w:vertAlign w:val="superscript"/>
        </w:rPr>
        <w:footnoteReference w:id="24"/>
      </w:r>
    </w:p>
    <w:p w14:paraId="00000014" w14:textId="77777777" w:rsidR="006E0DDE" w:rsidRPr="001C69AC" w:rsidRDefault="00D84328">
      <w:pPr>
        <w:jc w:val="both"/>
        <w:rPr>
          <w:rFonts w:ascii="Arial Narrow" w:eastAsia="Arial Narrow" w:hAnsi="Arial Narrow" w:cs="Arial Narrow"/>
          <w:sz w:val="24"/>
          <w:szCs w:val="24"/>
        </w:rPr>
      </w:pPr>
      <w:r w:rsidRPr="001C69AC">
        <w:rPr>
          <w:rFonts w:ascii="Arial Narrow" w:eastAsia="Arial Narrow" w:hAnsi="Arial Narrow" w:cs="Arial Narrow"/>
          <w:sz w:val="24"/>
          <w:szCs w:val="24"/>
        </w:rPr>
        <w:t xml:space="preserve">Es decir, en casos en los que la desaparición haya sido cometida por actores no estatales, se configura responsabilidad del Estado en los siguientes supuestos: i) que el actor no estatal haya actuado con el apoyo o tolerancia de la autoridad (aquiescencia); o ii) que incluso sin mediar acción u omisión estrictamente relacionada con la violación, la autoridad haya omitido su deber de prevención frente a la violación en un contexto de riesgo. </w:t>
      </w:r>
    </w:p>
    <w:p w14:paraId="00000015" w14:textId="77777777" w:rsidR="006E0DDE" w:rsidRPr="001C69AC" w:rsidRDefault="00D84328">
      <w:pPr>
        <w:jc w:val="both"/>
        <w:rPr>
          <w:rFonts w:ascii="Arial Narrow" w:eastAsia="Arial Narrow" w:hAnsi="Arial Narrow" w:cs="Arial Narrow"/>
          <w:sz w:val="24"/>
          <w:szCs w:val="24"/>
        </w:rPr>
      </w:pPr>
      <w:r w:rsidRPr="001C69AC">
        <w:rPr>
          <w:rFonts w:ascii="Arial Narrow" w:eastAsia="Arial Narrow" w:hAnsi="Arial Narrow" w:cs="Arial Narrow"/>
          <w:sz w:val="24"/>
          <w:szCs w:val="24"/>
        </w:rPr>
        <w:t xml:space="preserve">La Corte IDH ha considerado la responsabilidad estatal por aquiescencia manifestada a través de diversas conductas, tanto de acción como de omisión, incluyendo: colaboración de elementos estatales en la violación, la tolerancia al actuar del grupo, la imposibilidad de haberse cometido la acción sin el apoyo de la autoridad, así como la existencia de conductas que propiciaron o permitieron </w:t>
      </w:r>
      <w:r w:rsidRPr="001C69AC">
        <w:rPr>
          <w:rFonts w:ascii="Arial Narrow" w:eastAsia="Arial Narrow" w:hAnsi="Arial Narrow" w:cs="Arial Narrow"/>
          <w:sz w:val="24"/>
          <w:szCs w:val="24"/>
        </w:rPr>
        <w:lastRenderedPageBreak/>
        <w:t>los actos contrarios a la Convención Americana sobre Derechos Humanos (CADH)</w:t>
      </w:r>
      <w:r w:rsidRPr="001C69AC">
        <w:rPr>
          <w:rFonts w:ascii="Arial Narrow" w:eastAsia="Arial Narrow" w:hAnsi="Arial Narrow" w:cs="Arial Narrow"/>
          <w:sz w:val="24"/>
          <w:szCs w:val="24"/>
          <w:vertAlign w:val="superscript"/>
        </w:rPr>
        <w:footnoteReference w:id="25"/>
      </w:r>
      <w:r w:rsidRPr="001C69AC">
        <w:rPr>
          <w:rFonts w:ascii="Arial Narrow" w:eastAsia="Arial Narrow" w:hAnsi="Arial Narrow" w:cs="Arial Narrow"/>
          <w:sz w:val="24"/>
          <w:szCs w:val="24"/>
        </w:rPr>
        <w:t>. En todas ellas, lo relevante es que ya sea por acción u omisión, la conducta estatal posibilitó el actuar de los particulares o generó las condiciones para que ocurriera la violación.</w:t>
      </w:r>
    </w:p>
    <w:p w14:paraId="00000016" w14:textId="65B7AC3B" w:rsidR="006E0DDE" w:rsidRPr="001C69AC" w:rsidRDefault="00D84328">
      <w:pPr>
        <w:jc w:val="both"/>
        <w:rPr>
          <w:rFonts w:ascii="Arial Narrow" w:eastAsia="Arial Narrow" w:hAnsi="Arial Narrow" w:cs="Arial Narrow"/>
          <w:sz w:val="24"/>
          <w:szCs w:val="24"/>
        </w:rPr>
      </w:pPr>
      <w:r w:rsidRPr="001C69AC">
        <w:rPr>
          <w:rFonts w:ascii="Arial Narrow" w:eastAsia="Arial Narrow" w:hAnsi="Arial Narrow" w:cs="Arial Narrow"/>
          <w:sz w:val="24"/>
          <w:szCs w:val="24"/>
        </w:rPr>
        <w:t>En esta tesitura, la Corte IDH además ha enfatizado que al valorar la responsabilidad estatal por aquiescencia adquieren especial relevancia los elementos contextuales, indiciarios y circunstanciales, pues lo contrario equivaldría a permitir que el Estado se favorezca por su propio incumplimiento del deber de investigar</w:t>
      </w:r>
      <w:r w:rsidRPr="001C69AC">
        <w:rPr>
          <w:rFonts w:ascii="Arial Narrow" w:eastAsia="Arial Narrow" w:hAnsi="Arial Narrow" w:cs="Arial Narrow"/>
          <w:sz w:val="24"/>
          <w:szCs w:val="24"/>
          <w:vertAlign w:val="superscript"/>
        </w:rPr>
        <w:footnoteReference w:id="26"/>
      </w:r>
      <w:r w:rsidRPr="001C69AC">
        <w:rPr>
          <w:rFonts w:ascii="Arial Narrow" w:eastAsia="Arial Narrow" w:hAnsi="Arial Narrow" w:cs="Arial Narrow"/>
          <w:sz w:val="24"/>
          <w:szCs w:val="24"/>
        </w:rPr>
        <w:t>. Así, elementos importantes a considerar para establecer que una desaparición, que en primer término fue cometida por agentes no estatales, puede configurar desaparición forzada serían: elementos de contexto, patrones de actuación referidos por otras personas (instancias como comisiones de derechos humanos o de búsqueda o lo referido por otras víctimas), elementos indiciarios que refieran posible vinculación</w:t>
      </w:r>
      <w:r w:rsidRPr="001C69AC">
        <w:rPr>
          <w:rFonts w:ascii="Arial Narrow" w:eastAsia="Arial Narrow" w:hAnsi="Arial Narrow" w:cs="Arial Narrow"/>
          <w:sz w:val="24"/>
          <w:szCs w:val="24"/>
          <w:vertAlign w:val="superscript"/>
        </w:rPr>
        <w:footnoteReference w:id="27"/>
      </w:r>
      <w:r w:rsidRPr="001C69AC">
        <w:rPr>
          <w:rFonts w:ascii="Arial Narrow" w:eastAsia="Arial Narrow" w:hAnsi="Arial Narrow" w:cs="Arial Narrow"/>
          <w:sz w:val="24"/>
          <w:szCs w:val="24"/>
        </w:rPr>
        <w:t xml:space="preserve"> o en su caso elementos de conocimiento del riesgo, </w:t>
      </w:r>
      <w:r w:rsidRPr="001C69AC">
        <w:rPr>
          <w:rFonts w:ascii="Arial Narrow" w:eastAsia="Arial Narrow" w:hAnsi="Arial Narrow" w:cs="Arial Narrow"/>
          <w:sz w:val="24"/>
          <w:szCs w:val="24"/>
        </w:rPr>
        <w:lastRenderedPageBreak/>
        <w:t xml:space="preserve">presunción de posible vínculo ante la falta de investigación. Elementos que </w:t>
      </w:r>
      <w:r w:rsidR="001C69AC" w:rsidRPr="001C69AC">
        <w:rPr>
          <w:rFonts w:ascii="Arial Narrow" w:eastAsia="Arial Narrow" w:hAnsi="Arial Narrow" w:cs="Arial Narrow"/>
          <w:sz w:val="24"/>
          <w:szCs w:val="24"/>
        </w:rPr>
        <w:t>aun</w:t>
      </w:r>
      <w:r w:rsidRPr="001C69AC">
        <w:rPr>
          <w:rFonts w:ascii="Arial Narrow" w:eastAsia="Arial Narrow" w:hAnsi="Arial Narrow" w:cs="Arial Narrow"/>
          <w:sz w:val="24"/>
          <w:szCs w:val="24"/>
        </w:rPr>
        <w:t xml:space="preserve"> cuando no muestran un claro vínculo de actuación, permiten analizar, de acuerdo con el contexto y patrones más amplios, la necesidad de indagar dichas desapariciones cometidas por particulares y su posible vinculación con actores estatales.</w:t>
      </w:r>
    </w:p>
    <w:p w14:paraId="00000017" w14:textId="77777777" w:rsidR="006E0DDE" w:rsidRPr="001C69AC" w:rsidRDefault="00D84328">
      <w:pPr>
        <w:jc w:val="both"/>
        <w:rPr>
          <w:rFonts w:ascii="Arial Narrow" w:eastAsia="Arial Narrow" w:hAnsi="Arial Narrow" w:cs="Arial Narrow"/>
          <w:sz w:val="24"/>
          <w:szCs w:val="24"/>
        </w:rPr>
      </w:pPr>
      <w:r w:rsidRPr="001C69AC">
        <w:rPr>
          <w:rFonts w:ascii="Arial Narrow" w:eastAsia="Arial Narrow" w:hAnsi="Arial Narrow" w:cs="Arial Narrow"/>
          <w:sz w:val="24"/>
          <w:szCs w:val="24"/>
        </w:rPr>
        <w:t xml:space="preserve">A partir de lo anterior, consideramos que el análisis respecto a la participación de actores no estatales en las desapariciones, como es el crimen organizado en el caso mexicano, más allá de los casos de clara relación de colusión y participación conjunta, debe considerar que, sin existir una clara relación jerárquica, ni órdenes explícitas por parte de las autoridades, así como tampoco necesariamente un esquema de completo control territorial en el que ejerzan facultades estatales, si pueden delinearse otras formas de responsabilidad estatal, derivadas de: (i) haber tenido conocimiento de un gran número de desapariciones en su territorio y no actuar diligentemente, es decir bajo el deber de prevención y conocimiento del riesgo; o (ii) de haber mantenido una inacción deliberada que facilitó la comisión de las desapariciones. </w:t>
      </w:r>
    </w:p>
    <w:p w14:paraId="00000018" w14:textId="7EF0A1D4" w:rsidR="006E0DDE" w:rsidRPr="001C69AC" w:rsidRDefault="00D84328">
      <w:pPr>
        <w:jc w:val="both"/>
        <w:rPr>
          <w:rFonts w:ascii="Arial Narrow" w:eastAsia="Arial Narrow" w:hAnsi="Arial Narrow" w:cs="Arial Narrow"/>
          <w:sz w:val="24"/>
          <w:szCs w:val="24"/>
        </w:rPr>
      </w:pPr>
      <w:r w:rsidRPr="001C69AC">
        <w:rPr>
          <w:rFonts w:ascii="Arial Narrow" w:eastAsia="Arial Narrow" w:hAnsi="Arial Narrow" w:cs="Arial Narrow"/>
          <w:sz w:val="24"/>
          <w:szCs w:val="24"/>
        </w:rPr>
        <w:t>En virtud de lo anterior, sería relevante considerar en relación a la sección 4 del borrador, que obligación Estatal de investigar una desaparición cometida por actores no estatales en virtud del artículo 3, no se descarte que durante la investigación, puedan surgir indicios de responsabilidad estatal (aún tenues) ya sea por omisión, aquiescencia o incluso por prevención que no deben ser descartados.</w:t>
      </w:r>
      <w:r w:rsidR="001C69AC" w:rsidRPr="001C69AC">
        <w:rPr>
          <w:rFonts w:ascii="Arial Narrow" w:eastAsia="Arial Narrow" w:hAnsi="Arial Narrow" w:cs="Arial Narrow"/>
          <w:sz w:val="24"/>
          <w:szCs w:val="24"/>
        </w:rPr>
        <w:t xml:space="preserve"> </w:t>
      </w:r>
      <w:r w:rsidRPr="001C69AC">
        <w:rPr>
          <w:rFonts w:ascii="Arial Narrow" w:eastAsia="Arial Narrow" w:hAnsi="Arial Narrow" w:cs="Arial Narrow"/>
          <w:sz w:val="24"/>
          <w:szCs w:val="24"/>
        </w:rPr>
        <w:t>De conformidad con lo expuesto, consideramos que este Comité debe tomar en cuenta la diversidad y complejidad de formas de colusión, connivencia y grados de participación por medio de los cuales agentes del Estado se vinculan con actores no estatales que cometen desapariciones; en especial en contextos como el mexicano en el que las circunstancias y participación de actores son complejas y existe una situación generalizada de violencia, y concretamente de desapariciones, en la que grupos criminales tienen un rol preponderante, y en la que puede ser difícil establecer un nexo directo que vincule a los agentes estatales. La consideración de lo anterior, le permitirá a este Comité que al analizar casos de desaparición cometidas por particulares, se activen los mecanismos de supervisión y revisión internacional establecidos en la convención (en el marco de la Sección 5 del borrador), adaptándose a la realidad, y sin dejar de establecer, cuando así sea el caso, la responsabilidad estatal vinculada a dichas desapariciones, evitando que vínculos tenues pero existentes de relación entre actores privados y autoridades queden al margen de las obligaciones estatales a ser revisadas.</w:t>
      </w:r>
    </w:p>
    <w:p w14:paraId="684EAC94" w14:textId="77777777" w:rsidR="00CF6604" w:rsidRDefault="00CF6604" w:rsidP="001C69AC">
      <w:pPr>
        <w:jc w:val="both"/>
        <w:rPr>
          <w:rFonts w:ascii="Arial Narrow" w:eastAsia="Arial Narrow" w:hAnsi="Arial Narrow" w:cs="Arial Narrow"/>
          <w:sz w:val="24"/>
          <w:szCs w:val="24"/>
        </w:rPr>
      </w:pPr>
    </w:p>
    <w:p w14:paraId="0000001D" w14:textId="5292E457" w:rsidR="006E0DDE" w:rsidRPr="001C69AC" w:rsidRDefault="00D84328" w:rsidP="001C69AC">
      <w:pPr>
        <w:jc w:val="both"/>
        <w:rPr>
          <w:rFonts w:ascii="Arial Narrow" w:eastAsia="Arial Narrow" w:hAnsi="Arial Narrow" w:cs="Arial Narrow"/>
          <w:sz w:val="24"/>
          <w:szCs w:val="24"/>
        </w:rPr>
      </w:pPr>
      <w:r w:rsidRPr="001C69AC">
        <w:rPr>
          <w:rFonts w:ascii="Arial Narrow" w:eastAsia="Arial Narrow" w:hAnsi="Arial Narrow" w:cs="Arial Narrow"/>
          <w:sz w:val="24"/>
          <w:szCs w:val="24"/>
        </w:rPr>
        <w:t>Para preguntas o más información</w:t>
      </w:r>
      <w:r w:rsidR="005875C3">
        <w:rPr>
          <w:rFonts w:ascii="Arial Narrow" w:eastAsia="Arial Narrow" w:hAnsi="Arial Narrow" w:cs="Arial Narrow"/>
          <w:sz w:val="24"/>
          <w:szCs w:val="24"/>
        </w:rPr>
        <w:t>,</w:t>
      </w:r>
      <w:r w:rsidRPr="001C69AC">
        <w:rPr>
          <w:rFonts w:ascii="Arial Narrow" w:eastAsia="Arial Narrow" w:hAnsi="Arial Narrow" w:cs="Arial Narrow"/>
          <w:sz w:val="24"/>
          <w:szCs w:val="24"/>
        </w:rPr>
        <w:t xml:space="preserve"> </w:t>
      </w:r>
      <w:r w:rsidR="005875C3">
        <w:rPr>
          <w:rFonts w:ascii="Arial Narrow" w:eastAsia="Arial Narrow" w:hAnsi="Arial Narrow" w:cs="Arial Narrow"/>
          <w:sz w:val="24"/>
          <w:szCs w:val="24"/>
        </w:rPr>
        <w:t>p</w:t>
      </w:r>
      <w:r w:rsidRPr="001C69AC">
        <w:rPr>
          <w:rFonts w:ascii="Arial Narrow" w:eastAsia="Arial Narrow" w:hAnsi="Arial Narrow" w:cs="Arial Narrow"/>
          <w:sz w:val="24"/>
          <w:szCs w:val="24"/>
        </w:rPr>
        <w:t>or favor póngase en contacto con nuestr</w:t>
      </w:r>
      <w:r w:rsidR="005875C3">
        <w:rPr>
          <w:rFonts w:ascii="Arial Narrow" w:eastAsia="Arial Narrow" w:hAnsi="Arial Narrow" w:cs="Arial Narrow"/>
          <w:sz w:val="24"/>
          <w:szCs w:val="24"/>
        </w:rPr>
        <w:t>a</w:t>
      </w:r>
      <w:r w:rsidRPr="001C69AC">
        <w:rPr>
          <w:rFonts w:ascii="Arial Narrow" w:eastAsia="Arial Narrow" w:hAnsi="Arial Narrow" w:cs="Arial Narrow"/>
          <w:sz w:val="24"/>
          <w:szCs w:val="24"/>
        </w:rPr>
        <w:t xml:space="preserve"> Área Internacional en </w:t>
      </w:r>
      <w:hyperlink r:id="rId8" w:history="1">
        <w:r w:rsidR="001C69AC" w:rsidRPr="002831FE">
          <w:rPr>
            <w:rStyle w:val="Hipervnculo"/>
            <w:rFonts w:ascii="Arial Narrow" w:eastAsia="Arial Narrow" w:hAnsi="Arial Narrow" w:cs="Arial Narrow"/>
            <w:sz w:val="24"/>
            <w:szCs w:val="24"/>
          </w:rPr>
          <w:t>internacional@centroprodh.org.mx</w:t>
        </w:r>
      </w:hyperlink>
      <w:r w:rsidR="001C69AC">
        <w:rPr>
          <w:rFonts w:ascii="Arial Narrow" w:eastAsia="Arial Narrow" w:hAnsi="Arial Narrow" w:cs="Arial Narrow"/>
          <w:sz w:val="24"/>
          <w:szCs w:val="24"/>
        </w:rPr>
        <w:t xml:space="preserve"> </w:t>
      </w:r>
    </w:p>
    <w:sectPr w:rsidR="006E0DDE" w:rsidRPr="001C69AC">
      <w:footerReference w:type="default" r:id="rId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9B7B9" w14:textId="77777777" w:rsidR="009D20F0" w:rsidRDefault="009D20F0">
      <w:pPr>
        <w:spacing w:after="0" w:line="240" w:lineRule="auto"/>
      </w:pPr>
      <w:r>
        <w:separator/>
      </w:r>
    </w:p>
  </w:endnote>
  <w:endnote w:type="continuationSeparator" w:id="0">
    <w:p w14:paraId="623E59E8" w14:textId="77777777" w:rsidR="009D20F0" w:rsidRDefault="009D2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altName w:val="﷽﷽﷽﷽﷽﷽﷽﷽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5992009"/>
      <w:docPartObj>
        <w:docPartGallery w:val="Page Numbers (Bottom of Page)"/>
        <w:docPartUnique/>
      </w:docPartObj>
    </w:sdtPr>
    <w:sdtContent>
      <w:p w14:paraId="0CE0588C" w14:textId="5E468062" w:rsidR="005875C3" w:rsidRDefault="005875C3">
        <w:pPr>
          <w:pStyle w:val="Piedepgina"/>
          <w:jc w:val="right"/>
        </w:pPr>
        <w:r>
          <w:fldChar w:fldCharType="begin"/>
        </w:r>
        <w:r>
          <w:instrText>PAGE   \* MERGEFORMAT</w:instrText>
        </w:r>
        <w:r>
          <w:fldChar w:fldCharType="separate"/>
        </w:r>
        <w:r>
          <w:t>2</w:t>
        </w:r>
        <w:r>
          <w:fldChar w:fldCharType="end"/>
        </w:r>
      </w:p>
    </w:sdtContent>
  </w:sdt>
  <w:p w14:paraId="5D717214" w14:textId="77777777" w:rsidR="005875C3" w:rsidRDefault="005875C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A0204" w14:textId="77777777" w:rsidR="009D20F0" w:rsidRDefault="009D20F0">
      <w:pPr>
        <w:spacing w:after="0" w:line="240" w:lineRule="auto"/>
      </w:pPr>
      <w:r>
        <w:separator/>
      </w:r>
    </w:p>
  </w:footnote>
  <w:footnote w:type="continuationSeparator" w:id="0">
    <w:p w14:paraId="251F9274" w14:textId="77777777" w:rsidR="009D20F0" w:rsidRDefault="009D20F0">
      <w:pPr>
        <w:spacing w:after="0" w:line="240" w:lineRule="auto"/>
      </w:pPr>
      <w:r>
        <w:continuationSeparator/>
      </w:r>
    </w:p>
  </w:footnote>
  <w:footnote w:id="1">
    <w:p w14:paraId="0000001E" w14:textId="77777777" w:rsidR="006E0DDE" w:rsidRPr="00CF6604" w:rsidRDefault="00D84328" w:rsidP="001C69AC">
      <w:pPr>
        <w:pBdr>
          <w:top w:val="nil"/>
          <w:left w:val="nil"/>
          <w:bottom w:val="nil"/>
          <w:right w:val="nil"/>
          <w:between w:val="nil"/>
        </w:pBdr>
        <w:spacing w:after="0" w:line="240" w:lineRule="auto"/>
        <w:contextualSpacing/>
        <w:jc w:val="both"/>
        <w:rPr>
          <w:rFonts w:ascii="Arial Narrow" w:eastAsia="Arial Narrow" w:hAnsi="Arial Narrow" w:cs="Arial Narrow"/>
          <w:color w:val="000000"/>
          <w:sz w:val="20"/>
          <w:szCs w:val="20"/>
        </w:rPr>
      </w:pPr>
      <w:r w:rsidRPr="00CF6604">
        <w:rPr>
          <w:rFonts w:ascii="Arial Narrow" w:hAnsi="Arial Narrow"/>
          <w:sz w:val="20"/>
          <w:szCs w:val="20"/>
          <w:vertAlign w:val="superscript"/>
        </w:rPr>
        <w:footnoteRef/>
      </w:r>
      <w:r w:rsidRPr="00CF6604">
        <w:rPr>
          <w:rFonts w:ascii="Arial Narrow" w:eastAsia="Arial Narrow" w:hAnsi="Arial Narrow" w:cs="Arial Narrow"/>
          <w:color w:val="000000"/>
          <w:sz w:val="20"/>
          <w:szCs w:val="20"/>
          <w:lang w:val="en-US"/>
        </w:rPr>
        <w:t xml:space="preserve"> CED. </w:t>
      </w:r>
      <w:r w:rsidRPr="00CF6604">
        <w:rPr>
          <w:rFonts w:ascii="Arial Narrow" w:eastAsia="Arial Narrow" w:hAnsi="Arial Narrow" w:cs="Arial Narrow"/>
          <w:i/>
          <w:color w:val="000000"/>
          <w:sz w:val="20"/>
          <w:szCs w:val="20"/>
          <w:lang w:val="en-US"/>
        </w:rPr>
        <w:t>Call for inputs / comments on the Draft statement on “</w:t>
      </w:r>
      <w:proofErr w:type="gramStart"/>
      <w:r w:rsidRPr="00CF6604">
        <w:rPr>
          <w:rFonts w:ascii="Arial Narrow" w:eastAsia="Arial Narrow" w:hAnsi="Arial Narrow" w:cs="Arial Narrow"/>
          <w:i/>
          <w:color w:val="000000"/>
          <w:sz w:val="20"/>
          <w:szCs w:val="20"/>
          <w:lang w:val="en-US"/>
        </w:rPr>
        <w:t>Non-State</w:t>
      </w:r>
      <w:proofErr w:type="gramEnd"/>
      <w:r w:rsidRPr="00CF6604">
        <w:rPr>
          <w:rFonts w:ascii="Arial Narrow" w:eastAsia="Arial Narrow" w:hAnsi="Arial Narrow" w:cs="Arial Narrow"/>
          <w:i/>
          <w:color w:val="000000"/>
          <w:sz w:val="20"/>
          <w:szCs w:val="20"/>
          <w:lang w:val="en-US"/>
        </w:rPr>
        <w:t xml:space="preserve"> actors and enforced disappearances in the context of the Convention of the Protection of all Persons against Enforced Disappearances”</w:t>
      </w:r>
      <w:r w:rsidRPr="00CF6604">
        <w:rPr>
          <w:rFonts w:ascii="Arial Narrow" w:eastAsia="Arial Narrow" w:hAnsi="Arial Narrow" w:cs="Arial Narrow"/>
          <w:color w:val="000000"/>
          <w:sz w:val="20"/>
          <w:szCs w:val="20"/>
          <w:lang w:val="en-US"/>
        </w:rPr>
        <w:t xml:space="preserve">. </w:t>
      </w:r>
      <w:r w:rsidRPr="00CF6604">
        <w:rPr>
          <w:rFonts w:ascii="Arial Narrow" w:eastAsia="Arial Narrow" w:hAnsi="Arial Narrow" w:cs="Arial Narrow"/>
          <w:color w:val="000000"/>
          <w:sz w:val="20"/>
          <w:szCs w:val="20"/>
        </w:rPr>
        <w:t xml:space="preserve">Disponible en inglés en: </w:t>
      </w:r>
      <w:hyperlink r:id="rId1">
        <w:r w:rsidRPr="00CF6604">
          <w:rPr>
            <w:rFonts w:ascii="Arial Narrow" w:eastAsia="Arial Narrow" w:hAnsi="Arial Narrow" w:cs="Arial Narrow"/>
            <w:color w:val="000000"/>
            <w:sz w:val="20"/>
            <w:szCs w:val="20"/>
            <w:u w:val="single"/>
          </w:rPr>
          <w:t>https://www.ohchr.org/en/calls-for-input/2022/call-inputs-comments-draft-statement-non-state-actors-and-enforced</w:t>
        </w:r>
      </w:hyperlink>
      <w:r w:rsidRPr="00CF6604">
        <w:rPr>
          <w:rFonts w:ascii="Arial Narrow" w:eastAsia="Arial Narrow" w:hAnsi="Arial Narrow" w:cs="Arial Narrow"/>
          <w:color w:val="000000"/>
          <w:sz w:val="20"/>
          <w:szCs w:val="20"/>
        </w:rPr>
        <w:t xml:space="preserve"> </w:t>
      </w:r>
    </w:p>
  </w:footnote>
  <w:footnote w:id="2">
    <w:p w14:paraId="0000001F" w14:textId="77777777" w:rsidR="006E0DDE" w:rsidRPr="00CF6604" w:rsidRDefault="00D84328" w:rsidP="001C69AC">
      <w:pPr>
        <w:pBdr>
          <w:top w:val="nil"/>
          <w:left w:val="nil"/>
          <w:bottom w:val="nil"/>
          <w:right w:val="nil"/>
          <w:between w:val="nil"/>
        </w:pBdr>
        <w:spacing w:after="0" w:line="240" w:lineRule="auto"/>
        <w:contextualSpacing/>
        <w:jc w:val="both"/>
        <w:rPr>
          <w:rFonts w:ascii="Arial Narrow" w:eastAsia="Arial Narrow" w:hAnsi="Arial Narrow" w:cs="Arial Narrow"/>
          <w:color w:val="000000"/>
          <w:sz w:val="20"/>
          <w:szCs w:val="20"/>
        </w:rPr>
      </w:pPr>
      <w:r w:rsidRPr="00CF6604">
        <w:rPr>
          <w:rFonts w:ascii="Arial Narrow" w:hAnsi="Arial Narrow"/>
          <w:sz w:val="20"/>
          <w:szCs w:val="20"/>
          <w:vertAlign w:val="superscript"/>
        </w:rPr>
        <w:footnoteRef/>
      </w:r>
      <w:r w:rsidRPr="00CF6604">
        <w:rPr>
          <w:rFonts w:ascii="Arial Narrow" w:eastAsia="Arial Narrow" w:hAnsi="Arial Narrow" w:cs="Arial Narrow"/>
          <w:color w:val="000000"/>
          <w:sz w:val="20"/>
          <w:szCs w:val="20"/>
        </w:rPr>
        <w:t xml:space="preserve"> Informe del Comité contra la Desaparición Forzada sobre su visita a México al amparo del artículo 33 de la Convención, CED/C/MEX/VR/1, párr. 24.</w:t>
      </w:r>
    </w:p>
  </w:footnote>
  <w:footnote w:id="3">
    <w:p w14:paraId="00000020" w14:textId="76A48E97" w:rsidR="006E0DDE" w:rsidRPr="00CF6604" w:rsidRDefault="00D84328" w:rsidP="001C69AC">
      <w:pPr>
        <w:pBdr>
          <w:top w:val="nil"/>
          <w:left w:val="nil"/>
          <w:bottom w:val="nil"/>
          <w:right w:val="nil"/>
          <w:between w:val="nil"/>
        </w:pBdr>
        <w:spacing w:after="0" w:line="240" w:lineRule="auto"/>
        <w:contextualSpacing/>
        <w:jc w:val="both"/>
        <w:rPr>
          <w:rFonts w:ascii="Arial Narrow" w:eastAsia="Arial Narrow" w:hAnsi="Arial Narrow" w:cs="Arial Narrow"/>
          <w:color w:val="000000"/>
          <w:sz w:val="20"/>
          <w:szCs w:val="20"/>
        </w:rPr>
      </w:pPr>
      <w:r w:rsidRPr="00CF6604">
        <w:rPr>
          <w:rFonts w:ascii="Arial Narrow" w:hAnsi="Arial Narrow"/>
          <w:sz w:val="20"/>
          <w:szCs w:val="20"/>
          <w:vertAlign w:val="superscript"/>
        </w:rPr>
        <w:footnoteRef/>
      </w:r>
      <w:r w:rsidRPr="00CF6604">
        <w:rPr>
          <w:rFonts w:ascii="Arial Narrow" w:eastAsia="Arial Narrow" w:hAnsi="Arial Narrow" w:cs="Arial Narrow"/>
          <w:color w:val="000000"/>
          <w:sz w:val="20"/>
          <w:szCs w:val="20"/>
        </w:rPr>
        <w:t xml:space="preserve"> </w:t>
      </w:r>
      <w:proofErr w:type="spellStart"/>
      <w:r w:rsidR="00CF6604" w:rsidRPr="00CF6604">
        <w:rPr>
          <w:rFonts w:ascii="Arial Narrow" w:eastAsia="Arial Narrow" w:hAnsi="Arial Narrow" w:cs="Arial Narrow"/>
          <w:i/>
          <w:iCs/>
          <w:color w:val="000000"/>
          <w:sz w:val="20"/>
          <w:szCs w:val="20"/>
        </w:rPr>
        <w:t>Ibíd</w:t>
      </w:r>
      <w:proofErr w:type="spellEnd"/>
      <w:r w:rsidR="00CF6604" w:rsidRPr="00CF6604">
        <w:rPr>
          <w:rFonts w:ascii="Arial Narrow" w:eastAsia="Arial Narrow" w:hAnsi="Arial Narrow" w:cs="Arial Narrow"/>
          <w:i/>
          <w:iCs/>
          <w:color w:val="000000"/>
          <w:sz w:val="20"/>
          <w:szCs w:val="20"/>
        </w:rPr>
        <w:t>.</w:t>
      </w:r>
      <w:r w:rsidRPr="00CF6604">
        <w:rPr>
          <w:rFonts w:ascii="Arial Narrow" w:eastAsia="Arial Narrow" w:hAnsi="Arial Narrow" w:cs="Arial Narrow"/>
          <w:color w:val="000000"/>
          <w:sz w:val="20"/>
          <w:szCs w:val="20"/>
        </w:rPr>
        <w:t>, párr. 13.</w:t>
      </w:r>
    </w:p>
  </w:footnote>
  <w:footnote w:id="4">
    <w:p w14:paraId="00000021" w14:textId="2608D73B" w:rsidR="006E0DDE" w:rsidRPr="00CF6604" w:rsidRDefault="00D84328" w:rsidP="001C69AC">
      <w:pPr>
        <w:pBdr>
          <w:top w:val="nil"/>
          <w:left w:val="nil"/>
          <w:bottom w:val="nil"/>
          <w:right w:val="nil"/>
          <w:between w:val="nil"/>
        </w:pBdr>
        <w:spacing w:after="0" w:line="240" w:lineRule="auto"/>
        <w:contextualSpacing/>
        <w:jc w:val="both"/>
        <w:rPr>
          <w:rFonts w:ascii="Arial Narrow" w:eastAsia="Arial Narrow" w:hAnsi="Arial Narrow" w:cs="Arial Narrow"/>
          <w:color w:val="000000"/>
          <w:sz w:val="20"/>
          <w:szCs w:val="20"/>
        </w:rPr>
      </w:pPr>
      <w:r w:rsidRPr="00CF6604">
        <w:rPr>
          <w:rFonts w:ascii="Arial Narrow" w:hAnsi="Arial Narrow"/>
          <w:sz w:val="20"/>
          <w:szCs w:val="20"/>
          <w:vertAlign w:val="superscript"/>
        </w:rPr>
        <w:footnoteRef/>
      </w:r>
      <w:r w:rsidRPr="00CF6604">
        <w:rPr>
          <w:rFonts w:ascii="Arial Narrow" w:eastAsia="Arial Narrow" w:hAnsi="Arial Narrow" w:cs="Arial Narrow"/>
          <w:color w:val="000000"/>
          <w:sz w:val="20"/>
          <w:szCs w:val="20"/>
        </w:rPr>
        <w:t xml:space="preserve"> </w:t>
      </w:r>
      <w:r w:rsidR="00CF6604" w:rsidRPr="00CF6604">
        <w:rPr>
          <w:rFonts w:ascii="Arial Narrow" w:eastAsia="Arial Narrow" w:hAnsi="Arial Narrow" w:cs="Arial Narrow"/>
          <w:i/>
          <w:iCs/>
          <w:color w:val="000000"/>
          <w:sz w:val="20"/>
          <w:szCs w:val="20"/>
        </w:rPr>
        <w:t>Ibíd.</w:t>
      </w:r>
      <w:r w:rsidRPr="00CF6604">
        <w:rPr>
          <w:rFonts w:ascii="Arial Narrow" w:eastAsia="Arial Narrow" w:hAnsi="Arial Narrow" w:cs="Arial Narrow"/>
          <w:color w:val="000000"/>
          <w:sz w:val="20"/>
          <w:szCs w:val="20"/>
        </w:rPr>
        <w:t>1, párr. 11.</w:t>
      </w:r>
    </w:p>
  </w:footnote>
  <w:footnote w:id="5">
    <w:p w14:paraId="00000022" w14:textId="75AE3953" w:rsidR="006E0DDE" w:rsidRPr="00CF6604" w:rsidRDefault="00D84328" w:rsidP="001C69AC">
      <w:pPr>
        <w:pBdr>
          <w:top w:val="nil"/>
          <w:left w:val="nil"/>
          <w:bottom w:val="nil"/>
          <w:right w:val="nil"/>
          <w:between w:val="nil"/>
        </w:pBdr>
        <w:spacing w:after="0" w:line="240" w:lineRule="auto"/>
        <w:contextualSpacing/>
        <w:jc w:val="both"/>
        <w:rPr>
          <w:rFonts w:ascii="Arial Narrow" w:eastAsia="Arial Narrow" w:hAnsi="Arial Narrow" w:cs="Arial Narrow"/>
          <w:color w:val="000000"/>
          <w:sz w:val="20"/>
          <w:szCs w:val="20"/>
        </w:rPr>
      </w:pPr>
      <w:r w:rsidRPr="00CF6604">
        <w:rPr>
          <w:rFonts w:ascii="Arial Narrow" w:hAnsi="Arial Narrow"/>
          <w:sz w:val="20"/>
          <w:szCs w:val="20"/>
          <w:vertAlign w:val="superscript"/>
        </w:rPr>
        <w:footnoteRef/>
      </w:r>
      <w:r w:rsidRPr="00CF6604">
        <w:rPr>
          <w:rFonts w:ascii="Arial Narrow" w:eastAsia="Arial Narrow" w:hAnsi="Arial Narrow" w:cs="Arial Narrow"/>
          <w:color w:val="000000"/>
          <w:sz w:val="20"/>
          <w:szCs w:val="20"/>
        </w:rPr>
        <w:t xml:space="preserve"> </w:t>
      </w:r>
      <w:proofErr w:type="spellStart"/>
      <w:r w:rsidR="00CF6604" w:rsidRPr="00CF6604">
        <w:rPr>
          <w:rFonts w:ascii="Arial Narrow" w:eastAsia="Arial Narrow" w:hAnsi="Arial Narrow" w:cs="Arial Narrow"/>
          <w:i/>
          <w:iCs/>
          <w:color w:val="000000"/>
          <w:sz w:val="20"/>
          <w:szCs w:val="20"/>
        </w:rPr>
        <w:t>Ibíd</w:t>
      </w:r>
      <w:proofErr w:type="spellEnd"/>
      <w:r w:rsidR="00CF6604" w:rsidRPr="00CF6604">
        <w:rPr>
          <w:rFonts w:ascii="Arial Narrow" w:eastAsia="Arial Narrow" w:hAnsi="Arial Narrow" w:cs="Arial Narrow"/>
          <w:i/>
          <w:iCs/>
          <w:color w:val="000000"/>
          <w:sz w:val="20"/>
          <w:szCs w:val="20"/>
        </w:rPr>
        <w:t>.</w:t>
      </w:r>
    </w:p>
  </w:footnote>
  <w:footnote w:id="6">
    <w:p w14:paraId="00000023" w14:textId="77777777" w:rsidR="006E0DDE" w:rsidRPr="00CF6604" w:rsidRDefault="00D84328" w:rsidP="001C69AC">
      <w:pPr>
        <w:pBdr>
          <w:top w:val="nil"/>
          <w:left w:val="nil"/>
          <w:bottom w:val="nil"/>
          <w:right w:val="nil"/>
          <w:between w:val="nil"/>
        </w:pBdr>
        <w:spacing w:after="0" w:line="240" w:lineRule="auto"/>
        <w:contextualSpacing/>
        <w:jc w:val="both"/>
        <w:rPr>
          <w:rFonts w:ascii="Arial Narrow" w:eastAsia="Arial Narrow" w:hAnsi="Arial Narrow" w:cs="Arial Narrow"/>
          <w:i/>
          <w:color w:val="000000"/>
          <w:sz w:val="20"/>
          <w:szCs w:val="20"/>
        </w:rPr>
      </w:pPr>
      <w:r w:rsidRPr="00CF6604">
        <w:rPr>
          <w:rFonts w:ascii="Arial Narrow" w:hAnsi="Arial Narrow"/>
          <w:sz w:val="20"/>
          <w:szCs w:val="20"/>
          <w:vertAlign w:val="superscript"/>
        </w:rPr>
        <w:footnoteRef/>
      </w:r>
      <w:r w:rsidRPr="00CF6604">
        <w:rPr>
          <w:rFonts w:ascii="Arial Narrow" w:eastAsia="Arial Narrow" w:hAnsi="Arial Narrow" w:cs="Arial Narrow"/>
          <w:color w:val="000000"/>
          <w:sz w:val="20"/>
          <w:szCs w:val="20"/>
        </w:rPr>
        <w:t xml:space="preserve"> </w:t>
      </w:r>
      <w:r w:rsidRPr="00CF6604">
        <w:rPr>
          <w:rFonts w:ascii="Arial Narrow" w:eastAsia="Arial Narrow" w:hAnsi="Arial Narrow" w:cs="Arial Narrow"/>
          <w:i/>
          <w:color w:val="000000"/>
          <w:sz w:val="20"/>
          <w:szCs w:val="20"/>
        </w:rPr>
        <w:t xml:space="preserve">Cfr. </w:t>
      </w:r>
      <w:r w:rsidRPr="00CF6604">
        <w:rPr>
          <w:rFonts w:ascii="Arial Narrow" w:eastAsia="Arial Narrow" w:hAnsi="Arial Narrow" w:cs="Arial Narrow"/>
          <w:color w:val="000000"/>
          <w:sz w:val="20"/>
          <w:szCs w:val="20"/>
          <w:highlight w:val="white"/>
        </w:rPr>
        <w:t xml:space="preserve">Corte IDH. </w:t>
      </w:r>
      <w:r w:rsidRPr="00CF6604">
        <w:rPr>
          <w:rFonts w:ascii="Arial Narrow" w:eastAsia="Arial Narrow" w:hAnsi="Arial Narrow" w:cs="Arial Narrow"/>
          <w:i/>
          <w:color w:val="000000"/>
          <w:sz w:val="20"/>
          <w:szCs w:val="20"/>
          <w:highlight w:val="white"/>
        </w:rPr>
        <w:t>Caso Alvarado Espinoza y otros Vs. México</w:t>
      </w:r>
      <w:r w:rsidRPr="00CF6604">
        <w:rPr>
          <w:rFonts w:ascii="Arial Narrow" w:eastAsia="Arial Narrow" w:hAnsi="Arial Narrow" w:cs="Arial Narrow"/>
          <w:color w:val="000000"/>
          <w:sz w:val="20"/>
          <w:szCs w:val="20"/>
          <w:highlight w:val="white"/>
        </w:rPr>
        <w:t>. Fondo, Reparaciones y Costas. Sentencia de 28 de noviembre de 2018. Serie C No. 370. párr. 54-58.</w:t>
      </w:r>
    </w:p>
  </w:footnote>
  <w:footnote w:id="7">
    <w:p w14:paraId="00000024" w14:textId="789583E3" w:rsidR="006E0DDE" w:rsidRPr="00CF6604" w:rsidRDefault="00D84328" w:rsidP="001C69AC">
      <w:pPr>
        <w:pBdr>
          <w:top w:val="nil"/>
          <w:left w:val="nil"/>
          <w:bottom w:val="nil"/>
          <w:right w:val="nil"/>
          <w:between w:val="nil"/>
        </w:pBdr>
        <w:spacing w:after="0" w:line="240" w:lineRule="auto"/>
        <w:contextualSpacing/>
        <w:jc w:val="both"/>
        <w:rPr>
          <w:rFonts w:ascii="Arial Narrow" w:eastAsia="Arial Narrow" w:hAnsi="Arial Narrow" w:cs="Arial Narrow"/>
          <w:color w:val="000000"/>
          <w:sz w:val="20"/>
          <w:szCs w:val="20"/>
        </w:rPr>
      </w:pPr>
      <w:r w:rsidRPr="00CF6604">
        <w:rPr>
          <w:rFonts w:ascii="Arial Narrow" w:hAnsi="Arial Narrow"/>
          <w:sz w:val="20"/>
          <w:szCs w:val="20"/>
          <w:vertAlign w:val="superscript"/>
        </w:rPr>
        <w:footnoteRef/>
      </w:r>
      <w:r w:rsidRPr="00CF6604">
        <w:rPr>
          <w:rFonts w:ascii="Arial Narrow" w:eastAsia="Arial Narrow" w:hAnsi="Arial Narrow" w:cs="Arial Narrow"/>
          <w:color w:val="000000"/>
          <w:sz w:val="20"/>
          <w:szCs w:val="20"/>
        </w:rPr>
        <w:t xml:space="preserve"> CIDH. </w:t>
      </w:r>
      <w:r w:rsidRPr="00CF6604">
        <w:rPr>
          <w:rFonts w:ascii="Arial Narrow" w:eastAsia="Arial Narrow" w:hAnsi="Arial Narrow" w:cs="Arial Narrow"/>
          <w:i/>
          <w:iCs/>
          <w:color w:val="000000"/>
          <w:sz w:val="20"/>
          <w:szCs w:val="20"/>
        </w:rPr>
        <w:t>Situación de derechos humanos en México</w:t>
      </w:r>
      <w:r w:rsidRPr="00CF6604">
        <w:rPr>
          <w:rFonts w:ascii="Arial Narrow" w:eastAsia="Arial Narrow" w:hAnsi="Arial Narrow" w:cs="Arial Narrow"/>
          <w:color w:val="000000"/>
          <w:sz w:val="20"/>
          <w:szCs w:val="20"/>
        </w:rPr>
        <w:t xml:space="preserve">. 2016, </w:t>
      </w:r>
      <w:r w:rsidR="001C69AC" w:rsidRPr="00CF6604">
        <w:rPr>
          <w:rFonts w:ascii="Arial Narrow" w:eastAsia="Arial Narrow" w:hAnsi="Arial Narrow" w:cs="Arial Narrow"/>
          <w:color w:val="000000"/>
          <w:sz w:val="20"/>
          <w:szCs w:val="20"/>
        </w:rPr>
        <w:t>párr.</w:t>
      </w:r>
      <w:r w:rsidRPr="00CF6604">
        <w:rPr>
          <w:rFonts w:ascii="Arial Narrow" w:eastAsia="Arial Narrow" w:hAnsi="Arial Narrow" w:cs="Arial Narrow"/>
          <w:color w:val="000000"/>
          <w:sz w:val="20"/>
          <w:szCs w:val="20"/>
        </w:rPr>
        <w:t xml:space="preserve"> 99 y ss. Disponible en: </w:t>
      </w:r>
      <w:hyperlink r:id="rId2">
        <w:r w:rsidRPr="00CF6604">
          <w:rPr>
            <w:rFonts w:ascii="Arial Narrow" w:eastAsia="Arial Narrow" w:hAnsi="Arial Narrow" w:cs="Arial Narrow"/>
            <w:color w:val="0000FF"/>
            <w:sz w:val="20"/>
            <w:szCs w:val="20"/>
            <w:u w:val="single"/>
          </w:rPr>
          <w:t>https://www.oas.org/es/cidh/informes/pdfs/Mexico2016-es.pdf</w:t>
        </w:r>
      </w:hyperlink>
      <w:r w:rsidRPr="00CF6604">
        <w:rPr>
          <w:rFonts w:ascii="Arial Narrow" w:eastAsia="Arial Narrow" w:hAnsi="Arial Narrow" w:cs="Arial Narrow"/>
          <w:color w:val="000000"/>
          <w:sz w:val="20"/>
          <w:szCs w:val="20"/>
        </w:rPr>
        <w:t xml:space="preserve"> ; </w:t>
      </w:r>
      <w:r w:rsidRPr="00CF6604">
        <w:rPr>
          <w:rFonts w:ascii="Arial Narrow" w:eastAsia="Arial Narrow" w:hAnsi="Arial Narrow" w:cs="Arial Narrow"/>
          <w:sz w:val="20"/>
          <w:szCs w:val="20"/>
        </w:rPr>
        <w:t>e Informe Anual 2021, Capítulo V, párr. 62.</w:t>
      </w:r>
    </w:p>
  </w:footnote>
  <w:footnote w:id="8">
    <w:p w14:paraId="00000025" w14:textId="77777777" w:rsidR="006E0DDE" w:rsidRPr="00CF6604" w:rsidRDefault="00D84328" w:rsidP="001C69AC">
      <w:pPr>
        <w:pBdr>
          <w:top w:val="nil"/>
          <w:left w:val="nil"/>
          <w:bottom w:val="nil"/>
          <w:right w:val="nil"/>
          <w:between w:val="nil"/>
        </w:pBdr>
        <w:spacing w:after="0" w:line="240" w:lineRule="auto"/>
        <w:contextualSpacing/>
        <w:jc w:val="both"/>
        <w:rPr>
          <w:rFonts w:ascii="Arial Narrow" w:eastAsia="Arial Narrow" w:hAnsi="Arial Narrow" w:cs="Arial Narrow"/>
          <w:color w:val="000000"/>
          <w:sz w:val="20"/>
          <w:szCs w:val="20"/>
        </w:rPr>
      </w:pPr>
      <w:r w:rsidRPr="00CF6604">
        <w:rPr>
          <w:rFonts w:ascii="Arial Narrow" w:hAnsi="Arial Narrow"/>
          <w:sz w:val="20"/>
          <w:szCs w:val="20"/>
          <w:vertAlign w:val="superscript"/>
        </w:rPr>
        <w:footnoteRef/>
      </w:r>
      <w:r w:rsidRPr="00CF6604">
        <w:rPr>
          <w:rFonts w:ascii="Arial Narrow" w:eastAsia="Arial Narrow" w:hAnsi="Arial Narrow" w:cs="Arial Narrow"/>
          <w:color w:val="000000"/>
          <w:sz w:val="20"/>
          <w:szCs w:val="20"/>
        </w:rPr>
        <w:t xml:space="preserve"> GTDFI</w:t>
      </w:r>
      <w:r w:rsidRPr="00CF6604">
        <w:rPr>
          <w:rFonts w:ascii="Arial Narrow" w:eastAsia="Arial Narrow" w:hAnsi="Arial Narrow" w:cs="Arial Narrow"/>
          <w:i/>
          <w:color w:val="000000"/>
          <w:sz w:val="20"/>
          <w:szCs w:val="20"/>
        </w:rPr>
        <w:t>. Informe del Grupo de Trabajo sobre las Desapariciones Forzadas o Involuntarias,</w:t>
      </w:r>
      <w:r w:rsidRPr="00CF6604">
        <w:rPr>
          <w:rFonts w:ascii="Arial Narrow" w:eastAsia="Arial Narrow" w:hAnsi="Arial Narrow" w:cs="Arial Narrow"/>
          <w:color w:val="000000"/>
          <w:sz w:val="20"/>
          <w:szCs w:val="20"/>
        </w:rPr>
        <w:t xml:space="preserve"> Misión a México, A/HRC/19/58/Add.2. 20 de diciembre de 20</w:t>
      </w:r>
      <w:r w:rsidRPr="00CF6604">
        <w:rPr>
          <w:rFonts w:ascii="Arial Narrow" w:eastAsia="Arial Narrow" w:hAnsi="Arial Narrow" w:cs="Arial Narrow"/>
          <w:sz w:val="20"/>
          <w:szCs w:val="20"/>
        </w:rPr>
        <w:t>11</w:t>
      </w:r>
      <w:r w:rsidRPr="00CF6604">
        <w:rPr>
          <w:rFonts w:ascii="Arial Narrow" w:eastAsia="Arial Narrow" w:hAnsi="Arial Narrow" w:cs="Arial Narrow"/>
          <w:color w:val="000000"/>
          <w:sz w:val="20"/>
          <w:szCs w:val="20"/>
        </w:rPr>
        <w:t>, párr. 17.</w:t>
      </w:r>
    </w:p>
  </w:footnote>
  <w:footnote w:id="9">
    <w:p w14:paraId="00000035" w14:textId="00AE513D" w:rsidR="006E0DDE" w:rsidRPr="00CF6604" w:rsidRDefault="00D84328" w:rsidP="001C69AC">
      <w:pPr>
        <w:spacing w:after="0" w:line="240" w:lineRule="auto"/>
        <w:contextualSpacing/>
        <w:jc w:val="both"/>
        <w:rPr>
          <w:rFonts w:ascii="Arial Narrow" w:eastAsia="Arial Narrow" w:hAnsi="Arial Narrow" w:cs="Arial Narrow"/>
          <w:sz w:val="20"/>
          <w:szCs w:val="20"/>
        </w:rPr>
      </w:pPr>
      <w:r w:rsidRPr="00CF6604">
        <w:rPr>
          <w:rFonts w:ascii="Arial Narrow" w:hAnsi="Arial Narrow"/>
          <w:sz w:val="20"/>
          <w:szCs w:val="20"/>
          <w:vertAlign w:val="superscript"/>
        </w:rPr>
        <w:footnoteRef/>
      </w:r>
      <w:r w:rsidRPr="00CF6604">
        <w:rPr>
          <w:rFonts w:ascii="Arial Narrow" w:eastAsia="Arial Narrow" w:hAnsi="Arial Narrow" w:cs="Arial Narrow"/>
          <w:sz w:val="20"/>
          <w:szCs w:val="20"/>
        </w:rPr>
        <w:t xml:space="preserve"> </w:t>
      </w:r>
      <w:proofErr w:type="spellStart"/>
      <w:r w:rsidR="00CF6604" w:rsidRPr="00CF6604">
        <w:rPr>
          <w:rFonts w:ascii="Arial Narrow" w:eastAsia="Arial Narrow" w:hAnsi="Arial Narrow" w:cs="Arial Narrow"/>
          <w:i/>
          <w:iCs/>
          <w:color w:val="000000"/>
          <w:sz w:val="20"/>
          <w:szCs w:val="20"/>
        </w:rPr>
        <w:t>Ibíd</w:t>
      </w:r>
      <w:proofErr w:type="spellEnd"/>
      <w:r w:rsidR="00CF6604" w:rsidRPr="00CF6604">
        <w:rPr>
          <w:rFonts w:ascii="Arial Narrow" w:eastAsia="Arial Narrow" w:hAnsi="Arial Narrow" w:cs="Arial Narrow"/>
          <w:i/>
          <w:iCs/>
          <w:color w:val="000000"/>
          <w:sz w:val="20"/>
          <w:szCs w:val="20"/>
        </w:rPr>
        <w:t>.</w:t>
      </w:r>
      <w:r w:rsidRPr="00CF6604">
        <w:rPr>
          <w:rFonts w:ascii="Arial Narrow" w:eastAsia="Arial Narrow" w:hAnsi="Arial Narrow" w:cs="Arial Narrow"/>
          <w:sz w:val="20"/>
          <w:szCs w:val="20"/>
        </w:rPr>
        <w:t>, párr. 69.</w:t>
      </w:r>
    </w:p>
  </w:footnote>
  <w:footnote w:id="10">
    <w:p w14:paraId="00000026" w14:textId="77777777" w:rsidR="006E0DDE" w:rsidRPr="00CF6604" w:rsidRDefault="00D84328" w:rsidP="001C69AC">
      <w:pPr>
        <w:pBdr>
          <w:top w:val="nil"/>
          <w:left w:val="nil"/>
          <w:bottom w:val="nil"/>
          <w:right w:val="nil"/>
          <w:between w:val="nil"/>
        </w:pBdr>
        <w:spacing w:after="0" w:line="240" w:lineRule="auto"/>
        <w:contextualSpacing/>
        <w:jc w:val="both"/>
        <w:rPr>
          <w:rFonts w:ascii="Arial Narrow" w:eastAsia="Arial Narrow" w:hAnsi="Arial Narrow" w:cs="Arial Narrow"/>
          <w:color w:val="000000"/>
          <w:sz w:val="20"/>
          <w:szCs w:val="20"/>
        </w:rPr>
      </w:pPr>
      <w:r w:rsidRPr="00CF6604">
        <w:rPr>
          <w:rFonts w:ascii="Arial Narrow" w:hAnsi="Arial Narrow"/>
          <w:sz w:val="20"/>
          <w:szCs w:val="20"/>
          <w:vertAlign w:val="superscript"/>
        </w:rPr>
        <w:footnoteRef/>
      </w:r>
      <w:r w:rsidRPr="00CF6604">
        <w:rPr>
          <w:rFonts w:ascii="Arial Narrow" w:eastAsia="Arial Narrow" w:hAnsi="Arial Narrow" w:cs="Arial Narrow"/>
          <w:color w:val="000000"/>
          <w:sz w:val="20"/>
          <w:szCs w:val="20"/>
        </w:rPr>
        <w:t xml:space="preserve"> GTDFI. Seguimiento a las recomendaciones del Grupo de Trabajo sobre desapariciones forzadas o involuntarias en su informe relativo a su visita a México del 18 al 31 de marzo de 2011. (A/HRC/19/58/Add.2). 11 de septiembre de 2015, párr. 18</w:t>
      </w:r>
    </w:p>
  </w:footnote>
  <w:footnote w:id="11">
    <w:p w14:paraId="00000027" w14:textId="48C81B07" w:rsidR="006E0DDE" w:rsidRPr="00CF6604" w:rsidRDefault="00D84328" w:rsidP="001C69AC">
      <w:pPr>
        <w:pBdr>
          <w:top w:val="nil"/>
          <w:left w:val="nil"/>
          <w:bottom w:val="nil"/>
          <w:right w:val="nil"/>
          <w:between w:val="nil"/>
        </w:pBdr>
        <w:spacing w:after="0" w:line="240" w:lineRule="auto"/>
        <w:contextualSpacing/>
        <w:jc w:val="both"/>
        <w:rPr>
          <w:rFonts w:ascii="Arial Narrow" w:eastAsia="Arial Narrow" w:hAnsi="Arial Narrow" w:cs="Arial Narrow"/>
          <w:color w:val="000000"/>
          <w:sz w:val="20"/>
          <w:szCs w:val="20"/>
        </w:rPr>
      </w:pPr>
      <w:r w:rsidRPr="00CF6604">
        <w:rPr>
          <w:rFonts w:ascii="Arial Narrow" w:hAnsi="Arial Narrow"/>
          <w:sz w:val="20"/>
          <w:szCs w:val="20"/>
          <w:vertAlign w:val="superscript"/>
        </w:rPr>
        <w:footnoteRef/>
      </w:r>
      <w:r w:rsidRPr="00CF6604">
        <w:rPr>
          <w:rFonts w:ascii="Arial Narrow" w:eastAsia="Arial Narrow" w:hAnsi="Arial Narrow" w:cs="Arial Narrow"/>
          <w:color w:val="000000"/>
          <w:sz w:val="20"/>
          <w:szCs w:val="20"/>
        </w:rPr>
        <w:t xml:space="preserve"> </w:t>
      </w:r>
      <w:proofErr w:type="spellStart"/>
      <w:r w:rsidR="00CF6604" w:rsidRPr="00CF6604">
        <w:rPr>
          <w:rFonts w:ascii="Arial Narrow" w:eastAsia="Arial Narrow" w:hAnsi="Arial Narrow" w:cs="Arial Narrow"/>
          <w:i/>
          <w:iCs/>
          <w:color w:val="000000"/>
          <w:sz w:val="20"/>
          <w:szCs w:val="20"/>
        </w:rPr>
        <w:t>Op</w:t>
      </w:r>
      <w:proofErr w:type="spellEnd"/>
      <w:r w:rsidR="00CF6604" w:rsidRPr="00CF6604">
        <w:rPr>
          <w:rFonts w:ascii="Arial Narrow" w:eastAsia="Arial Narrow" w:hAnsi="Arial Narrow" w:cs="Arial Narrow"/>
          <w:i/>
          <w:iCs/>
          <w:color w:val="000000"/>
          <w:sz w:val="20"/>
          <w:szCs w:val="20"/>
        </w:rPr>
        <w:t xml:space="preserve">. Cit., </w:t>
      </w:r>
      <w:r w:rsidRPr="00CF6604">
        <w:rPr>
          <w:rFonts w:ascii="Arial Narrow" w:eastAsia="Arial Narrow" w:hAnsi="Arial Narrow" w:cs="Arial Narrow"/>
          <w:color w:val="000000"/>
          <w:sz w:val="20"/>
          <w:szCs w:val="20"/>
        </w:rPr>
        <w:t>GTDFI</w:t>
      </w:r>
      <w:r w:rsidRPr="00CF6604">
        <w:rPr>
          <w:rFonts w:ascii="Arial Narrow" w:eastAsia="Arial Narrow" w:hAnsi="Arial Narrow" w:cs="Arial Narrow"/>
          <w:i/>
          <w:color w:val="000000"/>
          <w:sz w:val="20"/>
          <w:szCs w:val="20"/>
        </w:rPr>
        <w:t>. Informe del Grupo de Trabajo sobre las Desapariciones Forzadas o Involuntarias</w:t>
      </w:r>
      <w:r w:rsidR="00CF6604" w:rsidRPr="00CF6604">
        <w:rPr>
          <w:rFonts w:ascii="Arial Narrow" w:eastAsia="Arial Narrow" w:hAnsi="Arial Narrow" w:cs="Arial Narrow"/>
          <w:i/>
          <w:color w:val="000000"/>
          <w:sz w:val="20"/>
          <w:szCs w:val="20"/>
        </w:rPr>
        <w:t xml:space="preserve">. </w:t>
      </w:r>
      <w:r w:rsidRPr="00CF6604">
        <w:rPr>
          <w:rFonts w:ascii="Arial Narrow" w:eastAsia="Arial Narrow" w:hAnsi="Arial Narrow" w:cs="Arial Narrow"/>
          <w:color w:val="000000"/>
          <w:sz w:val="20"/>
          <w:szCs w:val="20"/>
        </w:rPr>
        <w:t xml:space="preserve">20 de diciembre de </w:t>
      </w:r>
      <w:r w:rsidRPr="00CF6604">
        <w:rPr>
          <w:rFonts w:ascii="Arial Narrow" w:eastAsia="Arial Narrow" w:hAnsi="Arial Narrow" w:cs="Arial Narrow"/>
          <w:sz w:val="20"/>
          <w:szCs w:val="20"/>
        </w:rPr>
        <w:t>2011</w:t>
      </w:r>
      <w:r w:rsidRPr="00CF6604">
        <w:rPr>
          <w:rFonts w:ascii="Arial Narrow" w:eastAsia="Arial Narrow" w:hAnsi="Arial Narrow" w:cs="Arial Narrow"/>
          <w:color w:val="000000"/>
          <w:sz w:val="20"/>
          <w:szCs w:val="20"/>
        </w:rPr>
        <w:t xml:space="preserve">, párr. </w:t>
      </w:r>
      <w:r w:rsidRPr="00CF6604">
        <w:rPr>
          <w:rFonts w:ascii="Arial Narrow" w:eastAsia="Arial Narrow" w:hAnsi="Arial Narrow" w:cs="Arial Narrow"/>
          <w:sz w:val="20"/>
          <w:szCs w:val="20"/>
        </w:rPr>
        <w:t>69</w:t>
      </w:r>
      <w:r w:rsidRPr="00CF6604">
        <w:rPr>
          <w:rFonts w:ascii="Arial Narrow" w:eastAsia="Arial Narrow" w:hAnsi="Arial Narrow" w:cs="Arial Narrow"/>
          <w:color w:val="000000"/>
          <w:sz w:val="20"/>
          <w:szCs w:val="20"/>
        </w:rPr>
        <w:t>.</w:t>
      </w:r>
    </w:p>
  </w:footnote>
  <w:footnote w:id="12">
    <w:p w14:paraId="00000028" w14:textId="04C5A8DF" w:rsidR="006E0DDE" w:rsidRPr="00CF6604" w:rsidRDefault="00D84328" w:rsidP="001C69AC">
      <w:pPr>
        <w:pBdr>
          <w:top w:val="nil"/>
          <w:left w:val="nil"/>
          <w:bottom w:val="nil"/>
          <w:right w:val="nil"/>
          <w:between w:val="nil"/>
        </w:pBdr>
        <w:spacing w:after="0" w:line="240" w:lineRule="auto"/>
        <w:contextualSpacing/>
        <w:jc w:val="both"/>
        <w:rPr>
          <w:rFonts w:ascii="Arial Narrow" w:eastAsia="Arial Narrow" w:hAnsi="Arial Narrow" w:cs="Arial Narrow"/>
          <w:color w:val="000000"/>
          <w:sz w:val="20"/>
          <w:szCs w:val="20"/>
        </w:rPr>
      </w:pPr>
      <w:r w:rsidRPr="00CF6604">
        <w:rPr>
          <w:rFonts w:ascii="Arial Narrow" w:hAnsi="Arial Narrow"/>
          <w:sz w:val="20"/>
          <w:szCs w:val="20"/>
          <w:vertAlign w:val="superscript"/>
        </w:rPr>
        <w:footnoteRef/>
      </w:r>
      <w:r w:rsidRPr="00CF6604">
        <w:rPr>
          <w:rFonts w:ascii="Arial Narrow" w:eastAsia="Arial Narrow" w:hAnsi="Arial Narrow" w:cs="Arial Narrow"/>
          <w:color w:val="000000"/>
          <w:sz w:val="20"/>
          <w:szCs w:val="20"/>
        </w:rPr>
        <w:t xml:space="preserve"> </w:t>
      </w:r>
      <w:proofErr w:type="spellStart"/>
      <w:r w:rsidR="00CF6604" w:rsidRPr="00CF6604">
        <w:rPr>
          <w:rFonts w:ascii="Arial Narrow" w:eastAsia="Arial Narrow" w:hAnsi="Arial Narrow" w:cs="Arial Narrow"/>
          <w:i/>
          <w:iCs/>
          <w:color w:val="000000"/>
          <w:sz w:val="20"/>
          <w:szCs w:val="20"/>
        </w:rPr>
        <w:t>Ibíd</w:t>
      </w:r>
      <w:proofErr w:type="spellEnd"/>
      <w:r w:rsidR="00CF6604" w:rsidRPr="00CF6604">
        <w:rPr>
          <w:rFonts w:ascii="Arial Narrow" w:eastAsia="Arial Narrow" w:hAnsi="Arial Narrow" w:cs="Arial Narrow"/>
          <w:i/>
          <w:iCs/>
          <w:color w:val="000000"/>
          <w:sz w:val="20"/>
          <w:szCs w:val="20"/>
        </w:rPr>
        <w:t>.</w:t>
      </w:r>
      <w:r w:rsidRPr="00CF6604">
        <w:rPr>
          <w:rFonts w:ascii="Arial Narrow" w:eastAsia="Arial Narrow" w:hAnsi="Arial Narrow" w:cs="Arial Narrow"/>
          <w:color w:val="000000"/>
          <w:sz w:val="20"/>
          <w:szCs w:val="20"/>
        </w:rPr>
        <w:t>, párr. 75.</w:t>
      </w:r>
    </w:p>
  </w:footnote>
  <w:footnote w:id="13">
    <w:p w14:paraId="00000029" w14:textId="77777777" w:rsidR="006E0DDE" w:rsidRPr="00CF6604" w:rsidRDefault="00D84328" w:rsidP="001C69AC">
      <w:pPr>
        <w:pBdr>
          <w:top w:val="nil"/>
          <w:left w:val="nil"/>
          <w:bottom w:val="nil"/>
          <w:right w:val="nil"/>
          <w:between w:val="nil"/>
        </w:pBdr>
        <w:spacing w:after="0" w:line="240" w:lineRule="auto"/>
        <w:contextualSpacing/>
        <w:jc w:val="both"/>
        <w:rPr>
          <w:rFonts w:ascii="Arial Narrow" w:eastAsia="Arial Narrow" w:hAnsi="Arial Narrow" w:cs="Arial Narrow"/>
          <w:color w:val="000000"/>
          <w:sz w:val="20"/>
          <w:szCs w:val="20"/>
        </w:rPr>
      </w:pPr>
      <w:r w:rsidRPr="00CF6604">
        <w:rPr>
          <w:rFonts w:ascii="Arial Narrow" w:hAnsi="Arial Narrow"/>
          <w:sz w:val="20"/>
          <w:szCs w:val="20"/>
          <w:vertAlign w:val="superscript"/>
        </w:rPr>
        <w:footnoteRef/>
      </w:r>
      <w:r w:rsidRPr="00CF6604">
        <w:rPr>
          <w:rFonts w:ascii="Arial Narrow" w:eastAsia="Arial Narrow" w:hAnsi="Arial Narrow" w:cs="Arial Narrow"/>
          <w:color w:val="000000"/>
          <w:sz w:val="20"/>
          <w:szCs w:val="20"/>
        </w:rPr>
        <w:t xml:space="preserve"> Comité contra la Tortura. </w:t>
      </w:r>
      <w:r w:rsidRPr="00CF6604">
        <w:rPr>
          <w:rFonts w:ascii="Arial Narrow" w:eastAsia="Arial Narrow" w:hAnsi="Arial Narrow" w:cs="Arial Narrow"/>
          <w:i/>
          <w:color w:val="000000"/>
          <w:sz w:val="20"/>
          <w:szCs w:val="20"/>
        </w:rPr>
        <w:t>Observaciones finales sobre los informes periódicos quinto y sexto combinados de México, adoptadas por el Comité en su 49º período de sesiones (29 de octubre a 23 de noviembre de 2012)</w:t>
      </w:r>
      <w:r w:rsidRPr="00CF6604">
        <w:rPr>
          <w:rFonts w:ascii="Arial Narrow" w:eastAsia="Arial Narrow" w:hAnsi="Arial Narrow" w:cs="Arial Narrow"/>
          <w:color w:val="000000"/>
          <w:sz w:val="20"/>
          <w:szCs w:val="20"/>
        </w:rPr>
        <w:t>.</w:t>
      </w:r>
    </w:p>
  </w:footnote>
  <w:footnote w:id="14">
    <w:p w14:paraId="00000034" w14:textId="77777777" w:rsidR="006E0DDE" w:rsidRPr="00CF6604" w:rsidRDefault="00D84328" w:rsidP="001C69AC">
      <w:pPr>
        <w:spacing w:after="0" w:line="240" w:lineRule="auto"/>
        <w:contextualSpacing/>
        <w:jc w:val="both"/>
        <w:rPr>
          <w:rFonts w:ascii="Arial Narrow" w:eastAsia="Arial Narrow" w:hAnsi="Arial Narrow" w:cs="Arial Narrow"/>
          <w:sz w:val="20"/>
          <w:szCs w:val="20"/>
        </w:rPr>
      </w:pPr>
      <w:r w:rsidRPr="00CF6604">
        <w:rPr>
          <w:rFonts w:ascii="Arial Narrow" w:hAnsi="Arial Narrow"/>
          <w:sz w:val="20"/>
          <w:szCs w:val="20"/>
          <w:vertAlign w:val="superscript"/>
        </w:rPr>
        <w:footnoteRef/>
      </w:r>
      <w:r w:rsidRPr="00CF6604">
        <w:rPr>
          <w:rFonts w:ascii="Arial Narrow" w:eastAsia="Arial Narrow" w:hAnsi="Arial Narrow" w:cs="Arial Narrow"/>
          <w:sz w:val="20"/>
          <w:szCs w:val="20"/>
        </w:rPr>
        <w:t xml:space="preserve"> OACNUDH. </w:t>
      </w:r>
      <w:r w:rsidRPr="00CF6604">
        <w:rPr>
          <w:rFonts w:ascii="Arial Narrow" w:eastAsia="Arial Narrow" w:hAnsi="Arial Narrow" w:cs="Arial Narrow"/>
          <w:i/>
          <w:sz w:val="20"/>
          <w:szCs w:val="20"/>
        </w:rPr>
        <w:t>La desaparición forzada en México: una mirada desde los organismos del Sistema de Naciones Unidas.</w:t>
      </w:r>
      <w:r w:rsidRPr="00CF6604">
        <w:rPr>
          <w:rFonts w:ascii="Arial Narrow" w:eastAsia="Arial Narrow" w:hAnsi="Arial Narrow" w:cs="Arial Narrow"/>
          <w:sz w:val="20"/>
          <w:szCs w:val="20"/>
        </w:rPr>
        <w:t xml:space="preserve"> 2019, pág. 17.</w:t>
      </w:r>
    </w:p>
  </w:footnote>
  <w:footnote w:id="15">
    <w:p w14:paraId="0000002A" w14:textId="77777777" w:rsidR="006E0DDE" w:rsidRPr="00CF6604" w:rsidRDefault="00D84328" w:rsidP="001C69AC">
      <w:pPr>
        <w:pBdr>
          <w:top w:val="nil"/>
          <w:left w:val="nil"/>
          <w:bottom w:val="nil"/>
          <w:right w:val="nil"/>
          <w:between w:val="nil"/>
        </w:pBdr>
        <w:spacing w:after="0" w:line="240" w:lineRule="auto"/>
        <w:contextualSpacing/>
        <w:jc w:val="both"/>
        <w:rPr>
          <w:rFonts w:ascii="Arial Narrow" w:eastAsia="Arial Narrow" w:hAnsi="Arial Narrow" w:cs="Arial Narrow"/>
          <w:color w:val="000000"/>
          <w:sz w:val="20"/>
          <w:szCs w:val="20"/>
        </w:rPr>
      </w:pPr>
      <w:r w:rsidRPr="00CF6604">
        <w:rPr>
          <w:rFonts w:ascii="Arial Narrow" w:hAnsi="Arial Narrow"/>
          <w:sz w:val="20"/>
          <w:szCs w:val="20"/>
          <w:vertAlign w:val="superscript"/>
        </w:rPr>
        <w:footnoteRef/>
      </w:r>
      <w:r w:rsidRPr="00CF6604">
        <w:rPr>
          <w:rFonts w:ascii="Arial Narrow" w:eastAsia="Arial Narrow" w:hAnsi="Arial Narrow" w:cs="Arial Narrow"/>
          <w:color w:val="000000"/>
          <w:sz w:val="20"/>
          <w:szCs w:val="20"/>
        </w:rPr>
        <w:t xml:space="preserve"> Según datos del Registro Nacional de Personas Desaparecidas y No Localizadas. Ver: </w:t>
      </w:r>
      <w:hyperlink r:id="rId3">
        <w:r w:rsidRPr="00CF6604">
          <w:rPr>
            <w:rFonts w:ascii="Arial Narrow" w:eastAsia="Arial Narrow" w:hAnsi="Arial Narrow" w:cs="Arial Narrow"/>
            <w:color w:val="000000"/>
            <w:sz w:val="20"/>
            <w:szCs w:val="20"/>
            <w:u w:val="single"/>
          </w:rPr>
          <w:t>https://versionpublicarnpdno.segob.gob.mx/Dashboard/Index</w:t>
        </w:r>
      </w:hyperlink>
      <w:r w:rsidRPr="00CF6604">
        <w:rPr>
          <w:rFonts w:ascii="Arial Narrow" w:eastAsia="Arial Narrow" w:hAnsi="Arial Narrow" w:cs="Arial Narrow"/>
          <w:color w:val="000000"/>
          <w:sz w:val="20"/>
          <w:szCs w:val="20"/>
        </w:rPr>
        <w:t xml:space="preserve"> Ver también: CICR. </w:t>
      </w:r>
      <w:r w:rsidRPr="00CF6604">
        <w:rPr>
          <w:rFonts w:ascii="Arial Narrow" w:eastAsia="Arial Narrow" w:hAnsi="Arial Narrow" w:cs="Arial Narrow"/>
          <w:i/>
          <w:color w:val="000000"/>
          <w:sz w:val="20"/>
          <w:szCs w:val="20"/>
        </w:rPr>
        <w:t>México: cifra de 100 000 desaparecidos evidencia la necesidad de continuar fortaleciendo e implementando mecanismos de búsqueda.</w:t>
      </w:r>
      <w:r w:rsidRPr="00CF6604">
        <w:rPr>
          <w:rFonts w:ascii="Arial Narrow" w:eastAsia="Arial Narrow" w:hAnsi="Arial Narrow" w:cs="Arial Narrow"/>
          <w:color w:val="000000"/>
          <w:sz w:val="20"/>
          <w:szCs w:val="20"/>
        </w:rPr>
        <w:t xml:space="preserve"> Publicado el 17 de mayo de 2022. Consultado el 29 de agosto de 2022. Disponible en: </w:t>
      </w:r>
      <w:hyperlink r:id="rId4">
        <w:r w:rsidRPr="00CF6604">
          <w:rPr>
            <w:rFonts w:ascii="Arial Narrow" w:eastAsia="Arial Narrow" w:hAnsi="Arial Narrow" w:cs="Arial Narrow"/>
            <w:color w:val="000000"/>
            <w:sz w:val="20"/>
            <w:szCs w:val="20"/>
            <w:u w:val="single"/>
          </w:rPr>
          <w:t>https://www.icrc.org/es/document/mexico-cifra-de-100-000-desaparecidos-evidencia-la-necesidad-de-continuar-fortaleciendo-e</w:t>
        </w:r>
      </w:hyperlink>
      <w:r w:rsidRPr="00CF6604">
        <w:rPr>
          <w:rFonts w:ascii="Arial Narrow" w:eastAsia="Arial Narrow" w:hAnsi="Arial Narrow" w:cs="Arial Narrow"/>
          <w:color w:val="000000"/>
          <w:sz w:val="20"/>
          <w:szCs w:val="20"/>
        </w:rPr>
        <w:t xml:space="preserve"> </w:t>
      </w:r>
    </w:p>
  </w:footnote>
  <w:footnote w:id="16">
    <w:p w14:paraId="0000002B" w14:textId="77777777" w:rsidR="006E0DDE" w:rsidRPr="00CF6604" w:rsidRDefault="00D84328" w:rsidP="001C69AC">
      <w:pPr>
        <w:pBdr>
          <w:top w:val="nil"/>
          <w:left w:val="nil"/>
          <w:bottom w:val="nil"/>
          <w:right w:val="nil"/>
          <w:between w:val="nil"/>
        </w:pBdr>
        <w:spacing w:after="0" w:line="240" w:lineRule="auto"/>
        <w:contextualSpacing/>
        <w:jc w:val="both"/>
        <w:rPr>
          <w:rFonts w:ascii="Arial Narrow" w:eastAsia="Arial Narrow" w:hAnsi="Arial Narrow" w:cs="Arial Narrow"/>
          <w:i/>
          <w:color w:val="000000"/>
          <w:sz w:val="20"/>
          <w:szCs w:val="20"/>
        </w:rPr>
      </w:pPr>
      <w:r w:rsidRPr="00CF6604">
        <w:rPr>
          <w:rFonts w:ascii="Arial Narrow" w:hAnsi="Arial Narrow"/>
          <w:sz w:val="20"/>
          <w:szCs w:val="20"/>
          <w:vertAlign w:val="superscript"/>
        </w:rPr>
        <w:footnoteRef/>
      </w:r>
      <w:r w:rsidRPr="00CF6604">
        <w:rPr>
          <w:rFonts w:ascii="Arial Narrow" w:eastAsia="Arial Narrow" w:hAnsi="Arial Narrow" w:cs="Arial Narrow"/>
          <w:color w:val="000000"/>
          <w:sz w:val="20"/>
          <w:szCs w:val="20"/>
        </w:rPr>
        <w:t xml:space="preserve"> </w:t>
      </w:r>
      <w:r w:rsidRPr="00CF6604">
        <w:rPr>
          <w:rFonts w:ascii="Arial Narrow" w:eastAsia="Arial Narrow" w:hAnsi="Arial Narrow" w:cs="Arial Narrow"/>
          <w:i/>
          <w:color w:val="000000"/>
          <w:sz w:val="20"/>
          <w:szCs w:val="20"/>
        </w:rPr>
        <w:t>Cfr.</w:t>
      </w:r>
      <w:r w:rsidRPr="00CF6604">
        <w:rPr>
          <w:rFonts w:ascii="Arial Narrow" w:eastAsia="Arial Narrow" w:hAnsi="Arial Narrow" w:cs="Arial Narrow"/>
          <w:color w:val="000000"/>
          <w:sz w:val="20"/>
          <w:szCs w:val="20"/>
        </w:rPr>
        <w:t xml:space="preserve"> Noticias ONU. </w:t>
      </w:r>
      <w:r w:rsidRPr="00CF6604">
        <w:rPr>
          <w:rFonts w:ascii="Arial Narrow" w:eastAsia="Arial Narrow" w:hAnsi="Arial Narrow" w:cs="Arial Narrow"/>
          <w:i/>
          <w:color w:val="000000"/>
          <w:sz w:val="20"/>
          <w:szCs w:val="20"/>
        </w:rPr>
        <w:t>México: funcionarios públicos y crimen organizado son los responsables de las desapariciones</w:t>
      </w:r>
      <w:r w:rsidRPr="00CF6604">
        <w:rPr>
          <w:rFonts w:ascii="Arial Narrow" w:eastAsia="Arial Narrow" w:hAnsi="Arial Narrow" w:cs="Arial Narrow"/>
          <w:color w:val="000000"/>
          <w:sz w:val="20"/>
          <w:szCs w:val="20"/>
        </w:rPr>
        <w:t xml:space="preserve">. Publicado el 12 de abril de 2022. Consultado el 29 de agosto de 2022. Disponible en: </w:t>
      </w:r>
      <w:r w:rsidRPr="00CF6604">
        <w:rPr>
          <w:rFonts w:ascii="Arial Narrow" w:eastAsia="Arial Narrow" w:hAnsi="Arial Narrow" w:cs="Arial Narrow"/>
          <w:i/>
          <w:color w:val="000000"/>
          <w:sz w:val="20"/>
          <w:szCs w:val="20"/>
        </w:rPr>
        <w:t xml:space="preserve"> </w:t>
      </w:r>
      <w:hyperlink r:id="rId5">
        <w:r w:rsidRPr="00CF6604">
          <w:rPr>
            <w:rFonts w:ascii="Arial Narrow" w:eastAsia="Arial Narrow" w:hAnsi="Arial Narrow" w:cs="Arial Narrow"/>
            <w:i/>
            <w:color w:val="000000"/>
            <w:sz w:val="20"/>
            <w:szCs w:val="20"/>
            <w:u w:val="single"/>
          </w:rPr>
          <w:t>https://news.un.org/es/story/2022/04/1507152</w:t>
        </w:r>
      </w:hyperlink>
      <w:r w:rsidRPr="00CF6604">
        <w:rPr>
          <w:rFonts w:ascii="Arial Narrow" w:eastAsia="Arial Narrow" w:hAnsi="Arial Narrow" w:cs="Arial Narrow"/>
          <w:i/>
          <w:color w:val="000000"/>
          <w:sz w:val="20"/>
          <w:szCs w:val="20"/>
        </w:rPr>
        <w:t xml:space="preserve"> </w:t>
      </w:r>
    </w:p>
  </w:footnote>
  <w:footnote w:id="17">
    <w:p w14:paraId="0000002C" w14:textId="77777777" w:rsidR="006E0DDE" w:rsidRPr="00CF6604" w:rsidRDefault="00D84328" w:rsidP="001C69AC">
      <w:pPr>
        <w:pBdr>
          <w:top w:val="nil"/>
          <w:left w:val="nil"/>
          <w:bottom w:val="nil"/>
          <w:right w:val="nil"/>
          <w:between w:val="nil"/>
        </w:pBdr>
        <w:spacing w:after="0" w:line="240" w:lineRule="auto"/>
        <w:contextualSpacing/>
        <w:jc w:val="both"/>
        <w:rPr>
          <w:rFonts w:ascii="Arial Narrow" w:eastAsia="Arial Narrow" w:hAnsi="Arial Narrow" w:cs="Arial Narrow"/>
          <w:color w:val="000000"/>
          <w:sz w:val="20"/>
          <w:szCs w:val="20"/>
        </w:rPr>
      </w:pPr>
      <w:r w:rsidRPr="00CF6604">
        <w:rPr>
          <w:rFonts w:ascii="Arial Narrow" w:hAnsi="Arial Narrow"/>
          <w:sz w:val="20"/>
          <w:szCs w:val="20"/>
          <w:vertAlign w:val="superscript"/>
        </w:rPr>
        <w:footnoteRef/>
      </w:r>
      <w:r w:rsidRPr="00CF6604">
        <w:rPr>
          <w:rFonts w:ascii="Arial Narrow" w:eastAsia="Arial Narrow" w:hAnsi="Arial Narrow" w:cs="Arial Narrow"/>
          <w:color w:val="000000"/>
          <w:sz w:val="20"/>
          <w:szCs w:val="20"/>
        </w:rPr>
        <w:t xml:space="preserve"> Hasta encontrarte. Desaparecer en Guanajuato: un camino de lucha y resistencia. 2021-2022, pág. 16. Disponible en: </w:t>
      </w:r>
      <w:hyperlink r:id="rId6">
        <w:r w:rsidRPr="00CF6604">
          <w:rPr>
            <w:rFonts w:ascii="Arial Narrow" w:eastAsia="Arial Narrow" w:hAnsi="Arial Narrow" w:cs="Arial Narrow"/>
            <w:color w:val="000000"/>
            <w:sz w:val="20"/>
            <w:szCs w:val="20"/>
            <w:u w:val="single"/>
          </w:rPr>
          <w:t>https://drive.google.com/file/d/1jHBAWEVCexO6KdP_Tts6diuxpkAR29nn/view</w:t>
        </w:r>
      </w:hyperlink>
      <w:r w:rsidRPr="00CF6604">
        <w:rPr>
          <w:rFonts w:ascii="Arial Narrow" w:eastAsia="Arial Narrow" w:hAnsi="Arial Narrow" w:cs="Arial Narrow"/>
          <w:color w:val="000000"/>
          <w:sz w:val="20"/>
          <w:szCs w:val="20"/>
        </w:rPr>
        <w:t xml:space="preserve"> </w:t>
      </w:r>
    </w:p>
  </w:footnote>
  <w:footnote w:id="18">
    <w:p w14:paraId="00000037" w14:textId="77777777" w:rsidR="006E0DDE" w:rsidRPr="00CF6604" w:rsidRDefault="00D84328" w:rsidP="001C69AC">
      <w:pPr>
        <w:spacing w:after="0" w:line="240" w:lineRule="auto"/>
        <w:contextualSpacing/>
        <w:jc w:val="both"/>
        <w:rPr>
          <w:rFonts w:ascii="Arial Narrow" w:hAnsi="Arial Narrow"/>
          <w:sz w:val="20"/>
          <w:szCs w:val="20"/>
        </w:rPr>
      </w:pPr>
      <w:r w:rsidRPr="00CF6604">
        <w:rPr>
          <w:rFonts w:ascii="Arial Narrow" w:hAnsi="Arial Narrow"/>
          <w:sz w:val="20"/>
          <w:szCs w:val="20"/>
          <w:vertAlign w:val="superscript"/>
        </w:rPr>
        <w:footnoteRef/>
      </w:r>
      <w:r w:rsidRPr="00CF6604">
        <w:rPr>
          <w:rFonts w:ascii="Arial Narrow" w:hAnsi="Arial Narrow"/>
          <w:sz w:val="20"/>
          <w:szCs w:val="20"/>
        </w:rPr>
        <w:t xml:space="preserve"> </w:t>
      </w:r>
      <w:r w:rsidRPr="00CF6604">
        <w:rPr>
          <w:rFonts w:ascii="Arial Narrow" w:hAnsi="Arial Narrow"/>
          <w:i/>
          <w:sz w:val="20"/>
          <w:szCs w:val="20"/>
        </w:rPr>
        <w:t xml:space="preserve">Cfr. </w:t>
      </w:r>
      <w:r w:rsidRPr="00CF6604">
        <w:rPr>
          <w:rFonts w:ascii="Arial Narrow" w:hAnsi="Arial Narrow"/>
          <w:sz w:val="20"/>
          <w:szCs w:val="20"/>
        </w:rPr>
        <w:t xml:space="preserve">Rodríguez Fuentes, O. D. Historia de la desaparición en México: perfiles, modus y motivaciones. Derecho y Ciencias Sociales. Octubre 2017. Nº 17. Instituto de Cultura Jurídica y Maestría en Sociología Jurídica. FCJ y S. UNLP. Ver también: Infobae. </w:t>
      </w:r>
      <w:r w:rsidRPr="00CF6604">
        <w:rPr>
          <w:rFonts w:ascii="Arial Narrow" w:hAnsi="Arial Narrow"/>
          <w:i/>
          <w:iCs/>
          <w:sz w:val="20"/>
          <w:szCs w:val="20"/>
        </w:rPr>
        <w:t>A plena luz del día y sin temor de la autoridad: los aterradores “levantones” del crimen organizado en México</w:t>
      </w:r>
      <w:r w:rsidRPr="00CF6604">
        <w:rPr>
          <w:rFonts w:ascii="Arial Narrow" w:hAnsi="Arial Narrow"/>
          <w:sz w:val="20"/>
          <w:szCs w:val="20"/>
        </w:rPr>
        <w:t xml:space="preserve">. Publicado el 12 de octubre de 2019. Consultado el 30 de agosto de 2022. Disponible en: </w:t>
      </w:r>
      <w:hyperlink r:id="rId7">
        <w:r w:rsidRPr="00CF6604">
          <w:rPr>
            <w:rFonts w:ascii="Arial Narrow" w:hAnsi="Arial Narrow"/>
            <w:sz w:val="20"/>
            <w:szCs w:val="20"/>
            <w:u w:val="single"/>
          </w:rPr>
          <w:t>https://www.infobae.com/america/mexico/2019/10/12/a-plena-luz-del-dia-y-sin-temor-de-la-autoridad-los-aterradores-levantones-del-crimen-organizado-en-mexico/</w:t>
        </w:r>
      </w:hyperlink>
      <w:r w:rsidRPr="00CF6604">
        <w:rPr>
          <w:rFonts w:ascii="Arial Narrow" w:hAnsi="Arial Narrow"/>
          <w:sz w:val="20"/>
          <w:szCs w:val="20"/>
        </w:rPr>
        <w:t xml:space="preserve">; El Economista. </w:t>
      </w:r>
      <w:r w:rsidRPr="00CF6604">
        <w:rPr>
          <w:rFonts w:ascii="Arial Narrow" w:hAnsi="Arial Narrow"/>
          <w:i/>
          <w:iCs/>
          <w:sz w:val="20"/>
          <w:szCs w:val="20"/>
        </w:rPr>
        <w:t>“Levantones”, un nuevo problema en México.</w:t>
      </w:r>
      <w:r w:rsidRPr="00CF6604">
        <w:rPr>
          <w:rFonts w:ascii="Arial Narrow" w:hAnsi="Arial Narrow"/>
          <w:sz w:val="20"/>
          <w:szCs w:val="20"/>
        </w:rPr>
        <w:t xml:space="preserve"> Publicado el 10 de octubre de 2010. Disponible en: </w:t>
      </w:r>
      <w:hyperlink r:id="rId8">
        <w:r w:rsidRPr="00CF6604">
          <w:rPr>
            <w:rFonts w:ascii="Arial Narrow" w:hAnsi="Arial Narrow"/>
            <w:sz w:val="20"/>
            <w:szCs w:val="20"/>
            <w:u w:val="single"/>
          </w:rPr>
          <w:t>https://www.eleconomista.com.mx/noticia/Levantones-un-nuevo-problema-en-Mexico-20101007-0023.html</w:t>
        </w:r>
      </w:hyperlink>
      <w:r w:rsidRPr="00CF6604">
        <w:rPr>
          <w:rFonts w:ascii="Arial Narrow" w:hAnsi="Arial Narrow"/>
          <w:sz w:val="20"/>
          <w:szCs w:val="20"/>
        </w:rPr>
        <w:t xml:space="preserve"> ; La Jornada. </w:t>
      </w:r>
      <w:r w:rsidRPr="00CF6604">
        <w:rPr>
          <w:rFonts w:ascii="Arial Narrow" w:hAnsi="Arial Narrow"/>
          <w:i/>
          <w:iCs/>
          <w:sz w:val="20"/>
          <w:szCs w:val="20"/>
        </w:rPr>
        <w:t>Levantones, secuestros sin negociación que generalmente terminan en asesinato</w:t>
      </w:r>
      <w:r w:rsidRPr="00CF6604">
        <w:rPr>
          <w:rFonts w:ascii="Arial Narrow" w:hAnsi="Arial Narrow"/>
          <w:sz w:val="20"/>
          <w:szCs w:val="20"/>
        </w:rPr>
        <w:t xml:space="preserve">. Publicado el 11 de agosto de 2008. Consultado el 30 de agosto de 2022. Disponible en: </w:t>
      </w:r>
      <w:hyperlink r:id="rId9">
        <w:r w:rsidRPr="00CF6604">
          <w:rPr>
            <w:rFonts w:ascii="Arial Narrow" w:hAnsi="Arial Narrow"/>
            <w:sz w:val="20"/>
            <w:szCs w:val="20"/>
            <w:u w:val="single"/>
          </w:rPr>
          <w:t>https://www.jornada.com.mx/2008/08/11/index.php?section=politica&amp;article=005n1pol</w:t>
        </w:r>
      </w:hyperlink>
      <w:r w:rsidRPr="00CF6604">
        <w:rPr>
          <w:rFonts w:ascii="Arial Narrow" w:hAnsi="Arial Narrow"/>
          <w:sz w:val="20"/>
          <w:szCs w:val="20"/>
        </w:rPr>
        <w:t xml:space="preserve"> </w:t>
      </w:r>
    </w:p>
  </w:footnote>
  <w:footnote w:id="19">
    <w:p w14:paraId="00000036" w14:textId="1621B6FA" w:rsidR="006E0DDE" w:rsidRPr="00CF6604" w:rsidRDefault="00D84328" w:rsidP="001C69AC">
      <w:pPr>
        <w:spacing w:after="0" w:line="240" w:lineRule="auto"/>
        <w:contextualSpacing/>
        <w:jc w:val="both"/>
        <w:rPr>
          <w:rFonts w:ascii="Arial Narrow" w:hAnsi="Arial Narrow"/>
          <w:sz w:val="20"/>
          <w:szCs w:val="20"/>
        </w:rPr>
      </w:pPr>
      <w:r w:rsidRPr="00CF6604">
        <w:rPr>
          <w:rFonts w:ascii="Arial Narrow" w:hAnsi="Arial Narrow"/>
          <w:sz w:val="20"/>
          <w:szCs w:val="20"/>
          <w:vertAlign w:val="superscript"/>
        </w:rPr>
        <w:footnoteRef/>
      </w:r>
      <w:r w:rsidRPr="00CF6604">
        <w:rPr>
          <w:rFonts w:ascii="Arial Narrow" w:hAnsi="Arial Narrow"/>
          <w:sz w:val="20"/>
          <w:szCs w:val="20"/>
        </w:rPr>
        <w:t xml:space="preserve"> </w:t>
      </w:r>
      <w:proofErr w:type="spellStart"/>
      <w:r w:rsidR="00CF6604">
        <w:rPr>
          <w:rFonts w:ascii="Arial Narrow" w:hAnsi="Arial Narrow"/>
          <w:i/>
          <w:iCs/>
          <w:sz w:val="20"/>
          <w:szCs w:val="20"/>
        </w:rPr>
        <w:t>Op</w:t>
      </w:r>
      <w:proofErr w:type="spellEnd"/>
      <w:r w:rsidR="00CF6604">
        <w:rPr>
          <w:rFonts w:ascii="Arial Narrow" w:hAnsi="Arial Narrow"/>
          <w:i/>
          <w:iCs/>
          <w:sz w:val="20"/>
          <w:szCs w:val="20"/>
        </w:rPr>
        <w:t>. Cit.,</w:t>
      </w:r>
      <w:r w:rsidRPr="00CF6604">
        <w:rPr>
          <w:rFonts w:ascii="Arial Narrow" w:eastAsia="Arial Narrow" w:hAnsi="Arial Narrow" w:cs="Arial Narrow"/>
          <w:i/>
          <w:sz w:val="20"/>
          <w:szCs w:val="20"/>
        </w:rPr>
        <w:t xml:space="preserve"> Informe del Grupo de Trabajo sobre las Desapariciones Forzadas o Involuntarias,</w:t>
      </w:r>
      <w:r w:rsidRPr="00CF6604">
        <w:rPr>
          <w:rFonts w:ascii="Arial Narrow" w:eastAsia="Arial Narrow" w:hAnsi="Arial Narrow" w:cs="Arial Narrow"/>
          <w:sz w:val="20"/>
          <w:szCs w:val="20"/>
        </w:rPr>
        <w:t xml:space="preserve"> Misión a México, A/HRC/19/58/Add.2, párr. 18. Ver también: </w:t>
      </w:r>
      <w:r w:rsidRPr="00CF6604">
        <w:rPr>
          <w:rFonts w:ascii="Arial Narrow" w:hAnsi="Arial Narrow"/>
          <w:sz w:val="20"/>
          <w:szCs w:val="20"/>
        </w:rPr>
        <w:t xml:space="preserve">OACNUDH. </w:t>
      </w:r>
      <w:r w:rsidRPr="00CF6604">
        <w:rPr>
          <w:rFonts w:ascii="Arial Narrow" w:hAnsi="Arial Narrow"/>
          <w:i/>
          <w:sz w:val="20"/>
          <w:szCs w:val="20"/>
        </w:rPr>
        <w:t>La desaparición forzada en México: una mirada desde los organismos del Sistema de Naciones Unidas.</w:t>
      </w:r>
      <w:r w:rsidRPr="00CF6604">
        <w:rPr>
          <w:rFonts w:ascii="Arial Narrow" w:hAnsi="Arial Narrow"/>
          <w:sz w:val="20"/>
          <w:szCs w:val="20"/>
        </w:rPr>
        <w:t xml:space="preserve"> 2019, pág. 10.</w:t>
      </w:r>
    </w:p>
  </w:footnote>
  <w:footnote w:id="20">
    <w:p w14:paraId="00000038" w14:textId="563CE4CE" w:rsidR="006E0DDE" w:rsidRPr="00CF6604" w:rsidRDefault="00D84328" w:rsidP="001C69AC">
      <w:pPr>
        <w:spacing w:after="0" w:line="240" w:lineRule="auto"/>
        <w:contextualSpacing/>
        <w:jc w:val="both"/>
        <w:rPr>
          <w:rFonts w:ascii="Arial Narrow" w:hAnsi="Arial Narrow"/>
          <w:sz w:val="20"/>
          <w:szCs w:val="20"/>
        </w:rPr>
      </w:pPr>
      <w:r w:rsidRPr="00CF6604">
        <w:rPr>
          <w:rFonts w:ascii="Arial Narrow" w:hAnsi="Arial Narrow"/>
          <w:sz w:val="20"/>
          <w:szCs w:val="20"/>
          <w:vertAlign w:val="superscript"/>
        </w:rPr>
        <w:footnoteRef/>
      </w:r>
      <w:r w:rsidRPr="00CF6604">
        <w:rPr>
          <w:rFonts w:ascii="Arial Narrow" w:hAnsi="Arial Narrow"/>
          <w:sz w:val="20"/>
          <w:szCs w:val="20"/>
        </w:rPr>
        <w:t xml:space="preserve"> González Villarreal, </w:t>
      </w:r>
      <w:r w:rsidR="001C69AC" w:rsidRPr="00CF6604">
        <w:rPr>
          <w:rFonts w:ascii="Arial Narrow" w:hAnsi="Arial Narrow"/>
          <w:sz w:val="20"/>
          <w:szCs w:val="20"/>
        </w:rPr>
        <w:t xml:space="preserve">R. </w:t>
      </w:r>
      <w:r w:rsidR="001C69AC" w:rsidRPr="00CF6604">
        <w:rPr>
          <w:rFonts w:ascii="Arial Narrow" w:hAnsi="Arial Narrow"/>
          <w:i/>
          <w:iCs/>
          <w:sz w:val="20"/>
          <w:szCs w:val="20"/>
        </w:rPr>
        <w:t>Historia</w:t>
      </w:r>
      <w:r w:rsidRPr="00CF6604">
        <w:rPr>
          <w:rFonts w:ascii="Arial Narrow" w:hAnsi="Arial Narrow"/>
          <w:i/>
          <w:iCs/>
          <w:sz w:val="20"/>
          <w:szCs w:val="20"/>
        </w:rPr>
        <w:t xml:space="preserve"> De La Desaparición. Nacimiento De Una Tecnología Represiva</w:t>
      </w:r>
      <w:r w:rsidRPr="00CF6604">
        <w:rPr>
          <w:rFonts w:ascii="Arial Narrow" w:hAnsi="Arial Narrow"/>
          <w:sz w:val="20"/>
          <w:szCs w:val="20"/>
        </w:rPr>
        <w:t xml:space="preserve">. 2012. Terracota.  </w:t>
      </w:r>
      <w:r w:rsidRPr="00CF6604">
        <w:rPr>
          <w:rFonts w:ascii="Arial Narrow" w:hAnsi="Arial Narrow"/>
          <w:i/>
          <w:sz w:val="20"/>
          <w:szCs w:val="20"/>
        </w:rPr>
        <w:t xml:space="preserve">Cfr. </w:t>
      </w:r>
      <w:r w:rsidRPr="00CF6604">
        <w:rPr>
          <w:rFonts w:ascii="Arial Narrow" w:hAnsi="Arial Narrow"/>
          <w:sz w:val="20"/>
          <w:szCs w:val="20"/>
        </w:rPr>
        <w:t xml:space="preserve">Rodríguez Fuentes, O. D. </w:t>
      </w:r>
      <w:r w:rsidRPr="00CF6604">
        <w:rPr>
          <w:rFonts w:ascii="Arial Narrow" w:hAnsi="Arial Narrow"/>
          <w:i/>
          <w:iCs/>
          <w:sz w:val="20"/>
          <w:szCs w:val="20"/>
        </w:rPr>
        <w:t>Historia de la desaparición en México: perfiles, modus y motivaciones</w:t>
      </w:r>
      <w:r w:rsidRPr="00CF6604">
        <w:rPr>
          <w:rFonts w:ascii="Arial Narrow" w:hAnsi="Arial Narrow"/>
          <w:sz w:val="20"/>
          <w:szCs w:val="20"/>
        </w:rPr>
        <w:t>. Derecho y Ciencias Sociales. Octubre 2017. Nº 17. Instituto de Cultura Jurídica y Maestría en Sociología Jurídica, UNLP, pág. 259.</w:t>
      </w:r>
    </w:p>
  </w:footnote>
  <w:footnote w:id="21">
    <w:p w14:paraId="00000030" w14:textId="77777777" w:rsidR="006E0DDE" w:rsidRPr="00CF6604" w:rsidRDefault="00D84328" w:rsidP="001C69AC">
      <w:pPr>
        <w:spacing w:after="0" w:line="240" w:lineRule="auto"/>
        <w:contextualSpacing/>
        <w:jc w:val="both"/>
        <w:rPr>
          <w:rFonts w:ascii="Arial Narrow" w:eastAsia="Arial Narrow" w:hAnsi="Arial Narrow" w:cs="Arial Narrow"/>
          <w:sz w:val="20"/>
          <w:szCs w:val="20"/>
        </w:rPr>
      </w:pPr>
      <w:r w:rsidRPr="00CF6604">
        <w:rPr>
          <w:rFonts w:ascii="Arial Narrow" w:hAnsi="Arial Narrow"/>
          <w:sz w:val="20"/>
          <w:szCs w:val="20"/>
          <w:vertAlign w:val="superscript"/>
        </w:rPr>
        <w:footnoteRef/>
      </w:r>
      <w:r w:rsidRPr="00CF6604">
        <w:rPr>
          <w:rFonts w:ascii="Arial Narrow" w:hAnsi="Arial Narrow"/>
          <w:sz w:val="20"/>
          <w:szCs w:val="20"/>
        </w:rPr>
        <w:t xml:space="preserve"> </w:t>
      </w:r>
      <w:r w:rsidRPr="00CF6604">
        <w:rPr>
          <w:rFonts w:ascii="Arial Narrow" w:eastAsia="Arial Narrow" w:hAnsi="Arial Narrow" w:cs="Arial Narrow"/>
          <w:sz w:val="20"/>
          <w:szCs w:val="20"/>
        </w:rPr>
        <w:t xml:space="preserve">Ley General en Materia de Desaparición Forzada de Personas, Desaparición Cometida por Particulares y del Sistema Nacional de Búsqueda de Personas, publicada en el Diario Oficial de la Federación el 17 de noviembre de 2017, </w:t>
      </w:r>
    </w:p>
  </w:footnote>
  <w:footnote w:id="22">
    <w:p w14:paraId="00000031" w14:textId="77777777" w:rsidR="006E0DDE" w:rsidRPr="00CF6604" w:rsidRDefault="00D84328" w:rsidP="001C69AC">
      <w:pPr>
        <w:spacing w:after="0" w:line="240" w:lineRule="auto"/>
        <w:contextualSpacing/>
        <w:jc w:val="both"/>
        <w:rPr>
          <w:rFonts w:ascii="Arial Narrow" w:eastAsia="Arial Narrow" w:hAnsi="Arial Narrow" w:cs="Arial Narrow"/>
          <w:sz w:val="20"/>
          <w:szCs w:val="20"/>
        </w:rPr>
      </w:pPr>
      <w:r w:rsidRPr="00CF6604">
        <w:rPr>
          <w:rFonts w:ascii="Arial Narrow" w:hAnsi="Arial Narrow"/>
          <w:sz w:val="20"/>
          <w:szCs w:val="20"/>
          <w:vertAlign w:val="superscript"/>
        </w:rPr>
        <w:footnoteRef/>
      </w:r>
      <w:r w:rsidRPr="00CF6604">
        <w:rPr>
          <w:rFonts w:ascii="Arial Narrow" w:hAnsi="Arial Narrow"/>
          <w:sz w:val="20"/>
          <w:szCs w:val="20"/>
        </w:rPr>
        <w:t xml:space="preserve"> </w:t>
      </w:r>
      <w:r w:rsidRPr="00CF6604">
        <w:rPr>
          <w:rFonts w:ascii="Arial Narrow" w:eastAsia="Arial Narrow" w:hAnsi="Arial Narrow" w:cs="Arial Narrow"/>
          <w:sz w:val="20"/>
          <w:szCs w:val="20"/>
        </w:rPr>
        <w:t>Artículo 27 y 34 de la Ley General.</w:t>
      </w:r>
    </w:p>
  </w:footnote>
  <w:footnote w:id="23">
    <w:p w14:paraId="0000002D" w14:textId="6A255F7C" w:rsidR="006E0DDE" w:rsidRPr="00CF6604" w:rsidRDefault="00D84328" w:rsidP="001C69AC">
      <w:pPr>
        <w:pBdr>
          <w:top w:val="nil"/>
          <w:left w:val="nil"/>
          <w:bottom w:val="nil"/>
          <w:right w:val="nil"/>
          <w:between w:val="nil"/>
        </w:pBdr>
        <w:spacing w:after="0" w:line="240" w:lineRule="auto"/>
        <w:contextualSpacing/>
        <w:jc w:val="both"/>
        <w:rPr>
          <w:rFonts w:ascii="Arial Narrow" w:eastAsia="Arial Narrow" w:hAnsi="Arial Narrow" w:cs="Arial Narrow"/>
          <w:color w:val="000000"/>
          <w:sz w:val="20"/>
          <w:szCs w:val="20"/>
        </w:rPr>
      </w:pPr>
      <w:r w:rsidRPr="00CF6604">
        <w:rPr>
          <w:rFonts w:ascii="Arial Narrow" w:hAnsi="Arial Narrow"/>
          <w:sz w:val="20"/>
          <w:szCs w:val="20"/>
          <w:vertAlign w:val="superscript"/>
        </w:rPr>
        <w:footnoteRef/>
      </w:r>
      <w:r w:rsidRPr="00CF6604">
        <w:rPr>
          <w:rFonts w:ascii="Arial Narrow" w:eastAsia="Arial Narrow" w:hAnsi="Arial Narrow" w:cs="Arial Narrow"/>
          <w:color w:val="000000"/>
          <w:sz w:val="20"/>
          <w:szCs w:val="20"/>
        </w:rPr>
        <w:t xml:space="preserve"> </w:t>
      </w:r>
      <w:r w:rsidR="00CF6604">
        <w:rPr>
          <w:rFonts w:ascii="Arial Narrow" w:eastAsia="Arial Narrow" w:hAnsi="Arial Narrow" w:cs="Arial Narrow"/>
          <w:color w:val="000000"/>
          <w:sz w:val="20"/>
          <w:szCs w:val="20"/>
        </w:rPr>
        <w:t xml:space="preserve">Corte IDH. </w:t>
      </w:r>
      <w:r w:rsidRPr="00CF6604">
        <w:rPr>
          <w:rFonts w:ascii="Arial Narrow" w:eastAsia="Arial Narrow" w:hAnsi="Arial Narrow" w:cs="Arial Narrow"/>
          <w:i/>
          <w:iCs/>
          <w:color w:val="000000"/>
          <w:sz w:val="20"/>
          <w:szCs w:val="20"/>
        </w:rPr>
        <w:t xml:space="preserve">Caso Velásquez </w:t>
      </w:r>
      <w:r w:rsidR="001C69AC" w:rsidRPr="00CF6604">
        <w:rPr>
          <w:rFonts w:ascii="Arial Narrow" w:eastAsia="Arial Narrow" w:hAnsi="Arial Narrow" w:cs="Arial Narrow"/>
          <w:i/>
          <w:iCs/>
          <w:color w:val="000000"/>
          <w:sz w:val="20"/>
          <w:szCs w:val="20"/>
        </w:rPr>
        <w:t>Rodríguez</w:t>
      </w:r>
      <w:r w:rsidRPr="00CF6604">
        <w:rPr>
          <w:rFonts w:ascii="Arial Narrow" w:eastAsia="Arial Narrow" w:hAnsi="Arial Narrow" w:cs="Arial Narrow"/>
          <w:i/>
          <w:iCs/>
          <w:color w:val="000000"/>
          <w:sz w:val="20"/>
          <w:szCs w:val="20"/>
        </w:rPr>
        <w:t xml:space="preserve"> Vs. Honduras</w:t>
      </w:r>
      <w:r w:rsidRPr="00CF6604">
        <w:rPr>
          <w:rFonts w:ascii="Arial Narrow" w:eastAsia="Arial Narrow" w:hAnsi="Arial Narrow" w:cs="Arial Narrow"/>
          <w:color w:val="000000"/>
          <w:sz w:val="20"/>
          <w:szCs w:val="20"/>
        </w:rPr>
        <w:t>. Fondo, supra, párr. 173, y Caso Hermanos Landaeta Mejías y otros Vs. Venezuela. Excepciones Preliminares, Fondo, Reparaciones y Costas. Sentencia de 27 de agosto de 2014, párr. 181</w:t>
      </w:r>
      <w:r w:rsidRPr="00CF6604">
        <w:rPr>
          <w:rFonts w:ascii="Arial Narrow" w:eastAsia="Arial Narrow" w:hAnsi="Arial Narrow" w:cs="Arial Narrow"/>
          <w:i/>
          <w:iCs/>
          <w:color w:val="000000"/>
          <w:sz w:val="20"/>
          <w:szCs w:val="20"/>
        </w:rPr>
        <w:t xml:space="preserve">; Caso Masacres de El Mozote y lugares aledaños Vs. El Salvador. </w:t>
      </w:r>
      <w:r w:rsidRPr="00CF6604">
        <w:rPr>
          <w:rFonts w:ascii="Arial Narrow" w:eastAsia="Arial Narrow" w:hAnsi="Arial Narrow" w:cs="Arial Narrow"/>
          <w:color w:val="000000"/>
          <w:sz w:val="20"/>
          <w:szCs w:val="20"/>
        </w:rPr>
        <w:t xml:space="preserve">Fondo, Reparaciones y Costas. Sentencia de 25 de octubre de 2012 Serie C No. 252, </w:t>
      </w:r>
      <w:r w:rsidR="001C69AC" w:rsidRPr="00CF6604">
        <w:rPr>
          <w:rFonts w:ascii="Arial Narrow" w:eastAsia="Arial Narrow" w:hAnsi="Arial Narrow" w:cs="Arial Narrow"/>
          <w:color w:val="000000"/>
          <w:sz w:val="20"/>
          <w:szCs w:val="20"/>
        </w:rPr>
        <w:t>párr.</w:t>
      </w:r>
      <w:r w:rsidRPr="00CF6604">
        <w:rPr>
          <w:rFonts w:ascii="Arial Narrow" w:eastAsia="Arial Narrow" w:hAnsi="Arial Narrow" w:cs="Arial Narrow"/>
          <w:color w:val="000000"/>
          <w:sz w:val="20"/>
          <w:szCs w:val="20"/>
        </w:rPr>
        <w:t xml:space="preserve"> 144</w:t>
      </w:r>
    </w:p>
  </w:footnote>
  <w:footnote w:id="24">
    <w:p w14:paraId="00000032" w14:textId="6A7B79D8" w:rsidR="006E0DDE" w:rsidRPr="00CF6604" w:rsidRDefault="00D84328" w:rsidP="001C69AC">
      <w:pPr>
        <w:spacing w:after="0" w:line="240" w:lineRule="auto"/>
        <w:contextualSpacing/>
        <w:jc w:val="both"/>
        <w:rPr>
          <w:rFonts w:ascii="Arial Narrow" w:hAnsi="Arial Narrow"/>
          <w:sz w:val="20"/>
          <w:szCs w:val="20"/>
        </w:rPr>
      </w:pPr>
      <w:r w:rsidRPr="00CF6604">
        <w:rPr>
          <w:rFonts w:ascii="Arial Narrow" w:hAnsi="Arial Narrow"/>
          <w:sz w:val="20"/>
          <w:szCs w:val="20"/>
          <w:vertAlign w:val="superscript"/>
        </w:rPr>
        <w:footnoteRef/>
      </w:r>
      <w:r w:rsidRPr="00CF6604">
        <w:rPr>
          <w:rFonts w:ascii="Arial Narrow" w:hAnsi="Arial Narrow"/>
          <w:sz w:val="20"/>
          <w:szCs w:val="20"/>
        </w:rPr>
        <w:t xml:space="preserve"> Corte IDH</w:t>
      </w:r>
      <w:r w:rsidR="00CF6604">
        <w:rPr>
          <w:rFonts w:ascii="Arial Narrow" w:hAnsi="Arial Narrow"/>
          <w:sz w:val="20"/>
          <w:szCs w:val="20"/>
        </w:rPr>
        <w:t>.</w:t>
      </w:r>
      <w:r w:rsidRPr="00CF6604">
        <w:rPr>
          <w:rFonts w:ascii="Arial Narrow" w:hAnsi="Arial Narrow"/>
          <w:sz w:val="20"/>
          <w:szCs w:val="20"/>
        </w:rPr>
        <w:t xml:space="preserve"> </w:t>
      </w:r>
      <w:r w:rsidRPr="00CF6604">
        <w:rPr>
          <w:rFonts w:ascii="Arial Narrow" w:hAnsi="Arial Narrow"/>
          <w:i/>
          <w:iCs/>
          <w:sz w:val="20"/>
          <w:szCs w:val="20"/>
        </w:rPr>
        <w:t xml:space="preserve">Caso </w:t>
      </w:r>
      <w:r w:rsidRPr="00CF6604">
        <w:rPr>
          <w:rFonts w:ascii="Arial Narrow" w:eastAsia="Arial Narrow" w:hAnsi="Arial Narrow" w:cs="Arial Narrow"/>
          <w:i/>
          <w:iCs/>
          <w:sz w:val="20"/>
          <w:szCs w:val="20"/>
        </w:rPr>
        <w:t>López Soto y otros vs. Venezuela</w:t>
      </w:r>
      <w:r w:rsidR="00CF6604">
        <w:rPr>
          <w:rFonts w:ascii="Arial Narrow" w:eastAsia="Arial Narrow" w:hAnsi="Arial Narrow" w:cs="Arial Narrow"/>
          <w:i/>
          <w:iCs/>
          <w:sz w:val="20"/>
          <w:szCs w:val="20"/>
        </w:rPr>
        <w:t>.</w:t>
      </w:r>
      <w:r w:rsidRPr="00CF6604">
        <w:rPr>
          <w:rFonts w:ascii="Arial Narrow" w:eastAsia="Arial Narrow" w:hAnsi="Arial Narrow" w:cs="Arial Narrow"/>
          <w:sz w:val="20"/>
          <w:szCs w:val="20"/>
        </w:rPr>
        <w:t xml:space="preserve"> Sentencia de Fondo Reparaciones y Costas de 26 de septiembre de 2018, </w:t>
      </w:r>
      <w:r w:rsidR="001C69AC" w:rsidRPr="00CF6604">
        <w:rPr>
          <w:rFonts w:ascii="Arial Narrow" w:eastAsia="Arial Narrow" w:hAnsi="Arial Narrow" w:cs="Arial Narrow"/>
          <w:sz w:val="20"/>
          <w:szCs w:val="20"/>
        </w:rPr>
        <w:t>párr.</w:t>
      </w:r>
      <w:r w:rsidRPr="00CF6604">
        <w:rPr>
          <w:rFonts w:ascii="Arial Narrow" w:eastAsia="Arial Narrow" w:hAnsi="Arial Narrow" w:cs="Arial Narrow"/>
          <w:sz w:val="20"/>
          <w:szCs w:val="20"/>
        </w:rPr>
        <w:t xml:space="preserve"> 146.</w:t>
      </w:r>
    </w:p>
  </w:footnote>
  <w:footnote w:id="25">
    <w:p w14:paraId="0000002E" w14:textId="13C66EEB" w:rsidR="006E0DDE" w:rsidRPr="00CF6604" w:rsidRDefault="00D84328" w:rsidP="001C69AC">
      <w:pPr>
        <w:spacing w:after="0" w:line="240" w:lineRule="auto"/>
        <w:contextualSpacing/>
        <w:jc w:val="both"/>
        <w:rPr>
          <w:rFonts w:ascii="Arial Narrow" w:eastAsia="Arial Narrow" w:hAnsi="Arial Narrow" w:cs="Arial Narrow"/>
          <w:sz w:val="20"/>
          <w:szCs w:val="20"/>
        </w:rPr>
      </w:pPr>
      <w:r w:rsidRPr="00CF6604">
        <w:rPr>
          <w:rFonts w:ascii="Arial Narrow" w:hAnsi="Arial Narrow"/>
          <w:sz w:val="20"/>
          <w:szCs w:val="20"/>
          <w:vertAlign w:val="superscript"/>
        </w:rPr>
        <w:footnoteRef/>
      </w:r>
      <w:sdt>
        <w:sdtPr>
          <w:rPr>
            <w:rFonts w:ascii="Arial Narrow" w:hAnsi="Arial Narrow"/>
            <w:sz w:val="20"/>
            <w:szCs w:val="20"/>
          </w:rPr>
          <w:tag w:val="goog_rdk_0"/>
          <w:id w:val="1573237224"/>
        </w:sdtPr>
        <w:sdtEndPr/>
        <w:sdtContent>
          <w:r w:rsidRPr="00CF6604">
            <w:rPr>
              <w:rFonts w:ascii="Arial Narrow" w:eastAsia="Arial" w:hAnsi="Arial Narrow" w:cs="Arial"/>
              <w:sz w:val="20"/>
              <w:szCs w:val="20"/>
            </w:rPr>
            <w:t xml:space="preserve"> Cita textual de la nota al pie número 233 de la Sentencia de la Corte IDH, </w:t>
          </w:r>
          <w:r w:rsidRPr="00CF6604">
            <w:rPr>
              <w:rFonts w:ascii="Arial Narrow" w:eastAsia="Arial" w:hAnsi="Arial Narrow" w:cs="Arial"/>
              <w:i/>
              <w:iCs/>
              <w:sz w:val="20"/>
              <w:szCs w:val="20"/>
            </w:rPr>
            <w:t>Caso López Soto y otros vs. Venezuela</w:t>
          </w:r>
          <w:r w:rsidRPr="00CF6604">
            <w:rPr>
              <w:rFonts w:ascii="Arial Narrow" w:eastAsia="Arial" w:hAnsi="Arial Narrow" w:cs="Arial"/>
              <w:sz w:val="20"/>
              <w:szCs w:val="20"/>
            </w:rPr>
            <w:t xml:space="preserve">, 26 de septiembre de 2018, Serie C 362: En la jurisprudencia de la Corte Interamericana, los casos de aquiescencia se refieren generalmente al accionar de paramilitares en Colombia. En el Caso 19 comerciantes, la Corte encontró a Colombia responsable con base en su colaboración en los actos previos al acto ilícito del tercero, la aquiescencia estatal a la reunión de los terceros en la que se planeó el acto y la colaboración activa del Estado en la ejecución de los actos ilícitos de los terceros. Cfr. </w:t>
          </w:r>
          <w:r w:rsidRPr="00145F02">
            <w:rPr>
              <w:rFonts w:ascii="Arial Narrow" w:eastAsia="Arial" w:hAnsi="Arial Narrow" w:cs="Arial"/>
              <w:i/>
              <w:iCs/>
              <w:sz w:val="20"/>
              <w:szCs w:val="20"/>
            </w:rPr>
            <w:t>Caso 19 Comerciantes Vs. Colombia</w:t>
          </w:r>
          <w:r w:rsidRPr="00CF6604">
            <w:rPr>
              <w:rFonts w:ascii="Arial Narrow" w:eastAsia="Arial" w:hAnsi="Arial Narrow" w:cs="Arial"/>
              <w:sz w:val="20"/>
              <w:szCs w:val="20"/>
            </w:rPr>
            <w:t xml:space="preserve">. Fondo, Reparaciones y Costas. Sentencia de 5 de julio de 2004, Serie C No. 109, párr. 135. En relación con el </w:t>
          </w:r>
          <w:r w:rsidRPr="00145F02">
            <w:rPr>
              <w:rFonts w:ascii="Arial Narrow" w:eastAsia="Arial" w:hAnsi="Arial Narrow" w:cs="Arial"/>
              <w:i/>
              <w:iCs/>
              <w:sz w:val="20"/>
              <w:szCs w:val="20"/>
            </w:rPr>
            <w:t>Caso de la “Masacre de Mapiripán</w:t>
          </w:r>
          <w:r w:rsidRPr="00CF6604">
            <w:rPr>
              <w:rFonts w:ascii="Arial Narrow" w:eastAsia="Arial" w:hAnsi="Arial Narrow" w:cs="Arial"/>
              <w:sz w:val="20"/>
              <w:szCs w:val="20"/>
            </w:rPr>
            <w:t xml:space="preserve">”, la Corte concluyó la responsabilidad de Colombia con base en la coordinación de acciones y omisiones entre agentes estatales y particulares, encaminada a la comisión de la masacre, sobre la base de </w:t>
          </w:r>
          <w:proofErr w:type="gramStart"/>
          <w:r w:rsidRPr="00CF6604">
            <w:rPr>
              <w:rFonts w:ascii="Arial Narrow" w:eastAsia="Arial" w:hAnsi="Arial Narrow" w:cs="Arial"/>
              <w:sz w:val="20"/>
              <w:szCs w:val="20"/>
            </w:rPr>
            <w:t>que</w:t>
          </w:r>
          <w:proofErr w:type="gramEnd"/>
          <w:r w:rsidRPr="00CF6604">
            <w:rPr>
              <w:rFonts w:ascii="Arial Narrow" w:eastAsia="Arial" w:hAnsi="Arial Narrow" w:cs="Arial"/>
              <w:sz w:val="20"/>
              <w:szCs w:val="20"/>
            </w:rPr>
            <w:t xml:space="preserve"> aunque ésta fue perpetrada por grupos paramilitares, no habría podido concretarse sin la asistencia de las Fuerzas Armadas del Estado. Cfr.</w:t>
          </w:r>
          <w:r w:rsidR="00145F02">
            <w:rPr>
              <w:rFonts w:ascii="Arial Narrow" w:eastAsia="Arial" w:hAnsi="Arial Narrow" w:cs="Arial"/>
              <w:sz w:val="20"/>
              <w:szCs w:val="20"/>
            </w:rPr>
            <w:t xml:space="preserve"> Corte IDH.</w:t>
          </w:r>
          <w:r w:rsidRPr="00CF6604">
            <w:rPr>
              <w:rFonts w:ascii="Arial Narrow" w:eastAsia="Arial" w:hAnsi="Arial Narrow" w:cs="Arial"/>
              <w:sz w:val="20"/>
              <w:szCs w:val="20"/>
            </w:rPr>
            <w:t xml:space="preserve"> </w:t>
          </w:r>
          <w:r w:rsidRPr="00145F02">
            <w:rPr>
              <w:rFonts w:ascii="Arial Narrow" w:eastAsia="Arial" w:hAnsi="Arial Narrow" w:cs="Arial"/>
              <w:i/>
              <w:iCs/>
              <w:sz w:val="20"/>
              <w:szCs w:val="20"/>
            </w:rPr>
            <w:t>Caso de la "Masacre de Mapiripán" Vs. Colombia</w:t>
          </w:r>
          <w:r w:rsidRPr="00CF6604">
            <w:rPr>
              <w:rFonts w:ascii="Arial Narrow" w:eastAsia="Arial" w:hAnsi="Arial Narrow" w:cs="Arial"/>
              <w:sz w:val="20"/>
              <w:szCs w:val="20"/>
            </w:rPr>
            <w:t xml:space="preserve">, supra, párr. 123. En el Caso de las Masacres de Ituango, la Corte encontró responsabilidad basada en la aquiescencia o tolerancia por parte del ejército en los actos perpetrados por los paramilitares. Cfr. </w:t>
          </w:r>
          <w:r w:rsidRPr="00145F02">
            <w:rPr>
              <w:rFonts w:ascii="Arial Narrow" w:eastAsia="Arial" w:hAnsi="Arial Narrow" w:cs="Arial"/>
              <w:i/>
              <w:iCs/>
              <w:sz w:val="20"/>
              <w:szCs w:val="20"/>
            </w:rPr>
            <w:t>Caso de las Masacres de Ituango Vs. Colombia</w:t>
          </w:r>
          <w:r w:rsidRPr="00CF6604">
            <w:rPr>
              <w:rFonts w:ascii="Arial Narrow" w:eastAsia="Arial" w:hAnsi="Arial Narrow" w:cs="Arial"/>
              <w:sz w:val="20"/>
              <w:szCs w:val="20"/>
            </w:rPr>
            <w:t xml:space="preserve">. Excepciones Preliminares, Fondo, Reparaciones y Costas. Sentencia de 1 de julio de 2006. Serie C No. 148, </w:t>
          </w:r>
          <w:r w:rsidR="001C69AC" w:rsidRPr="00CF6604">
            <w:rPr>
              <w:rFonts w:ascii="Arial Narrow" w:eastAsia="Arial" w:hAnsi="Arial Narrow" w:cs="Arial"/>
              <w:sz w:val="20"/>
              <w:szCs w:val="20"/>
            </w:rPr>
            <w:t>párr.</w:t>
          </w:r>
          <w:r w:rsidRPr="00CF6604">
            <w:rPr>
              <w:rFonts w:ascii="Arial Narrow" w:eastAsia="Arial" w:hAnsi="Arial Narrow" w:cs="Arial"/>
              <w:sz w:val="20"/>
              <w:szCs w:val="20"/>
            </w:rPr>
            <w:t xml:space="preserve"> 132, 150, 153, 166, 197 y 219. Asimismo, en relación con el caso de Operación Génesis la Corte determinó la aquiescencia del Estado en la comisión del hecho ilícito sobre la base de un “test de causalidad”, en virtud del cual consideró insostenible una hipótesis en la cual el hecho ilícito se hubiera podido realizar sin la asistencia estatal. Cfr. Caso de las Comunidades afrodescendientes desplazadas de la cuenca del </w:t>
          </w:r>
          <w:r w:rsidR="001C69AC" w:rsidRPr="00145F02">
            <w:rPr>
              <w:rFonts w:ascii="Arial Narrow" w:eastAsia="Arial" w:hAnsi="Arial Narrow" w:cs="Arial"/>
              <w:i/>
              <w:iCs/>
              <w:sz w:val="20"/>
              <w:szCs w:val="20"/>
            </w:rPr>
            <w:t>Río</w:t>
          </w:r>
          <w:r w:rsidRPr="00145F02">
            <w:rPr>
              <w:rFonts w:ascii="Arial Narrow" w:eastAsia="Arial" w:hAnsi="Arial Narrow" w:cs="Arial"/>
              <w:i/>
              <w:iCs/>
              <w:sz w:val="20"/>
              <w:szCs w:val="20"/>
            </w:rPr>
            <w:t xml:space="preserve"> Cacarica (Operaci</w:t>
          </w:r>
          <w:r w:rsidRPr="00145F02">
            <w:rPr>
              <w:rFonts w:ascii="Arial Narrow" w:eastAsia="Arial" w:hAnsi="Arial Narrow" w:cs="Arial Narrow"/>
              <w:i/>
              <w:iCs/>
              <w:sz w:val="20"/>
              <w:szCs w:val="20"/>
            </w:rPr>
            <w:t>ó</w:t>
          </w:r>
          <w:r w:rsidRPr="00145F02">
            <w:rPr>
              <w:rFonts w:ascii="Arial Narrow" w:eastAsia="Arial" w:hAnsi="Arial Narrow" w:cs="Arial"/>
              <w:i/>
              <w:iCs/>
              <w:sz w:val="20"/>
              <w:szCs w:val="20"/>
            </w:rPr>
            <w:t>n G</w:t>
          </w:r>
          <w:r w:rsidRPr="00145F02">
            <w:rPr>
              <w:rFonts w:ascii="Arial Narrow" w:eastAsia="Arial" w:hAnsi="Arial Narrow" w:cs="Arial Narrow"/>
              <w:i/>
              <w:iCs/>
              <w:sz w:val="20"/>
              <w:szCs w:val="20"/>
            </w:rPr>
            <w:t>é</w:t>
          </w:r>
          <w:r w:rsidRPr="00145F02">
            <w:rPr>
              <w:rFonts w:ascii="Arial Narrow" w:eastAsia="Arial" w:hAnsi="Arial Narrow" w:cs="Arial"/>
              <w:i/>
              <w:iCs/>
              <w:sz w:val="20"/>
              <w:szCs w:val="20"/>
            </w:rPr>
            <w:t>nesis) Vs. Colombia</w:t>
          </w:r>
          <w:r w:rsidRPr="00CF6604">
            <w:rPr>
              <w:rFonts w:ascii="Arial Narrow" w:eastAsia="Arial" w:hAnsi="Arial Narrow" w:cs="Arial"/>
              <w:sz w:val="20"/>
              <w:szCs w:val="20"/>
            </w:rPr>
            <w:t xml:space="preserve">. Excepciones Preliminares, Fondo, Reparaciones y Costas. Sentencia de 20 de noviembre de 2013. Serie C No. 270, párr. 280. Por otra parte, en los casos </w:t>
          </w:r>
          <w:r w:rsidRPr="00145F02">
            <w:rPr>
              <w:rFonts w:ascii="Arial Narrow" w:eastAsia="Arial" w:hAnsi="Arial Narrow" w:cs="Arial"/>
              <w:i/>
              <w:iCs/>
              <w:sz w:val="20"/>
              <w:szCs w:val="20"/>
            </w:rPr>
            <w:t>Kawas Fernández Vs. Honduras y Gutiérrez y Familia Vs. Argentina</w:t>
          </w:r>
          <w:r w:rsidRPr="00CF6604">
            <w:rPr>
              <w:rFonts w:ascii="Arial Narrow" w:eastAsia="Arial" w:hAnsi="Arial Narrow" w:cs="Arial"/>
              <w:sz w:val="20"/>
              <w:szCs w:val="20"/>
            </w:rPr>
            <w:t xml:space="preserve">, la Corte hizo hincapié en un cúmulo de indicios sobre la participación de agentes estatales en los respectivos homicidios, aun cuando los autores no estaban plenamente identificados a nivel interno, así como en la obstrucción de la investigación, para concluir la atribución de responsabilidad estatal. Cfr. </w:t>
          </w:r>
          <w:r w:rsidRPr="00145F02">
            <w:rPr>
              <w:rFonts w:ascii="Arial Narrow" w:eastAsia="Arial" w:hAnsi="Arial Narrow" w:cs="Arial"/>
              <w:i/>
              <w:iCs/>
              <w:sz w:val="20"/>
              <w:szCs w:val="20"/>
            </w:rPr>
            <w:t>Caso Kawas Fernández Vs. Honduras</w:t>
          </w:r>
          <w:r w:rsidRPr="00CF6604">
            <w:rPr>
              <w:rFonts w:ascii="Arial Narrow" w:eastAsia="Arial" w:hAnsi="Arial Narrow" w:cs="Arial"/>
              <w:sz w:val="20"/>
              <w:szCs w:val="20"/>
            </w:rPr>
            <w:t xml:space="preserve">. Fondo, Reparaciones y Costas. Sentencia de 3 de abril de 2009. Serie C No. 196, </w:t>
          </w:r>
          <w:r w:rsidR="001C69AC" w:rsidRPr="00CF6604">
            <w:rPr>
              <w:rFonts w:ascii="Arial Narrow" w:eastAsia="Arial" w:hAnsi="Arial Narrow" w:cs="Arial"/>
              <w:sz w:val="20"/>
              <w:szCs w:val="20"/>
            </w:rPr>
            <w:t>párr.</w:t>
          </w:r>
          <w:r w:rsidRPr="00CF6604">
            <w:rPr>
              <w:rFonts w:ascii="Arial Narrow" w:eastAsia="Arial" w:hAnsi="Arial Narrow" w:cs="Arial"/>
              <w:sz w:val="20"/>
              <w:szCs w:val="20"/>
            </w:rPr>
            <w:t xml:space="preserve"> 84 a 99, y </w:t>
          </w:r>
          <w:r w:rsidRPr="00145F02">
            <w:rPr>
              <w:rFonts w:ascii="Arial Narrow" w:eastAsia="Arial" w:hAnsi="Arial Narrow" w:cs="Arial"/>
              <w:i/>
              <w:iCs/>
              <w:sz w:val="20"/>
              <w:szCs w:val="20"/>
            </w:rPr>
            <w:t>Caso Gutiérrez y Familia</w:t>
          </w:r>
          <w:r w:rsidRPr="00CF6604">
            <w:rPr>
              <w:rFonts w:ascii="Arial Narrow" w:eastAsia="Arial" w:hAnsi="Arial Narrow" w:cs="Arial"/>
              <w:sz w:val="20"/>
              <w:szCs w:val="20"/>
            </w:rPr>
            <w:t xml:space="preserve"> Vs. Argentina. Fondo, Reparaciones y Costas. Sentencia de 25 de noviembre de 2013. Serie C No. 271, </w:t>
          </w:r>
          <w:r w:rsidR="001C69AC" w:rsidRPr="00CF6604">
            <w:rPr>
              <w:rFonts w:ascii="Arial Narrow" w:eastAsia="Arial" w:hAnsi="Arial Narrow" w:cs="Arial"/>
              <w:sz w:val="20"/>
              <w:szCs w:val="20"/>
            </w:rPr>
            <w:t>párr.</w:t>
          </w:r>
          <w:r w:rsidRPr="00CF6604">
            <w:rPr>
              <w:rFonts w:ascii="Arial Narrow" w:eastAsia="Arial" w:hAnsi="Arial Narrow" w:cs="Arial"/>
              <w:sz w:val="20"/>
              <w:szCs w:val="20"/>
            </w:rPr>
            <w:t xml:space="preserve"> 80 a 90. En el </w:t>
          </w:r>
          <w:r w:rsidRPr="00145F02">
            <w:rPr>
              <w:rFonts w:ascii="Arial Narrow" w:eastAsia="Arial" w:hAnsi="Arial Narrow" w:cs="Arial"/>
              <w:i/>
              <w:iCs/>
              <w:sz w:val="20"/>
              <w:szCs w:val="20"/>
            </w:rPr>
            <w:t>Caso Vereda La Esperanza</w:t>
          </w:r>
          <w:r w:rsidRPr="00CF6604">
            <w:rPr>
              <w:rFonts w:ascii="Arial Narrow" w:eastAsia="Arial" w:hAnsi="Arial Narrow" w:cs="Arial"/>
              <w:sz w:val="20"/>
              <w:szCs w:val="20"/>
            </w:rPr>
            <w:t xml:space="preserve">, la Corte concluyó que las desapariciones forzadas ocurridas en la Vereda La Esperanza, eran atribuibles al Estado por el apoyo y la aquiescencia que prestaron agentes de la Fuerza Pública para el actuar de ese grupo paramilitar, lo que facilitó las incursiones a la Vereda la Esperanza y propició o permitió la comisión de estos actos contrarios a una obligación internacional, constituyéndose de esta forma el ilícito internacional de desaparición forzada. Cfr. </w:t>
          </w:r>
          <w:r w:rsidRPr="00145F02">
            <w:rPr>
              <w:rFonts w:ascii="Arial Narrow" w:eastAsia="Arial" w:hAnsi="Arial Narrow" w:cs="Arial"/>
              <w:i/>
              <w:iCs/>
              <w:sz w:val="20"/>
              <w:szCs w:val="20"/>
            </w:rPr>
            <w:t>Caso Vereda La Esperanza Vs. Colombia</w:t>
          </w:r>
          <w:r w:rsidRPr="00CF6604">
            <w:rPr>
              <w:rFonts w:ascii="Arial Narrow" w:eastAsia="Arial" w:hAnsi="Arial Narrow" w:cs="Arial"/>
              <w:sz w:val="20"/>
              <w:szCs w:val="20"/>
            </w:rPr>
            <w:t>. Excepción Preliminar, Fondo, Reparaciones y Costas. Sentencia de 31 de agosto de 2017. Serie C No. 341, párr. 168.</w:t>
          </w:r>
        </w:sdtContent>
      </w:sdt>
    </w:p>
  </w:footnote>
  <w:footnote w:id="26">
    <w:p w14:paraId="0000002F" w14:textId="77777777" w:rsidR="006E0DDE" w:rsidRPr="00CF6604" w:rsidRDefault="00D84328" w:rsidP="001C69AC">
      <w:pPr>
        <w:spacing w:after="0" w:line="240" w:lineRule="auto"/>
        <w:contextualSpacing/>
        <w:jc w:val="both"/>
        <w:rPr>
          <w:rFonts w:ascii="Arial Narrow" w:eastAsia="Arial Narrow" w:hAnsi="Arial Narrow" w:cs="Arial Narrow"/>
          <w:sz w:val="20"/>
          <w:szCs w:val="20"/>
        </w:rPr>
      </w:pPr>
      <w:r w:rsidRPr="00CF6604">
        <w:rPr>
          <w:rFonts w:ascii="Arial Narrow" w:hAnsi="Arial Narrow"/>
          <w:sz w:val="20"/>
          <w:szCs w:val="20"/>
          <w:vertAlign w:val="superscript"/>
        </w:rPr>
        <w:footnoteRef/>
      </w:r>
      <w:r w:rsidRPr="00CF6604">
        <w:rPr>
          <w:rFonts w:ascii="Arial Narrow" w:eastAsia="Arial" w:hAnsi="Arial Narrow" w:cs="Arial"/>
          <w:sz w:val="20"/>
          <w:szCs w:val="20"/>
        </w:rPr>
        <w:t xml:space="preserve"> </w:t>
      </w:r>
      <w:r w:rsidRPr="00CF6604">
        <w:rPr>
          <w:rFonts w:ascii="Arial Narrow" w:eastAsia="Arial Narrow" w:hAnsi="Arial Narrow" w:cs="Arial Narrow"/>
          <w:sz w:val="20"/>
          <w:szCs w:val="20"/>
        </w:rPr>
        <w:t xml:space="preserve">Corte IDH. </w:t>
      </w:r>
      <w:r w:rsidRPr="00CF6604">
        <w:rPr>
          <w:rFonts w:ascii="Arial Narrow" w:eastAsia="Arial Narrow" w:hAnsi="Arial Narrow" w:cs="Arial Narrow"/>
          <w:i/>
          <w:iCs/>
          <w:sz w:val="20"/>
          <w:szCs w:val="20"/>
        </w:rPr>
        <w:t>Caso Isaza Uribe y otros Vs. Colombia</w:t>
      </w:r>
      <w:r w:rsidRPr="00CF6604">
        <w:rPr>
          <w:rFonts w:ascii="Arial Narrow" w:eastAsia="Arial Narrow" w:hAnsi="Arial Narrow" w:cs="Arial Narrow"/>
          <w:sz w:val="20"/>
          <w:szCs w:val="20"/>
        </w:rPr>
        <w:t>. Fondo, Reparaciones y Costas. Sentencia de 20 de noviembre de 2018. Serie C No. 363</w:t>
      </w:r>
    </w:p>
  </w:footnote>
  <w:footnote w:id="27">
    <w:p w14:paraId="00000033" w14:textId="77777777" w:rsidR="006E0DDE" w:rsidRPr="00CF6604" w:rsidRDefault="00D84328" w:rsidP="001C69AC">
      <w:pPr>
        <w:spacing w:after="0" w:line="240" w:lineRule="auto"/>
        <w:contextualSpacing/>
        <w:jc w:val="both"/>
        <w:rPr>
          <w:rFonts w:ascii="Arial Narrow" w:hAnsi="Arial Narrow"/>
          <w:sz w:val="20"/>
          <w:szCs w:val="20"/>
        </w:rPr>
      </w:pPr>
      <w:r w:rsidRPr="00CF6604">
        <w:rPr>
          <w:rFonts w:ascii="Arial Narrow" w:hAnsi="Arial Narrow"/>
          <w:sz w:val="20"/>
          <w:szCs w:val="20"/>
          <w:vertAlign w:val="superscript"/>
        </w:rPr>
        <w:footnoteRef/>
      </w:r>
      <w:r w:rsidRPr="00CF6604">
        <w:rPr>
          <w:rFonts w:ascii="Arial Narrow" w:hAnsi="Arial Narrow"/>
          <w:sz w:val="20"/>
          <w:szCs w:val="20"/>
        </w:rPr>
        <w:t xml:space="preserve"> En el caso de la desaparición del </w:t>
      </w:r>
      <w:r w:rsidRPr="00CF6604">
        <w:rPr>
          <w:rFonts w:ascii="Arial" w:hAnsi="Arial" w:cs="Arial"/>
          <w:sz w:val="20"/>
          <w:szCs w:val="20"/>
        </w:rPr>
        <w:t>​​</w:t>
      </w:r>
      <w:r w:rsidRPr="00CF6604">
        <w:rPr>
          <w:rFonts w:ascii="Arial Narrow" w:hAnsi="Arial Narrow"/>
          <w:sz w:val="20"/>
          <w:szCs w:val="20"/>
        </w:rPr>
        <w:t>Sr. Moreno P</w:t>
      </w:r>
      <w:r w:rsidRPr="00CF6604">
        <w:rPr>
          <w:rFonts w:ascii="Arial Narrow" w:hAnsi="Arial Narrow" w:cs="Arial Narrow"/>
          <w:sz w:val="20"/>
          <w:szCs w:val="20"/>
        </w:rPr>
        <w:t>é</w:t>
      </w:r>
      <w:r w:rsidRPr="00CF6604">
        <w:rPr>
          <w:rFonts w:ascii="Arial Narrow" w:hAnsi="Arial Narrow"/>
          <w:sz w:val="20"/>
          <w:szCs w:val="20"/>
        </w:rPr>
        <w:t>rez, conocida por el Comit</w:t>
      </w:r>
      <w:r w:rsidRPr="00CF6604">
        <w:rPr>
          <w:rFonts w:ascii="Arial Narrow" w:hAnsi="Arial Narrow" w:cs="Arial Narrow"/>
          <w:sz w:val="20"/>
          <w:szCs w:val="20"/>
        </w:rPr>
        <w:t>é</w:t>
      </w:r>
      <w:r w:rsidRPr="00CF6604">
        <w:rPr>
          <w:rFonts w:ascii="Arial Narrow" w:hAnsi="Arial Narrow"/>
          <w:sz w:val="20"/>
          <w:szCs w:val="20"/>
        </w:rPr>
        <w:t xml:space="preserve"> de Derechos Humanos, estableció que “en ausencia de toda información sobre un contexto específico de desapariciones forzadas en el lugar donde se produjo dicha desaparición, y en ausencia de prueba indiciaria para fundamentar la presunción de participación, apoyo o aquiescencia de agentes del Estado en la desaparición, el Comité no puede concluir que la desaparición del Sr. Moreno Pérez sea una desaparición forzada directamente atribuible al Estado”. Lo que podría entenderse como que, en caso de existir elementos de contexto y pruebas indiciarias de algún tipo de responsabilidad estatal, se configuraría desaparición forzada, más aún cuando se busca ampliar la desaparición de actores no estatales más allá de la aquiescencia, dichos elementos, pueden ser relevantes incluso sin establecer vinculación directa y claramente acreditada. CCPR, Dictamen aprobado por el Comité a tenor del artículo 5, párrafo 4, del Protocolo Facultativo, respecto de la comunicación núm. 2760/2016, CCPR/C/127/D/2760/2016, 16 de diciembre de 2016.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DDE"/>
    <w:rsid w:val="00145F02"/>
    <w:rsid w:val="00153FBA"/>
    <w:rsid w:val="001C69AC"/>
    <w:rsid w:val="003445F4"/>
    <w:rsid w:val="005875C3"/>
    <w:rsid w:val="0059319E"/>
    <w:rsid w:val="006E0DDE"/>
    <w:rsid w:val="008675FE"/>
    <w:rsid w:val="009D20F0"/>
    <w:rsid w:val="00CF6604"/>
    <w:rsid w:val="00CF6B87"/>
    <w:rsid w:val="00D84328"/>
    <w:rsid w:val="00E707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6A8613"/>
  <w15:docId w15:val="{AA56D56F-98FA-4D21-B4B4-8655C44AD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link w:val="Ttulo5Car"/>
    <w:uiPriority w:val="9"/>
    <w:semiHidden/>
    <w:unhideWhenUsed/>
    <w:qFormat/>
    <w:rsid w:val="00222359"/>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5Car">
    <w:name w:val="Título 5 Car"/>
    <w:basedOn w:val="Fuentedeprrafopredeter"/>
    <w:link w:val="Ttulo5"/>
    <w:uiPriority w:val="9"/>
    <w:rsid w:val="00222359"/>
    <w:rPr>
      <w:rFonts w:ascii="Times New Roman" w:eastAsia="Times New Roman" w:hAnsi="Times New Roman" w:cs="Times New Roman"/>
      <w:b/>
      <w:bCs/>
      <w:sz w:val="20"/>
      <w:szCs w:val="20"/>
      <w:lang w:eastAsia="es-MX"/>
    </w:rPr>
  </w:style>
  <w:style w:type="character" w:customStyle="1" w:styleId="txt-bold">
    <w:name w:val="txt-bold"/>
    <w:basedOn w:val="Fuentedeprrafopredeter"/>
    <w:rsid w:val="00222359"/>
  </w:style>
  <w:style w:type="character" w:customStyle="1" w:styleId="text--body-copy">
    <w:name w:val="text--body-copy"/>
    <w:basedOn w:val="Fuentedeprrafopredeter"/>
    <w:rsid w:val="00222359"/>
  </w:style>
  <w:style w:type="paragraph" w:styleId="NormalWeb">
    <w:name w:val="Normal (Web)"/>
    <w:basedOn w:val="Normal"/>
    <w:uiPriority w:val="99"/>
    <w:semiHidden/>
    <w:unhideWhenUsed/>
    <w:rsid w:val="00222359"/>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222359"/>
    <w:rPr>
      <w:color w:val="0000FF"/>
      <w:u w:val="single"/>
    </w:rPr>
  </w:style>
  <w:style w:type="character" w:styleId="Textoennegrita">
    <w:name w:val="Strong"/>
    <w:basedOn w:val="Fuentedeprrafopredeter"/>
    <w:uiPriority w:val="22"/>
    <w:qFormat/>
    <w:rsid w:val="00222359"/>
    <w:rPr>
      <w:b/>
      <w:bCs/>
    </w:rPr>
  </w:style>
  <w:style w:type="paragraph" w:styleId="Textonotapie">
    <w:name w:val="footnote text"/>
    <w:aliases w:val="Footnote Text Char Char Char Char Char,Footnote Text Char Char Char Char,Footnote reference,FA Fu,Footnote Text Char Char Char,FA Fuﬂnotentext,NOTA AL PIE TESIS PUCP,Footnote Text Cha,FA Fußnotentext,Footnote Text Char Char,footnote text"/>
    <w:basedOn w:val="Normal"/>
    <w:link w:val="TextonotapieCar"/>
    <w:unhideWhenUsed/>
    <w:qFormat/>
    <w:rsid w:val="00E71CF9"/>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A Fuﬂnotentext Car,NOTA AL PIE TESIS PUCP Car,Footnote Text Cha Car,footnote text Car"/>
    <w:basedOn w:val="Fuentedeprrafopredeter"/>
    <w:link w:val="Textonotapie"/>
    <w:rsid w:val="00E71CF9"/>
    <w:rPr>
      <w:sz w:val="20"/>
      <w:szCs w:val="20"/>
    </w:rPr>
  </w:style>
  <w:style w:type="character" w:styleId="Refdenotaalpie">
    <w:name w:val="footnote reference"/>
    <w:aliases w:val="Footnotes refss,Texto de nota al pie,Appel note de bas de page,Footnote number,referencia nota al pie,BVI fnr,Ref. de nota al pie.,Footnote symbol,Footnote,4_G,16 Point,Superscript 6 Point,Texto nota al pie,Ref,de nota al pie,norma,f"/>
    <w:basedOn w:val="Fuentedeprrafopredeter"/>
    <w:uiPriority w:val="99"/>
    <w:unhideWhenUsed/>
    <w:qFormat/>
    <w:rsid w:val="00E71CF9"/>
    <w:rPr>
      <w:vertAlign w:val="superscript"/>
    </w:rPr>
  </w:style>
  <w:style w:type="character" w:styleId="Mencinsinresolver">
    <w:name w:val="Unresolved Mention"/>
    <w:basedOn w:val="Fuentedeprrafopredeter"/>
    <w:uiPriority w:val="99"/>
    <w:semiHidden/>
    <w:unhideWhenUsed/>
    <w:rsid w:val="00E71CF9"/>
    <w:rPr>
      <w:color w:val="605E5C"/>
      <w:shd w:val="clear" w:color="auto" w:fill="E1DFDD"/>
    </w:rPr>
  </w:style>
  <w:style w:type="paragraph" w:styleId="Prrafodelista">
    <w:name w:val="List Paragraph"/>
    <w:basedOn w:val="Normal"/>
    <w:uiPriority w:val="34"/>
    <w:qFormat/>
    <w:rsid w:val="0017133F"/>
    <w:pPr>
      <w:ind w:left="720"/>
      <w:contextualSpacing/>
    </w:pPr>
  </w:style>
  <w:style w:type="character" w:styleId="Refdecomentario">
    <w:name w:val="annotation reference"/>
    <w:basedOn w:val="Fuentedeprrafopredeter"/>
    <w:uiPriority w:val="99"/>
    <w:semiHidden/>
    <w:unhideWhenUsed/>
    <w:rsid w:val="00B81F8A"/>
    <w:rPr>
      <w:sz w:val="16"/>
      <w:szCs w:val="16"/>
    </w:rPr>
  </w:style>
  <w:style w:type="paragraph" w:styleId="Textocomentario">
    <w:name w:val="annotation text"/>
    <w:basedOn w:val="Normal"/>
    <w:link w:val="TextocomentarioCar"/>
    <w:uiPriority w:val="99"/>
    <w:semiHidden/>
    <w:unhideWhenUsed/>
    <w:rsid w:val="00B81F8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81F8A"/>
    <w:rPr>
      <w:sz w:val="20"/>
      <w:szCs w:val="20"/>
    </w:rPr>
  </w:style>
  <w:style w:type="paragraph" w:styleId="Asuntodelcomentario">
    <w:name w:val="annotation subject"/>
    <w:basedOn w:val="Textocomentario"/>
    <w:next w:val="Textocomentario"/>
    <w:link w:val="AsuntodelcomentarioCar"/>
    <w:uiPriority w:val="99"/>
    <w:semiHidden/>
    <w:unhideWhenUsed/>
    <w:rsid w:val="00B81F8A"/>
    <w:rPr>
      <w:b/>
      <w:bCs/>
    </w:rPr>
  </w:style>
  <w:style w:type="character" w:customStyle="1" w:styleId="AsuntodelcomentarioCar">
    <w:name w:val="Asunto del comentario Car"/>
    <w:basedOn w:val="TextocomentarioCar"/>
    <w:link w:val="Asuntodelcomentario"/>
    <w:uiPriority w:val="99"/>
    <w:semiHidden/>
    <w:rsid w:val="00B81F8A"/>
    <w:rPr>
      <w:b/>
      <w:bCs/>
      <w:sz w:val="20"/>
      <w:szCs w:val="20"/>
    </w:rPr>
  </w:style>
  <w:style w:type="paragraph" w:customStyle="1" w:styleId="Default">
    <w:name w:val="Default"/>
    <w:rsid w:val="00BA05A5"/>
    <w:pPr>
      <w:autoSpaceDE w:val="0"/>
      <w:autoSpaceDN w:val="0"/>
      <w:adjustRightInd w:val="0"/>
      <w:spacing w:after="0" w:line="240" w:lineRule="auto"/>
    </w:pPr>
    <w:rPr>
      <w:rFonts w:ascii="Cambria" w:hAnsi="Cambria" w:cs="Cambria"/>
      <w:color w:val="000000"/>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5875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875C3"/>
  </w:style>
  <w:style w:type="paragraph" w:styleId="Piedepgina">
    <w:name w:val="footer"/>
    <w:basedOn w:val="Normal"/>
    <w:link w:val="PiedepginaCar"/>
    <w:uiPriority w:val="99"/>
    <w:unhideWhenUsed/>
    <w:rsid w:val="005875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7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ternacional@centroprodh.org.mx"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eleconomista.com.mx/noticia/Levantones-un-nuevo-problema-en-Mexico-20101007-0023.html" TargetMode="External"/><Relationship Id="rId3" Type="http://schemas.openxmlformats.org/officeDocument/2006/relationships/hyperlink" Target="https://versionpublicarnpdno.segob.gob.mx/Dashboard/Index" TargetMode="External"/><Relationship Id="rId7" Type="http://schemas.openxmlformats.org/officeDocument/2006/relationships/hyperlink" Target="https://www.infobae.com/america/mexico/2019/10/12/a-plena-luz-del-dia-y-sin-temor-de-la-autoridad-los-aterradores-levantones-del-crimen-organizado-en-mexico/" TargetMode="External"/><Relationship Id="rId2" Type="http://schemas.openxmlformats.org/officeDocument/2006/relationships/hyperlink" Target="https://www.oas.org/es/cidh/informes/pdfs/Mexico2016-es.pdf" TargetMode="External"/><Relationship Id="rId1" Type="http://schemas.openxmlformats.org/officeDocument/2006/relationships/hyperlink" Target="https://www.ohchr.org/en/calls-for-input/2022/call-inputs-comments-draft-statement-non-state-actors-and-enforced" TargetMode="External"/><Relationship Id="rId6" Type="http://schemas.openxmlformats.org/officeDocument/2006/relationships/hyperlink" Target="https://drive.google.com/file/d/1jHBAWEVCexO6KdP_Tts6diuxpkAR29nn/view" TargetMode="External"/><Relationship Id="rId5" Type="http://schemas.openxmlformats.org/officeDocument/2006/relationships/hyperlink" Target="https://news.un.org/es/story/2022/04/1507152" TargetMode="External"/><Relationship Id="rId4" Type="http://schemas.openxmlformats.org/officeDocument/2006/relationships/hyperlink" Target="https://www.icrc.org/es/document/mexico-cifra-de-100-000-desaparecidos-evidencia-la-necesidad-de-continuar-fortaleciendo-e" TargetMode="External"/><Relationship Id="rId9" Type="http://schemas.openxmlformats.org/officeDocument/2006/relationships/hyperlink" Target="https://www.jornada.com.mx/2008/08/11/index.php?section=politica&amp;article=005n1po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nFqPkVJLGYgE3I+3G3Ws2YbVGg==">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1963</Words>
  <Characters>10900</Characters>
  <Application>Microsoft Office Word</Application>
  <DocSecurity>0</DocSecurity>
  <Lines>153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Guerrero Lomelí</dc:creator>
  <cp:lastModifiedBy>Eduardo Guerrero Lomelí</cp:lastModifiedBy>
  <cp:revision>2</cp:revision>
  <dcterms:created xsi:type="dcterms:W3CDTF">2022-08-30T22:22:00Z</dcterms:created>
  <dcterms:modified xsi:type="dcterms:W3CDTF">2022-08-30T22:22:00Z</dcterms:modified>
</cp:coreProperties>
</file>