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B314" w14:textId="77777777" w:rsidR="00460440" w:rsidRPr="00460440" w:rsidRDefault="00460440" w:rsidP="00460440">
      <w:pPr>
        <w:spacing w:after="0" w:line="240" w:lineRule="auto"/>
        <w:rPr>
          <w:rFonts w:ascii="Arial" w:eastAsia="Calibri" w:hAnsi="Arial" w:cs="Arial"/>
          <w:kern w:val="0"/>
          <w:sz w:val="2"/>
          <w:szCs w:val="2"/>
          <w14:ligatures w14:val="none"/>
        </w:rPr>
      </w:pPr>
      <w:r w:rsidRPr="00460440">
        <w:rPr>
          <w:rFonts w:ascii="Arial" w:eastAsia="Calibri" w:hAnsi="Arial" w:cs="Arial"/>
          <w:noProof/>
          <w:kern w:val="0"/>
          <w:sz w:val="2"/>
          <w:szCs w:val="2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7898C964" wp14:editId="187306C8">
                <wp:simplePos x="0" y="0"/>
                <wp:positionH relativeFrom="page">
                  <wp:posOffset>1028700</wp:posOffset>
                </wp:positionH>
                <wp:positionV relativeFrom="page">
                  <wp:posOffset>1304925</wp:posOffset>
                </wp:positionV>
                <wp:extent cx="3240000" cy="571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9CD2" w14:textId="77777777" w:rsidR="00460440" w:rsidRPr="00CE4890" w:rsidRDefault="00460440" w:rsidP="0046044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11D6DD" w14:textId="77777777" w:rsidR="00460440" w:rsidRPr="00F9367F" w:rsidRDefault="00460440" w:rsidP="0046044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C9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1pt;margin-top:102.75pt;width:255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" o:allowincell="f" o:allowoverlap="f" filled="f" stroked="f">
                <v:textbox inset="0,0,0,0">
                  <w:txbxContent>
                    <w:p w14:paraId="1F499CD2" w14:textId="77777777" w:rsidR="00460440" w:rsidRPr="00CE4890" w:rsidRDefault="00460440" w:rsidP="00460440">
                      <w:pPr>
                        <w:rPr>
                          <w:lang w:val="en-US"/>
                        </w:rPr>
                      </w:pPr>
                    </w:p>
                    <w:p w14:paraId="6611D6DD" w14:textId="77777777" w:rsidR="00460440" w:rsidRPr="00F9367F" w:rsidRDefault="00460440" w:rsidP="0046044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0FCFFF" w14:textId="77777777" w:rsidR="00460440" w:rsidRPr="00460440" w:rsidRDefault="00460440" w:rsidP="00460440">
      <w:pPr>
        <w:tabs>
          <w:tab w:val="right" w:pos="8931"/>
        </w:tabs>
        <w:spacing w:after="56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0DAB394A" w14:textId="28CD787A" w:rsidR="00460440" w:rsidRPr="00460440" w:rsidRDefault="00460440" w:rsidP="00460440">
      <w:pPr>
        <w:tabs>
          <w:tab w:val="right" w:pos="8931"/>
        </w:tabs>
        <w:spacing w:after="56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460440">
        <w:rPr>
          <w:rFonts w:ascii="Arial" w:eastAsia="Calibri" w:hAnsi="Arial" w:cs="Arial"/>
          <w:spacing w:val="2"/>
          <w:kern w:val="0"/>
          <w:lang w:val="en-US"/>
          <w14:ligatures w14:val="none"/>
        </w:rPr>
        <w:t xml:space="preserve"> </w:t>
      </w:r>
      <w:r w:rsidRPr="00460440">
        <w:rPr>
          <w:rFonts w:ascii="Arial" w:eastAsia="Calibri" w:hAnsi="Arial" w:cs="Arial"/>
          <w:spacing w:val="2"/>
          <w:kern w:val="0"/>
          <w:lang w:val="en-US"/>
          <w14:ligatures w14:val="none"/>
        </w:rPr>
        <w:tab/>
      </w:r>
      <w:r w:rsidRPr="00460440">
        <w:rPr>
          <w:rFonts w:ascii="Arial" w:eastAsia="Calibri" w:hAnsi="Arial" w:cs="Arial"/>
          <w:kern w:val="0"/>
          <w:lang w:val="en-US"/>
          <w14:ligatures w14:val="none"/>
        </w:rPr>
        <w:t xml:space="preserve">Date: </w:t>
      </w:r>
      <w:r w:rsidR="00A3487B">
        <w:rPr>
          <w:rFonts w:ascii="Arial" w:eastAsia="Calibri" w:hAnsi="Arial" w:cs="Arial"/>
          <w:kern w:val="0"/>
          <w:lang w:val="en-US"/>
          <w14:ligatures w14:val="none"/>
        </w:rPr>
        <w:t>[…]</w:t>
      </w:r>
    </w:p>
    <w:p w14:paraId="7CC18294" w14:textId="77777777" w:rsidR="00460440" w:rsidRPr="00460440" w:rsidRDefault="00460440" w:rsidP="00460440">
      <w:pPr>
        <w:tabs>
          <w:tab w:val="left" w:pos="5103"/>
        </w:tabs>
        <w:spacing w:after="120" w:line="240" w:lineRule="auto"/>
        <w:jc w:val="center"/>
        <w:rPr>
          <w:rFonts w:ascii="Arial" w:eastAsia="Calibri" w:hAnsi="Arial" w:cs="Arial"/>
          <w:b/>
          <w:color w:val="000000"/>
          <w:kern w:val="0"/>
          <w:sz w:val="28"/>
          <w:szCs w:val="28"/>
          <w:lang w:val="en-US"/>
          <w14:ligatures w14:val="none"/>
        </w:rPr>
      </w:pPr>
      <w:r w:rsidRPr="00460440">
        <w:rPr>
          <w:rFonts w:ascii="Arial" w:eastAsia="Calibri" w:hAnsi="Arial" w:cs="Arial"/>
          <w:b/>
          <w:color w:val="000000"/>
          <w:kern w:val="0"/>
          <w:sz w:val="28"/>
          <w:szCs w:val="28"/>
          <w:lang w:val="en-US"/>
          <w14:ligatures w14:val="none"/>
        </w:rPr>
        <w:t>MEMORANDUM</w:t>
      </w:r>
    </w:p>
    <w:p w14:paraId="54E404E3" w14:textId="77777777" w:rsidR="00A3487B" w:rsidRDefault="00A3487B" w:rsidP="00460440">
      <w:pPr>
        <w:tabs>
          <w:tab w:val="left" w:pos="5103"/>
        </w:tabs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481CF0FD" w14:textId="6D93A9BF" w:rsidR="00460440" w:rsidRPr="00460440" w:rsidRDefault="00460440" w:rsidP="00460440">
      <w:pPr>
        <w:tabs>
          <w:tab w:val="left" w:pos="5103"/>
        </w:tabs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460440">
        <w:rPr>
          <w:rFonts w:ascii="Arial" w:eastAsia="Calibri" w:hAnsi="Arial" w:cs="Arial"/>
          <w:bCs/>
          <w:kern w:val="0"/>
          <w:lang w:val="en-US"/>
          <w14:ligatures w14:val="none"/>
        </w:rPr>
        <w:t>For the attention of</w:t>
      </w:r>
      <w:r w:rsidR="00A3487B">
        <w:rPr>
          <w:rFonts w:ascii="Arial" w:eastAsia="Calibri" w:hAnsi="Arial" w:cs="Arial"/>
          <w:bCs/>
          <w:kern w:val="0"/>
          <w:lang w:val="en-US"/>
          <w14:ligatures w14:val="none"/>
        </w:rPr>
        <w:t>:</w:t>
      </w:r>
      <w:r w:rsidR="00A3487B" w:rsidRPr="00A3487B">
        <w:rPr>
          <w:rFonts w:ascii="Arial" w:eastAsia="Calibri" w:hAnsi="Arial" w:cs="Arial"/>
          <w:bCs/>
          <w:kern w:val="0"/>
          <w:lang w:val="en-US"/>
          <w14:ligatures w14:val="none"/>
        </w:rPr>
        <w:t xml:space="preserve"> Ms.</w:t>
      </w:r>
      <w:r w:rsidRPr="00A3487B">
        <w:rPr>
          <w:rFonts w:ascii="Arial" w:eastAsia="Calibri" w:hAnsi="Arial" w:cs="Arial"/>
          <w:bCs/>
          <w:kern w:val="0"/>
          <w:lang w:val="en-US"/>
          <w14:ligatures w14:val="none"/>
        </w:rPr>
        <w:t xml:space="preserve"> Heba Hagrass</w:t>
      </w:r>
      <w:r w:rsidR="00A3487B" w:rsidRPr="00A3487B">
        <w:rPr>
          <w:rFonts w:ascii="Arial" w:eastAsia="Calibri" w:hAnsi="Arial" w:cs="Arial"/>
          <w:bCs/>
          <w:kern w:val="0"/>
          <w:lang w:val="en-US"/>
          <w14:ligatures w14:val="none"/>
        </w:rPr>
        <w:t>,</w:t>
      </w:r>
      <w:r w:rsidRPr="00460440">
        <w:rPr>
          <w:rFonts w:ascii="Arial" w:eastAsia="Calibri" w:hAnsi="Arial" w:cs="Arial"/>
          <w:bCs/>
          <w:kern w:val="0"/>
          <w:lang w:val="en-US"/>
          <w14:ligatures w14:val="none"/>
        </w:rPr>
        <w:t xml:space="preserve"> </w:t>
      </w:r>
      <w:r w:rsidRPr="00A3487B">
        <w:rPr>
          <w:rFonts w:ascii="Arial" w:eastAsia="Calibri" w:hAnsi="Arial" w:cs="Arial"/>
          <w:bCs/>
          <w:kern w:val="0"/>
          <w:lang w:val="en-GB"/>
          <w14:ligatures w14:val="none"/>
        </w:rPr>
        <w:t>Special Rapporteur on the rights of persons with disabilities</w:t>
      </w:r>
    </w:p>
    <w:p w14:paraId="1955E391" w14:textId="025FA20F" w:rsidR="00460440" w:rsidRPr="00460440" w:rsidRDefault="00460440" w:rsidP="00060596">
      <w:pPr>
        <w:spacing w:before="560" w:after="560" w:line="240" w:lineRule="auto"/>
        <w:rPr>
          <w:rFonts w:ascii="Arial" w:eastAsia="Calibri" w:hAnsi="Arial" w:cs="Arial"/>
          <w:bCs/>
          <w:color w:val="000000"/>
          <w:kern w:val="0"/>
          <w:lang w:val="en-GB"/>
          <w14:ligatures w14:val="none"/>
        </w:rPr>
      </w:pPr>
      <w:r w:rsidRPr="00460440">
        <w:rPr>
          <w:rFonts w:ascii="Arial" w:eastAsia="Calibri" w:hAnsi="Arial" w:cs="Arial"/>
          <w:bCs/>
          <w:kern w:val="0"/>
          <w:lang w:val="en-US"/>
          <w14:ligatures w14:val="none"/>
        </w:rPr>
        <w:t>S</w:t>
      </w:r>
      <w:r w:rsidR="00A3487B">
        <w:rPr>
          <w:rFonts w:ascii="Arial" w:eastAsia="Calibri" w:hAnsi="Arial" w:cs="Arial"/>
          <w:bCs/>
          <w:kern w:val="0"/>
          <w:lang w:val="en-US"/>
          <w14:ligatures w14:val="none"/>
        </w:rPr>
        <w:t>u</w:t>
      </w:r>
      <w:r w:rsidRPr="00460440">
        <w:rPr>
          <w:rFonts w:ascii="Arial" w:eastAsia="Calibri" w:hAnsi="Arial" w:cs="Arial"/>
          <w:bCs/>
          <w:kern w:val="0"/>
          <w:lang w:val="en-US"/>
          <w14:ligatures w14:val="none"/>
        </w:rPr>
        <w:t>bject:</w:t>
      </w:r>
      <w:r w:rsidRPr="00460440">
        <w:rPr>
          <w:rFonts w:ascii="Arial" w:eastAsia="Calibri" w:hAnsi="Arial" w:cs="Arial"/>
          <w:bCs/>
          <w:kern w:val="0"/>
          <w:lang w:val="en-GB"/>
          <w14:ligatures w14:val="none"/>
        </w:rPr>
        <w:t xml:space="preserve"> </w:t>
      </w:r>
      <w:r w:rsidRPr="00460440">
        <w:rPr>
          <w:rFonts w:ascii="Arial" w:eastAsia="Calibri" w:hAnsi="Arial" w:cs="Arial"/>
          <w:bCs/>
          <w:color w:val="000000"/>
          <w:kern w:val="0"/>
          <w:lang w:val="en-GB"/>
          <w14:ligatures w14:val="none"/>
        </w:rPr>
        <w:t>Department of Social Rights submissi</w:t>
      </w:r>
      <w:r w:rsidR="00060596" w:rsidRPr="00A3487B">
        <w:rPr>
          <w:rFonts w:ascii="Arial" w:eastAsia="Calibri" w:hAnsi="Arial" w:cs="Arial"/>
          <w:bCs/>
          <w:color w:val="000000"/>
          <w:kern w:val="0"/>
          <w:lang w:val="en-GB"/>
          <w14:ligatures w14:val="none"/>
        </w:rPr>
        <w:t>on to the call for inputs on the 2030 Agenda</w:t>
      </w:r>
    </w:p>
    <w:p w14:paraId="6F873CDA" w14:textId="77777777" w:rsidR="00582291" w:rsidRDefault="00460440" w:rsidP="00582291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460440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Department of Social Rights of the Council of Europe (“the Department”) welcomes the opportunity to provide comments on the forthcomin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g</w:t>
      </w:r>
      <w:r w:rsidRPr="00460440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thematic report 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of the 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Special Rapporteur on the rights of persons with disabilities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, concerning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the involvement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and participation of persons with disabilities in the follow-up and review of the 2030 Agenda for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Sustainable Development, in current debates at the international level on this issue, and on the</w:t>
      </w:r>
      <w:r w:rsid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060596"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future of Sustainable Development or Post-2030 agenda</w:t>
      </w:r>
      <w:r w:rsidR="0058229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.</w:t>
      </w:r>
    </w:p>
    <w:p w14:paraId="6CEBA8AE" w14:textId="77777777" w:rsidR="00582291" w:rsidRDefault="00582291" w:rsidP="00582291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</w:p>
    <w:p w14:paraId="5144F55D" w14:textId="7A41DC76" w:rsidR="00404A9F" w:rsidRDefault="00060596" w:rsidP="003173EA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The Department recalls that </w:t>
      </w:r>
      <w:r w:rsidR="00054B41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Article 15 of </w:t>
      </w:r>
      <w:r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European Social Charter (“the Charter”)</w:t>
      </w: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054B4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concerns</w:t>
      </w:r>
      <w:r w:rsidRPr="00060596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the</w:t>
      </w:r>
      <w:r w:rsidR="002A4071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r</w:t>
      </w:r>
      <w:r w:rsidR="002A4071" w:rsidRPr="002A407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ight of persons with disabilities to independence, social</w:t>
      </w:r>
      <w:r w:rsidR="00582291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C65A47" w:rsidRPr="002A407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integration,</w:t>
      </w:r>
      <w:r w:rsidR="002A4071" w:rsidRPr="002A4071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and participation in the life of the community</w:t>
      </w:r>
      <w:r w:rsidR="002A407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.</w:t>
      </w:r>
      <w:r w:rsidR="00054B41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However, a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ll provisions of the Charter are applicable to persons with disabilities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, including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the non-discrimination clause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in A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rticle E of the Charter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.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</w:p>
    <w:p w14:paraId="43E957F1" w14:textId="77777777" w:rsidR="00404A9F" w:rsidRDefault="00404A9F" w:rsidP="003173EA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</w:p>
    <w:p w14:paraId="19685ED0" w14:textId="739B1807" w:rsidR="00404A9F" w:rsidRDefault="00054B41" w:rsidP="003173EA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The </w:t>
      </w:r>
      <w:r w:rsidR="00D27DDD" w:rsidRPr="00D27DDD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European Committee of Social Rights (ECSR) </w:t>
      </w:r>
      <w:r w:rsidR="00C65A4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has stated that </w:t>
      </w:r>
      <w:r w:rsidR="00582291" w:rsidRPr="00582291">
        <w:rPr>
          <w:rFonts w:ascii="Arial" w:eastAsia="Calibri" w:hAnsi="Arial" w:cs="Arial"/>
          <w:color w:val="000000"/>
          <w:kern w:val="0"/>
          <w:lang w:val="en-GB"/>
          <w14:ligatures w14:val="none"/>
        </w:rPr>
        <w:t>Article 15§3 of the Charter requires inter alia that persons with disabilities should have a voice in the design, implementation and review of coordinated disability policies aimed at achieving the goals of social integration and full participation of persons with disabilities</w:t>
      </w: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>.</w:t>
      </w:r>
      <w:r w:rsidR="00D27DDD">
        <w:rPr>
          <w:rStyle w:val="FootnoteReference"/>
          <w:rFonts w:ascii="Arial" w:eastAsia="Calibri" w:hAnsi="Arial" w:cs="Arial"/>
          <w:color w:val="000000"/>
          <w:kern w:val="0"/>
          <w:lang w:val="en-GB"/>
          <w14:ligatures w14:val="none"/>
        </w:rPr>
        <w:footnoteReference w:id="1"/>
      </w: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While the consultation requirement included under Article 15§3 of the Charter would presumably extend to questions regarding the follow-up and review of the 2030 Agenda for Sustainable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lastRenderedPageBreak/>
        <w:t>Development, this has not so far been raised before the ECSR.</w:t>
      </w:r>
      <w:r w:rsidR="007E1017">
        <w:rPr>
          <w:rStyle w:val="FootnoteReference"/>
          <w:rFonts w:ascii="Arial" w:eastAsia="Calibri" w:hAnsi="Arial" w:cs="Arial"/>
          <w:color w:val="000000"/>
          <w:kern w:val="0"/>
          <w:lang w:val="en-GB"/>
          <w14:ligatures w14:val="none"/>
        </w:rPr>
        <w:footnoteReference w:id="2"/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2F0753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he Charter</w:t>
      </w:r>
      <w:r w:rsidR="002F0753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also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includes extensive consultation and participation requirements in the context of other provisions, such as 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Article 3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(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right to safe and healthy working conditions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), 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Article 16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(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right of the family to social, legal and economic protection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)</w:t>
      </w:r>
      <w:r w:rsidR="007E1017">
        <w:rPr>
          <w:lang w:val="en-US"/>
        </w:rPr>
        <w:t xml:space="preserve">, 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Article 17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(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the right of children and young persons to social, legal and economic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protection), or 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Article 30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(</w:t>
      </w:r>
      <w:r w:rsidR="007E1017" w:rsidRP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right to protection against poverty and social exclusion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). </w:t>
      </w:r>
    </w:p>
    <w:p w14:paraId="1E9E4BBF" w14:textId="77777777" w:rsidR="00404A9F" w:rsidRDefault="00404A9F" w:rsidP="003173EA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</w:p>
    <w:p w14:paraId="00DB5000" w14:textId="34EF06EB" w:rsidR="00460440" w:rsidRPr="003173EA" w:rsidRDefault="00A3487B" w:rsidP="003173EA">
      <w:pPr>
        <w:spacing w:after="0" w:line="360" w:lineRule="auto"/>
        <w:rPr>
          <w:rFonts w:ascii="Arial" w:eastAsia="Calibri" w:hAnsi="Arial" w:cs="Arial"/>
          <w:color w:val="000000"/>
          <w:kern w:val="0"/>
          <w:lang w:val="en-GB"/>
          <w14:ligatures w14:val="none"/>
        </w:rPr>
      </w:pP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Department further notes that the ECSR supervises the</w:t>
      </w:r>
      <w:r w:rsidRPr="00D27DDD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implementation of the Charter through 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the examination of State Party reports </w:t>
      </w:r>
      <w:r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and collective complaints. 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he Charter system 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offers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opportunities for the involvement and participation of persons with disabilities through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 collective complaints,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7E1017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comments,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or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observations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 </w:t>
      </w:r>
      <w:r w:rsidR="00404A9F" w:rsidRP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 xml:space="preserve">that relevant civil society organisations can submit in the framework of </w:t>
      </w:r>
      <w:r w:rsidR="007E1017">
        <w:rPr>
          <w:rFonts w:ascii="Arial" w:eastAsia="Calibri" w:hAnsi="Arial" w:cs="Arial"/>
          <w:color w:val="000000"/>
          <w:kern w:val="0"/>
          <w:lang w:val="en-GB"/>
          <w14:ligatures w14:val="none"/>
        </w:rPr>
        <w:t>these procedures</w:t>
      </w:r>
      <w:r w:rsidR="00404A9F">
        <w:rPr>
          <w:rFonts w:ascii="Arial" w:eastAsia="Calibri" w:hAnsi="Arial" w:cs="Arial"/>
          <w:color w:val="000000"/>
          <w:kern w:val="0"/>
          <w:lang w:val="en-GB"/>
          <w14:ligatures w14:val="none"/>
        </w:rPr>
        <w:t>.</w:t>
      </w:r>
      <w:r w:rsidR="00404A9F">
        <w:rPr>
          <w:rStyle w:val="FootnoteReference"/>
          <w:rFonts w:ascii="Arial" w:eastAsia="Calibri" w:hAnsi="Arial" w:cs="Arial"/>
          <w:color w:val="000000"/>
          <w:kern w:val="0"/>
          <w:lang w:val="en-GB"/>
          <w14:ligatures w14:val="none"/>
        </w:rPr>
        <w:footnoteReference w:id="3"/>
      </w:r>
    </w:p>
    <w:p w14:paraId="3BA6EB43" w14:textId="77777777" w:rsidR="004D2805" w:rsidRPr="00B95415" w:rsidRDefault="004D2805">
      <w:pPr>
        <w:rPr>
          <w:lang w:val="en-US"/>
        </w:rPr>
      </w:pPr>
    </w:p>
    <w:sectPr w:rsidR="004D2805" w:rsidRPr="00B95415" w:rsidSect="00460440">
      <w:footerReference w:type="default" r:id="rId8"/>
      <w:headerReference w:type="first" r:id="rId9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B86" w14:textId="77777777" w:rsidR="002B2A8B" w:rsidRDefault="002B2A8B" w:rsidP="00460440">
      <w:pPr>
        <w:spacing w:after="0" w:line="240" w:lineRule="auto"/>
      </w:pPr>
      <w:r>
        <w:separator/>
      </w:r>
    </w:p>
  </w:endnote>
  <w:endnote w:type="continuationSeparator" w:id="0">
    <w:p w14:paraId="14E2BA82" w14:textId="77777777" w:rsidR="002B2A8B" w:rsidRDefault="002B2A8B" w:rsidP="0046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68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89519045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65B8A8F4" w14:textId="77777777" w:rsidR="0090337C" w:rsidRPr="002F3006" w:rsidRDefault="00000000" w:rsidP="002F3006">
            <w:pPr>
              <w:pStyle w:val="Footer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685" w14:textId="77777777" w:rsidR="002B2A8B" w:rsidRDefault="002B2A8B" w:rsidP="00460440">
      <w:pPr>
        <w:spacing w:after="0" w:line="240" w:lineRule="auto"/>
      </w:pPr>
      <w:r>
        <w:separator/>
      </w:r>
    </w:p>
  </w:footnote>
  <w:footnote w:type="continuationSeparator" w:id="0">
    <w:p w14:paraId="069B5EC8" w14:textId="77777777" w:rsidR="002B2A8B" w:rsidRDefault="002B2A8B" w:rsidP="00460440">
      <w:pPr>
        <w:spacing w:after="0" w:line="240" w:lineRule="auto"/>
      </w:pPr>
      <w:r>
        <w:continuationSeparator/>
      </w:r>
    </w:p>
  </w:footnote>
  <w:footnote w:id="1">
    <w:p w14:paraId="18666F5D" w14:textId="160F2AF1" w:rsidR="00D27DDD" w:rsidRPr="00D27DDD" w:rsidRDefault="00D27D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27DDD">
        <w:rPr>
          <w:lang w:val="en-US"/>
        </w:rPr>
        <w:t xml:space="preserve"> Conclusions 2020, Serbia and Conclusions 2005, Norway. </w:t>
      </w:r>
    </w:p>
  </w:footnote>
  <w:footnote w:id="2">
    <w:p w14:paraId="420896E0" w14:textId="6DBDAD8E" w:rsidR="007E1017" w:rsidRPr="007E1017" w:rsidRDefault="007E10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E1017">
        <w:rPr>
          <w:lang w:val="en-US"/>
        </w:rPr>
        <w:t xml:space="preserve"> The ESCR’s conclusions, decisions and findings are available on its HUDOC database, available here: </w:t>
      </w:r>
      <w:hyperlink r:id="rId1" w:history="1">
        <w:r w:rsidRPr="000730BC">
          <w:rPr>
            <w:rStyle w:val="Hyperlink"/>
            <w:lang w:val="en-US"/>
          </w:rPr>
          <w:t>http://hudoc.esc.coe.int/</w:t>
        </w:r>
      </w:hyperlink>
      <w:r w:rsidRPr="007E1017">
        <w:rPr>
          <w:lang w:val="en-US"/>
        </w:rPr>
        <w:t>.</w:t>
      </w:r>
      <w:r>
        <w:rPr>
          <w:lang w:val="en-US"/>
        </w:rPr>
        <w:t xml:space="preserve"> </w:t>
      </w:r>
    </w:p>
  </w:footnote>
  <w:footnote w:id="3">
    <w:p w14:paraId="614A2581" w14:textId="4822D664" w:rsidR="00404A9F" w:rsidRPr="007E1017" w:rsidRDefault="00404A9F" w:rsidP="00404A9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04A9F">
        <w:rPr>
          <w:lang w:val="en-US"/>
        </w:rPr>
        <w:t xml:space="preserve"> </w:t>
      </w:r>
      <w:r w:rsidR="007E1017">
        <w:rPr>
          <w:lang w:val="en-US"/>
        </w:rPr>
        <w:t xml:space="preserve">These possibilities are set out in the publication </w:t>
      </w:r>
      <w:r w:rsidRPr="007E1017">
        <w:rPr>
          <w:i/>
          <w:iCs/>
          <w:lang w:val="en-US"/>
        </w:rPr>
        <w:t>How can (I)NGOs engage with the European Committee of Social Rights under the monitoring procedures of the European Social Charter</w:t>
      </w:r>
      <w:r w:rsidR="007E1017">
        <w:rPr>
          <w:lang w:val="en-US"/>
        </w:rPr>
        <w:t xml:space="preserve">, available at </w:t>
      </w:r>
      <w:hyperlink r:id="rId2" w:history="1">
        <w:r w:rsidR="007E1017" w:rsidRPr="000730BC">
          <w:rPr>
            <w:rStyle w:val="Hyperlink"/>
            <w:lang w:val="en-US"/>
          </w:rPr>
          <w:t>https://www.coe.int/en/web/european-social-charter</w:t>
        </w:r>
      </w:hyperlink>
      <w:r w:rsidR="007E1017">
        <w:rPr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B9FC" w14:textId="77777777" w:rsidR="0090337C" w:rsidRDefault="00000000" w:rsidP="00123CDD">
    <w:pPr>
      <w:pStyle w:val="Header1"/>
      <w:spacing w:after="2280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0" wp14:anchorId="298BBBD7" wp14:editId="70B1E61E">
          <wp:simplePos x="0" y="0"/>
          <wp:positionH relativeFrom="page">
            <wp:posOffset>0</wp:posOffset>
          </wp:positionH>
          <wp:positionV relativeFrom="page">
            <wp:posOffset>7034</wp:posOffset>
          </wp:positionV>
          <wp:extent cx="7558765" cy="1068390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5" cy="10683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6BB8"/>
    <w:multiLevelType w:val="hybridMultilevel"/>
    <w:tmpl w:val="7EE8EA60"/>
    <w:lvl w:ilvl="0" w:tplc="B95A574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6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0"/>
    <w:rsid w:val="00054B41"/>
    <w:rsid w:val="00060596"/>
    <w:rsid w:val="00266EF3"/>
    <w:rsid w:val="002A4071"/>
    <w:rsid w:val="002B2A8B"/>
    <w:rsid w:val="002F0753"/>
    <w:rsid w:val="003173EA"/>
    <w:rsid w:val="00371476"/>
    <w:rsid w:val="003C1397"/>
    <w:rsid w:val="00404A9F"/>
    <w:rsid w:val="00460440"/>
    <w:rsid w:val="004D2805"/>
    <w:rsid w:val="00582291"/>
    <w:rsid w:val="007E1017"/>
    <w:rsid w:val="0090337C"/>
    <w:rsid w:val="00927DB4"/>
    <w:rsid w:val="00A3487B"/>
    <w:rsid w:val="00AA089B"/>
    <w:rsid w:val="00B95415"/>
    <w:rsid w:val="00C65A47"/>
    <w:rsid w:val="00D27DDD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837F"/>
  <w15:chartTrackingRefBased/>
  <w15:docId w15:val="{F871DD7D-B622-4D78-AB82-78BB22A4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6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60440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6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460440"/>
  </w:style>
  <w:style w:type="table" w:customStyle="1" w:styleId="TableGrid1">
    <w:name w:val="Table Grid1"/>
    <w:basedOn w:val="TableNormal"/>
    <w:next w:val="TableGrid"/>
    <w:uiPriority w:val="59"/>
    <w:rsid w:val="004604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460440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4604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4604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0440"/>
    <w:rPr>
      <w:vertAlign w:val="superscript"/>
    </w:rPr>
  </w:style>
  <w:style w:type="paragraph" w:styleId="Header">
    <w:name w:val="header"/>
    <w:basedOn w:val="Normal"/>
    <w:link w:val="HeaderChar1"/>
    <w:uiPriority w:val="99"/>
    <w:semiHidden/>
    <w:unhideWhenUsed/>
    <w:rsid w:val="0046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460440"/>
  </w:style>
  <w:style w:type="paragraph" w:styleId="Footer">
    <w:name w:val="footer"/>
    <w:basedOn w:val="Normal"/>
    <w:link w:val="FooterChar1"/>
    <w:uiPriority w:val="99"/>
    <w:semiHidden/>
    <w:unhideWhenUsed/>
    <w:rsid w:val="00460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460440"/>
  </w:style>
  <w:style w:type="table" w:styleId="TableGrid">
    <w:name w:val="Table Grid"/>
    <w:basedOn w:val="TableNormal"/>
    <w:uiPriority w:val="39"/>
    <w:rsid w:val="0046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44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6044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60440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e.int/en/web/european-social-charter" TargetMode="External"/><Relationship Id="rId1" Type="http://schemas.openxmlformats.org/officeDocument/2006/relationships/hyperlink" Target="http://hudoc.esc.coe.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Regional mechanism</Category>
    <Filename xmlns="d42e65b2-cf21-49c1-b27d-d23f90380c0e" xsi:nil="true"/>
    <Doctype xmlns="d42e65b2-cf21-49c1-b27d-d23f90380c0e">input</Doctype>
    <Contributor xmlns="d42e65b2-cf21-49c1-b27d-d23f90380c0e">Department of Social Rights of the Council of Europe </Contributor>
  </documentManagement>
</p:properties>
</file>

<file path=customXml/itemProps1.xml><?xml version="1.0" encoding="utf-8"?>
<ds:datastoreItem xmlns:ds="http://schemas.openxmlformats.org/officeDocument/2006/customXml" ds:itemID="{73B5FDDA-03C0-4187-9598-480DA371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AC829-692A-4ADE-A689-A4AF4283DC32}"/>
</file>

<file path=customXml/itemProps3.xml><?xml version="1.0" encoding="utf-8"?>
<ds:datastoreItem xmlns:ds="http://schemas.openxmlformats.org/officeDocument/2006/customXml" ds:itemID="{E57843F3-C974-4F89-83F9-1BF28303BA0D}"/>
</file>

<file path=customXml/itemProps4.xml><?xml version="1.0" encoding="utf-8"?>
<ds:datastoreItem xmlns:ds="http://schemas.openxmlformats.org/officeDocument/2006/customXml" ds:itemID="{139B2B2A-C122-438F-86CA-F1ECDEE8D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COJOCARIU Constantin</dc:creator>
  <cp:keywords/>
  <dc:description/>
  <cp:lastModifiedBy>Barbora Zamrska</cp:lastModifiedBy>
  <cp:revision>2</cp:revision>
  <dcterms:created xsi:type="dcterms:W3CDTF">2024-06-03T07:43:00Z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