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Maat’s statement on Agenda Item 4.3 (Part III Article 13-15) - 24th Session WG on RtD</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Mr. Chairperson,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Regarding Article 13 sub paragraph 4(h), the paragraph covers a broad range of objectives, and while we agree with them all, we believe that to better assess the impacts of the listed measures, provisions for monitoring progress and measuring the effectiveness of actions should be added in this paragraph to ensure accountability. </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Mr. Chairperson.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second revised draft</Category>
    <Doctype xmlns="d42e65b2-cf21-49c1-b27d-d23f90380c0e">input</Doctype>
    <Contributor xmlns="d42e65b2-cf21-49c1-b27d-d23f90380c0e">Articles 13-15-Maat for Peace, Development and Human Rights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EC83124-DDDF-4318-BA99-36BF02DA15DB}"/>
</file>

<file path=customXml/itemProps2.xml><?xml version="1.0" encoding="utf-8"?>
<ds:datastoreItem xmlns:ds="http://schemas.openxmlformats.org/officeDocument/2006/customXml" ds:itemID="{A7DC57D4-07D9-4DD6-8D51-8360B871E85F}"/>
</file>

<file path=customXml/itemProps3.xml><?xml version="1.0" encoding="utf-8"?>
<ds:datastoreItem xmlns:ds="http://schemas.openxmlformats.org/officeDocument/2006/customXml" ds:itemID="{46729D91-08F2-45CE-9DD5-AE55E0B3B13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