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88C5" w14:textId="43DC6257" w:rsidR="00AC6198" w:rsidRDefault="008A7C8B">
      <w:pPr>
        <w:pStyle w:val="BodyText"/>
        <w:rPr>
          <w:rFonts w:ascii="Times New Roman"/>
          <w:sz w:val="20"/>
        </w:rPr>
      </w:pPr>
      <w:r>
        <w:rPr>
          <w:noProof/>
        </w:rPr>
        <mc:AlternateContent>
          <mc:Choice Requires="wps">
            <w:drawing>
              <wp:anchor distT="0" distB="0" distL="114300" distR="114300" simplePos="0" relativeHeight="15729664" behindDoc="0" locked="0" layoutInCell="1" allowOverlap="1" wp14:anchorId="26A0FB55" wp14:editId="10F28B73">
                <wp:simplePos x="0" y="0"/>
                <wp:positionH relativeFrom="page">
                  <wp:posOffset>0</wp:posOffset>
                </wp:positionH>
                <wp:positionV relativeFrom="page">
                  <wp:posOffset>0</wp:posOffset>
                </wp:positionV>
                <wp:extent cx="186055"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0692130"/>
                        </a:xfrm>
                        <a:prstGeom prst="rect">
                          <a:avLst/>
                        </a:prstGeom>
                        <a:solidFill>
                          <a:srgbClr val="0079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064E" id="docshape1" o:spid="_x0000_s1026" style="position:absolute;margin-left:0;margin-top:0;width:14.65pt;height:84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DJ6gEAALYDAAAOAAAAZHJzL2Uyb0RvYy54bWysU8Fu2zAMvQ/YPwi6L7bTJG2MOEWRosOA&#10;bh3Q7QMUWbaFyaJGKXGyrx8lp2mw3YpeBFEkn/ienla3h96wvUKvwVa8mOScKSuh1rat+M8fD59u&#10;OPNB2FoYsKriR+X57frjh9XgSjWFDkytkBGI9eXgKt6F4Mos87JTvfATcMpSsgHsRaAQ26xGMRB6&#10;b7Jpni+yAbB2CFJ5T6f3Y5KvE37TKBmemsarwEzFabaQVkzrNq7ZeiXKFoXrtDyNId4wRS+0pUvP&#10;UPciCLZD/R9UryWChyZMJPQZNI2WKnEgNkX+D5vnTjiVuJA43p1l8u8HK7/tn913jKN79wjyl2cW&#10;Np2wrbpDhKFToqbriihUNjhfnhti4KmVbYevUNPTil2ApMGhwT4CEjt2SFIfz1KrQ2CSDoubRT6f&#10;cyYpVeSL5bS4So+RifKl3aEPnxX0LG4qjvSWCV7sH32I44jypSSND0bXD9qYFGC73RhkexHfPb9e&#10;Xo0MiOVlmbGx2EJsGxHjSeIZqUUX+XIL9ZFoIozmIbPTpgP8w9lAxqm4/70TqDgzXyxJtSxms+i0&#10;FMzm11MK8DKzvcwIKwmq4oGzcbsJozt3DnXb0U1FIm3hjuRtdCL+OtVpWDJH0uNk5Oi+yzhVvX63&#10;9V8AAAD//wMAUEsDBBQABgAIAAAAIQD/7D5f2QAAAAUBAAAPAAAAZHJzL2Rvd25yZXYueG1sTI/B&#10;TsMwEETvSPyDtUjcqEMDVRriVAipEteGHji68RKH2uvIdtvw9yxc4DLSakYzb5vN7J04Y0xjIAX3&#10;iwIEUh/MSIOC/dv2rgKRsiajXSBU8IUJNu31VaNrEy60w3OXB8EllGqtwOY81VKm3qLXaREmJPY+&#10;QvQ68xkHaaK+cLl3clkUK+n1SLxg9YQvFvtjd/IKPtdd2OWtdeVjfH811QNNR09K3d7Mz08gMs75&#10;Lww/+IwOLTMdwolMEk4BP5J/lb3lugRx4MyqKiuQbSP/07ffAAAA//8DAFBLAQItABQABgAIAAAA&#10;IQC2gziS/gAAAOEBAAATAAAAAAAAAAAAAAAAAAAAAABbQ29udGVudF9UeXBlc10ueG1sUEsBAi0A&#10;FAAGAAgAAAAhADj9If/WAAAAlAEAAAsAAAAAAAAAAAAAAAAALwEAAF9yZWxzLy5yZWxzUEsBAi0A&#10;FAAGAAgAAAAhABeNwMnqAQAAtgMAAA4AAAAAAAAAAAAAAAAALgIAAGRycy9lMm9Eb2MueG1sUEsB&#10;Ai0AFAAGAAgAAAAhAP/sPl/ZAAAABQEAAA8AAAAAAAAAAAAAAAAARAQAAGRycy9kb3ducmV2Lnht&#10;bFBLBQYAAAAABAAEAPMAAABKBQAAAAA=&#10;" fillcolor="#007931" stroked="f">
                <w10:wrap anchorx="page" anchory="page"/>
              </v:rect>
            </w:pict>
          </mc:Fallback>
        </mc:AlternateContent>
      </w:r>
    </w:p>
    <w:p w14:paraId="56D5F543" w14:textId="77777777" w:rsidR="00AC6198" w:rsidRDefault="00AC6198">
      <w:pPr>
        <w:pStyle w:val="BodyText"/>
        <w:rPr>
          <w:rFonts w:ascii="Times New Roman"/>
          <w:sz w:val="20"/>
        </w:rPr>
      </w:pPr>
    </w:p>
    <w:p w14:paraId="692EE361" w14:textId="77777777" w:rsidR="00AC6198" w:rsidRDefault="00AC6198">
      <w:pPr>
        <w:pStyle w:val="BodyText"/>
        <w:rPr>
          <w:rFonts w:ascii="Times New Roman"/>
          <w:sz w:val="20"/>
        </w:rPr>
      </w:pPr>
    </w:p>
    <w:p w14:paraId="46D5EA7D" w14:textId="77777777" w:rsidR="00AC6198" w:rsidRDefault="00AC6198">
      <w:pPr>
        <w:pStyle w:val="BodyText"/>
        <w:spacing w:before="9"/>
        <w:rPr>
          <w:rFonts w:ascii="Times New Roman"/>
          <w:sz w:val="15"/>
        </w:rPr>
      </w:pPr>
    </w:p>
    <w:p w14:paraId="1791869E" w14:textId="77777777" w:rsidR="00AC6198" w:rsidRDefault="008A7C8B">
      <w:pPr>
        <w:spacing w:before="106" w:line="244" w:lineRule="auto"/>
        <w:ind w:left="2376" w:right="139" w:firstLine="86"/>
        <w:jc w:val="right"/>
        <w:rPr>
          <w:rFonts w:ascii="Microsoft Sans Serif"/>
          <w:sz w:val="44"/>
        </w:rPr>
      </w:pPr>
      <w:r>
        <w:rPr>
          <w:noProof/>
        </w:rPr>
        <w:drawing>
          <wp:anchor distT="0" distB="0" distL="0" distR="0" simplePos="0" relativeHeight="15729152" behindDoc="0" locked="0" layoutInCell="1" allowOverlap="1" wp14:anchorId="08D6A5F4" wp14:editId="2DA92C5A">
            <wp:simplePos x="0" y="0"/>
            <wp:positionH relativeFrom="page">
              <wp:posOffset>752856</wp:posOffset>
            </wp:positionH>
            <wp:positionV relativeFrom="paragraph">
              <wp:posOffset>-565134</wp:posOffset>
            </wp:positionV>
            <wp:extent cx="950975" cy="2825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50975" cy="2825496"/>
                    </a:xfrm>
                    <a:prstGeom prst="rect">
                      <a:avLst/>
                    </a:prstGeom>
                  </pic:spPr>
                </pic:pic>
              </a:graphicData>
            </a:graphic>
          </wp:anchor>
        </w:drawing>
      </w:r>
      <w:r>
        <w:rPr>
          <w:rFonts w:ascii="Microsoft Sans Serif"/>
          <w:color w:val="8CC63F"/>
          <w:spacing w:val="-20"/>
          <w:w w:val="80"/>
          <w:sz w:val="44"/>
        </w:rPr>
        <w:t>CONSULTATION</w:t>
      </w:r>
      <w:r>
        <w:rPr>
          <w:rFonts w:ascii="Microsoft Sans Serif"/>
          <w:color w:val="8CC63F"/>
          <w:spacing w:val="-51"/>
          <w:w w:val="80"/>
          <w:sz w:val="44"/>
        </w:rPr>
        <w:t xml:space="preserve"> </w:t>
      </w:r>
      <w:r>
        <w:rPr>
          <w:rFonts w:ascii="Microsoft Sans Serif"/>
          <w:color w:val="8CC63F"/>
          <w:spacing w:val="-20"/>
          <w:w w:val="80"/>
          <w:sz w:val="44"/>
        </w:rPr>
        <w:t>ON</w:t>
      </w:r>
      <w:r>
        <w:rPr>
          <w:rFonts w:ascii="Microsoft Sans Serif"/>
          <w:color w:val="8CC63F"/>
          <w:spacing w:val="-56"/>
          <w:w w:val="80"/>
          <w:sz w:val="44"/>
        </w:rPr>
        <w:t xml:space="preserve"> </w:t>
      </w:r>
      <w:r>
        <w:rPr>
          <w:rFonts w:ascii="Microsoft Sans Serif"/>
          <w:color w:val="8CC63F"/>
          <w:spacing w:val="-20"/>
          <w:w w:val="80"/>
          <w:sz w:val="44"/>
        </w:rPr>
        <w:t>A</w:t>
      </w:r>
      <w:r>
        <w:rPr>
          <w:rFonts w:ascii="Microsoft Sans Serif"/>
          <w:color w:val="8CC63F"/>
          <w:spacing w:val="-52"/>
          <w:w w:val="80"/>
          <w:sz w:val="44"/>
        </w:rPr>
        <w:t xml:space="preserve"> </w:t>
      </w:r>
      <w:r>
        <w:rPr>
          <w:rFonts w:ascii="Microsoft Sans Serif"/>
          <w:color w:val="8CC63F"/>
          <w:spacing w:val="-20"/>
          <w:w w:val="80"/>
          <w:sz w:val="44"/>
        </w:rPr>
        <w:t>DRAFT</w:t>
      </w:r>
      <w:r>
        <w:rPr>
          <w:rFonts w:ascii="Microsoft Sans Serif"/>
          <w:color w:val="8CC63F"/>
          <w:spacing w:val="-51"/>
          <w:w w:val="80"/>
          <w:sz w:val="44"/>
        </w:rPr>
        <w:t xml:space="preserve"> </w:t>
      </w:r>
      <w:r>
        <w:rPr>
          <w:rFonts w:ascii="Microsoft Sans Serif"/>
          <w:color w:val="8CC63F"/>
          <w:spacing w:val="-20"/>
          <w:w w:val="80"/>
          <w:sz w:val="44"/>
        </w:rPr>
        <w:t>LEGALLY</w:t>
      </w:r>
      <w:r>
        <w:rPr>
          <w:rFonts w:ascii="Microsoft Sans Serif"/>
          <w:color w:val="8CC63F"/>
          <w:spacing w:val="-53"/>
          <w:w w:val="80"/>
          <w:sz w:val="44"/>
        </w:rPr>
        <w:t xml:space="preserve"> </w:t>
      </w:r>
      <w:r>
        <w:rPr>
          <w:rFonts w:ascii="Microsoft Sans Serif"/>
          <w:color w:val="8CC63F"/>
          <w:spacing w:val="-20"/>
          <w:w w:val="80"/>
          <w:sz w:val="44"/>
        </w:rPr>
        <w:t xml:space="preserve">BINDING </w:t>
      </w:r>
      <w:r>
        <w:rPr>
          <w:rFonts w:ascii="Microsoft Sans Serif"/>
          <w:color w:val="8CC63F"/>
          <w:spacing w:val="-22"/>
          <w:w w:val="80"/>
          <w:sz w:val="44"/>
        </w:rPr>
        <w:t>INSTRUMENT</w:t>
      </w:r>
      <w:r>
        <w:rPr>
          <w:rFonts w:ascii="Microsoft Sans Serif"/>
          <w:color w:val="8CC63F"/>
          <w:spacing w:val="-45"/>
          <w:w w:val="80"/>
          <w:sz w:val="44"/>
        </w:rPr>
        <w:t xml:space="preserve"> </w:t>
      </w:r>
      <w:r>
        <w:rPr>
          <w:rFonts w:ascii="Microsoft Sans Serif"/>
          <w:color w:val="8CC63F"/>
          <w:spacing w:val="-22"/>
          <w:w w:val="80"/>
          <w:sz w:val="44"/>
        </w:rPr>
        <w:t>ON</w:t>
      </w:r>
      <w:r>
        <w:rPr>
          <w:rFonts w:ascii="Microsoft Sans Serif"/>
          <w:color w:val="8CC63F"/>
          <w:spacing w:val="-50"/>
          <w:w w:val="80"/>
          <w:sz w:val="44"/>
        </w:rPr>
        <w:t xml:space="preserve"> </w:t>
      </w:r>
      <w:r>
        <w:rPr>
          <w:rFonts w:ascii="Microsoft Sans Serif"/>
          <w:color w:val="8CC63F"/>
          <w:spacing w:val="-22"/>
          <w:w w:val="80"/>
          <w:sz w:val="44"/>
        </w:rPr>
        <w:t>THE</w:t>
      </w:r>
      <w:r>
        <w:rPr>
          <w:rFonts w:ascii="Microsoft Sans Serif"/>
          <w:color w:val="8CC63F"/>
          <w:spacing w:val="-43"/>
          <w:w w:val="80"/>
          <w:sz w:val="44"/>
        </w:rPr>
        <w:t xml:space="preserve"> </w:t>
      </w:r>
      <w:r>
        <w:rPr>
          <w:rFonts w:ascii="Microsoft Sans Serif"/>
          <w:color w:val="8CC63F"/>
          <w:spacing w:val="-22"/>
          <w:w w:val="80"/>
          <w:sz w:val="44"/>
        </w:rPr>
        <w:t>RIGHT</w:t>
      </w:r>
      <w:r>
        <w:rPr>
          <w:rFonts w:ascii="Microsoft Sans Serif"/>
          <w:color w:val="8CC63F"/>
          <w:spacing w:val="-44"/>
          <w:w w:val="80"/>
          <w:sz w:val="44"/>
        </w:rPr>
        <w:t xml:space="preserve"> </w:t>
      </w:r>
      <w:r>
        <w:rPr>
          <w:rFonts w:ascii="Microsoft Sans Serif"/>
          <w:color w:val="8CC63F"/>
          <w:spacing w:val="-22"/>
          <w:w w:val="80"/>
          <w:sz w:val="44"/>
        </w:rPr>
        <w:t>TO</w:t>
      </w:r>
      <w:r>
        <w:rPr>
          <w:rFonts w:ascii="Microsoft Sans Serif"/>
          <w:color w:val="8CC63F"/>
          <w:spacing w:val="-44"/>
          <w:w w:val="80"/>
          <w:sz w:val="44"/>
        </w:rPr>
        <w:t xml:space="preserve"> </w:t>
      </w:r>
      <w:r>
        <w:rPr>
          <w:rFonts w:ascii="Microsoft Sans Serif"/>
          <w:color w:val="8CC63F"/>
          <w:spacing w:val="-22"/>
          <w:w w:val="80"/>
          <w:sz w:val="44"/>
        </w:rPr>
        <w:t>DEVELOPMENT</w:t>
      </w:r>
    </w:p>
    <w:p w14:paraId="44E620A2" w14:textId="77777777" w:rsidR="00AC6198" w:rsidRDefault="008A7C8B">
      <w:pPr>
        <w:pStyle w:val="Title"/>
      </w:pPr>
      <w:r>
        <w:rPr>
          <w:color w:val="007931"/>
          <w:spacing w:val="-14"/>
          <w:w w:val="80"/>
        </w:rPr>
        <w:t>WWF</w:t>
      </w:r>
      <w:r>
        <w:rPr>
          <w:color w:val="007931"/>
          <w:spacing w:val="-50"/>
          <w:w w:val="80"/>
        </w:rPr>
        <w:t xml:space="preserve"> </w:t>
      </w:r>
      <w:r>
        <w:rPr>
          <w:color w:val="007931"/>
          <w:spacing w:val="-13"/>
          <w:w w:val="90"/>
        </w:rPr>
        <w:t>INPUT</w:t>
      </w:r>
    </w:p>
    <w:p w14:paraId="4B7EBA65" w14:textId="270159A7" w:rsidR="00AC6198" w:rsidRDefault="008A7C8B">
      <w:pPr>
        <w:pStyle w:val="BodyText"/>
        <w:spacing w:before="10"/>
        <w:rPr>
          <w:rFonts w:ascii="Microsoft Sans Serif"/>
          <w:sz w:val="10"/>
        </w:rPr>
      </w:pPr>
      <w:r>
        <w:rPr>
          <w:noProof/>
        </w:rPr>
        <mc:AlternateContent>
          <mc:Choice Requires="wps">
            <w:drawing>
              <wp:anchor distT="0" distB="0" distL="0" distR="0" simplePos="0" relativeHeight="487587840" behindDoc="1" locked="0" layoutInCell="1" allowOverlap="1" wp14:anchorId="4E1740B3" wp14:editId="7BC3F0FF">
                <wp:simplePos x="0" y="0"/>
                <wp:positionH relativeFrom="page">
                  <wp:posOffset>4789805</wp:posOffset>
                </wp:positionH>
                <wp:positionV relativeFrom="paragraph">
                  <wp:posOffset>93980</wp:posOffset>
                </wp:positionV>
                <wp:extent cx="2051050" cy="12065"/>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2065"/>
                        </a:xfrm>
                        <a:prstGeom prst="rect">
                          <a:avLst/>
                        </a:prstGeom>
                        <a:solidFill>
                          <a:srgbClr val="0079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4DFF" id="docshape2" o:spid="_x0000_s1026" style="position:absolute;margin-left:377.15pt;margin-top:7.4pt;width:161.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jT5wEAALQDAAAOAAAAZHJzL2Uyb0RvYy54bWysU11v2yAUfZ+0/4B4X/yxpF2tOFWVqtOk&#10;bp3U7QdgjG00zGUXEif79bvgNI22t2kviMuFwzmHw/r2MBq2V+g12JoXi5wzZSW02vY1//7t4d0H&#10;znwQthUGrKr5UXl+u3n7Zj25SpUwgGkVMgKxvppczYcQXJVlXg5qFH4BTllqdoCjCFRin7UoJkIf&#10;TVbm+VU2AbYOQSrvafV+bvJNwu86JcNT13kVmKk5cQtpxDQ2ccw2a1H1KNyg5YmG+AcWo9CWLj1D&#10;3Ysg2A71X1CjlggeurCQMGbQdVqqpIHUFPkfap4H4VTSQuZ4d7bJ/z9Y+WX/7L5ipO7dI8gfnlnY&#10;DsL26g4RpkGJlq4rolHZ5Hx1PhALT0dZM32Glp5W7AIkDw4djhGQ1LFDsvp4tlodApO0WOarIl/R&#10;i0jqFWV+tUo3iOrlsEMfPioYWZzUHOklE7jYP/oQyYjqZUsiD0a3D9qYVGDfbA2yvYivnl/fvJ/5&#10;k8bLbcbGzRbisRkxriSVUVjMkK8aaI8kEmGODkWdJgPgL84mik3N/c+dQMWZ+WTJqJtiuYw5S8Vy&#10;dV1SgZed5rIjrCSomgfO5uk2zNncOdT9QDcVSbSFOzK300n4K6sTWYpG8uMU45i9yzrtev1sm98A&#10;AAD//wMAUEsDBBQABgAIAAAAIQDjH6Xx3AAAAAoBAAAPAAAAZHJzL2Rvd25yZXYueG1sTI9BT8Mw&#10;DIXvSPyHyEjcWArr1tE1nRDSJK7rOHDMGtN0S5yqybby7/FOcLP9np6/V20m78QFx9gHUvA8y0Ag&#10;tcH01Cn43G+fViBi0mS0C4QKfjDCpr6/q3RpwpV2eGlSJziEYqkV2JSGUsrYWvQ6zsKAxNp3GL1O&#10;vI6dNKO+crh38iXLltLrnviD1QO+W2xPzdkrOL42YZe21s0X49eHWeU0nDwp9fgwva1BJJzSnxlu&#10;+IwONTMdwplMFE5BscjnbGUh5wo3Q1YUfDnwtCxA1pX8X6H+BQAA//8DAFBLAQItABQABgAIAAAA&#10;IQC2gziS/gAAAOEBAAATAAAAAAAAAAAAAAAAAAAAAABbQ29udGVudF9UeXBlc10ueG1sUEsBAi0A&#10;FAAGAAgAAAAhADj9If/WAAAAlAEAAAsAAAAAAAAAAAAAAAAALwEAAF9yZWxzLy5yZWxzUEsBAi0A&#10;FAAGAAgAAAAhAA+w+NPnAQAAtAMAAA4AAAAAAAAAAAAAAAAALgIAAGRycy9lMm9Eb2MueG1sUEsB&#10;Ai0AFAAGAAgAAAAhAOMfpfHcAAAACgEAAA8AAAAAAAAAAAAAAAAAQQQAAGRycy9kb3ducmV2Lnht&#10;bFBLBQYAAAAABAAEAPMAAABKBQAAAAA=&#10;" fillcolor="#007931" stroked="f">
                <w10:wrap type="topAndBottom" anchorx="page"/>
              </v:rect>
            </w:pict>
          </mc:Fallback>
        </mc:AlternateContent>
      </w:r>
    </w:p>
    <w:p w14:paraId="57C1A2D6" w14:textId="77777777" w:rsidR="00AC6198" w:rsidRDefault="008A7C8B">
      <w:pPr>
        <w:spacing w:before="116"/>
        <w:ind w:left="6495"/>
        <w:rPr>
          <w:rFonts w:ascii="Microsoft Sans Serif"/>
          <w:sz w:val="28"/>
        </w:rPr>
      </w:pPr>
      <w:r>
        <w:rPr>
          <w:rFonts w:ascii="Microsoft Sans Serif"/>
          <w:color w:val="007931"/>
          <w:spacing w:val="-16"/>
          <w:w w:val="80"/>
          <w:sz w:val="28"/>
        </w:rPr>
        <w:t>Global</w:t>
      </w:r>
      <w:r>
        <w:rPr>
          <w:rFonts w:ascii="Microsoft Sans Serif"/>
          <w:color w:val="007931"/>
          <w:spacing w:val="-34"/>
          <w:w w:val="80"/>
          <w:sz w:val="28"/>
        </w:rPr>
        <w:t xml:space="preserve"> </w:t>
      </w:r>
      <w:r>
        <w:rPr>
          <w:rFonts w:ascii="Microsoft Sans Serif"/>
          <w:color w:val="007931"/>
          <w:spacing w:val="-16"/>
          <w:w w:val="80"/>
          <w:sz w:val="28"/>
        </w:rPr>
        <w:t>Policy</w:t>
      </w:r>
      <w:r>
        <w:rPr>
          <w:rFonts w:ascii="Microsoft Sans Serif"/>
          <w:color w:val="007931"/>
          <w:spacing w:val="-25"/>
          <w:w w:val="80"/>
          <w:sz w:val="28"/>
        </w:rPr>
        <w:t xml:space="preserve"> </w:t>
      </w:r>
      <w:r>
        <w:rPr>
          <w:rFonts w:ascii="Microsoft Sans Serif"/>
          <w:color w:val="007931"/>
          <w:spacing w:val="-16"/>
          <w:w w:val="80"/>
          <w:sz w:val="28"/>
        </w:rPr>
        <w:t>and</w:t>
      </w:r>
      <w:r>
        <w:rPr>
          <w:rFonts w:ascii="Microsoft Sans Serif"/>
          <w:color w:val="007931"/>
          <w:spacing w:val="-27"/>
          <w:w w:val="80"/>
          <w:sz w:val="28"/>
        </w:rPr>
        <w:t xml:space="preserve"> </w:t>
      </w:r>
      <w:r>
        <w:rPr>
          <w:rFonts w:ascii="Microsoft Sans Serif"/>
          <w:color w:val="007931"/>
          <w:spacing w:val="-16"/>
          <w:w w:val="80"/>
          <w:sz w:val="28"/>
        </w:rPr>
        <w:t>Advocacy,</w:t>
      </w:r>
      <w:r>
        <w:rPr>
          <w:rFonts w:ascii="Microsoft Sans Serif"/>
          <w:color w:val="007931"/>
          <w:spacing w:val="-28"/>
          <w:w w:val="80"/>
          <w:sz w:val="28"/>
        </w:rPr>
        <w:t xml:space="preserve"> </w:t>
      </w:r>
      <w:r>
        <w:rPr>
          <w:rFonts w:ascii="Microsoft Sans Serif"/>
          <w:color w:val="007931"/>
          <w:spacing w:val="-16"/>
          <w:w w:val="80"/>
          <w:sz w:val="28"/>
        </w:rPr>
        <w:t>July</w:t>
      </w:r>
      <w:r>
        <w:rPr>
          <w:rFonts w:ascii="Microsoft Sans Serif"/>
          <w:color w:val="007931"/>
          <w:spacing w:val="-28"/>
          <w:w w:val="80"/>
          <w:sz w:val="28"/>
        </w:rPr>
        <w:t xml:space="preserve"> </w:t>
      </w:r>
      <w:r>
        <w:rPr>
          <w:rFonts w:ascii="Microsoft Sans Serif"/>
          <w:color w:val="007931"/>
          <w:spacing w:val="-16"/>
          <w:w w:val="80"/>
          <w:sz w:val="28"/>
        </w:rPr>
        <w:t>2019</w:t>
      </w:r>
    </w:p>
    <w:p w14:paraId="3A90C608" w14:textId="77777777" w:rsidR="00AC6198" w:rsidRDefault="00AC6198">
      <w:pPr>
        <w:pStyle w:val="BodyText"/>
        <w:rPr>
          <w:rFonts w:ascii="Microsoft Sans Serif"/>
          <w:sz w:val="20"/>
        </w:rPr>
      </w:pPr>
    </w:p>
    <w:p w14:paraId="5F09F606" w14:textId="77777777" w:rsidR="00AC6198" w:rsidRDefault="00AC6198">
      <w:pPr>
        <w:pStyle w:val="BodyText"/>
        <w:rPr>
          <w:rFonts w:ascii="Microsoft Sans Serif"/>
          <w:sz w:val="20"/>
        </w:rPr>
      </w:pPr>
    </w:p>
    <w:p w14:paraId="1C302B35" w14:textId="77777777" w:rsidR="00AC6198" w:rsidRDefault="00AC6198">
      <w:pPr>
        <w:pStyle w:val="BodyText"/>
        <w:rPr>
          <w:rFonts w:ascii="Microsoft Sans Serif"/>
          <w:sz w:val="20"/>
        </w:rPr>
      </w:pPr>
    </w:p>
    <w:p w14:paraId="7EF660B9" w14:textId="77777777" w:rsidR="00AC6198" w:rsidRDefault="00AC6198">
      <w:pPr>
        <w:pStyle w:val="BodyText"/>
        <w:rPr>
          <w:rFonts w:ascii="Microsoft Sans Serif"/>
          <w:sz w:val="20"/>
        </w:rPr>
      </w:pPr>
    </w:p>
    <w:p w14:paraId="4CE99C8E" w14:textId="77777777" w:rsidR="00AC6198" w:rsidRDefault="00AC6198">
      <w:pPr>
        <w:pStyle w:val="BodyText"/>
        <w:spacing w:before="7"/>
        <w:rPr>
          <w:rFonts w:ascii="Microsoft Sans Serif"/>
          <w:sz w:val="27"/>
        </w:rPr>
      </w:pPr>
    </w:p>
    <w:p w14:paraId="3927DD76" w14:textId="77777777" w:rsidR="00AC6198" w:rsidRDefault="008A7C8B">
      <w:pPr>
        <w:pStyle w:val="BodyText"/>
        <w:spacing w:before="94"/>
        <w:ind w:left="190" w:right="175"/>
      </w:pPr>
      <w:r>
        <w:t>WWF</w:t>
      </w:r>
      <w:r>
        <w:rPr>
          <w:spacing w:val="-6"/>
        </w:rPr>
        <w:t xml:space="preserve"> </w:t>
      </w:r>
      <w:r>
        <w:t>International</w:t>
      </w:r>
      <w:r>
        <w:rPr>
          <w:spacing w:val="-3"/>
        </w:rPr>
        <w:t xml:space="preserve"> </w:t>
      </w:r>
      <w:r>
        <w:t>(NGO</w:t>
      </w:r>
      <w:r>
        <w:rPr>
          <w:spacing w:val="-3"/>
        </w:rPr>
        <w:t xml:space="preserve"> </w:t>
      </w:r>
      <w:r>
        <w:t>in</w:t>
      </w:r>
      <w:r>
        <w:rPr>
          <w:spacing w:val="-4"/>
        </w:rPr>
        <w:t xml:space="preserve"> </w:t>
      </w:r>
      <w:r>
        <w:t>consultative</w:t>
      </w:r>
      <w:r>
        <w:rPr>
          <w:spacing w:val="-2"/>
        </w:rPr>
        <w:t xml:space="preserve"> </w:t>
      </w:r>
      <w:r>
        <w:t>status</w:t>
      </w:r>
      <w:r>
        <w:rPr>
          <w:spacing w:val="-4"/>
        </w:rPr>
        <w:t xml:space="preserve"> </w:t>
      </w:r>
      <w:r>
        <w:t>with</w:t>
      </w:r>
      <w:r>
        <w:rPr>
          <w:spacing w:val="-1"/>
        </w:rPr>
        <w:t xml:space="preserve"> </w:t>
      </w:r>
      <w:r>
        <w:t>ECOSOC)</w:t>
      </w:r>
      <w:r>
        <w:rPr>
          <w:spacing w:val="-2"/>
        </w:rPr>
        <w:t xml:space="preserve"> </w:t>
      </w:r>
      <w:r>
        <w:t>welcomes</w:t>
      </w:r>
      <w:r>
        <w:rPr>
          <w:spacing w:val="-1"/>
        </w:rPr>
        <w:t xml:space="preserve"> </w:t>
      </w:r>
      <w:r>
        <w:t>the</w:t>
      </w:r>
      <w:r>
        <w:rPr>
          <w:spacing w:val="-3"/>
        </w:rPr>
        <w:t xml:space="preserve"> </w:t>
      </w:r>
      <w:r>
        <w:t>opportunity</w:t>
      </w:r>
      <w:r>
        <w:rPr>
          <w:spacing w:val="-4"/>
        </w:rPr>
        <w:t xml:space="preserve"> </w:t>
      </w:r>
      <w:r>
        <w:t xml:space="preserve">to provide its input on the consultation on a draft legally binding instrument on the right to </w:t>
      </w:r>
      <w:r>
        <w:rPr>
          <w:spacing w:val="-2"/>
        </w:rPr>
        <w:t>development.</w:t>
      </w:r>
    </w:p>
    <w:p w14:paraId="4967C498" w14:textId="77777777" w:rsidR="00AC6198" w:rsidRDefault="00AC6198">
      <w:pPr>
        <w:pStyle w:val="BodyText"/>
        <w:spacing w:before="1"/>
        <w:rPr>
          <w:sz w:val="24"/>
        </w:rPr>
      </w:pPr>
    </w:p>
    <w:p w14:paraId="2CEDD50F" w14:textId="77777777" w:rsidR="00AC6198" w:rsidRDefault="008A7C8B">
      <w:pPr>
        <w:pStyle w:val="BodyText"/>
        <w:ind w:left="190" w:right="175"/>
      </w:pPr>
      <w:r>
        <w:t>At this</w:t>
      </w:r>
      <w:r>
        <w:rPr>
          <w:spacing w:val="-4"/>
        </w:rPr>
        <w:t xml:space="preserve"> </w:t>
      </w:r>
      <w:r>
        <w:t>stage</w:t>
      </w:r>
      <w:r>
        <w:rPr>
          <w:spacing w:val="-2"/>
        </w:rPr>
        <w:t xml:space="preserve"> </w:t>
      </w:r>
      <w:r>
        <w:t>of</w:t>
      </w:r>
      <w:r>
        <w:rPr>
          <w:spacing w:val="-2"/>
        </w:rPr>
        <w:t xml:space="preserve"> </w:t>
      </w:r>
      <w:r>
        <w:t>the</w:t>
      </w:r>
      <w:r>
        <w:rPr>
          <w:spacing w:val="-2"/>
        </w:rPr>
        <w:t xml:space="preserve"> </w:t>
      </w:r>
      <w:r>
        <w:t>process, we</w:t>
      </w:r>
      <w:r>
        <w:rPr>
          <w:spacing w:val="-4"/>
        </w:rPr>
        <w:t xml:space="preserve"> </w:t>
      </w:r>
      <w:r>
        <w:t>will</w:t>
      </w:r>
      <w:r>
        <w:rPr>
          <w:spacing w:val="-2"/>
        </w:rPr>
        <w:t xml:space="preserve"> </w:t>
      </w:r>
      <w:r>
        <w:t>focus</w:t>
      </w:r>
      <w:r>
        <w:rPr>
          <w:spacing w:val="-2"/>
        </w:rPr>
        <w:t xml:space="preserve"> </w:t>
      </w:r>
      <w:r>
        <w:t>our</w:t>
      </w:r>
      <w:r>
        <w:rPr>
          <w:spacing w:val="-2"/>
        </w:rPr>
        <w:t xml:space="preserve"> </w:t>
      </w:r>
      <w:r>
        <w:t>inputs</w:t>
      </w:r>
      <w:r>
        <w:rPr>
          <w:spacing w:val="-2"/>
        </w:rPr>
        <w:t xml:space="preserve"> </w:t>
      </w:r>
      <w:r>
        <w:t>on</w:t>
      </w:r>
      <w:r>
        <w:rPr>
          <w:spacing w:val="-5"/>
        </w:rPr>
        <w:t xml:space="preserve"> </w:t>
      </w:r>
      <w:r>
        <w:t>few</w:t>
      </w:r>
      <w:r>
        <w:rPr>
          <w:spacing w:val="-5"/>
        </w:rPr>
        <w:t xml:space="preserve"> </w:t>
      </w:r>
      <w:r>
        <w:t>elements</w:t>
      </w:r>
      <w:r>
        <w:rPr>
          <w:spacing w:val="-4"/>
        </w:rPr>
        <w:t xml:space="preserve"> </w:t>
      </w:r>
      <w:r>
        <w:t>related</w:t>
      </w:r>
      <w:r>
        <w:rPr>
          <w:spacing w:val="-1"/>
        </w:rPr>
        <w:t xml:space="preserve"> </w:t>
      </w:r>
      <w:r>
        <w:t>with</w:t>
      </w:r>
      <w:r>
        <w:rPr>
          <w:spacing w:val="-2"/>
        </w:rPr>
        <w:t xml:space="preserve"> </w:t>
      </w:r>
      <w:r>
        <w:t>the</w:t>
      </w:r>
      <w:r>
        <w:rPr>
          <w:spacing w:val="-2"/>
        </w:rPr>
        <w:t xml:space="preserve"> </w:t>
      </w:r>
      <w:r>
        <w:t>content</w:t>
      </w:r>
      <w:r>
        <w:rPr>
          <w:spacing w:val="-2"/>
        </w:rPr>
        <w:t xml:space="preserve"> </w:t>
      </w:r>
      <w:r>
        <w:t>of the instrument. The type of instrument as well as institutional arrangements, compliance, monitoring and enforcement mechanisms would probably be easier to define once the scope, objectives, key elements and provisions are clearly defined.</w:t>
      </w:r>
    </w:p>
    <w:p w14:paraId="3B13721F" w14:textId="77777777" w:rsidR="00AC6198" w:rsidRDefault="00AC6198">
      <w:pPr>
        <w:pStyle w:val="BodyText"/>
        <w:spacing w:before="10"/>
        <w:rPr>
          <w:sz w:val="23"/>
        </w:rPr>
      </w:pPr>
    </w:p>
    <w:p w14:paraId="740DE8A6" w14:textId="77777777" w:rsidR="00AC6198" w:rsidRDefault="008A7C8B">
      <w:pPr>
        <w:pStyle w:val="BodyText"/>
        <w:ind w:left="190"/>
      </w:pPr>
      <w:r>
        <w:t>WWF</w:t>
      </w:r>
      <w:r>
        <w:rPr>
          <w:spacing w:val="-9"/>
        </w:rPr>
        <w:t xml:space="preserve"> </w:t>
      </w:r>
      <w:r>
        <w:t>recommends</w:t>
      </w:r>
      <w:r>
        <w:rPr>
          <w:spacing w:val="-4"/>
        </w:rPr>
        <w:t xml:space="preserve"> </w:t>
      </w:r>
      <w:r>
        <w:t>that</w:t>
      </w:r>
      <w:r>
        <w:rPr>
          <w:spacing w:val="-6"/>
        </w:rPr>
        <w:t xml:space="preserve"> </w:t>
      </w:r>
      <w:r>
        <w:t>an</w:t>
      </w:r>
      <w:r>
        <w:rPr>
          <w:spacing w:val="-2"/>
        </w:rPr>
        <w:t xml:space="preserve"> </w:t>
      </w:r>
      <w:r>
        <w:t>instrument</w:t>
      </w:r>
      <w:r>
        <w:rPr>
          <w:spacing w:val="-1"/>
        </w:rPr>
        <w:t xml:space="preserve"> </w:t>
      </w:r>
      <w:r>
        <w:t>on</w:t>
      </w:r>
      <w:r>
        <w:rPr>
          <w:spacing w:val="-4"/>
        </w:rPr>
        <w:t xml:space="preserve"> </w:t>
      </w:r>
      <w:r>
        <w:t>the</w:t>
      </w:r>
      <w:r>
        <w:rPr>
          <w:spacing w:val="-3"/>
        </w:rPr>
        <w:t xml:space="preserve"> </w:t>
      </w:r>
      <w:r>
        <w:t>right</w:t>
      </w:r>
      <w:r>
        <w:rPr>
          <w:spacing w:val="-2"/>
        </w:rPr>
        <w:t xml:space="preserve"> </w:t>
      </w:r>
      <w:r>
        <w:t>to</w:t>
      </w:r>
      <w:r>
        <w:rPr>
          <w:spacing w:val="-2"/>
        </w:rPr>
        <w:t xml:space="preserve"> development:</w:t>
      </w:r>
    </w:p>
    <w:p w14:paraId="54A31CE4" w14:textId="77777777" w:rsidR="00AC6198" w:rsidRDefault="00AC6198">
      <w:pPr>
        <w:pStyle w:val="BodyText"/>
        <w:spacing w:before="11"/>
        <w:rPr>
          <w:sz w:val="23"/>
        </w:rPr>
      </w:pPr>
    </w:p>
    <w:p w14:paraId="109848F2" w14:textId="77777777" w:rsidR="00AC6198" w:rsidRDefault="008A7C8B">
      <w:pPr>
        <w:pStyle w:val="ListParagraph"/>
        <w:numPr>
          <w:ilvl w:val="0"/>
          <w:numId w:val="1"/>
        </w:numPr>
        <w:tabs>
          <w:tab w:val="left" w:pos="551"/>
        </w:tabs>
        <w:ind w:right="415"/>
      </w:pPr>
      <w:r>
        <w:rPr>
          <w:b/>
        </w:rPr>
        <w:t>Fully integrate and build on key environmental obligations, commitments and principles</w:t>
      </w:r>
      <w:r>
        <w:t>,</w:t>
      </w:r>
      <w:r>
        <w:rPr>
          <w:spacing w:val="-4"/>
        </w:rPr>
        <w:t xml:space="preserve"> </w:t>
      </w:r>
      <w:r>
        <w:t>with</w:t>
      </w:r>
      <w:r>
        <w:rPr>
          <w:spacing w:val="-2"/>
        </w:rPr>
        <w:t xml:space="preserve"> </w:t>
      </w:r>
      <w:r>
        <w:t>a special</w:t>
      </w:r>
      <w:r>
        <w:rPr>
          <w:spacing w:val="-2"/>
        </w:rPr>
        <w:t xml:space="preserve"> </w:t>
      </w:r>
      <w:r>
        <w:t>attention</w:t>
      </w:r>
      <w:r>
        <w:rPr>
          <w:spacing w:val="-2"/>
        </w:rPr>
        <w:t xml:space="preserve"> </w:t>
      </w:r>
      <w:r>
        <w:t>of</w:t>
      </w:r>
      <w:r>
        <w:rPr>
          <w:spacing w:val="-4"/>
        </w:rPr>
        <w:t xml:space="preserve"> </w:t>
      </w:r>
      <w:r>
        <w:t>those</w:t>
      </w:r>
      <w:r>
        <w:rPr>
          <w:spacing w:val="-4"/>
        </w:rPr>
        <w:t xml:space="preserve"> </w:t>
      </w:r>
      <w:r>
        <w:t>that</w:t>
      </w:r>
      <w:r>
        <w:rPr>
          <w:spacing w:val="-1"/>
        </w:rPr>
        <w:t xml:space="preserve"> </w:t>
      </w:r>
      <w:r>
        <w:t>were</w:t>
      </w:r>
      <w:r>
        <w:rPr>
          <w:spacing w:val="-4"/>
        </w:rPr>
        <w:t xml:space="preserve"> </w:t>
      </w:r>
      <w:r>
        <w:t>agreed</w:t>
      </w:r>
      <w:r>
        <w:rPr>
          <w:spacing w:val="-2"/>
        </w:rPr>
        <w:t xml:space="preserve"> </w:t>
      </w:r>
      <w:r>
        <w:t>since</w:t>
      </w:r>
      <w:r>
        <w:rPr>
          <w:spacing w:val="-4"/>
        </w:rPr>
        <w:t xml:space="preserve"> </w:t>
      </w:r>
      <w:r>
        <w:t>the</w:t>
      </w:r>
      <w:r>
        <w:rPr>
          <w:spacing w:val="-4"/>
        </w:rPr>
        <w:t xml:space="preserve"> </w:t>
      </w:r>
      <w:r>
        <w:t>1986</w:t>
      </w:r>
      <w:r>
        <w:rPr>
          <w:spacing w:val="-4"/>
        </w:rPr>
        <w:t xml:space="preserve"> </w:t>
      </w:r>
      <w:r>
        <w:t>Declaration</w:t>
      </w:r>
      <w:r>
        <w:rPr>
          <w:spacing w:val="-1"/>
        </w:rPr>
        <w:t xml:space="preserve"> </w:t>
      </w:r>
      <w:r>
        <w:t>on the Right to Development. The following critical instrument should be the basis of any instrument on the right to development:</w:t>
      </w:r>
    </w:p>
    <w:p w14:paraId="3D3337E4" w14:textId="77777777" w:rsidR="00AC6198" w:rsidRDefault="008A7C8B">
      <w:pPr>
        <w:pStyle w:val="ListParagraph"/>
        <w:numPr>
          <w:ilvl w:val="1"/>
          <w:numId w:val="1"/>
        </w:numPr>
        <w:tabs>
          <w:tab w:val="left" w:pos="1630"/>
        </w:tabs>
        <w:spacing w:before="1"/>
      </w:pPr>
      <w:r>
        <w:t>1972</w:t>
      </w:r>
      <w:r>
        <w:rPr>
          <w:spacing w:val="-7"/>
        </w:rPr>
        <w:t xml:space="preserve"> </w:t>
      </w:r>
      <w:r>
        <w:t>Stockholm</w:t>
      </w:r>
      <w:r>
        <w:rPr>
          <w:spacing w:val="-4"/>
        </w:rPr>
        <w:t xml:space="preserve"> </w:t>
      </w:r>
      <w:r>
        <w:t>Declaration,</w:t>
      </w:r>
      <w:r>
        <w:rPr>
          <w:spacing w:val="-3"/>
        </w:rPr>
        <w:t xml:space="preserve"> </w:t>
      </w:r>
      <w:r>
        <w:t>1992</w:t>
      </w:r>
      <w:r>
        <w:rPr>
          <w:spacing w:val="-6"/>
        </w:rPr>
        <w:t xml:space="preserve"> </w:t>
      </w:r>
      <w:r>
        <w:t>Rio</w:t>
      </w:r>
      <w:r>
        <w:rPr>
          <w:spacing w:val="-5"/>
        </w:rPr>
        <w:t xml:space="preserve"> </w:t>
      </w:r>
      <w:r>
        <w:t>Declaration,</w:t>
      </w:r>
      <w:r>
        <w:rPr>
          <w:spacing w:val="-3"/>
        </w:rPr>
        <w:t xml:space="preserve"> </w:t>
      </w:r>
      <w:r>
        <w:t>Rio+20</w:t>
      </w:r>
      <w:r>
        <w:rPr>
          <w:spacing w:val="-5"/>
        </w:rPr>
        <w:t xml:space="preserve"> </w:t>
      </w:r>
      <w:r>
        <w:rPr>
          <w:spacing w:val="-2"/>
        </w:rPr>
        <w:t>Declaration</w:t>
      </w:r>
    </w:p>
    <w:p w14:paraId="70F406B5" w14:textId="77777777" w:rsidR="00AC6198" w:rsidRDefault="008A7C8B">
      <w:pPr>
        <w:pStyle w:val="ListParagraph"/>
        <w:numPr>
          <w:ilvl w:val="1"/>
          <w:numId w:val="1"/>
        </w:numPr>
        <w:tabs>
          <w:tab w:val="left" w:pos="1630"/>
        </w:tabs>
        <w:spacing w:before="1" w:line="252" w:lineRule="exact"/>
      </w:pPr>
      <w:r>
        <w:t>The</w:t>
      </w:r>
      <w:r>
        <w:rPr>
          <w:spacing w:val="-4"/>
        </w:rPr>
        <w:t xml:space="preserve"> </w:t>
      </w:r>
      <w:r>
        <w:t>3</w:t>
      </w:r>
      <w:r>
        <w:rPr>
          <w:spacing w:val="54"/>
        </w:rPr>
        <w:t xml:space="preserve"> </w:t>
      </w:r>
      <w:r>
        <w:t>Rio</w:t>
      </w:r>
      <w:r>
        <w:rPr>
          <w:spacing w:val="-4"/>
        </w:rPr>
        <w:t xml:space="preserve"> </w:t>
      </w:r>
      <w:r>
        <w:t>Conventions:</w:t>
      </w:r>
      <w:r>
        <w:rPr>
          <w:spacing w:val="-1"/>
        </w:rPr>
        <w:t xml:space="preserve"> </w:t>
      </w:r>
      <w:r>
        <w:t>UNCBD,</w:t>
      </w:r>
      <w:r>
        <w:rPr>
          <w:spacing w:val="-2"/>
        </w:rPr>
        <w:t xml:space="preserve"> </w:t>
      </w:r>
      <w:r>
        <w:t>UNCCD</w:t>
      </w:r>
      <w:r>
        <w:rPr>
          <w:spacing w:val="-2"/>
        </w:rPr>
        <w:t xml:space="preserve"> </w:t>
      </w:r>
      <w:r>
        <w:t>and</w:t>
      </w:r>
      <w:r>
        <w:rPr>
          <w:spacing w:val="-2"/>
        </w:rPr>
        <w:t xml:space="preserve"> UNFCCC</w:t>
      </w:r>
    </w:p>
    <w:p w14:paraId="5CB248A3" w14:textId="77777777" w:rsidR="00AC6198" w:rsidRDefault="008A7C8B">
      <w:pPr>
        <w:pStyle w:val="ListParagraph"/>
        <w:numPr>
          <w:ilvl w:val="1"/>
          <w:numId w:val="1"/>
        </w:numPr>
        <w:tabs>
          <w:tab w:val="left" w:pos="1631"/>
        </w:tabs>
        <w:spacing w:line="252" w:lineRule="exact"/>
        <w:ind w:left="1630" w:hanging="361"/>
      </w:pPr>
      <w:r>
        <w:t>The</w:t>
      </w:r>
      <w:r>
        <w:rPr>
          <w:spacing w:val="-5"/>
        </w:rPr>
        <w:t xml:space="preserve"> </w:t>
      </w:r>
      <w:r>
        <w:t>2030</w:t>
      </w:r>
      <w:r>
        <w:rPr>
          <w:spacing w:val="-2"/>
        </w:rPr>
        <w:t xml:space="preserve"> </w:t>
      </w:r>
      <w:r>
        <w:t>Agenda</w:t>
      </w:r>
      <w:r>
        <w:rPr>
          <w:spacing w:val="-6"/>
        </w:rPr>
        <w:t xml:space="preserve"> </w:t>
      </w:r>
      <w:r>
        <w:t>for</w:t>
      </w:r>
      <w:r>
        <w:rPr>
          <w:spacing w:val="-1"/>
        </w:rPr>
        <w:t xml:space="preserve"> </w:t>
      </w:r>
      <w:r>
        <w:t>Sustainable</w:t>
      </w:r>
      <w:r>
        <w:rPr>
          <w:spacing w:val="-4"/>
        </w:rPr>
        <w:t xml:space="preserve"> </w:t>
      </w:r>
      <w:r>
        <w:rPr>
          <w:spacing w:val="-2"/>
        </w:rPr>
        <w:t>Development</w:t>
      </w:r>
    </w:p>
    <w:p w14:paraId="3E996ADC" w14:textId="77777777" w:rsidR="00AC6198" w:rsidRDefault="008A7C8B">
      <w:pPr>
        <w:pStyle w:val="ListParagraph"/>
        <w:numPr>
          <w:ilvl w:val="1"/>
          <w:numId w:val="1"/>
        </w:numPr>
        <w:tabs>
          <w:tab w:val="left" w:pos="1630"/>
        </w:tabs>
        <w:spacing w:before="2"/>
        <w:ind w:left="1630" w:right="462"/>
      </w:pPr>
      <w:r>
        <w:t>Other</w:t>
      </w:r>
      <w:r>
        <w:rPr>
          <w:spacing w:val="-6"/>
        </w:rPr>
        <w:t xml:space="preserve"> </w:t>
      </w:r>
      <w:r>
        <w:t>relevant</w:t>
      </w:r>
      <w:r>
        <w:rPr>
          <w:spacing w:val="-2"/>
        </w:rPr>
        <w:t xml:space="preserve"> </w:t>
      </w:r>
      <w:r>
        <w:t>Multilateral</w:t>
      </w:r>
      <w:r>
        <w:rPr>
          <w:spacing w:val="-4"/>
        </w:rPr>
        <w:t xml:space="preserve"> </w:t>
      </w:r>
      <w:r>
        <w:t>Environmental</w:t>
      </w:r>
      <w:r>
        <w:rPr>
          <w:spacing w:val="-4"/>
        </w:rPr>
        <w:t xml:space="preserve"> </w:t>
      </w:r>
      <w:r>
        <w:t>Agreements</w:t>
      </w:r>
      <w:r>
        <w:rPr>
          <w:spacing w:val="-6"/>
        </w:rPr>
        <w:t xml:space="preserve"> </w:t>
      </w:r>
      <w:r>
        <w:t>depending</w:t>
      </w:r>
      <w:r>
        <w:rPr>
          <w:spacing w:val="-1"/>
        </w:rPr>
        <w:t xml:space="preserve"> </w:t>
      </w:r>
      <w:r>
        <w:t>on</w:t>
      </w:r>
      <w:r>
        <w:rPr>
          <w:spacing w:val="-6"/>
        </w:rPr>
        <w:t xml:space="preserve"> </w:t>
      </w:r>
      <w:r>
        <w:t>the</w:t>
      </w:r>
      <w:r>
        <w:rPr>
          <w:spacing w:val="-7"/>
        </w:rPr>
        <w:t xml:space="preserve"> </w:t>
      </w:r>
      <w:r>
        <w:t>specific issues addressed in the instrument.</w:t>
      </w:r>
    </w:p>
    <w:p w14:paraId="1EA54501" w14:textId="77777777" w:rsidR="00AC6198" w:rsidRDefault="00AC6198">
      <w:pPr>
        <w:pStyle w:val="BodyText"/>
        <w:spacing w:before="8"/>
        <w:rPr>
          <w:sz w:val="21"/>
        </w:rPr>
      </w:pPr>
    </w:p>
    <w:p w14:paraId="4554EAFD" w14:textId="77777777" w:rsidR="00AC6198" w:rsidRDefault="008A7C8B">
      <w:pPr>
        <w:pStyle w:val="ListParagraph"/>
        <w:numPr>
          <w:ilvl w:val="0"/>
          <w:numId w:val="1"/>
        </w:numPr>
        <w:tabs>
          <w:tab w:val="left" w:pos="550"/>
        </w:tabs>
        <w:ind w:right="406"/>
      </w:pPr>
      <w:r>
        <w:t>Clearly</w:t>
      </w:r>
      <w:r>
        <w:rPr>
          <w:spacing w:val="-5"/>
        </w:rPr>
        <w:t xml:space="preserve"> </w:t>
      </w:r>
      <w:r>
        <w:t>and</w:t>
      </w:r>
      <w:r>
        <w:rPr>
          <w:spacing w:val="-3"/>
        </w:rPr>
        <w:t xml:space="preserve"> </w:t>
      </w:r>
      <w:r>
        <w:t>explicitly</w:t>
      </w:r>
      <w:r>
        <w:rPr>
          <w:spacing w:val="-5"/>
        </w:rPr>
        <w:t xml:space="preserve"> </w:t>
      </w:r>
      <w:r>
        <w:t>recognizes</w:t>
      </w:r>
      <w:r>
        <w:rPr>
          <w:spacing w:val="-1"/>
        </w:rPr>
        <w:t xml:space="preserve"> </w:t>
      </w:r>
      <w:r>
        <w:t>that</w:t>
      </w:r>
      <w:r>
        <w:rPr>
          <w:spacing w:val="-2"/>
        </w:rPr>
        <w:t xml:space="preserve"> </w:t>
      </w:r>
      <w:r>
        <w:rPr>
          <w:b/>
        </w:rPr>
        <w:t>a</w:t>
      </w:r>
      <w:r>
        <w:rPr>
          <w:b/>
          <w:spacing w:val="-4"/>
        </w:rPr>
        <w:t xml:space="preserve"> </w:t>
      </w:r>
      <w:r>
        <w:rPr>
          <w:b/>
        </w:rPr>
        <w:t>safe,</w:t>
      </w:r>
      <w:r>
        <w:rPr>
          <w:b/>
          <w:spacing w:val="-3"/>
        </w:rPr>
        <w:t xml:space="preserve"> </w:t>
      </w:r>
      <w:r>
        <w:rPr>
          <w:b/>
        </w:rPr>
        <w:t>clean,</w:t>
      </w:r>
      <w:r>
        <w:rPr>
          <w:b/>
          <w:spacing w:val="-1"/>
        </w:rPr>
        <w:t xml:space="preserve"> </w:t>
      </w:r>
      <w:r>
        <w:rPr>
          <w:b/>
        </w:rPr>
        <w:t>healthy</w:t>
      </w:r>
      <w:r>
        <w:rPr>
          <w:b/>
          <w:spacing w:val="-9"/>
        </w:rPr>
        <w:t xml:space="preserve"> </w:t>
      </w:r>
      <w:r>
        <w:rPr>
          <w:b/>
        </w:rPr>
        <w:t>and</w:t>
      </w:r>
      <w:r>
        <w:rPr>
          <w:b/>
          <w:spacing w:val="-3"/>
        </w:rPr>
        <w:t xml:space="preserve"> </w:t>
      </w:r>
      <w:r>
        <w:rPr>
          <w:b/>
        </w:rPr>
        <w:t>sustainable</w:t>
      </w:r>
      <w:r>
        <w:rPr>
          <w:b/>
          <w:spacing w:val="-2"/>
        </w:rPr>
        <w:t xml:space="preserve"> </w:t>
      </w:r>
      <w:r>
        <w:rPr>
          <w:b/>
        </w:rPr>
        <w:t xml:space="preserve">environment is the basis of life on </w:t>
      </w:r>
      <w:proofErr w:type="gramStart"/>
      <w:r>
        <w:rPr>
          <w:b/>
        </w:rPr>
        <w:t>earth</w:t>
      </w:r>
      <w:proofErr w:type="gramEnd"/>
      <w:r>
        <w:rPr>
          <w:b/>
        </w:rPr>
        <w:t xml:space="preserve"> and it is a necessary condition for the fulfilment of a wide range of human rights, </w:t>
      </w:r>
      <w:r>
        <w:t>including the right to life, food, health, water and sanitation.</w:t>
      </w:r>
    </w:p>
    <w:p w14:paraId="65C7CB84" w14:textId="77777777" w:rsidR="00AC6198" w:rsidRDefault="00AC6198">
      <w:pPr>
        <w:pStyle w:val="BodyText"/>
        <w:spacing w:before="10"/>
        <w:rPr>
          <w:sz w:val="21"/>
        </w:rPr>
      </w:pPr>
    </w:p>
    <w:p w14:paraId="3CD77E77" w14:textId="77777777" w:rsidR="00AC6198" w:rsidRDefault="008A7C8B">
      <w:pPr>
        <w:pStyle w:val="ListParagraph"/>
        <w:numPr>
          <w:ilvl w:val="0"/>
          <w:numId w:val="1"/>
        </w:numPr>
        <w:tabs>
          <w:tab w:val="left" w:pos="550"/>
        </w:tabs>
        <w:ind w:right="187"/>
        <w:rPr>
          <w:b/>
        </w:rPr>
      </w:pPr>
      <w:r>
        <w:t xml:space="preserve">Explicitly recognizes that, </w:t>
      </w:r>
      <w:r>
        <w:rPr>
          <w:b/>
        </w:rPr>
        <w:t xml:space="preserve">in order to realize the right to development and eradicate poverty and hunger, governments and all other relevant actors should reverse the current dramatic and rapid loss of Nature and Nature’s contributions to people </w:t>
      </w:r>
      <w:r>
        <w:t>(</w:t>
      </w:r>
      <w:r>
        <w:rPr>
          <w:color w:val="1154CC"/>
          <w:u w:val="single" w:color="1154CC"/>
        </w:rPr>
        <w:t>see</w:t>
      </w:r>
      <w:r>
        <w:rPr>
          <w:color w:val="1154CC"/>
        </w:rPr>
        <w:t xml:space="preserve"> </w:t>
      </w:r>
      <w:r>
        <w:rPr>
          <w:color w:val="1154CC"/>
          <w:u w:val="single" w:color="1154CC"/>
        </w:rPr>
        <w:t>IPBES latest assessment</w:t>
      </w:r>
      <w:r>
        <w:rPr>
          <w:color w:val="1154CC"/>
        </w:rPr>
        <w:t xml:space="preserve"> </w:t>
      </w:r>
      <w:r>
        <w:t xml:space="preserve">and the Global Sustainable Development Report). In fact, </w:t>
      </w:r>
      <w:r>
        <w:rPr>
          <w:b/>
        </w:rPr>
        <w:t>without the current free contributions of Nature to people</w:t>
      </w:r>
      <w:r>
        <w:t>, including clean air and water, food security</w:t>
      </w:r>
      <w:r>
        <w:rPr>
          <w:spacing w:val="-5"/>
        </w:rPr>
        <w:t xml:space="preserve"> </w:t>
      </w:r>
      <w:r>
        <w:t>and</w:t>
      </w:r>
      <w:r>
        <w:rPr>
          <w:spacing w:val="-2"/>
        </w:rPr>
        <w:t xml:space="preserve"> </w:t>
      </w:r>
      <w:r>
        <w:t>nutrition,</w:t>
      </w:r>
      <w:r>
        <w:rPr>
          <w:spacing w:val="-2"/>
        </w:rPr>
        <w:t xml:space="preserve"> </w:t>
      </w:r>
      <w:r>
        <w:t>that</w:t>
      </w:r>
      <w:r>
        <w:rPr>
          <w:spacing w:val="-1"/>
        </w:rPr>
        <w:t xml:space="preserve"> </w:t>
      </w:r>
      <w:r>
        <w:t>are</w:t>
      </w:r>
      <w:r>
        <w:rPr>
          <w:spacing w:val="-2"/>
        </w:rPr>
        <w:t xml:space="preserve"> </w:t>
      </w:r>
      <w:r>
        <w:t>particularly</w:t>
      </w:r>
      <w:r>
        <w:rPr>
          <w:spacing w:val="-5"/>
        </w:rPr>
        <w:t xml:space="preserve"> </w:t>
      </w:r>
      <w:r>
        <w:t>important</w:t>
      </w:r>
      <w:r>
        <w:rPr>
          <w:spacing w:val="-3"/>
        </w:rPr>
        <w:t xml:space="preserve"> </w:t>
      </w:r>
      <w:r>
        <w:t>for</w:t>
      </w:r>
      <w:r>
        <w:rPr>
          <w:spacing w:val="-3"/>
        </w:rPr>
        <w:t xml:space="preserve"> </w:t>
      </w:r>
      <w:r>
        <w:t>the</w:t>
      </w:r>
      <w:r>
        <w:rPr>
          <w:spacing w:val="-5"/>
        </w:rPr>
        <w:t xml:space="preserve"> </w:t>
      </w:r>
      <w:r>
        <w:t>most</w:t>
      </w:r>
      <w:r>
        <w:rPr>
          <w:spacing w:val="-5"/>
        </w:rPr>
        <w:t xml:space="preserve"> </w:t>
      </w:r>
      <w:r>
        <w:t>vulnerable</w:t>
      </w:r>
      <w:r>
        <w:rPr>
          <w:spacing w:val="-2"/>
        </w:rPr>
        <w:t xml:space="preserve"> </w:t>
      </w:r>
      <w:r>
        <w:t>and</w:t>
      </w:r>
      <w:r>
        <w:rPr>
          <w:spacing w:val="-1"/>
        </w:rPr>
        <w:t xml:space="preserve"> </w:t>
      </w:r>
      <w:r>
        <w:t>the</w:t>
      </w:r>
      <w:r>
        <w:rPr>
          <w:spacing w:val="-5"/>
        </w:rPr>
        <w:t xml:space="preserve"> </w:t>
      </w:r>
      <w:r>
        <w:t>poorest,</w:t>
      </w:r>
      <w:r>
        <w:rPr>
          <w:spacing w:val="-4"/>
        </w:rPr>
        <w:t xml:space="preserve"> </w:t>
      </w:r>
      <w:r>
        <w:rPr>
          <w:b/>
        </w:rPr>
        <w:t>it will be impossible to achieve the right to development.</w:t>
      </w:r>
    </w:p>
    <w:p w14:paraId="321B6A35" w14:textId="77777777" w:rsidR="00AC6198" w:rsidRDefault="00AC6198">
      <w:pPr>
        <w:pStyle w:val="BodyText"/>
        <w:spacing w:before="2"/>
        <w:rPr>
          <w:b/>
        </w:rPr>
      </w:pPr>
    </w:p>
    <w:p w14:paraId="60C637F6" w14:textId="77777777" w:rsidR="00AC6198" w:rsidRDefault="008A7C8B">
      <w:pPr>
        <w:pStyle w:val="ListParagraph"/>
        <w:numPr>
          <w:ilvl w:val="0"/>
          <w:numId w:val="1"/>
        </w:numPr>
        <w:tabs>
          <w:tab w:val="left" w:pos="551"/>
        </w:tabs>
        <w:ind w:right="223"/>
      </w:pPr>
      <w:r>
        <w:rPr>
          <w:b/>
        </w:rPr>
        <w:t>Fully recognize the rights of Indigenous Peoples</w:t>
      </w:r>
      <w:r>
        <w:t>. The instrument should be built on UNDRIP</w:t>
      </w:r>
      <w:r>
        <w:rPr>
          <w:spacing w:val="-5"/>
        </w:rPr>
        <w:t xml:space="preserve"> </w:t>
      </w:r>
      <w:r>
        <w:t>and</w:t>
      </w:r>
      <w:r>
        <w:rPr>
          <w:spacing w:val="-5"/>
        </w:rPr>
        <w:t xml:space="preserve"> </w:t>
      </w:r>
      <w:r>
        <w:t>give</w:t>
      </w:r>
      <w:r>
        <w:rPr>
          <w:spacing w:val="-3"/>
        </w:rPr>
        <w:t xml:space="preserve"> </w:t>
      </w:r>
      <w:r>
        <w:t>particular</w:t>
      </w:r>
      <w:r>
        <w:rPr>
          <w:spacing w:val="-2"/>
        </w:rPr>
        <w:t xml:space="preserve"> </w:t>
      </w:r>
      <w:r>
        <w:t>attention</w:t>
      </w:r>
      <w:r>
        <w:rPr>
          <w:spacing w:val="-5"/>
        </w:rPr>
        <w:t xml:space="preserve"> </w:t>
      </w:r>
      <w:r>
        <w:t>on</w:t>
      </w:r>
      <w:r>
        <w:rPr>
          <w:spacing w:val="-5"/>
        </w:rPr>
        <w:t xml:space="preserve"> </w:t>
      </w:r>
      <w:r>
        <w:t>Indigenous</w:t>
      </w:r>
      <w:r>
        <w:rPr>
          <w:spacing w:val="-3"/>
        </w:rPr>
        <w:t xml:space="preserve"> </w:t>
      </w:r>
      <w:r>
        <w:t>Peoples</w:t>
      </w:r>
      <w:r>
        <w:rPr>
          <w:spacing w:val="-1"/>
        </w:rPr>
        <w:t xml:space="preserve"> </w:t>
      </w:r>
      <w:r>
        <w:t>and</w:t>
      </w:r>
      <w:r>
        <w:rPr>
          <w:spacing w:val="-5"/>
        </w:rPr>
        <w:t xml:space="preserve"> </w:t>
      </w:r>
      <w:r>
        <w:t>local</w:t>
      </w:r>
      <w:r>
        <w:rPr>
          <w:spacing w:val="-3"/>
        </w:rPr>
        <w:t xml:space="preserve"> </w:t>
      </w:r>
      <w:r>
        <w:t>communities</w:t>
      </w:r>
      <w:r>
        <w:rPr>
          <w:spacing w:val="-5"/>
        </w:rPr>
        <w:t xml:space="preserve"> </w:t>
      </w:r>
      <w:r>
        <w:t>collective tenure rights and their rights to withhold their Free Prior and Informed Consent.</w:t>
      </w:r>
    </w:p>
    <w:p w14:paraId="2F5DC7DD" w14:textId="77777777" w:rsidR="00AC6198" w:rsidRDefault="00AC6198">
      <w:pPr>
        <w:pStyle w:val="BodyText"/>
        <w:spacing w:before="1"/>
      </w:pPr>
    </w:p>
    <w:p w14:paraId="2EFF23E4" w14:textId="77777777" w:rsidR="00AC6198" w:rsidRDefault="00AC6198">
      <w:pPr>
        <w:pStyle w:val="BodyText"/>
        <w:spacing w:before="8"/>
        <w:rPr>
          <w:sz w:val="23"/>
        </w:rPr>
      </w:pPr>
    </w:p>
    <w:p w14:paraId="0D10A93D" w14:textId="6922F837" w:rsidR="00AC6198" w:rsidRDefault="008A7C8B">
      <w:pPr>
        <w:pStyle w:val="BodyText"/>
        <w:spacing w:before="1"/>
        <w:ind w:left="190"/>
      </w:pPr>
      <w:r>
        <w:rPr>
          <w:noProof/>
        </w:rPr>
        <w:drawing>
          <wp:anchor distT="0" distB="0" distL="0" distR="0" simplePos="0" relativeHeight="15730176" behindDoc="0" locked="0" layoutInCell="1" allowOverlap="1" wp14:anchorId="6D1A0238" wp14:editId="19D40D77">
            <wp:simplePos x="0" y="0"/>
            <wp:positionH relativeFrom="page">
              <wp:posOffset>710183</wp:posOffset>
            </wp:positionH>
            <wp:positionV relativeFrom="paragraph">
              <wp:posOffset>345032</wp:posOffset>
            </wp:positionV>
            <wp:extent cx="3014472" cy="70408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014472" cy="704087"/>
                    </a:xfrm>
                    <a:prstGeom prst="rect">
                      <a:avLst/>
                    </a:prstGeom>
                  </pic:spPr>
                </pic:pic>
              </a:graphicData>
            </a:graphic>
          </wp:anchor>
        </w:drawing>
      </w:r>
    </w:p>
    <w:p w14:paraId="5339409B" w14:textId="77777777" w:rsidR="00AC6198" w:rsidRDefault="00AC6198">
      <w:pPr>
        <w:pStyle w:val="BodyText"/>
        <w:rPr>
          <w:sz w:val="24"/>
        </w:rPr>
      </w:pPr>
    </w:p>
    <w:p w14:paraId="56706408" w14:textId="77777777" w:rsidR="00AC6198" w:rsidRDefault="00AC6198">
      <w:pPr>
        <w:pStyle w:val="BodyText"/>
        <w:rPr>
          <w:sz w:val="24"/>
        </w:rPr>
      </w:pPr>
    </w:p>
    <w:p w14:paraId="30BA6C10" w14:textId="77777777" w:rsidR="00AC6198" w:rsidRDefault="00AC6198">
      <w:pPr>
        <w:pStyle w:val="BodyText"/>
        <w:spacing w:before="1"/>
        <w:rPr>
          <w:sz w:val="26"/>
        </w:rPr>
      </w:pPr>
    </w:p>
    <w:p w14:paraId="7AD05D87" w14:textId="77777777" w:rsidR="00AC6198" w:rsidRDefault="008A7C8B">
      <w:pPr>
        <w:spacing w:before="1"/>
        <w:ind w:right="168"/>
        <w:jc w:val="right"/>
        <w:rPr>
          <w:rFonts w:ascii="Georgia"/>
          <w:sz w:val="16"/>
        </w:rPr>
      </w:pPr>
      <w:r>
        <w:rPr>
          <w:rFonts w:ascii="Georgia"/>
          <w:sz w:val="16"/>
        </w:rPr>
        <w:t>Page</w:t>
      </w:r>
      <w:r>
        <w:rPr>
          <w:rFonts w:ascii="Georgia"/>
          <w:spacing w:val="-2"/>
          <w:sz w:val="16"/>
        </w:rPr>
        <w:t xml:space="preserve"> </w:t>
      </w:r>
      <w:r>
        <w:rPr>
          <w:rFonts w:ascii="Georgia"/>
          <w:sz w:val="16"/>
        </w:rPr>
        <w:t>1</w:t>
      </w:r>
      <w:r>
        <w:rPr>
          <w:rFonts w:ascii="Georgia"/>
          <w:spacing w:val="-1"/>
          <w:sz w:val="16"/>
        </w:rPr>
        <w:t xml:space="preserve"> </w:t>
      </w:r>
      <w:r>
        <w:rPr>
          <w:rFonts w:ascii="Georgia"/>
          <w:sz w:val="16"/>
        </w:rPr>
        <w:t xml:space="preserve">of </w:t>
      </w:r>
      <w:r>
        <w:rPr>
          <w:rFonts w:ascii="Georgia"/>
          <w:spacing w:val="-10"/>
          <w:sz w:val="16"/>
        </w:rPr>
        <w:t>1</w:t>
      </w:r>
    </w:p>
    <w:sectPr w:rsidR="00AC6198">
      <w:type w:val="continuous"/>
      <w:pgSz w:w="11910" w:h="16840"/>
      <w:pgMar w:top="0" w:right="10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30"/>
    <w:multiLevelType w:val="hybridMultilevel"/>
    <w:tmpl w:val="99E0C9D4"/>
    <w:lvl w:ilvl="0" w:tplc="602CF69E">
      <w:start w:val="1"/>
      <w:numFmt w:val="decimal"/>
      <w:lvlText w:val="%1."/>
      <w:lvlJc w:val="left"/>
      <w:pPr>
        <w:ind w:left="550" w:hanging="360"/>
        <w:jc w:val="left"/>
      </w:pPr>
      <w:rPr>
        <w:rFonts w:ascii="Arial" w:eastAsia="Arial" w:hAnsi="Arial" w:cs="Arial" w:hint="default"/>
        <w:b w:val="0"/>
        <w:bCs w:val="0"/>
        <w:i w:val="0"/>
        <w:iCs w:val="0"/>
        <w:spacing w:val="-2"/>
        <w:w w:val="100"/>
        <w:sz w:val="22"/>
        <w:szCs w:val="22"/>
        <w:lang w:val="en-US" w:eastAsia="en-US" w:bidi="ar-SA"/>
      </w:rPr>
    </w:lvl>
    <w:lvl w:ilvl="1" w:tplc="C744220E">
      <w:start w:val="1"/>
      <w:numFmt w:val="lowerLetter"/>
      <w:lvlText w:val="%2."/>
      <w:lvlJc w:val="left"/>
      <w:pPr>
        <w:ind w:left="1629" w:hanging="360"/>
        <w:jc w:val="left"/>
      </w:pPr>
      <w:rPr>
        <w:rFonts w:ascii="Arial" w:eastAsia="Arial" w:hAnsi="Arial" w:cs="Arial" w:hint="default"/>
        <w:b w:val="0"/>
        <w:bCs w:val="0"/>
        <w:i w:val="0"/>
        <w:iCs w:val="0"/>
        <w:spacing w:val="-2"/>
        <w:w w:val="100"/>
        <w:sz w:val="22"/>
        <w:szCs w:val="22"/>
        <w:lang w:val="en-US" w:eastAsia="en-US" w:bidi="ar-SA"/>
      </w:rPr>
    </w:lvl>
    <w:lvl w:ilvl="2" w:tplc="BA2CDD20">
      <w:numFmt w:val="bullet"/>
      <w:lvlText w:val="•"/>
      <w:lvlJc w:val="left"/>
      <w:pPr>
        <w:ind w:left="2538" w:hanging="360"/>
      </w:pPr>
      <w:rPr>
        <w:rFonts w:hint="default"/>
        <w:lang w:val="en-US" w:eastAsia="en-US" w:bidi="ar-SA"/>
      </w:rPr>
    </w:lvl>
    <w:lvl w:ilvl="3" w:tplc="C652E310">
      <w:numFmt w:val="bullet"/>
      <w:lvlText w:val="•"/>
      <w:lvlJc w:val="left"/>
      <w:pPr>
        <w:ind w:left="3456" w:hanging="360"/>
      </w:pPr>
      <w:rPr>
        <w:rFonts w:hint="default"/>
        <w:lang w:val="en-US" w:eastAsia="en-US" w:bidi="ar-SA"/>
      </w:rPr>
    </w:lvl>
    <w:lvl w:ilvl="4" w:tplc="8E1EB39A">
      <w:numFmt w:val="bullet"/>
      <w:lvlText w:val="•"/>
      <w:lvlJc w:val="left"/>
      <w:pPr>
        <w:ind w:left="4375" w:hanging="360"/>
      </w:pPr>
      <w:rPr>
        <w:rFonts w:hint="default"/>
        <w:lang w:val="en-US" w:eastAsia="en-US" w:bidi="ar-SA"/>
      </w:rPr>
    </w:lvl>
    <w:lvl w:ilvl="5" w:tplc="9918BB54">
      <w:numFmt w:val="bullet"/>
      <w:lvlText w:val="•"/>
      <w:lvlJc w:val="left"/>
      <w:pPr>
        <w:ind w:left="5293" w:hanging="360"/>
      </w:pPr>
      <w:rPr>
        <w:rFonts w:hint="default"/>
        <w:lang w:val="en-US" w:eastAsia="en-US" w:bidi="ar-SA"/>
      </w:rPr>
    </w:lvl>
    <w:lvl w:ilvl="6" w:tplc="3976F2D4">
      <w:numFmt w:val="bullet"/>
      <w:lvlText w:val="•"/>
      <w:lvlJc w:val="left"/>
      <w:pPr>
        <w:ind w:left="6212" w:hanging="360"/>
      </w:pPr>
      <w:rPr>
        <w:rFonts w:hint="default"/>
        <w:lang w:val="en-US" w:eastAsia="en-US" w:bidi="ar-SA"/>
      </w:rPr>
    </w:lvl>
    <w:lvl w:ilvl="7" w:tplc="3DD22F5C">
      <w:numFmt w:val="bullet"/>
      <w:lvlText w:val="•"/>
      <w:lvlJc w:val="left"/>
      <w:pPr>
        <w:ind w:left="7130" w:hanging="360"/>
      </w:pPr>
      <w:rPr>
        <w:rFonts w:hint="default"/>
        <w:lang w:val="en-US" w:eastAsia="en-US" w:bidi="ar-SA"/>
      </w:rPr>
    </w:lvl>
    <w:lvl w:ilvl="8" w:tplc="2A3485F4">
      <w:numFmt w:val="bullet"/>
      <w:lvlText w:val="•"/>
      <w:lvlJc w:val="left"/>
      <w:pPr>
        <w:ind w:left="8049" w:hanging="360"/>
      </w:pPr>
      <w:rPr>
        <w:rFonts w:hint="default"/>
        <w:lang w:val="en-US" w:eastAsia="en-US" w:bidi="ar-SA"/>
      </w:rPr>
    </w:lvl>
  </w:abstractNum>
  <w:num w:numId="1" w16cid:durableId="136652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8"/>
    <w:rsid w:val="008A7C8B"/>
    <w:rsid w:val="00AC6198"/>
    <w:rsid w:val="00B9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7599"/>
  <w15:docId w15:val="{CAAD7355-DAA4-4537-88CC-CF0991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right="145"/>
      <w:jc w:val="right"/>
    </w:pPr>
    <w:rPr>
      <w:rFonts w:ascii="Microsoft Sans Serif" w:eastAsia="Microsoft Sans Serif" w:hAnsi="Microsoft Sans Serif" w:cs="Microsoft Sans Serif"/>
      <w:sz w:val="52"/>
      <w:szCs w:val="52"/>
    </w:rPr>
  </w:style>
  <w:style w:type="paragraph" w:styleId="ListParagraph">
    <w:name w:val="List Paragraph"/>
    <w:basedOn w:val="Normal"/>
    <w:uiPriority w:val="1"/>
    <w:qFormat/>
    <w:pPr>
      <w:ind w:left="5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WWF input for the consultation on a legally binding instrument on the right to development - July 2019 - final draft.docx</dc:title>
  <dc:creator>lchinotti</dc:creator>
  <cp:lastModifiedBy>Schwarzhaupt</cp:lastModifiedBy>
  <cp:revision>2</cp:revision>
  <dcterms:created xsi:type="dcterms:W3CDTF">2023-03-29T13:11:00Z</dcterms:created>
  <dcterms:modified xsi:type="dcterms:W3CDTF">2023-03-29T13:11:00Z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2023-03-29T00:00:00Z</vt:filetime>
  </property>
  <property fmtid="{D5CDD505-2E9C-101B-9397-08002B2CF9AE}" pid="4" name="Producer">
    <vt:lpwstr>Microsoft: Print To PDF</vt:lpwstr>
  </property>
</Properties>
</file>