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3179" w14:textId="77777777" w:rsidR="0098588C" w:rsidRPr="0098588C" w:rsidRDefault="0098588C" w:rsidP="0098588C">
      <w:pPr>
        <w:jc w:val="center"/>
        <w:rPr>
          <w:rFonts w:cstheme="minorHAnsi"/>
          <w:b/>
          <w:bCs/>
          <w:u w:val="single"/>
        </w:rPr>
      </w:pPr>
      <w:r w:rsidRPr="0098588C">
        <w:rPr>
          <w:rFonts w:cstheme="minorHAnsi"/>
          <w:b/>
          <w:bCs/>
          <w:u w:val="single"/>
        </w:rPr>
        <w:t>Second revised text of the draft convention on the right to development</w:t>
      </w:r>
    </w:p>
    <w:p w14:paraId="35DAE740" w14:textId="199B5B99" w:rsidR="00ED66FF" w:rsidRPr="00ED66FF" w:rsidRDefault="00ED66FF" w:rsidP="00B70EAD">
      <w:pPr>
        <w:rPr>
          <w:b/>
          <w:bCs/>
          <w:u w:val="single"/>
        </w:rPr>
      </w:pPr>
      <w:r w:rsidRPr="00ED66FF">
        <w:rPr>
          <w:b/>
          <w:bCs/>
          <w:u w:val="single"/>
        </w:rPr>
        <w:t>Introduction</w:t>
      </w:r>
    </w:p>
    <w:p w14:paraId="5441C51C" w14:textId="53565E10" w:rsidR="00F43113" w:rsidRPr="00F43113" w:rsidRDefault="00F43113" w:rsidP="00B70EAD">
      <w:r w:rsidRPr="00F43113">
        <w:t xml:space="preserve">This </w:t>
      </w:r>
      <w:r w:rsidR="007626A0">
        <w:t xml:space="preserve">research paper </w:t>
      </w:r>
      <w:r w:rsidRPr="00F43113">
        <w:t xml:space="preserve">explores </w:t>
      </w:r>
      <w:r w:rsidR="007626A0">
        <w:t xml:space="preserve">four </w:t>
      </w:r>
      <w:r w:rsidRPr="00F43113">
        <w:t xml:space="preserve">significant gaps in the Second Draft </w:t>
      </w:r>
      <w:r w:rsidR="00BD65CE">
        <w:t xml:space="preserve">(SD) </w:t>
      </w:r>
      <w:r w:rsidRPr="00F43113">
        <w:t xml:space="preserve">of the United Nations Convention on the Right to Development. The first gap is the lack of provisions codifying the rights of minorities to participate in </w:t>
      </w:r>
      <w:r w:rsidR="00BD65CE">
        <w:t>D</w:t>
      </w:r>
      <w:r w:rsidRPr="00F43113">
        <w:t xml:space="preserve">evelopment </w:t>
      </w:r>
      <w:r w:rsidR="00BD65CE">
        <w:t>P</w:t>
      </w:r>
      <w:r w:rsidRPr="00F43113">
        <w:t xml:space="preserve">lanning and </w:t>
      </w:r>
      <w:r w:rsidR="00BD65CE">
        <w:t>D</w:t>
      </w:r>
      <w:r w:rsidRPr="00F43113">
        <w:t>ecision-</w:t>
      </w:r>
      <w:r w:rsidR="00BD65CE">
        <w:t>M</w:t>
      </w:r>
      <w:r w:rsidRPr="00F43113">
        <w:t xml:space="preserve">aking </w:t>
      </w:r>
      <w:r w:rsidR="00BD65CE">
        <w:t>P</w:t>
      </w:r>
      <w:r w:rsidRPr="00F43113">
        <w:t>rocesses</w:t>
      </w:r>
      <w:r w:rsidR="00BD65CE">
        <w:t xml:space="preserve"> (DPDMP)</w:t>
      </w:r>
      <w:r w:rsidRPr="00F43113">
        <w:t>. The second gap is th</w:t>
      </w:r>
      <w:r w:rsidR="00851180">
        <w:t>e SD’s</w:t>
      </w:r>
      <w:r w:rsidRPr="00F43113">
        <w:t xml:space="preserve"> </w:t>
      </w:r>
      <w:r w:rsidR="00851180">
        <w:t>i</w:t>
      </w:r>
      <w:r w:rsidRPr="00F43113">
        <w:t xml:space="preserve">nadequate protection against discrimination and oppression faced by minorities. </w:t>
      </w:r>
      <w:r w:rsidR="008709CC">
        <w:t>The third is</w:t>
      </w:r>
      <w:r w:rsidR="008709CC" w:rsidRPr="008709CC">
        <w:t xml:space="preserve"> </w:t>
      </w:r>
      <w:r w:rsidR="008709CC">
        <w:t xml:space="preserve">ambiguity </w:t>
      </w:r>
      <w:r w:rsidR="008709CC" w:rsidRPr="008709CC">
        <w:t xml:space="preserve">regarding the </w:t>
      </w:r>
      <w:r w:rsidR="00B17E0A">
        <w:t>R</w:t>
      </w:r>
      <w:r w:rsidR="008709CC" w:rsidRPr="008709CC">
        <w:t xml:space="preserve">ight to </w:t>
      </w:r>
      <w:r w:rsidR="00B17E0A">
        <w:t>S</w:t>
      </w:r>
      <w:r w:rsidR="008709CC" w:rsidRPr="008709CC">
        <w:t>elf-</w:t>
      </w:r>
      <w:r w:rsidR="00B17E0A">
        <w:t>D</w:t>
      </w:r>
      <w:r w:rsidR="008709CC" w:rsidRPr="008709CC">
        <w:t>etermination</w:t>
      </w:r>
      <w:r w:rsidR="00B17E0A">
        <w:t xml:space="preserve"> (RSD)</w:t>
      </w:r>
      <w:r w:rsidR="008709CC" w:rsidRPr="008709CC">
        <w:t xml:space="preserve"> for minorities</w:t>
      </w:r>
      <w:r w:rsidR="00DD63E2">
        <w:t xml:space="preserve"> and the final gap is</w:t>
      </w:r>
      <w:r w:rsidR="00DD63E2" w:rsidRPr="00DD63E2">
        <w:t xml:space="preserve"> </w:t>
      </w:r>
      <w:r w:rsidR="00163FEC">
        <w:t xml:space="preserve">the SD’s </w:t>
      </w:r>
      <w:r w:rsidR="00DD63E2">
        <w:t>i</w:t>
      </w:r>
      <w:r w:rsidR="00DD63E2" w:rsidRPr="00DD63E2">
        <w:t>nadequate protection for cultural rights</w:t>
      </w:r>
      <w:r w:rsidR="00163FEC">
        <w:t>/</w:t>
      </w:r>
      <w:r w:rsidR="00DD63E2" w:rsidRPr="00DD63E2">
        <w:t>heritage of indigenous peoples and other minorities</w:t>
      </w:r>
      <w:r w:rsidR="00163FEC">
        <w:t>.</w:t>
      </w:r>
      <w:r w:rsidR="008709CC">
        <w:t xml:space="preserve"> </w:t>
      </w:r>
      <w:r w:rsidRPr="00F43113">
        <w:t>Th</w:t>
      </w:r>
      <w:r w:rsidR="00545BBD">
        <w:t xml:space="preserve">is report </w:t>
      </w:r>
      <w:r w:rsidRPr="00F43113">
        <w:t xml:space="preserve">highlights these gaps </w:t>
      </w:r>
      <w:r w:rsidR="004E1109">
        <w:t xml:space="preserve">and provides </w:t>
      </w:r>
      <w:r w:rsidR="00EE0451">
        <w:t xml:space="preserve">potential solutions </w:t>
      </w:r>
      <w:r w:rsidRPr="00F43113">
        <w:t>through explicit references, improved monitoring</w:t>
      </w:r>
      <w:r w:rsidR="006C6468">
        <w:t>,</w:t>
      </w:r>
      <w:r w:rsidRPr="00F43113">
        <w:t xml:space="preserve"> </w:t>
      </w:r>
      <w:r w:rsidR="006C6468" w:rsidRPr="00F43113">
        <w:t>detection,</w:t>
      </w:r>
      <w:r w:rsidRPr="00F43113">
        <w:t xml:space="preserve"> </w:t>
      </w:r>
      <w:r w:rsidR="006C6468">
        <w:t xml:space="preserve">and </w:t>
      </w:r>
      <w:r w:rsidR="006C6468" w:rsidRPr="00F43113">
        <w:t xml:space="preserve">accountability </w:t>
      </w:r>
      <w:r w:rsidRPr="00F43113">
        <w:t>mechanisms</w:t>
      </w:r>
      <w:r w:rsidR="006C6468">
        <w:t xml:space="preserve">. </w:t>
      </w:r>
      <w:r w:rsidRPr="00F43113">
        <w:t xml:space="preserve">These solutions will ensure that the rights of minorities are protected </w:t>
      </w:r>
      <w:r w:rsidR="001916B9">
        <w:t>under the Convention</w:t>
      </w:r>
      <w:r w:rsidR="000B04C0">
        <w:t>.</w:t>
      </w:r>
    </w:p>
    <w:p w14:paraId="074BD0C4" w14:textId="013B1FDB" w:rsidR="00B70EAD" w:rsidRPr="004B6D33" w:rsidRDefault="00043D70" w:rsidP="00B70EAD">
      <w:pPr>
        <w:rPr>
          <w:b/>
          <w:bCs/>
          <w:u w:val="single"/>
        </w:rPr>
      </w:pPr>
      <w:r w:rsidRPr="00043D70">
        <w:rPr>
          <w:b/>
          <w:bCs/>
          <w:u w:val="single"/>
        </w:rPr>
        <w:t xml:space="preserve">Lack of provisions codifying </w:t>
      </w:r>
      <w:r>
        <w:rPr>
          <w:b/>
          <w:bCs/>
          <w:u w:val="single"/>
        </w:rPr>
        <w:t xml:space="preserve">the rights of </w:t>
      </w:r>
      <w:r w:rsidRPr="00043D70">
        <w:rPr>
          <w:b/>
          <w:bCs/>
          <w:u w:val="single"/>
        </w:rPr>
        <w:t>minorit</w:t>
      </w:r>
      <w:r>
        <w:rPr>
          <w:b/>
          <w:bCs/>
          <w:u w:val="single"/>
        </w:rPr>
        <w:t xml:space="preserve">ies to </w:t>
      </w:r>
      <w:r w:rsidRPr="00043D70">
        <w:rPr>
          <w:b/>
          <w:bCs/>
          <w:u w:val="single"/>
        </w:rPr>
        <w:t>participat</w:t>
      </w:r>
      <w:r>
        <w:rPr>
          <w:b/>
          <w:bCs/>
          <w:u w:val="single"/>
        </w:rPr>
        <w:t xml:space="preserve">e </w:t>
      </w:r>
      <w:r w:rsidRPr="00043D70">
        <w:rPr>
          <w:b/>
          <w:bCs/>
          <w:u w:val="single"/>
        </w:rPr>
        <w:t>in development planning and decision-making processes</w:t>
      </w:r>
    </w:p>
    <w:p w14:paraId="3168578C" w14:textId="250DF34D" w:rsidR="004A2C1C" w:rsidRDefault="004A2C1C" w:rsidP="004B6D33">
      <w:r w:rsidRPr="004A2C1C">
        <w:t>The right of minorities to participate in</w:t>
      </w:r>
      <w:r w:rsidR="00BD65CE">
        <w:t xml:space="preserve"> </w:t>
      </w:r>
      <w:r w:rsidR="00381B8F">
        <w:t>DPDMP</w:t>
      </w:r>
      <w:r w:rsidRPr="004A2C1C">
        <w:t xml:space="preserve"> is a fundamental aspect of the </w:t>
      </w:r>
      <w:r w:rsidR="00381B8F">
        <w:t>R</w:t>
      </w:r>
      <w:r w:rsidRPr="004A2C1C">
        <w:t xml:space="preserve">ight to </w:t>
      </w:r>
      <w:r w:rsidR="00381B8F">
        <w:t>D</w:t>
      </w:r>
      <w:r w:rsidRPr="004A2C1C">
        <w:t>evelopment</w:t>
      </w:r>
      <w:r w:rsidR="00381B8F">
        <w:t xml:space="preserve"> (RD)</w:t>
      </w:r>
      <w:r w:rsidRPr="004A2C1C">
        <w:t>. It recogni</w:t>
      </w:r>
      <w:r>
        <w:t>s</w:t>
      </w:r>
      <w:r w:rsidRPr="004A2C1C">
        <w:t>es the importance of involving individuals</w:t>
      </w:r>
      <w:r>
        <w:t>/</w:t>
      </w:r>
      <w:r w:rsidRPr="004A2C1C">
        <w:t>groups</w:t>
      </w:r>
      <w:r w:rsidR="00A15F41">
        <w:t>,</w:t>
      </w:r>
      <w:r w:rsidRPr="004A2C1C">
        <w:t xml:space="preserve"> who are most affected by development decision</w:t>
      </w:r>
      <w:r>
        <w:t>s</w:t>
      </w:r>
      <w:r w:rsidRPr="004A2C1C">
        <w:t xml:space="preserve"> </w:t>
      </w:r>
      <w:r w:rsidR="00A15F41">
        <w:t xml:space="preserve">which </w:t>
      </w:r>
      <w:r w:rsidRPr="004A2C1C">
        <w:t>impact their lives</w:t>
      </w:r>
      <w:r>
        <w:t>/</w:t>
      </w:r>
      <w:r w:rsidRPr="004A2C1C">
        <w:t>communities.</w:t>
      </w:r>
      <w:r>
        <w:t xml:space="preserve"> However, the SD fails to uphold this principle as it lacks provisions which specifically address this issue</w:t>
      </w:r>
      <w:r w:rsidR="00381B8F">
        <w:t xml:space="preserve"> and codify such rights.</w:t>
      </w:r>
    </w:p>
    <w:p w14:paraId="1C4879DC" w14:textId="549BAFE6" w:rsidR="004B6D33" w:rsidRDefault="004B6D33" w:rsidP="004B6D33">
      <w:r>
        <w:t>The draft does not make explicit reference to the participation of minorities in development, and</w:t>
      </w:r>
      <w:r w:rsidR="00DE5E03">
        <w:t xml:space="preserve"> </w:t>
      </w:r>
      <w:r>
        <w:t xml:space="preserve">only mentions </w:t>
      </w:r>
      <w:r w:rsidRPr="00816BD8">
        <w:rPr>
          <w:i/>
          <w:iCs/>
        </w:rPr>
        <w:t>"participation of all individuals and peoples" (Article 2.2)</w:t>
      </w:r>
      <w:r>
        <w:t>. This lack of clarity is concerning</w:t>
      </w:r>
      <w:r w:rsidR="00381B8F">
        <w:t xml:space="preserve">, </w:t>
      </w:r>
      <w:r>
        <w:t>as it may perpetuate the marginali</w:t>
      </w:r>
      <w:r w:rsidR="00381B8F">
        <w:t>s</w:t>
      </w:r>
      <w:r>
        <w:t>ation of minorities in development processes.</w:t>
      </w:r>
    </w:p>
    <w:p w14:paraId="43C94741" w14:textId="38434C94" w:rsidR="004B6D33" w:rsidRDefault="004B6D33" w:rsidP="004B6D33">
      <w:r>
        <w:t xml:space="preserve">According to a report by the Office of the High Commissioner for Human Rights, </w:t>
      </w:r>
      <w:r w:rsidRPr="00816BD8">
        <w:rPr>
          <w:i/>
          <w:iCs/>
        </w:rPr>
        <w:t>"the participation of those who may be most affected by a development project, such as minorities, indigenous peoples, and women, is essential to ensuring that the project benefits everyone and does not cause harm."</w:t>
      </w:r>
      <w:r w:rsidR="00223C67">
        <w:t xml:space="preserve"> </w:t>
      </w:r>
      <w:r>
        <w:t>Additionally, the report emphasi</w:t>
      </w:r>
      <w:r w:rsidR="00381B8F">
        <w:t>s</w:t>
      </w:r>
      <w:r>
        <w:t xml:space="preserve">es that </w:t>
      </w:r>
      <w:r w:rsidR="00547924">
        <w:t>partici</w:t>
      </w:r>
      <w:r w:rsidR="00B3102D">
        <w:t xml:space="preserve">pation is </w:t>
      </w:r>
      <w:r w:rsidR="00911105">
        <w:t xml:space="preserve">not </w:t>
      </w:r>
      <w:r w:rsidR="00B3102D">
        <w:t xml:space="preserve">just consultation but rather involvement in </w:t>
      </w:r>
      <w:r w:rsidR="00533B0B">
        <w:t>development and decision-making process</w:t>
      </w:r>
      <w:r w:rsidR="00911105">
        <w:t xml:space="preserve">. </w:t>
      </w:r>
      <w:r>
        <w:t>Therefore, the lack of explicit mention of minorities in the draft is a significant gap in ensuring that development processes are inclusive and equitable</w:t>
      </w:r>
      <w:r w:rsidR="00D75131">
        <w:t>.</w:t>
      </w:r>
    </w:p>
    <w:p w14:paraId="1989BE4C" w14:textId="72BEC9E2" w:rsidR="004B6D33" w:rsidRDefault="004B6D33" w:rsidP="004B6D33">
      <w:r>
        <w:t xml:space="preserve">Furthermore, as noted by </w:t>
      </w:r>
      <w:r w:rsidR="00D75131">
        <w:t xml:space="preserve">Professor </w:t>
      </w:r>
      <w:proofErr w:type="spellStart"/>
      <w:r>
        <w:t>Ramin</w:t>
      </w:r>
      <w:proofErr w:type="spellEnd"/>
      <w:r>
        <w:t xml:space="preserve"> </w:t>
      </w:r>
      <w:proofErr w:type="spellStart"/>
      <w:r>
        <w:t>Jahanbegloo</w:t>
      </w:r>
      <w:proofErr w:type="spellEnd"/>
      <w:r>
        <w:t xml:space="preserve">, </w:t>
      </w:r>
      <w:r w:rsidRPr="00816BD8">
        <w:rPr>
          <w:i/>
          <w:iCs/>
        </w:rPr>
        <w:t>"Development, if not planned and implemented in a participatory manner, can easily lead to the marginali</w:t>
      </w:r>
      <w:r w:rsidR="00816BD8">
        <w:rPr>
          <w:i/>
          <w:iCs/>
        </w:rPr>
        <w:t>s</w:t>
      </w:r>
      <w:r w:rsidRPr="00816BD8">
        <w:rPr>
          <w:i/>
          <w:iCs/>
        </w:rPr>
        <w:t>ation of ethnic and religious minorities</w:t>
      </w:r>
      <w:r w:rsidRPr="00CD56D2">
        <w:t>.</w:t>
      </w:r>
      <w:r w:rsidR="00816BD8" w:rsidRPr="00CD56D2">
        <w:t>”</w:t>
      </w:r>
      <w:r w:rsidR="00DC0E9D">
        <w:t xml:space="preserve"> </w:t>
      </w:r>
      <w:r w:rsidR="00CD56D2" w:rsidRPr="00CD56D2">
        <w:t>(14)</w:t>
      </w:r>
      <w:r>
        <w:t xml:space="preserve"> Thus, it is crucial to ensure that the rights of minorities are explicitly mentioned </w:t>
      </w:r>
      <w:r w:rsidR="00816BD8">
        <w:t xml:space="preserve">in </w:t>
      </w:r>
      <w:r w:rsidR="002C5684">
        <w:t xml:space="preserve">the </w:t>
      </w:r>
      <w:r w:rsidR="00E13505">
        <w:t xml:space="preserve">convention </w:t>
      </w:r>
      <w:r w:rsidR="00816BD8">
        <w:t xml:space="preserve">to </w:t>
      </w:r>
      <w:r>
        <w:t>protect</w:t>
      </w:r>
      <w:r w:rsidR="00816BD8">
        <w:t xml:space="preserve"> them</w:t>
      </w:r>
      <w:r>
        <w:t>.</w:t>
      </w:r>
    </w:p>
    <w:p w14:paraId="07366034" w14:textId="4CA1087C" w:rsidR="004B6D33" w:rsidRDefault="00DE77D7" w:rsidP="004B6D33">
      <w:r>
        <w:t>To resolve this issue, p</w:t>
      </w:r>
      <w:r w:rsidR="004B6D33">
        <w:t xml:space="preserve">ossible solutions </w:t>
      </w:r>
      <w:r>
        <w:t xml:space="preserve">entail </w:t>
      </w:r>
      <w:r w:rsidR="004B6D33">
        <w:t xml:space="preserve">the inclusion of explicit references to the participation of minorities in </w:t>
      </w:r>
      <w:r w:rsidRPr="00DE77D7">
        <w:t>DPDMP</w:t>
      </w:r>
      <w:r w:rsidR="004267BE">
        <w:t>,</w:t>
      </w:r>
      <w:r w:rsidRPr="00DE77D7">
        <w:t xml:space="preserve"> </w:t>
      </w:r>
      <w:r w:rsidR="004B6D33">
        <w:t xml:space="preserve">in the text of the </w:t>
      </w:r>
      <w:r w:rsidR="004267BE">
        <w:t>C</w:t>
      </w:r>
      <w:r w:rsidR="004B6D33">
        <w:t>onvention. The inclusion of such references would ensure that the rights of minorities are protected</w:t>
      </w:r>
      <w:r>
        <w:t xml:space="preserve"> through thorough and precise codification</w:t>
      </w:r>
      <w:r w:rsidR="004B6D33">
        <w:t xml:space="preserve"> </w:t>
      </w:r>
      <w:r>
        <w:t xml:space="preserve">resulting in the minorities </w:t>
      </w:r>
      <w:r w:rsidR="004B6D33">
        <w:t>not</w:t>
      </w:r>
      <w:r>
        <w:t xml:space="preserve"> being</w:t>
      </w:r>
      <w:r w:rsidR="004B6D33">
        <w:t xml:space="preserve"> marginali</w:t>
      </w:r>
      <w:r>
        <w:t>s</w:t>
      </w:r>
      <w:r w:rsidR="004B6D33">
        <w:t>ed in development processes.</w:t>
      </w:r>
    </w:p>
    <w:p w14:paraId="785BFD1C" w14:textId="3D49BE28" w:rsidR="00BD5B6E" w:rsidRDefault="00DB2C49" w:rsidP="004B6D33">
      <w:r>
        <w:t xml:space="preserve">Additionally, </w:t>
      </w:r>
      <w:r w:rsidR="004B6D33">
        <w:t xml:space="preserve">reporting and monitoring mechanisms could be </w:t>
      </w:r>
      <w:r w:rsidR="00BD09D5">
        <w:t xml:space="preserve">established </w:t>
      </w:r>
      <w:r w:rsidR="00911C27">
        <w:t xml:space="preserve">where states are </w:t>
      </w:r>
      <w:r>
        <w:t>r</w:t>
      </w:r>
      <w:r w:rsidR="00DE77D7" w:rsidRPr="00DE77D7">
        <w:t xml:space="preserve">equired to report regularly on their efforts to promote minority participation in </w:t>
      </w:r>
      <w:r w:rsidRPr="00DB2C49">
        <w:t>DPDMP</w:t>
      </w:r>
      <w:r>
        <w:t>.</w:t>
      </w:r>
      <w:r w:rsidR="00DE77D7" w:rsidRPr="00DE77D7">
        <w:t xml:space="preserve"> </w:t>
      </w:r>
      <w:r>
        <w:t>T</w:t>
      </w:r>
      <w:r w:rsidR="00DE77D7" w:rsidRPr="00DE77D7">
        <w:t>he</w:t>
      </w:r>
      <w:r>
        <w:t xml:space="preserve"> said </w:t>
      </w:r>
      <w:r w:rsidR="00DE77D7" w:rsidRPr="00DE77D7">
        <w:t xml:space="preserve">reports could be reviewed by </w:t>
      </w:r>
      <w:r>
        <w:t>external</w:t>
      </w:r>
      <w:r w:rsidR="00DE77D7" w:rsidRPr="00DE77D7">
        <w:t xml:space="preserve"> oversight bod</w:t>
      </w:r>
      <w:r>
        <w:t xml:space="preserve">ies </w:t>
      </w:r>
      <w:r w:rsidR="00DE77D7" w:rsidRPr="00DE77D7">
        <w:t>and used to identify areas where states are falling short in their obligations</w:t>
      </w:r>
      <w:r>
        <w:t xml:space="preserve"> and where states have successfully implemented</w:t>
      </w:r>
      <w:r w:rsidR="00DE77D7" w:rsidRPr="00DE77D7">
        <w:t xml:space="preserve"> good practices</w:t>
      </w:r>
      <w:r>
        <w:t xml:space="preserve">, which could be used create models </w:t>
      </w:r>
      <w:r w:rsidR="00BD5B6E">
        <w:t xml:space="preserve">for </w:t>
      </w:r>
      <w:r>
        <w:t>other states</w:t>
      </w:r>
      <w:r w:rsidR="00BD5B6E">
        <w:t xml:space="preserve"> to</w:t>
      </w:r>
      <w:r>
        <w:t xml:space="preserve"> follow</w:t>
      </w:r>
      <w:r w:rsidR="00DE77D7" w:rsidRPr="00DE77D7">
        <w:t>.</w:t>
      </w:r>
      <w:r w:rsidR="004B6D33">
        <w:t xml:space="preserve"> </w:t>
      </w:r>
    </w:p>
    <w:p w14:paraId="2D5E1BB2" w14:textId="04FDAAA7" w:rsidR="004B6D33" w:rsidRDefault="00DB2C49" w:rsidP="004B6D33">
      <w:r>
        <w:t>Moreover, t</w:t>
      </w:r>
      <w:r w:rsidR="004B6D33">
        <w:t>he development of detection mechanisms to identify and address cases where minorities have been marginali</w:t>
      </w:r>
      <w:r>
        <w:t>s</w:t>
      </w:r>
      <w:r w:rsidR="004B6D33">
        <w:t xml:space="preserve">ed in development processes is also </w:t>
      </w:r>
      <w:r>
        <w:t>another possible solution</w:t>
      </w:r>
      <w:r w:rsidR="004B6D33">
        <w:t>.</w:t>
      </w:r>
      <w:r>
        <w:t xml:space="preserve"> Referring to the idea of an external </w:t>
      </w:r>
      <w:r w:rsidR="004B6D33">
        <w:t>independent body or ombudsman</w:t>
      </w:r>
      <w:r>
        <w:t xml:space="preserve">, these entities could </w:t>
      </w:r>
      <w:r w:rsidR="004B6D33">
        <w:t xml:space="preserve">receive </w:t>
      </w:r>
      <w:r w:rsidR="004B6D33">
        <w:lastRenderedPageBreak/>
        <w:t>and investigate complaints regardin</w:t>
      </w:r>
      <w:r>
        <w:t xml:space="preserve">g </w:t>
      </w:r>
      <w:r w:rsidR="004B6D33">
        <w:t>the</w:t>
      </w:r>
      <w:r>
        <w:t xml:space="preserve"> failure of</w:t>
      </w:r>
      <w:r w:rsidR="004B6D33">
        <w:t xml:space="preserve"> participation of minorities in </w:t>
      </w:r>
      <w:r w:rsidRPr="00DB2C49">
        <w:t>DPDMP</w:t>
      </w:r>
      <w:r>
        <w:t>, directly from collective minority organisations and NGOs.</w:t>
      </w:r>
      <w:r w:rsidR="004B6D33">
        <w:t xml:space="preserve"> This would provide an avenue for minorities to seek redress in cases where their participation has been ignored or marginali</w:t>
      </w:r>
      <w:r w:rsidR="00E930C3">
        <w:t>s</w:t>
      </w:r>
      <w:r w:rsidR="004B6D33">
        <w:t>ed.</w:t>
      </w:r>
    </w:p>
    <w:p w14:paraId="5005A3F9" w14:textId="299E3AAE" w:rsidR="004B6D33" w:rsidRDefault="004B6D33" w:rsidP="004B6D33">
      <w:r>
        <w:t xml:space="preserve">In conclusion, </w:t>
      </w:r>
      <w:r w:rsidR="00C4103D">
        <w:t>t</w:t>
      </w:r>
      <w:r w:rsidR="00C4103D" w:rsidRPr="00C4103D">
        <w:t>he UN convention on the right to development's lack of clarity on minority participation in DPDMP is a significant gap. Explicit references, improved monitoring, and detection mechanisms are necessary to protect minority rights in development.</w:t>
      </w:r>
    </w:p>
    <w:p w14:paraId="29888127" w14:textId="0163C627" w:rsidR="004B6D33" w:rsidRPr="004B6D33" w:rsidRDefault="00043D70" w:rsidP="004B6D33">
      <w:pPr>
        <w:rPr>
          <w:b/>
          <w:bCs/>
          <w:u w:val="single"/>
        </w:rPr>
      </w:pPr>
      <w:r w:rsidRPr="00043D70">
        <w:rPr>
          <w:b/>
          <w:bCs/>
          <w:u w:val="single"/>
        </w:rPr>
        <w:t>Inadequate protection against discrimination and oppression faced by minorit</w:t>
      </w:r>
      <w:r>
        <w:rPr>
          <w:b/>
          <w:bCs/>
          <w:u w:val="single"/>
        </w:rPr>
        <w:t>ies</w:t>
      </w:r>
    </w:p>
    <w:p w14:paraId="253D2580" w14:textId="4173F4F3" w:rsidR="005466EA" w:rsidRDefault="00A15F41" w:rsidP="00E40251">
      <w:r w:rsidRPr="00A15F41">
        <w:t xml:space="preserve">The </w:t>
      </w:r>
      <w:r w:rsidR="005466EA">
        <w:t>SD</w:t>
      </w:r>
      <w:r w:rsidRPr="00A15F41">
        <w:t xml:space="preserve"> include</w:t>
      </w:r>
      <w:r w:rsidR="005466EA">
        <w:t>s</w:t>
      </w:r>
      <w:r w:rsidRPr="00A15F41">
        <w:t xml:space="preserve"> provisions for the protection of minority groups against discrimination and other forms of oppression. The draft </w:t>
      </w:r>
      <w:r w:rsidR="005466EA">
        <w:t xml:space="preserve">does indeed </w:t>
      </w:r>
      <w:r w:rsidRPr="00A15F41">
        <w:t>recogni</w:t>
      </w:r>
      <w:r w:rsidR="005466EA">
        <w:t>se</w:t>
      </w:r>
      <w:r w:rsidRPr="00A15F41">
        <w:t xml:space="preserve"> th</w:t>
      </w:r>
      <w:r w:rsidR="005466EA">
        <w:t xml:space="preserve">at </w:t>
      </w:r>
      <w:r w:rsidR="00C73246">
        <w:t>for</w:t>
      </w:r>
      <w:r w:rsidRPr="00A15F41">
        <w:t xml:space="preserve"> the equal enjoyment of </w:t>
      </w:r>
      <w:r w:rsidR="005466EA">
        <w:t xml:space="preserve">the right to development, </w:t>
      </w:r>
      <w:r w:rsidR="005466EA" w:rsidRPr="00A15F41">
        <w:t xml:space="preserve">discrimination in all its forms </w:t>
      </w:r>
      <w:r w:rsidR="005466EA">
        <w:t xml:space="preserve">must be </w:t>
      </w:r>
      <w:r w:rsidRPr="00A15F41">
        <w:t>eliminat</w:t>
      </w:r>
      <w:r w:rsidR="005466EA">
        <w:t>ed</w:t>
      </w:r>
      <w:r w:rsidR="00C73246">
        <w:t xml:space="preserve"> by states, as stipulated in </w:t>
      </w:r>
      <w:r w:rsidR="00C73246" w:rsidRPr="00C73246">
        <w:t>Article 5</w:t>
      </w:r>
      <w:r w:rsidR="003E6660">
        <w:t>.</w:t>
      </w:r>
      <w:r w:rsidR="00C73246" w:rsidRPr="00C73246">
        <w:t>1</w:t>
      </w:r>
      <w:r w:rsidR="00C73246">
        <w:t>.</w:t>
      </w:r>
      <w:r w:rsidR="005466EA">
        <w:t xml:space="preserve"> However, the draft does not comprehensively cover this issue and gives it minimal </w:t>
      </w:r>
      <w:r w:rsidR="00E40251">
        <w:t>attention</w:t>
      </w:r>
      <w:r w:rsidR="005466EA">
        <w:t xml:space="preserve">. </w:t>
      </w:r>
    </w:p>
    <w:p w14:paraId="6A6E9D87" w14:textId="3AEC4BA0" w:rsidR="00E40251" w:rsidRDefault="00E40251" w:rsidP="00E40251">
      <w:r>
        <w:t xml:space="preserve">The convention mentions non-discrimination as a guiding </w:t>
      </w:r>
      <w:r w:rsidR="005466EA">
        <w:t>principle but</w:t>
      </w:r>
      <w:r>
        <w:t xml:space="preserve"> does not provide a specific definition</w:t>
      </w:r>
      <w:r w:rsidR="007C73E3">
        <w:t xml:space="preserve"> nor </w:t>
      </w:r>
      <w:r>
        <w:t>guidance on how to ensure this principle is upheld. Furthermore, the draft does not explicitly mention vulnerable groups, such as ethnic and linguistic minorities, as groups that require special protection.</w:t>
      </w:r>
    </w:p>
    <w:p w14:paraId="41AA4233" w14:textId="677E8B45" w:rsidR="00E40251" w:rsidRDefault="002F629A" w:rsidP="00E40251">
      <w:r>
        <w:t xml:space="preserve">Professor </w:t>
      </w:r>
      <w:proofErr w:type="spellStart"/>
      <w:r w:rsidR="00E40251">
        <w:t>Régis</w:t>
      </w:r>
      <w:proofErr w:type="spellEnd"/>
      <w:r w:rsidR="00E40251">
        <w:t xml:space="preserve"> </w:t>
      </w:r>
      <w:proofErr w:type="spellStart"/>
      <w:r w:rsidR="00E40251">
        <w:t>Malet</w:t>
      </w:r>
      <w:proofErr w:type="spellEnd"/>
      <w:r w:rsidR="005466EA">
        <w:t>,</w:t>
      </w:r>
      <w:r w:rsidR="00E40251">
        <w:t xml:space="preserve"> highlights the need for the convention to recogni</w:t>
      </w:r>
      <w:r w:rsidR="002F3B77">
        <w:t>s</w:t>
      </w:r>
      <w:r w:rsidR="00E40251">
        <w:t>e the diversity of groups within societies and the need for targeted measures to address discrimination</w:t>
      </w:r>
      <w:r w:rsidR="00232D40">
        <w:t>/</w:t>
      </w:r>
      <w:r w:rsidR="00E40251">
        <w:t xml:space="preserve">inequalities faced by </w:t>
      </w:r>
      <w:r w:rsidR="00D1479F">
        <w:t xml:space="preserve">these </w:t>
      </w:r>
      <w:r w:rsidR="00E40251">
        <w:t xml:space="preserve">groups. </w:t>
      </w:r>
      <w:proofErr w:type="spellStart"/>
      <w:r w:rsidR="00E40251">
        <w:t>Malet</w:t>
      </w:r>
      <w:proofErr w:type="spellEnd"/>
      <w:r w:rsidR="005466EA">
        <w:t xml:space="preserve">, </w:t>
      </w:r>
      <w:r w:rsidR="00E40251">
        <w:t xml:space="preserve">argues </w:t>
      </w:r>
      <w:r w:rsidR="00D1479F">
        <w:t>th</w:t>
      </w:r>
      <w:r w:rsidR="00FA2531">
        <w:t xml:space="preserve">at </w:t>
      </w:r>
      <w:r w:rsidR="00D1479F">
        <w:t xml:space="preserve">specific </w:t>
      </w:r>
      <w:r w:rsidR="00E40251">
        <w:t xml:space="preserve">policies and programs </w:t>
      </w:r>
      <w:r w:rsidR="00832CC8">
        <w:t>are needed for specific groups’</w:t>
      </w:r>
      <w:r w:rsidR="00E40251">
        <w:t xml:space="preserve"> needs</w:t>
      </w:r>
      <w:r w:rsidR="00D51422" w:rsidRPr="00D51422">
        <w:t xml:space="preserve"> </w:t>
      </w:r>
      <w:r w:rsidR="00500191">
        <w:t>(</w:t>
      </w:r>
      <w:r w:rsidR="00D51422" w:rsidRPr="006E3037">
        <w:t>Eide</w:t>
      </w:r>
      <w:r w:rsidR="00500191">
        <w:t xml:space="preserve"> </w:t>
      </w:r>
      <w:r w:rsidR="00D51422" w:rsidRPr="006E3037">
        <w:t xml:space="preserve">&amp; </w:t>
      </w:r>
      <w:proofErr w:type="spellStart"/>
      <w:r w:rsidR="00D51422" w:rsidRPr="006E3037">
        <w:t>Jørgensen</w:t>
      </w:r>
      <w:proofErr w:type="spellEnd"/>
      <w:r w:rsidR="00D51422">
        <w:t xml:space="preserve"> </w:t>
      </w:r>
      <w:r w:rsidR="00500191" w:rsidRPr="00500191">
        <w:t>799-827</w:t>
      </w:r>
      <w:r w:rsidR="00500191">
        <w:t>)</w:t>
      </w:r>
      <w:r w:rsidR="000B6A04">
        <w:t>.</w:t>
      </w:r>
      <w:r w:rsidR="000B6A04" w:rsidRPr="00D51422">
        <w:t xml:space="preserve"> </w:t>
      </w:r>
      <w:r w:rsidR="00E40251">
        <w:t>Similarly, a report by the UNDP emphasi</w:t>
      </w:r>
      <w:r w:rsidR="008C168A">
        <w:t>s</w:t>
      </w:r>
      <w:r w:rsidR="00E40251">
        <w:t>es the importance of recogni</w:t>
      </w:r>
      <w:r w:rsidR="005466EA">
        <w:t>s</w:t>
      </w:r>
      <w:r w:rsidR="00E40251">
        <w:t xml:space="preserve">ing the specific needs and experiences of minority groups in </w:t>
      </w:r>
      <w:r w:rsidR="00832CC8">
        <w:t>DPDMP</w:t>
      </w:r>
      <w:r w:rsidR="00E40251">
        <w:t>.</w:t>
      </w:r>
    </w:p>
    <w:p w14:paraId="07DDE1D4" w14:textId="526DAE31" w:rsidR="00E40251" w:rsidRDefault="00E40251" w:rsidP="00E40251">
      <w:r>
        <w:t xml:space="preserve">To address this issue, the convention could include explicit provisions to protect the rights of minority groups, including measures to address discrimination. The convention could also establish </w:t>
      </w:r>
      <w:r w:rsidR="007A4763">
        <w:t>external bodies</w:t>
      </w:r>
      <w:r>
        <w:t xml:space="preserve"> </w:t>
      </w:r>
      <w:r w:rsidR="00CF31A6">
        <w:t>like</w:t>
      </w:r>
      <w:r w:rsidR="002310D1">
        <w:t xml:space="preserve"> those in </w:t>
      </w:r>
      <w:r w:rsidR="007A4763">
        <w:t>the case of DPDMP</w:t>
      </w:r>
      <w:r w:rsidR="00CF31A6">
        <w:t xml:space="preserve">, which </w:t>
      </w:r>
      <w:r w:rsidR="007A4763">
        <w:t>monitor</w:t>
      </w:r>
      <w:r w:rsidR="00CF31A6">
        <w:t xml:space="preserve"> and</w:t>
      </w:r>
      <w:r>
        <w:t xml:space="preserve"> ensure that states are complying with their obligations to protect </w:t>
      </w:r>
      <w:r w:rsidR="00086291">
        <w:t xml:space="preserve">minority </w:t>
      </w:r>
      <w:r>
        <w:t>rights.</w:t>
      </w:r>
    </w:p>
    <w:p w14:paraId="11E639BF" w14:textId="285B9292" w:rsidR="00DA4426" w:rsidRDefault="00DA4426" w:rsidP="00E40251">
      <w:r>
        <w:t xml:space="preserve">Another possible solution could be the creation of </w:t>
      </w:r>
      <w:r w:rsidR="00CC6E34" w:rsidRPr="003D4862">
        <w:t>accountability</w:t>
      </w:r>
      <w:r w:rsidR="003D4862" w:rsidRPr="003D4862">
        <w:t xml:space="preserve"> mechanisms to hold individuals or institutions responsible for discriminatory actions. This can involve the creation of </w:t>
      </w:r>
      <w:r w:rsidR="00920F40" w:rsidRPr="003D4862">
        <w:t>investigativ</w:t>
      </w:r>
      <w:r w:rsidR="00920F40">
        <w:t>e</w:t>
      </w:r>
      <w:r w:rsidR="008454E5">
        <w:t xml:space="preserve"> </w:t>
      </w:r>
      <w:r w:rsidR="003D4862" w:rsidRPr="003D4862">
        <w:t>tribunals</w:t>
      </w:r>
      <w:r w:rsidR="008454E5">
        <w:t xml:space="preserve"> which </w:t>
      </w:r>
      <w:r w:rsidR="00CE73F0">
        <w:t>would</w:t>
      </w:r>
      <w:r w:rsidR="003D4862" w:rsidRPr="003D4862">
        <w:t xml:space="preserve"> have the power to sanction or penali</w:t>
      </w:r>
      <w:r w:rsidR="003C3C6F">
        <w:t>s</w:t>
      </w:r>
      <w:r w:rsidR="003D4862" w:rsidRPr="003D4862">
        <w:t>e those found to be engaging in discriminatory practices</w:t>
      </w:r>
      <w:r w:rsidR="00B96CB5">
        <w:t xml:space="preserve">; ultimately, creating a </w:t>
      </w:r>
      <w:r w:rsidR="00A7078F" w:rsidRPr="00A7078F">
        <w:t>culture of responsibility</w:t>
      </w:r>
      <w:r w:rsidR="0061021A">
        <w:t xml:space="preserve"> and retribution</w:t>
      </w:r>
      <w:r w:rsidR="00A7078F" w:rsidRPr="00A7078F">
        <w:t xml:space="preserve"> </w:t>
      </w:r>
      <w:r w:rsidR="0061021A">
        <w:t xml:space="preserve">which will also </w:t>
      </w:r>
      <w:r w:rsidR="00A7078F" w:rsidRPr="00A7078F">
        <w:t>act as a deterrent to future discriminatory behaviour.</w:t>
      </w:r>
      <w:r w:rsidR="00F4118A">
        <w:t xml:space="preserve"> </w:t>
      </w:r>
      <w:r w:rsidR="00FB7B86">
        <w:t xml:space="preserve">The </w:t>
      </w:r>
      <w:r w:rsidR="00FB7B86" w:rsidRPr="00FB7B86">
        <w:t>Canadian Human Rights Commission is</w:t>
      </w:r>
      <w:r w:rsidR="00FB7B86">
        <w:t xml:space="preserve"> a prime example which can be used as model</w:t>
      </w:r>
      <w:r w:rsidR="001902FA">
        <w:t>, its</w:t>
      </w:r>
      <w:r w:rsidR="00FB7B86" w:rsidRPr="00FB7B86">
        <w:t xml:space="preserve"> responsible for investigating complaints of discrimination </w:t>
      </w:r>
      <w:r w:rsidR="009066AD">
        <w:t xml:space="preserve">and </w:t>
      </w:r>
      <w:r w:rsidR="00FB7B86" w:rsidRPr="00FB7B86">
        <w:t>can hold public hearings and make recommendations for remedial action</w:t>
      </w:r>
      <w:r w:rsidR="00276384">
        <w:t>.</w:t>
      </w:r>
    </w:p>
    <w:p w14:paraId="65011BD4" w14:textId="1CEB9804" w:rsidR="00145A74" w:rsidRDefault="00A566C6" w:rsidP="00145A74">
      <w:r w:rsidRPr="00A566C6">
        <w:t>In conclusion, the SD overlooks minority group protection against discrimination and must acknowledge their diversity and needs through specific policies and programs.</w:t>
      </w:r>
    </w:p>
    <w:p w14:paraId="65CDD9FE" w14:textId="0C0AD208" w:rsidR="00F84F3D" w:rsidRPr="00F84F3D" w:rsidRDefault="006B1242" w:rsidP="00F84F3D">
      <w:pPr>
        <w:rPr>
          <w:b/>
          <w:bCs/>
          <w:u w:val="single"/>
        </w:rPr>
      </w:pPr>
      <w:r>
        <w:rPr>
          <w:b/>
          <w:bCs/>
          <w:u w:val="single"/>
        </w:rPr>
        <w:t>Ambiguity</w:t>
      </w:r>
      <w:r w:rsidR="004A2C1C">
        <w:rPr>
          <w:b/>
          <w:bCs/>
          <w:u w:val="single"/>
        </w:rPr>
        <w:t xml:space="preserve"> regarding </w:t>
      </w:r>
      <w:r w:rsidR="00043D70" w:rsidRPr="00043D70">
        <w:rPr>
          <w:b/>
          <w:bCs/>
          <w:u w:val="single"/>
        </w:rPr>
        <w:t xml:space="preserve">the </w:t>
      </w:r>
      <w:r w:rsidR="00B17E0A">
        <w:rPr>
          <w:b/>
          <w:bCs/>
          <w:u w:val="single"/>
        </w:rPr>
        <w:t>r</w:t>
      </w:r>
      <w:r w:rsidR="00043D70" w:rsidRPr="00043D70">
        <w:rPr>
          <w:b/>
          <w:bCs/>
          <w:u w:val="single"/>
        </w:rPr>
        <w:t xml:space="preserve">ight to </w:t>
      </w:r>
      <w:r w:rsidR="00B17E0A">
        <w:rPr>
          <w:b/>
          <w:bCs/>
          <w:u w:val="single"/>
        </w:rPr>
        <w:t>s</w:t>
      </w:r>
      <w:r w:rsidR="00043D70" w:rsidRPr="00043D70">
        <w:rPr>
          <w:b/>
          <w:bCs/>
          <w:u w:val="single"/>
        </w:rPr>
        <w:t>elf-</w:t>
      </w:r>
      <w:r w:rsidR="00B17E0A">
        <w:rPr>
          <w:b/>
          <w:bCs/>
          <w:u w:val="single"/>
        </w:rPr>
        <w:t>d</w:t>
      </w:r>
      <w:r w:rsidR="00043D70" w:rsidRPr="00043D70">
        <w:rPr>
          <w:b/>
          <w:bCs/>
          <w:u w:val="single"/>
        </w:rPr>
        <w:t>etermination</w:t>
      </w:r>
      <w:r w:rsidR="00DC4164">
        <w:rPr>
          <w:b/>
          <w:bCs/>
          <w:u w:val="single"/>
        </w:rPr>
        <w:t xml:space="preserve"> </w:t>
      </w:r>
      <w:r w:rsidR="00043D70" w:rsidRPr="00043D70">
        <w:rPr>
          <w:b/>
          <w:bCs/>
          <w:u w:val="single"/>
        </w:rPr>
        <w:t>for minorities</w:t>
      </w:r>
    </w:p>
    <w:p w14:paraId="6E5A0BC5" w14:textId="151E0658" w:rsidR="00F47870" w:rsidRDefault="00F47870" w:rsidP="00F84F3D">
      <w:r w:rsidRPr="00F47870">
        <w:t xml:space="preserve">Self-determination is the right of a </w:t>
      </w:r>
      <w:r w:rsidR="008B4513">
        <w:t xml:space="preserve">group of </w:t>
      </w:r>
      <w:r w:rsidRPr="00F47870">
        <w:t xml:space="preserve">people to determine their own political status, to pursue their own economic, </w:t>
      </w:r>
      <w:r w:rsidR="004633D0" w:rsidRPr="00F47870">
        <w:t>social,</w:t>
      </w:r>
      <w:r w:rsidRPr="00F47870">
        <w:t xml:space="preserve"> and cultural development,</w:t>
      </w:r>
      <w:r w:rsidR="008B4513">
        <w:t xml:space="preserve"> </w:t>
      </w:r>
      <w:r w:rsidR="000B1E1C">
        <w:t>thus</w:t>
      </w:r>
      <w:r w:rsidR="008B4513">
        <w:t xml:space="preserve">, </w:t>
      </w:r>
      <w:r w:rsidRPr="00F47870">
        <w:t>hav</w:t>
      </w:r>
      <w:r w:rsidR="004633D0">
        <w:t>ing</w:t>
      </w:r>
      <w:r w:rsidRPr="00F47870">
        <w:t xml:space="preserve"> a say in their own governance without external interference. This right is enshrined in international law and is recogni</w:t>
      </w:r>
      <w:r w:rsidR="004633D0">
        <w:t>s</w:t>
      </w:r>
      <w:r w:rsidRPr="00F47870">
        <w:t>ed as a fundamental human right.</w:t>
      </w:r>
    </w:p>
    <w:p w14:paraId="6EC35C04" w14:textId="14C37BB6" w:rsidR="00F84F3D" w:rsidRDefault="00A71854" w:rsidP="00F84F3D">
      <w:r>
        <w:t xml:space="preserve">While the SD includes provisions on the right to self-determination in Article 1, these provisions lack clarity and could be open to abuse. </w:t>
      </w:r>
      <w:r w:rsidR="00F84F3D">
        <w:t>The UK</w:t>
      </w:r>
      <w:r w:rsidR="00500021">
        <w:t xml:space="preserve"> </w:t>
      </w:r>
      <w:r w:rsidR="00F84F3D">
        <w:t xml:space="preserve">expressed concern that the draft </w:t>
      </w:r>
      <w:r w:rsidR="00F84F3D" w:rsidRPr="00B9431F">
        <w:rPr>
          <w:i/>
          <w:iCs/>
        </w:rPr>
        <w:t xml:space="preserve">"could provide a basis for unilateral secession or territorial </w:t>
      </w:r>
      <w:r w:rsidR="00027C9D" w:rsidRPr="00B9431F">
        <w:rPr>
          <w:i/>
          <w:iCs/>
        </w:rPr>
        <w:t>dismemberment and</w:t>
      </w:r>
      <w:r w:rsidR="00F84F3D" w:rsidRPr="00B9431F">
        <w:rPr>
          <w:i/>
          <w:iCs/>
        </w:rPr>
        <w:t xml:space="preserve"> is therefore inconsistent with the principle </w:t>
      </w:r>
      <w:r w:rsidR="00F84F3D" w:rsidRPr="00B9431F">
        <w:rPr>
          <w:i/>
          <w:iCs/>
        </w:rPr>
        <w:lastRenderedPageBreak/>
        <w:t>of territorial integrity."</w:t>
      </w:r>
      <w:r w:rsidR="00757DE4">
        <w:t xml:space="preserve"> </w:t>
      </w:r>
      <w:r w:rsidR="00F84F3D">
        <w:t xml:space="preserve">Similarly, the European Union has noted that </w:t>
      </w:r>
      <w:r w:rsidR="00F84F3D" w:rsidRPr="00B9431F">
        <w:rPr>
          <w:i/>
          <w:iCs/>
        </w:rPr>
        <w:t>"the precise meaning and scope of the right to self-determination is not clear."</w:t>
      </w:r>
    </w:p>
    <w:p w14:paraId="453967F6" w14:textId="50C7719D" w:rsidR="00F84F3D" w:rsidRDefault="0080715A" w:rsidP="00F84F3D">
      <w:r>
        <w:t xml:space="preserve">As mentioned, the </w:t>
      </w:r>
      <w:r w:rsidR="0083544B">
        <w:t>ambiguity</w:t>
      </w:r>
      <w:r w:rsidR="00994FF9">
        <w:t xml:space="preserve"> of the provisions</w:t>
      </w:r>
      <w:r w:rsidR="0083544B">
        <w:t xml:space="preserve"> </w:t>
      </w:r>
      <w:r w:rsidR="00F84F3D">
        <w:t>leave</w:t>
      </w:r>
      <w:r w:rsidR="004A272E">
        <w:t>s</w:t>
      </w:r>
      <w:r w:rsidR="00F84F3D">
        <w:t xml:space="preserve"> open the possibility of abuse by states.</w:t>
      </w:r>
      <w:r w:rsidR="00136380" w:rsidRPr="00136380">
        <w:t xml:space="preserve"> Anastasia </w:t>
      </w:r>
      <w:proofErr w:type="spellStart"/>
      <w:r w:rsidR="00136380" w:rsidRPr="00136380">
        <w:t>Ufimtseva</w:t>
      </w:r>
      <w:proofErr w:type="spellEnd"/>
      <w:r w:rsidR="00136380">
        <w:t>,</w:t>
      </w:r>
      <w:r w:rsidR="00F84F3D">
        <w:t xml:space="preserve"> an international law expert</w:t>
      </w:r>
      <w:r w:rsidR="00136380">
        <w:t>,</w:t>
      </w:r>
      <w:r w:rsidR="00F84F3D">
        <w:t xml:space="preserve"> has noted</w:t>
      </w:r>
      <w:r w:rsidR="003B68A4">
        <w:t xml:space="preserve"> </w:t>
      </w:r>
      <w:r w:rsidR="00B53883">
        <w:t xml:space="preserve">that </w:t>
      </w:r>
      <w:r w:rsidR="00F84F3D" w:rsidRPr="00CE0D5D">
        <w:rPr>
          <w:i/>
          <w:iCs/>
        </w:rPr>
        <w:t>"the notion of self-determination is often associated with the right to secession</w:t>
      </w:r>
      <w:r w:rsidR="00D6316D" w:rsidRPr="00CE0D5D">
        <w:rPr>
          <w:i/>
          <w:iCs/>
        </w:rPr>
        <w:t>,</w:t>
      </w:r>
      <w:r w:rsidR="00F84F3D" w:rsidRPr="00CE0D5D">
        <w:rPr>
          <w:i/>
          <w:iCs/>
        </w:rPr>
        <w:t xml:space="preserve"> which can be a contentious issue in many countries where minority groups seek greater autonomy"</w:t>
      </w:r>
      <w:r w:rsidR="00402E50">
        <w:t xml:space="preserve"> (</w:t>
      </w:r>
      <w:r w:rsidR="00402E50" w:rsidRPr="00BE0FA4">
        <w:t>41</w:t>
      </w:r>
      <w:r w:rsidR="00402E50">
        <w:t>-</w:t>
      </w:r>
      <w:r w:rsidR="00402E50" w:rsidRPr="00BE0FA4">
        <w:t>57</w:t>
      </w:r>
      <w:r w:rsidR="00402E50">
        <w:t>)</w:t>
      </w:r>
      <w:r w:rsidR="00A85BA8">
        <w:t>.</w:t>
      </w:r>
      <w:r w:rsidR="00F84F3D">
        <w:t xml:space="preserve"> </w:t>
      </w:r>
      <w:r w:rsidR="00433020">
        <w:t xml:space="preserve">Consequently, many states </w:t>
      </w:r>
      <w:r w:rsidR="001D0749">
        <w:t>incorrectly attribut</w:t>
      </w:r>
      <w:r w:rsidR="009863AC">
        <w:t>e</w:t>
      </w:r>
      <w:r w:rsidR="001D0749">
        <w:t xml:space="preserve"> self-determination to solely secession, result</w:t>
      </w:r>
      <w:r w:rsidR="009863AC">
        <w:t xml:space="preserve">ing </w:t>
      </w:r>
      <w:r w:rsidR="001D0749">
        <w:t xml:space="preserve">in many taking measures to </w:t>
      </w:r>
      <w:r w:rsidR="007A03CF">
        <w:t xml:space="preserve">prevent minorities from gaining </w:t>
      </w:r>
      <w:r w:rsidR="009863AC">
        <w:t>any</w:t>
      </w:r>
      <w:r w:rsidR="007A03CF">
        <w:t xml:space="preserve"> rights due to fear of territorial loss. </w:t>
      </w:r>
      <w:r w:rsidR="00F84F3D">
        <w:t>Additionally, the</w:t>
      </w:r>
      <w:r w:rsidR="005E5222">
        <w:t xml:space="preserve"> ambiguity cause</w:t>
      </w:r>
      <w:r w:rsidR="00393B1A">
        <w:t>s</w:t>
      </w:r>
      <w:r w:rsidR="005E5222">
        <w:t xml:space="preserve"> inconsistent </w:t>
      </w:r>
      <w:r w:rsidR="00393B1A">
        <w:t>implementation of the Convention</w:t>
      </w:r>
      <w:r w:rsidR="00F84F3D">
        <w:t xml:space="preserve">, as the meaning of the </w:t>
      </w:r>
      <w:r w:rsidR="00DC4164">
        <w:t>RSD</w:t>
      </w:r>
      <w:r w:rsidR="00F84F3D">
        <w:t xml:space="preserve"> is open to interpretation</w:t>
      </w:r>
      <w:r w:rsidR="00D673A7">
        <w:t xml:space="preserve"> and many </w:t>
      </w:r>
      <w:r w:rsidR="00540AA2">
        <w:t xml:space="preserve">states </w:t>
      </w:r>
      <w:r w:rsidR="00D673A7">
        <w:t xml:space="preserve">would </w:t>
      </w:r>
      <w:r w:rsidR="00210122" w:rsidRPr="00210122">
        <w:t>interpret the right in ways that serve their own interest</w:t>
      </w:r>
      <w:r w:rsidR="00D673A7">
        <w:t>.</w:t>
      </w:r>
    </w:p>
    <w:p w14:paraId="6FCA4FAD" w14:textId="3F88BC21" w:rsidR="00F84F3D" w:rsidRDefault="00F84F3D" w:rsidP="00F84F3D">
      <w:r>
        <w:t>To address this issue, it is important that the convention provide</w:t>
      </w:r>
      <w:r w:rsidR="00D673A7">
        <w:t>s</w:t>
      </w:r>
      <w:r>
        <w:t xml:space="preserve"> a clear and concise definition of the </w:t>
      </w:r>
      <w:r w:rsidR="0066624E">
        <w:t>RSD</w:t>
      </w:r>
      <w:r>
        <w:t xml:space="preserve">. As </w:t>
      </w:r>
      <w:proofErr w:type="spellStart"/>
      <w:r>
        <w:t>Ufimtseva</w:t>
      </w:r>
      <w:proofErr w:type="spellEnd"/>
      <w:r>
        <w:t xml:space="preserve"> has suggested, </w:t>
      </w:r>
      <w:r w:rsidRPr="0066624E">
        <w:rPr>
          <w:i/>
          <w:iCs/>
        </w:rPr>
        <w:t>"the right to self-determination should be interpreted in a way that is consistent with international law and does not violate the territorial integrity of states."</w:t>
      </w:r>
      <w:r w:rsidR="00A85BA8">
        <w:t xml:space="preserve"> (</w:t>
      </w:r>
      <w:r w:rsidR="00A85BA8" w:rsidRPr="00BE0FA4">
        <w:t>41</w:t>
      </w:r>
      <w:r w:rsidR="00A85BA8">
        <w:t>-</w:t>
      </w:r>
      <w:r w:rsidR="00A85BA8" w:rsidRPr="00BE0FA4">
        <w:t>57</w:t>
      </w:r>
      <w:r w:rsidR="00A85BA8">
        <w:t>).</w:t>
      </w:r>
      <w:r>
        <w:t xml:space="preserve"> This could be achieved by providing guidance on the circumstances in which the right can be exercised, and by specifying the rights and responsibilities of both minority groups and the state in the process.</w:t>
      </w:r>
    </w:p>
    <w:p w14:paraId="0F0FB19D" w14:textId="25CE2577" w:rsidR="00C87694" w:rsidRDefault="00C80048" w:rsidP="00F84F3D">
      <w:r w:rsidRPr="00C80048">
        <w:t>Additionally</w:t>
      </w:r>
      <w:r>
        <w:t>, p</w:t>
      </w:r>
      <w:r w:rsidRPr="00FC0ABC">
        <w:t xml:space="preserve">roviding </w:t>
      </w:r>
      <w:r>
        <w:t>l</w:t>
      </w:r>
      <w:r w:rsidR="00C87694" w:rsidRPr="00C87694">
        <w:t xml:space="preserve">egal assistance and mediation services can help </w:t>
      </w:r>
      <w:r>
        <w:t xml:space="preserve">resolve </w:t>
      </w:r>
      <w:r w:rsidR="00C87694" w:rsidRPr="00C87694">
        <w:t>the issue of self-determination by aiding conflict resolution between states and minority groups. These services provide minority groups with the resources and knowledge to navigate legal processes and negotiate with states</w:t>
      </w:r>
      <w:r w:rsidR="00E8506E" w:rsidRPr="00E8506E">
        <w:t xml:space="preserve"> </w:t>
      </w:r>
      <w:r w:rsidR="00E8506E" w:rsidRPr="00FC0ABC">
        <w:t>for their rights</w:t>
      </w:r>
      <w:r w:rsidR="00C87694" w:rsidRPr="00C87694">
        <w:t xml:space="preserve">. Mediation facilitates dialogue and compromise, potentially leading to greater autonomy and recognition of minority rights, while helping states avoid conflict and secession. </w:t>
      </w:r>
    </w:p>
    <w:p w14:paraId="1B7FB6E4" w14:textId="3306067D" w:rsidR="008D518F" w:rsidRDefault="008D518F" w:rsidP="00F84F3D">
      <w:r w:rsidRPr="008D518F">
        <w:t>In conclusion, the right to self-determination is a fundamental human right recogni</w:t>
      </w:r>
      <w:r>
        <w:t>s</w:t>
      </w:r>
      <w:r w:rsidRPr="008D518F">
        <w:t xml:space="preserve">ed by international law, yet </w:t>
      </w:r>
      <w:r>
        <w:t xml:space="preserve">the SD </w:t>
      </w:r>
      <w:r w:rsidR="00A709F0">
        <w:t>l</w:t>
      </w:r>
      <w:r w:rsidRPr="008D518F">
        <w:t>ack</w:t>
      </w:r>
      <w:r w:rsidR="00A709F0">
        <w:t>s</w:t>
      </w:r>
      <w:r w:rsidRPr="008D518F">
        <w:t xml:space="preserve"> clarity</w:t>
      </w:r>
      <w:r w:rsidR="00A709F0">
        <w:t xml:space="preserve"> regarding this</w:t>
      </w:r>
      <w:r w:rsidRPr="008D518F">
        <w:t xml:space="preserve">. Clear definitions and guidelines are needed to prevent ambiguity and ensure that the right is interpreted in a </w:t>
      </w:r>
      <w:r w:rsidR="00116653">
        <w:t xml:space="preserve">correct </w:t>
      </w:r>
      <w:r w:rsidRPr="008D518F">
        <w:t>way. Legal assistance and mediation services can also play a crucial role in resolving conflicts related to self-determination.</w:t>
      </w:r>
    </w:p>
    <w:p w14:paraId="36224C7A" w14:textId="52045BB8" w:rsidR="00F84F3D" w:rsidRPr="00F84F3D" w:rsidRDefault="004A2C1C" w:rsidP="00F84F3D">
      <w:pPr>
        <w:rPr>
          <w:b/>
          <w:bCs/>
          <w:u w:val="single"/>
        </w:rPr>
      </w:pPr>
      <w:bookmarkStart w:id="0" w:name="_Hlk131696285"/>
      <w:r w:rsidRPr="004A2C1C">
        <w:rPr>
          <w:b/>
          <w:bCs/>
          <w:u w:val="single"/>
        </w:rPr>
        <w:t>Inadequate protection for cultural rights and heritage of indigenous peoples and other minorit</w:t>
      </w:r>
      <w:r>
        <w:rPr>
          <w:b/>
          <w:bCs/>
          <w:u w:val="single"/>
        </w:rPr>
        <w:t>ies</w:t>
      </w:r>
    </w:p>
    <w:bookmarkEnd w:id="0"/>
    <w:p w14:paraId="56FA617E" w14:textId="1FFF03EB" w:rsidR="007C2C79" w:rsidRDefault="007C2C79" w:rsidP="00F84F3D">
      <w:r w:rsidRPr="007C2C79">
        <w:t>Cultural rights and heritage of indigenous peoples and minorities refer to th</w:t>
      </w:r>
      <w:r>
        <w:t>eir</w:t>
      </w:r>
      <w:r w:rsidRPr="007C2C79">
        <w:t xml:space="preserve"> right to maintain</w:t>
      </w:r>
      <w:r w:rsidR="006601A3">
        <w:t xml:space="preserve">, </w:t>
      </w:r>
      <w:r w:rsidRPr="007C2C79">
        <w:t xml:space="preserve">develop, and express their own cultural identities, including languages, beliefs, customs, and traditions. It is an essential aspect of their identity and a means of preserving their unique heritage for future generations. </w:t>
      </w:r>
    </w:p>
    <w:p w14:paraId="1662E841" w14:textId="7A0ECC08" w:rsidR="00F84F3D" w:rsidRDefault="00F84F3D" w:rsidP="00F84F3D">
      <w:r>
        <w:t xml:space="preserve">The </w:t>
      </w:r>
      <w:r w:rsidR="00850231">
        <w:t>SD</w:t>
      </w:r>
      <w:r>
        <w:t xml:space="preserve"> </w:t>
      </w:r>
      <w:r w:rsidR="00850231">
        <w:t xml:space="preserve">does </w:t>
      </w:r>
      <w:r>
        <w:t>not adequately protect th</w:t>
      </w:r>
      <w:r w:rsidR="006867E2">
        <w:t>is right</w:t>
      </w:r>
      <w:r w:rsidR="003C5EC0">
        <w:t>,</w:t>
      </w:r>
      <w:r w:rsidR="006867E2">
        <w:t xml:space="preserve"> </w:t>
      </w:r>
      <w:r w:rsidR="003C5EC0">
        <w:t>as t</w:t>
      </w:r>
      <w:r>
        <w:t xml:space="preserve">he draft only briefly mentions the need to protect cultural diversity and heritage, without addressing the specific concerns of minority communities. </w:t>
      </w:r>
      <w:r w:rsidR="0085343B" w:rsidRPr="0085343B">
        <w:t>Article 6 of the draft does acknowledge the importance of cultural diversity in development and calls for respect for cultural identity and heritage</w:t>
      </w:r>
      <w:r w:rsidR="0085343B">
        <w:t xml:space="preserve"> </w:t>
      </w:r>
      <w:r>
        <w:t>but does not provide a specific framework for protecting cultural rights.</w:t>
      </w:r>
    </w:p>
    <w:p w14:paraId="7B4BD23A" w14:textId="708F19FD" w:rsidR="00F84F3D" w:rsidRDefault="00893DD7" w:rsidP="00F84F3D">
      <w:r>
        <w:t xml:space="preserve">The </w:t>
      </w:r>
      <w:r w:rsidR="00F84F3D">
        <w:t>lack of consultation with indigenous peoples and other minorit</w:t>
      </w:r>
      <w:r w:rsidR="009B0F9E">
        <w:t xml:space="preserve">ies </w:t>
      </w:r>
      <w:r w:rsidR="00F84F3D">
        <w:t>during the drafting process</w:t>
      </w:r>
      <w:r w:rsidR="00687983">
        <w:t xml:space="preserve"> is a significant issue</w:t>
      </w:r>
      <w:r w:rsidR="00F84F3D">
        <w:t>. As Indigenous scholar</w:t>
      </w:r>
      <w:r w:rsidR="00687983">
        <w:t>,</w:t>
      </w:r>
      <w:r w:rsidR="00F84F3D">
        <w:t xml:space="preserve"> Erika George notes, "</w:t>
      </w:r>
      <w:r w:rsidR="00F84F3D" w:rsidRPr="00757DE4">
        <w:rPr>
          <w:i/>
          <w:iCs/>
        </w:rPr>
        <w:t>the Convention does not appear to have been developed with the input or guidance of those who are most likely to be affected by its provisions."</w:t>
      </w:r>
      <w:r w:rsidR="00757DE4">
        <w:t xml:space="preserve"> (George </w:t>
      </w:r>
      <w:r w:rsidR="00AB2A60">
        <w:t>125-149)</w:t>
      </w:r>
      <w:r w:rsidR="00F84F3D">
        <w:t xml:space="preserve"> This lack of consultation has led to concerns that the Convention does not reflect the unique cultural and historical experiences of minority communities.</w:t>
      </w:r>
    </w:p>
    <w:p w14:paraId="1F778DB3" w14:textId="0FA1A9B4" w:rsidR="00F84F3D" w:rsidRDefault="00F84F3D" w:rsidP="00F84F3D">
      <w:r>
        <w:t>Moreover, the Convention does not provide explicit protection for the intellectual property rights</w:t>
      </w:r>
      <w:r w:rsidR="005D0BEB">
        <w:t xml:space="preserve"> (IPR)</w:t>
      </w:r>
      <w:r>
        <w:t xml:space="preserve"> of Indigenous peoples</w:t>
      </w:r>
      <w:r w:rsidR="00BB2862">
        <w:t xml:space="preserve">. </w:t>
      </w:r>
      <w:r>
        <w:t xml:space="preserve">The Convention does not establish a clear mechanism for protecting </w:t>
      </w:r>
      <w:r>
        <w:lastRenderedPageBreak/>
        <w:t>Indigenous peoples' traditional knowledge and cultural expressions, which are often subject to exploitation and appropriation by non-Indigenous actors.</w:t>
      </w:r>
    </w:p>
    <w:p w14:paraId="5DF75252" w14:textId="7DC7A696" w:rsidR="004D444E" w:rsidRDefault="00415077" w:rsidP="00177154">
      <w:r>
        <w:t>Possible solutio</w:t>
      </w:r>
      <w:r w:rsidR="003D0304">
        <w:t>ns to</w:t>
      </w:r>
      <w:r w:rsidR="004D444E" w:rsidRPr="004D444E">
        <w:t xml:space="preserve"> protect minority and indigenous cultural rights could involve initiatives to raise awareness about cultural diversity and heritage through educational programs</w:t>
      </w:r>
      <w:r w:rsidR="009B0682" w:rsidRPr="009B0682">
        <w:t xml:space="preserve"> </w:t>
      </w:r>
      <w:r w:rsidR="009B0682" w:rsidRPr="00AF0D09">
        <w:t>for both minority groups and the wider population</w:t>
      </w:r>
      <w:r w:rsidR="004D444E" w:rsidRPr="004D444E">
        <w:t>, public campaigns, and media outreach. These efforts promote greater understanding and appreciation for the cultural contributions of these groups and respect for their rights to self-determination. This creates a more supportive environment for the inclusion of their practices and traditions in development processes and prevents marginali</w:t>
      </w:r>
      <w:r w:rsidR="00472D83">
        <w:t>s</w:t>
      </w:r>
      <w:r w:rsidR="004D444E" w:rsidRPr="004D444E">
        <w:t>ation and erasure.</w:t>
      </w:r>
    </w:p>
    <w:p w14:paraId="6EDA4B00" w14:textId="77777777" w:rsidR="00790C10" w:rsidRDefault="00F84F3D" w:rsidP="00790C10">
      <w:r>
        <w:t>Additionally, the Convention could provide greater support for the preservation and promotion of Indigenous languages</w:t>
      </w:r>
      <w:r w:rsidR="00625D5B">
        <w:t xml:space="preserve"> and cultural practices</w:t>
      </w:r>
      <w:r>
        <w:t xml:space="preserve">. </w:t>
      </w:r>
      <w:r w:rsidR="00824421">
        <w:t xml:space="preserve">It is widely established that </w:t>
      </w:r>
      <w:r w:rsidR="000B144E">
        <w:t>l</w:t>
      </w:r>
      <w:r>
        <w:t xml:space="preserve">anguage </w:t>
      </w:r>
      <w:r w:rsidR="000B144E">
        <w:t>and</w:t>
      </w:r>
      <w:r>
        <w:t xml:space="preserve"> culture</w:t>
      </w:r>
      <w:r w:rsidR="000B144E">
        <w:t xml:space="preserve"> are inseparable </w:t>
      </w:r>
      <w:r w:rsidR="008507C8">
        <w:t>as the former encodes the latter, as such, t</w:t>
      </w:r>
      <w:r>
        <w:t>he Convention could establish a fund specifically designed to support the revitali</w:t>
      </w:r>
      <w:r w:rsidR="004C2D42">
        <w:t>s</w:t>
      </w:r>
      <w:r>
        <w:t>ation and preservation of Indigenous languages, which are often at risk of extinction due to colonialism, globali</w:t>
      </w:r>
      <w:r w:rsidR="004C2D42">
        <w:t>s</w:t>
      </w:r>
      <w:r>
        <w:t>ation, and other forms of oppression.</w:t>
      </w:r>
      <w:r w:rsidR="00177154" w:rsidRPr="00177154">
        <w:t xml:space="preserve"> </w:t>
      </w:r>
    </w:p>
    <w:p w14:paraId="0DD06FDB" w14:textId="563FF1A1" w:rsidR="00177154" w:rsidRDefault="00AD0A47" w:rsidP="00177154">
      <w:r>
        <w:t xml:space="preserve">Furthermore, </w:t>
      </w:r>
      <w:r w:rsidR="009627A2">
        <w:t xml:space="preserve">IPR </w:t>
      </w:r>
      <w:r w:rsidR="00016014">
        <w:t xml:space="preserve">of these groups </w:t>
      </w:r>
      <w:r w:rsidR="00790C10" w:rsidRPr="00C43C90">
        <w:t xml:space="preserve">can be </w:t>
      </w:r>
      <w:r w:rsidR="00016014">
        <w:t xml:space="preserve">protected </w:t>
      </w:r>
      <w:r w:rsidR="00790C10">
        <w:t>through</w:t>
      </w:r>
      <w:r w:rsidR="00790C10" w:rsidRPr="00C43C90">
        <w:t xml:space="preserve"> </w:t>
      </w:r>
      <w:r w:rsidR="00790C10">
        <w:t xml:space="preserve">requiring states to introduce </w:t>
      </w:r>
      <w:r w:rsidR="00790C10" w:rsidRPr="00C43C90">
        <w:t>leg</w:t>
      </w:r>
      <w:r w:rsidR="00790C10">
        <w:t>islative measures</w:t>
      </w:r>
      <w:r w:rsidR="00790C10" w:rsidRPr="00C43C90">
        <w:t xml:space="preserve"> to protect their </w:t>
      </w:r>
      <w:r w:rsidR="009627A2">
        <w:t xml:space="preserve">IPR </w:t>
      </w:r>
      <w:r w:rsidR="00790C10" w:rsidRPr="00C43C90">
        <w:t>and prevent their unauthori</w:t>
      </w:r>
      <w:r w:rsidR="00790C10">
        <w:t>s</w:t>
      </w:r>
      <w:r w:rsidR="00790C10" w:rsidRPr="00C43C90">
        <w:t xml:space="preserve">ed use, appropriation, or exploitation by others. </w:t>
      </w:r>
      <w:r w:rsidR="00790C10">
        <w:t xml:space="preserve">This mechanism could be designed to ensure that Indigenous peoples and other minority groups </w:t>
      </w:r>
      <w:r w:rsidR="00925DB5">
        <w:t xml:space="preserve">determine clear rules of </w:t>
      </w:r>
      <w:r w:rsidR="00790C10">
        <w:t>how their cultural heritage is protected</w:t>
      </w:r>
      <w:r w:rsidR="00AA0C53">
        <w:t>/</w:t>
      </w:r>
      <w:r w:rsidR="00790C10">
        <w:t>promoted</w:t>
      </w:r>
      <w:r w:rsidR="00010133">
        <w:t xml:space="preserve"> </w:t>
      </w:r>
      <w:r w:rsidR="00790C10">
        <w:t>by non-Indigenous actors.</w:t>
      </w:r>
    </w:p>
    <w:p w14:paraId="498A8F5B" w14:textId="31838079" w:rsidR="00F84F3D" w:rsidRDefault="00B20C90" w:rsidP="00F84F3D">
      <w:r w:rsidRPr="00B20C90">
        <w:t xml:space="preserve">In conclusion, the SD fails to adequately protect the cultural rights and heritage of indigenous peoples and minorities. Lack of consultation and explicit protection of intellectual property rights are major issues. Initiatives to raise awareness and greater support for the preservation of indigenous languages and cultural practices could address these gaps. </w:t>
      </w:r>
    </w:p>
    <w:p w14:paraId="74441659" w14:textId="1D38CB32" w:rsidR="00ED43CA" w:rsidRPr="00ED43CA" w:rsidRDefault="00ED43CA" w:rsidP="00ED43CA">
      <w:pPr>
        <w:rPr>
          <w:b/>
          <w:bCs/>
          <w:u w:val="single"/>
        </w:rPr>
      </w:pPr>
      <w:r w:rsidRPr="00ED43CA">
        <w:rPr>
          <w:b/>
          <w:bCs/>
          <w:u w:val="single"/>
        </w:rPr>
        <w:t>Conclusion:</w:t>
      </w:r>
    </w:p>
    <w:p w14:paraId="457C9225" w14:textId="5E6198FD" w:rsidR="00ED43CA" w:rsidRDefault="00A465CE" w:rsidP="00ED43CA">
      <w:r>
        <w:t>I</w:t>
      </w:r>
      <w:r w:rsidR="00ED66FF" w:rsidRPr="00ED66FF">
        <w:t xml:space="preserve">t is evident that the protection and promotion of the rights of minorities and indigenous peoples is crucial for building inclusive and just societies. The four </w:t>
      </w:r>
      <w:r w:rsidR="00554403">
        <w:t xml:space="preserve">issues </w:t>
      </w:r>
      <w:r w:rsidR="00ED66FF" w:rsidRPr="00ED66FF">
        <w:t xml:space="preserve">discussed in this </w:t>
      </w:r>
      <w:r w:rsidR="00EB1799">
        <w:t xml:space="preserve">report are </w:t>
      </w:r>
      <w:r w:rsidR="00ED66FF" w:rsidRPr="00ED66FF">
        <w:t xml:space="preserve">just some of the </w:t>
      </w:r>
      <w:r w:rsidR="00C27C36">
        <w:t xml:space="preserve">issues the </w:t>
      </w:r>
      <w:r w:rsidR="00554403">
        <w:t xml:space="preserve">SD </w:t>
      </w:r>
      <w:r w:rsidR="00C27C36">
        <w:t xml:space="preserve">needs to </w:t>
      </w:r>
      <w:r w:rsidR="00EB1799">
        <w:t>address to</w:t>
      </w:r>
      <w:r w:rsidR="00554403">
        <w:t xml:space="preserve"> create a convention that is just, </w:t>
      </w:r>
      <w:r w:rsidR="00F465AF">
        <w:t>fair,</w:t>
      </w:r>
      <w:r w:rsidR="00554403">
        <w:t xml:space="preserve"> and equitable. </w:t>
      </w:r>
      <w:r w:rsidR="00ED66FF" w:rsidRPr="00ED66FF">
        <w:t xml:space="preserve">Addressing these </w:t>
      </w:r>
      <w:r w:rsidR="00F465AF">
        <w:t xml:space="preserve">gaps </w:t>
      </w:r>
      <w:r w:rsidR="00ED66FF" w:rsidRPr="00ED66FF">
        <w:t>requires collective action from governments, civil society, and international organi</w:t>
      </w:r>
      <w:r w:rsidR="00F465AF">
        <w:t>s</w:t>
      </w:r>
      <w:r w:rsidR="00ED66FF" w:rsidRPr="00ED66FF">
        <w:t xml:space="preserve">ations to ensure that the rights of minorities and indigenous peoples are respected, protected, and </w:t>
      </w:r>
      <w:r w:rsidR="008F66D4">
        <w:t>fulfilled.</w:t>
      </w:r>
    </w:p>
    <w:p w14:paraId="32784197" w14:textId="77777777" w:rsidR="00AF08C7" w:rsidRDefault="00AF08C7" w:rsidP="00ED43CA"/>
    <w:p w14:paraId="235AF028" w14:textId="77777777" w:rsidR="00AF08C7" w:rsidRDefault="00AF08C7" w:rsidP="00ED43CA"/>
    <w:p w14:paraId="2EEE0079" w14:textId="77777777" w:rsidR="00AF08C7" w:rsidRDefault="00AF08C7" w:rsidP="00ED43CA"/>
    <w:p w14:paraId="1E390B06" w14:textId="77777777" w:rsidR="00AF08C7" w:rsidRDefault="00AF08C7" w:rsidP="00ED43CA"/>
    <w:p w14:paraId="03DA127F" w14:textId="77777777" w:rsidR="00AF08C7" w:rsidRDefault="00AF08C7" w:rsidP="00ED43CA"/>
    <w:p w14:paraId="1E6B2FA9" w14:textId="77777777" w:rsidR="00AF08C7" w:rsidRDefault="00AF08C7" w:rsidP="00ED43CA"/>
    <w:p w14:paraId="3155D657" w14:textId="77777777" w:rsidR="00AF08C7" w:rsidRDefault="00AF08C7" w:rsidP="00ED43CA"/>
    <w:p w14:paraId="0FC5ADA9" w14:textId="77777777" w:rsidR="00AF08C7" w:rsidRDefault="00AF08C7" w:rsidP="00ED43CA"/>
    <w:p w14:paraId="027443D3" w14:textId="77777777" w:rsidR="00AF08C7" w:rsidRDefault="00AF08C7" w:rsidP="00ED43CA"/>
    <w:p w14:paraId="6385EC68" w14:textId="77777777" w:rsidR="00AF08C7" w:rsidRDefault="00AF08C7" w:rsidP="00ED43CA"/>
    <w:p w14:paraId="3F90ADA4" w14:textId="77777777" w:rsidR="00AF08C7" w:rsidRPr="00AF08C7" w:rsidRDefault="00AF08C7" w:rsidP="00AF08C7">
      <w:pPr>
        <w:rPr>
          <w:b/>
          <w:bCs/>
          <w:u w:val="single"/>
        </w:rPr>
      </w:pPr>
      <w:r w:rsidRPr="00AF08C7">
        <w:rPr>
          <w:b/>
          <w:bCs/>
          <w:u w:val="single"/>
        </w:rPr>
        <w:lastRenderedPageBreak/>
        <w:t xml:space="preserve">References: </w:t>
      </w:r>
    </w:p>
    <w:p w14:paraId="2C623BC7" w14:textId="77777777" w:rsidR="00AF08C7" w:rsidRDefault="00AF08C7" w:rsidP="00AF08C7">
      <w:r w:rsidRPr="00677D94">
        <w:t>Office of the United Nations High Commissioner for Human Rights. “</w:t>
      </w:r>
      <w:r w:rsidRPr="00677D94">
        <w:rPr>
          <w:i/>
          <w:iCs/>
        </w:rPr>
        <w:t>The Right to Participation in Public Affairs: A Human Rights-Based Approach.</w:t>
      </w:r>
      <w:r w:rsidRPr="00677D94">
        <w:t>” United Nations, 2018, www.ohchr.org/EN/Issues/Participation/Pages/HRBAparticipation.aspx.</w:t>
      </w:r>
    </w:p>
    <w:p w14:paraId="4F9C1AE8" w14:textId="77777777" w:rsidR="00AF08C7" w:rsidRDefault="00AF08C7" w:rsidP="00AF08C7">
      <w:pPr>
        <w:rPr>
          <w:i/>
          <w:iCs/>
        </w:rPr>
      </w:pPr>
      <w:proofErr w:type="spellStart"/>
      <w:r w:rsidRPr="00580EF0">
        <w:t>Jahanbegloo</w:t>
      </w:r>
      <w:proofErr w:type="spellEnd"/>
      <w:r w:rsidRPr="00580EF0">
        <w:t xml:space="preserve">, </w:t>
      </w:r>
      <w:proofErr w:type="spellStart"/>
      <w:r w:rsidRPr="00580EF0">
        <w:t>Ramin</w:t>
      </w:r>
      <w:proofErr w:type="spellEnd"/>
      <w:r w:rsidRPr="00580EF0">
        <w:t xml:space="preserve">. </w:t>
      </w:r>
      <w:r w:rsidRPr="00580EF0">
        <w:rPr>
          <w:i/>
          <w:iCs/>
        </w:rPr>
        <w:t>“The Clash of Intolerances: The Religious and Ethnic Sources of Conflict in the 21st Century.”</w:t>
      </w:r>
      <w:r w:rsidRPr="00580EF0">
        <w:t xml:space="preserve"> London, UK: Zed Books, 2007.</w:t>
      </w:r>
    </w:p>
    <w:p w14:paraId="32C1196A" w14:textId="77777777" w:rsidR="00AF08C7" w:rsidRDefault="00AF08C7" w:rsidP="00AF08C7">
      <w:r w:rsidRPr="006E3037">
        <w:t xml:space="preserve">Eide, A., &amp; </w:t>
      </w:r>
      <w:proofErr w:type="spellStart"/>
      <w:r w:rsidRPr="006E3037">
        <w:t>Jørgensen</w:t>
      </w:r>
      <w:proofErr w:type="spellEnd"/>
      <w:r w:rsidRPr="006E3037">
        <w:t xml:space="preserve">, R. F. </w:t>
      </w:r>
      <w:r w:rsidRPr="006E3037">
        <w:rPr>
          <w:i/>
          <w:iCs/>
        </w:rPr>
        <w:t>"The right to development and minorities."</w:t>
      </w:r>
      <w:r w:rsidRPr="006E3037">
        <w:t xml:space="preserve"> European Journal of International Law, vol. 21, no. 4, 2010, pp. 799-827.</w:t>
      </w:r>
    </w:p>
    <w:p w14:paraId="34F8B6E6" w14:textId="77777777" w:rsidR="00AF08C7" w:rsidRDefault="00AF08C7" w:rsidP="00AF08C7">
      <w:r>
        <w:t xml:space="preserve">UNDP </w:t>
      </w:r>
      <w:r w:rsidRPr="007D03D3">
        <w:rPr>
          <w:i/>
          <w:iCs/>
        </w:rPr>
        <w:t>“Localizing MDGs for Poverty Reduction in Viet Nam: Promoting Ethnic Minority Development”</w:t>
      </w:r>
      <w:r>
        <w:t xml:space="preserve"> Poverty Task Force, 2002, </w:t>
      </w:r>
      <w:r w:rsidRPr="007D03D3">
        <w:t>https://www.undp.org/sites/g/files/zskgke326/files/migration/vn/21978_5300_ethnic2002.pdf</w:t>
      </w:r>
    </w:p>
    <w:p w14:paraId="448D62A8" w14:textId="77777777" w:rsidR="00AF08C7" w:rsidRDefault="00AF08C7" w:rsidP="00AF08C7">
      <w:proofErr w:type="spellStart"/>
      <w:r w:rsidRPr="00BE0FA4">
        <w:t>Ufimtseva</w:t>
      </w:r>
      <w:proofErr w:type="spellEnd"/>
      <w:r w:rsidRPr="00BE0FA4">
        <w:t xml:space="preserve">, Anastasia. </w:t>
      </w:r>
      <w:r w:rsidRPr="00BE0FA4">
        <w:rPr>
          <w:i/>
          <w:iCs/>
        </w:rPr>
        <w:t>“Secessionist Conflicts and the Right to Self-Determination of Minorities in International Law.”</w:t>
      </w:r>
      <w:r w:rsidRPr="00BE0FA4">
        <w:t xml:space="preserve"> European Yearbook of Minority Issues, vol. 14, no. 1, 2017, pp. 41–57.</w:t>
      </w:r>
    </w:p>
    <w:p w14:paraId="7F0E9D58" w14:textId="77777777" w:rsidR="00AF08C7" w:rsidRDefault="00AF08C7" w:rsidP="00AF08C7">
      <w:r w:rsidRPr="00BE0FA4">
        <w:t xml:space="preserve">George, Erika. </w:t>
      </w:r>
      <w:r w:rsidRPr="00BE0FA4">
        <w:rPr>
          <w:i/>
          <w:iCs/>
        </w:rPr>
        <w:t>“Human Rights and Development: Towards Mutual Reinforcement.”</w:t>
      </w:r>
      <w:r w:rsidRPr="00BE0FA4">
        <w:t xml:space="preserve"> Human Rights and Development: Towards Mutual Reinforcement, edited by Philip Alston and Mary Robinson, Oxford University Press, 2005, pp. 125-149.</w:t>
      </w:r>
    </w:p>
    <w:p w14:paraId="6EB742C2" w14:textId="77777777" w:rsidR="00AF08C7" w:rsidRDefault="00AF08C7" w:rsidP="00AF08C7">
      <w:r w:rsidRPr="00BE0FA4">
        <w:t xml:space="preserve">European Union. Council of the European Union. </w:t>
      </w:r>
      <w:r w:rsidRPr="00BE0FA4">
        <w:rPr>
          <w:i/>
          <w:iCs/>
        </w:rPr>
        <w:t>"EU General Statement at the High-Level Meeting of the General Assembly to Commemorate the 30th Anniversary of the Adoption of the UN Declaration on the Right to Development."</w:t>
      </w:r>
      <w:r w:rsidRPr="00BE0FA4">
        <w:t xml:space="preserve"> United Nations, 28 Apr. 2016, https://www.un.org/development/desa/dspd/wp-content/uploads/sites/22/2016/05/EU-Right-to-Development.pdf.</w:t>
      </w:r>
    </w:p>
    <w:p w14:paraId="07890E2E" w14:textId="77777777" w:rsidR="00AF08C7" w:rsidRPr="00BE0FA4" w:rsidRDefault="00AF08C7" w:rsidP="00AF08C7">
      <w:r w:rsidRPr="0099781B">
        <w:t xml:space="preserve">Office of the High Commissioner for Human Rights. </w:t>
      </w:r>
      <w:r w:rsidRPr="0099781B">
        <w:rPr>
          <w:i/>
          <w:iCs/>
        </w:rPr>
        <w:t>“Minorities, Indigenous Peoples and Their Right to Participate in Development: A Guide for Practitioners.”</w:t>
      </w:r>
      <w:r w:rsidRPr="0099781B">
        <w:t xml:space="preserve"> United Nations, 2019, pp. 10-11, www.ohchr.org/Documents/Issues/IPeoples/EMRIP/Minorities_DevelopmentGuide_EN.pdf</w:t>
      </w:r>
    </w:p>
    <w:p w14:paraId="55C69D62" w14:textId="77777777" w:rsidR="00AF08C7" w:rsidRPr="00ED43CA" w:rsidRDefault="00AF08C7" w:rsidP="00ED43CA"/>
    <w:sectPr w:rsidR="00AF08C7" w:rsidRPr="00ED43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938E" w14:textId="77777777" w:rsidR="00E679CD" w:rsidRDefault="00E679CD" w:rsidP="00223C67">
      <w:pPr>
        <w:spacing w:after="0" w:line="240" w:lineRule="auto"/>
      </w:pPr>
      <w:r>
        <w:separator/>
      </w:r>
    </w:p>
  </w:endnote>
  <w:endnote w:type="continuationSeparator" w:id="0">
    <w:p w14:paraId="3C333853" w14:textId="77777777" w:rsidR="00E679CD" w:rsidRDefault="00E679CD" w:rsidP="0022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52FC" w14:textId="77777777" w:rsidR="00E679CD" w:rsidRDefault="00E679CD" w:rsidP="00223C67">
      <w:pPr>
        <w:spacing w:after="0" w:line="240" w:lineRule="auto"/>
      </w:pPr>
      <w:r>
        <w:separator/>
      </w:r>
    </w:p>
  </w:footnote>
  <w:footnote w:type="continuationSeparator" w:id="0">
    <w:p w14:paraId="3DF2930B" w14:textId="77777777" w:rsidR="00E679CD" w:rsidRDefault="00E679CD" w:rsidP="0022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F0C" w14:textId="3F77D6F4" w:rsidR="000465E0" w:rsidRDefault="000465E0">
    <w:pPr>
      <w:pStyle w:val="Header"/>
    </w:pPr>
    <w:r>
      <w:t>Interna</w:t>
    </w:r>
    <w:r w:rsidR="004251A9">
      <w:t>tiona</w:t>
    </w:r>
    <w:r>
      <w:t xml:space="preserve">l Communities </w:t>
    </w:r>
    <w:r w:rsidR="004251A9">
      <w:t>Orga</w:t>
    </w:r>
    <w:r w:rsidR="00015A54">
      <w:t>nisation</w:t>
    </w:r>
    <w:r w:rsidR="00015A54">
      <w:tab/>
    </w:r>
    <w:r w:rsidR="00015A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5994"/>
    <w:multiLevelType w:val="hybridMultilevel"/>
    <w:tmpl w:val="8E166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514476"/>
    <w:multiLevelType w:val="hybridMultilevel"/>
    <w:tmpl w:val="BC20AE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5085187">
    <w:abstractNumId w:val="0"/>
  </w:num>
  <w:num w:numId="2" w16cid:durableId="1495758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AD"/>
    <w:rsid w:val="00010133"/>
    <w:rsid w:val="0001558F"/>
    <w:rsid w:val="00015A54"/>
    <w:rsid w:val="00016014"/>
    <w:rsid w:val="00027C9D"/>
    <w:rsid w:val="00043D70"/>
    <w:rsid w:val="000465E0"/>
    <w:rsid w:val="00086291"/>
    <w:rsid w:val="000A0ECB"/>
    <w:rsid w:val="000B04C0"/>
    <w:rsid w:val="000B144E"/>
    <w:rsid w:val="000B1D9B"/>
    <w:rsid w:val="000B1E1C"/>
    <w:rsid w:val="000B6A04"/>
    <w:rsid w:val="000F3FDA"/>
    <w:rsid w:val="00111F25"/>
    <w:rsid w:val="00116653"/>
    <w:rsid w:val="00136380"/>
    <w:rsid w:val="00145A74"/>
    <w:rsid w:val="00154B1B"/>
    <w:rsid w:val="00163FEC"/>
    <w:rsid w:val="00177154"/>
    <w:rsid w:val="001819E1"/>
    <w:rsid w:val="001902FA"/>
    <w:rsid w:val="001916B9"/>
    <w:rsid w:val="001C0947"/>
    <w:rsid w:val="001D0749"/>
    <w:rsid w:val="001E1EDB"/>
    <w:rsid w:val="0020354F"/>
    <w:rsid w:val="00210122"/>
    <w:rsid w:val="00223C67"/>
    <w:rsid w:val="002310D1"/>
    <w:rsid w:val="00232D40"/>
    <w:rsid w:val="00262762"/>
    <w:rsid w:val="00276384"/>
    <w:rsid w:val="002900BC"/>
    <w:rsid w:val="002C5684"/>
    <w:rsid w:val="002D65B7"/>
    <w:rsid w:val="002F3B77"/>
    <w:rsid w:val="002F629A"/>
    <w:rsid w:val="00381B8F"/>
    <w:rsid w:val="00392E0B"/>
    <w:rsid w:val="00393B1A"/>
    <w:rsid w:val="003B68A4"/>
    <w:rsid w:val="003C3C6F"/>
    <w:rsid w:val="003C5EC0"/>
    <w:rsid w:val="003D0304"/>
    <w:rsid w:val="003D4862"/>
    <w:rsid w:val="003E6660"/>
    <w:rsid w:val="00402E50"/>
    <w:rsid w:val="00403717"/>
    <w:rsid w:val="00415077"/>
    <w:rsid w:val="004251A9"/>
    <w:rsid w:val="004267BE"/>
    <w:rsid w:val="00433020"/>
    <w:rsid w:val="0045334C"/>
    <w:rsid w:val="004578B5"/>
    <w:rsid w:val="004633D0"/>
    <w:rsid w:val="00472D83"/>
    <w:rsid w:val="00486CE1"/>
    <w:rsid w:val="00496A7C"/>
    <w:rsid w:val="004A272E"/>
    <w:rsid w:val="004A2C1C"/>
    <w:rsid w:val="004B6D33"/>
    <w:rsid w:val="004C2D42"/>
    <w:rsid w:val="004D444E"/>
    <w:rsid w:val="004D779E"/>
    <w:rsid w:val="004E1109"/>
    <w:rsid w:val="004E20E0"/>
    <w:rsid w:val="004E33C7"/>
    <w:rsid w:val="00500021"/>
    <w:rsid w:val="00500191"/>
    <w:rsid w:val="00533B0B"/>
    <w:rsid w:val="00540AA2"/>
    <w:rsid w:val="00545BBD"/>
    <w:rsid w:val="005466EA"/>
    <w:rsid w:val="00547924"/>
    <w:rsid w:val="00554403"/>
    <w:rsid w:val="005879F2"/>
    <w:rsid w:val="005B08EC"/>
    <w:rsid w:val="005C4D6F"/>
    <w:rsid w:val="005D0BEB"/>
    <w:rsid w:val="005E5222"/>
    <w:rsid w:val="00604C7C"/>
    <w:rsid w:val="006100B6"/>
    <w:rsid w:val="0061021A"/>
    <w:rsid w:val="00625D5B"/>
    <w:rsid w:val="00645F47"/>
    <w:rsid w:val="00654082"/>
    <w:rsid w:val="006601A3"/>
    <w:rsid w:val="0066624E"/>
    <w:rsid w:val="00677FC3"/>
    <w:rsid w:val="006867E2"/>
    <w:rsid w:val="00687983"/>
    <w:rsid w:val="006B1242"/>
    <w:rsid w:val="006C6468"/>
    <w:rsid w:val="006C6F83"/>
    <w:rsid w:val="006D0C71"/>
    <w:rsid w:val="006E070D"/>
    <w:rsid w:val="00720828"/>
    <w:rsid w:val="00735590"/>
    <w:rsid w:val="00742B89"/>
    <w:rsid w:val="00757DE4"/>
    <w:rsid w:val="007626A0"/>
    <w:rsid w:val="00773F5B"/>
    <w:rsid w:val="00790C10"/>
    <w:rsid w:val="007A03CF"/>
    <w:rsid w:val="007A4763"/>
    <w:rsid w:val="007C2198"/>
    <w:rsid w:val="007C2C79"/>
    <w:rsid w:val="007C73E3"/>
    <w:rsid w:val="0080715A"/>
    <w:rsid w:val="008132D3"/>
    <w:rsid w:val="00816BD8"/>
    <w:rsid w:val="00824421"/>
    <w:rsid w:val="00832CC8"/>
    <w:rsid w:val="008343FA"/>
    <w:rsid w:val="0083544B"/>
    <w:rsid w:val="008454E5"/>
    <w:rsid w:val="00850231"/>
    <w:rsid w:val="008507C8"/>
    <w:rsid w:val="00851180"/>
    <w:rsid w:val="0085343B"/>
    <w:rsid w:val="00863398"/>
    <w:rsid w:val="00867941"/>
    <w:rsid w:val="008709CC"/>
    <w:rsid w:val="00893DD7"/>
    <w:rsid w:val="008A7DEF"/>
    <w:rsid w:val="008B4513"/>
    <w:rsid w:val="008C168A"/>
    <w:rsid w:val="008D518F"/>
    <w:rsid w:val="008D5A03"/>
    <w:rsid w:val="008D5AFD"/>
    <w:rsid w:val="008D66CE"/>
    <w:rsid w:val="008F66D4"/>
    <w:rsid w:val="009066AD"/>
    <w:rsid w:val="00911105"/>
    <w:rsid w:val="00911C27"/>
    <w:rsid w:val="00920F40"/>
    <w:rsid w:val="00925DB5"/>
    <w:rsid w:val="00946203"/>
    <w:rsid w:val="009627A2"/>
    <w:rsid w:val="00962C6C"/>
    <w:rsid w:val="00963D8E"/>
    <w:rsid w:val="009833EF"/>
    <w:rsid w:val="0098588C"/>
    <w:rsid w:val="009863AC"/>
    <w:rsid w:val="00994FF9"/>
    <w:rsid w:val="009B0682"/>
    <w:rsid w:val="009B0F9E"/>
    <w:rsid w:val="00A15F41"/>
    <w:rsid w:val="00A15F80"/>
    <w:rsid w:val="00A465CE"/>
    <w:rsid w:val="00A566C6"/>
    <w:rsid w:val="00A7078F"/>
    <w:rsid w:val="00A709F0"/>
    <w:rsid w:val="00A71854"/>
    <w:rsid w:val="00A85BA8"/>
    <w:rsid w:val="00AA0C53"/>
    <w:rsid w:val="00AA266A"/>
    <w:rsid w:val="00AB2A60"/>
    <w:rsid w:val="00AD0A47"/>
    <w:rsid w:val="00AF08C7"/>
    <w:rsid w:val="00AF0D09"/>
    <w:rsid w:val="00B17E0A"/>
    <w:rsid w:val="00B20C90"/>
    <w:rsid w:val="00B3102D"/>
    <w:rsid w:val="00B36701"/>
    <w:rsid w:val="00B53883"/>
    <w:rsid w:val="00B70EAD"/>
    <w:rsid w:val="00B8010E"/>
    <w:rsid w:val="00B9431F"/>
    <w:rsid w:val="00B96CB5"/>
    <w:rsid w:val="00BB2862"/>
    <w:rsid w:val="00BD09D5"/>
    <w:rsid w:val="00BD5B6E"/>
    <w:rsid w:val="00BD65CE"/>
    <w:rsid w:val="00BD771D"/>
    <w:rsid w:val="00BE73DD"/>
    <w:rsid w:val="00BF010E"/>
    <w:rsid w:val="00C26CFA"/>
    <w:rsid w:val="00C27C36"/>
    <w:rsid w:val="00C4103D"/>
    <w:rsid w:val="00C43C90"/>
    <w:rsid w:val="00C73246"/>
    <w:rsid w:val="00C734AF"/>
    <w:rsid w:val="00C80048"/>
    <w:rsid w:val="00C87694"/>
    <w:rsid w:val="00CC6E34"/>
    <w:rsid w:val="00CD56D2"/>
    <w:rsid w:val="00CE0D5D"/>
    <w:rsid w:val="00CE1BEB"/>
    <w:rsid w:val="00CE73F0"/>
    <w:rsid w:val="00CF31A6"/>
    <w:rsid w:val="00D04E18"/>
    <w:rsid w:val="00D1479F"/>
    <w:rsid w:val="00D51422"/>
    <w:rsid w:val="00D56646"/>
    <w:rsid w:val="00D6316D"/>
    <w:rsid w:val="00D673A7"/>
    <w:rsid w:val="00D75131"/>
    <w:rsid w:val="00DA4426"/>
    <w:rsid w:val="00DB2C49"/>
    <w:rsid w:val="00DC0E9D"/>
    <w:rsid w:val="00DC4164"/>
    <w:rsid w:val="00DD63E2"/>
    <w:rsid w:val="00DE2F2C"/>
    <w:rsid w:val="00DE5E03"/>
    <w:rsid w:val="00DE77D7"/>
    <w:rsid w:val="00E00B26"/>
    <w:rsid w:val="00E07E73"/>
    <w:rsid w:val="00E13505"/>
    <w:rsid w:val="00E401F5"/>
    <w:rsid w:val="00E40251"/>
    <w:rsid w:val="00E679CD"/>
    <w:rsid w:val="00E8506E"/>
    <w:rsid w:val="00E85460"/>
    <w:rsid w:val="00E930C3"/>
    <w:rsid w:val="00EB1799"/>
    <w:rsid w:val="00EB695D"/>
    <w:rsid w:val="00EC296B"/>
    <w:rsid w:val="00ED43CA"/>
    <w:rsid w:val="00ED5B1E"/>
    <w:rsid w:val="00ED66FF"/>
    <w:rsid w:val="00EE0451"/>
    <w:rsid w:val="00EE1D3A"/>
    <w:rsid w:val="00F10549"/>
    <w:rsid w:val="00F14AC9"/>
    <w:rsid w:val="00F17C81"/>
    <w:rsid w:val="00F4118A"/>
    <w:rsid w:val="00F42529"/>
    <w:rsid w:val="00F42D28"/>
    <w:rsid w:val="00F43113"/>
    <w:rsid w:val="00F465AF"/>
    <w:rsid w:val="00F47870"/>
    <w:rsid w:val="00F55F78"/>
    <w:rsid w:val="00F65A78"/>
    <w:rsid w:val="00F704A7"/>
    <w:rsid w:val="00F816EC"/>
    <w:rsid w:val="00F84F3D"/>
    <w:rsid w:val="00FA142F"/>
    <w:rsid w:val="00FA2531"/>
    <w:rsid w:val="00FA717E"/>
    <w:rsid w:val="00FB3C61"/>
    <w:rsid w:val="00FB7B86"/>
    <w:rsid w:val="00FC0ABC"/>
    <w:rsid w:val="00FC2C8C"/>
    <w:rsid w:val="00FC2F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9631"/>
  <w15:chartTrackingRefBased/>
  <w15:docId w15:val="{6C5419DF-FF3C-4ACC-9536-75F9A582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AD"/>
    <w:pPr>
      <w:ind w:left="720"/>
      <w:contextualSpacing/>
    </w:pPr>
  </w:style>
  <w:style w:type="paragraph" w:styleId="FootnoteText">
    <w:name w:val="footnote text"/>
    <w:basedOn w:val="Normal"/>
    <w:link w:val="FootnoteTextChar"/>
    <w:uiPriority w:val="99"/>
    <w:semiHidden/>
    <w:unhideWhenUsed/>
    <w:rsid w:val="00223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C67"/>
    <w:rPr>
      <w:sz w:val="20"/>
      <w:szCs w:val="20"/>
    </w:rPr>
  </w:style>
  <w:style w:type="character" w:styleId="FootnoteReference">
    <w:name w:val="footnote reference"/>
    <w:basedOn w:val="DefaultParagraphFont"/>
    <w:uiPriority w:val="99"/>
    <w:semiHidden/>
    <w:unhideWhenUsed/>
    <w:rsid w:val="00223C67"/>
    <w:rPr>
      <w:vertAlign w:val="superscript"/>
    </w:rPr>
  </w:style>
  <w:style w:type="paragraph" w:styleId="EndnoteText">
    <w:name w:val="endnote text"/>
    <w:basedOn w:val="Normal"/>
    <w:link w:val="EndnoteTextChar"/>
    <w:uiPriority w:val="99"/>
    <w:semiHidden/>
    <w:unhideWhenUsed/>
    <w:rsid w:val="00223C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3C67"/>
    <w:rPr>
      <w:sz w:val="20"/>
      <w:szCs w:val="20"/>
    </w:rPr>
  </w:style>
  <w:style w:type="character" w:styleId="EndnoteReference">
    <w:name w:val="endnote reference"/>
    <w:basedOn w:val="DefaultParagraphFont"/>
    <w:uiPriority w:val="99"/>
    <w:semiHidden/>
    <w:unhideWhenUsed/>
    <w:rsid w:val="00223C67"/>
    <w:rPr>
      <w:vertAlign w:val="superscript"/>
    </w:rPr>
  </w:style>
  <w:style w:type="paragraph" w:styleId="Header">
    <w:name w:val="header"/>
    <w:basedOn w:val="Normal"/>
    <w:link w:val="HeaderChar"/>
    <w:uiPriority w:val="99"/>
    <w:unhideWhenUsed/>
    <w:rsid w:val="00ED6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6FF"/>
  </w:style>
  <w:style w:type="paragraph" w:styleId="Footer">
    <w:name w:val="footer"/>
    <w:basedOn w:val="Normal"/>
    <w:link w:val="FooterChar"/>
    <w:uiPriority w:val="99"/>
    <w:unhideWhenUsed/>
    <w:rsid w:val="00ED6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9512">
      <w:bodyDiv w:val="1"/>
      <w:marLeft w:val="0"/>
      <w:marRight w:val="0"/>
      <w:marTop w:val="0"/>
      <w:marBottom w:val="0"/>
      <w:divBdr>
        <w:top w:val="none" w:sz="0" w:space="0" w:color="auto"/>
        <w:left w:val="none" w:sz="0" w:space="0" w:color="auto"/>
        <w:bottom w:val="none" w:sz="0" w:space="0" w:color="auto"/>
        <w:right w:val="none" w:sz="0" w:space="0" w:color="auto"/>
      </w:divBdr>
    </w:div>
    <w:div w:id="636908763">
      <w:bodyDiv w:val="1"/>
      <w:marLeft w:val="0"/>
      <w:marRight w:val="0"/>
      <w:marTop w:val="0"/>
      <w:marBottom w:val="0"/>
      <w:divBdr>
        <w:top w:val="none" w:sz="0" w:space="0" w:color="auto"/>
        <w:left w:val="none" w:sz="0" w:space="0" w:color="auto"/>
        <w:bottom w:val="none" w:sz="0" w:space="0" w:color="auto"/>
        <w:right w:val="none" w:sz="0" w:space="0" w:color="auto"/>
      </w:divBdr>
    </w:div>
    <w:div w:id="1158301448">
      <w:bodyDiv w:val="1"/>
      <w:marLeft w:val="0"/>
      <w:marRight w:val="0"/>
      <w:marTop w:val="0"/>
      <w:marBottom w:val="0"/>
      <w:divBdr>
        <w:top w:val="none" w:sz="0" w:space="0" w:color="auto"/>
        <w:left w:val="none" w:sz="0" w:space="0" w:color="auto"/>
        <w:bottom w:val="none" w:sz="0" w:space="0" w:color="auto"/>
        <w:right w:val="none" w:sz="0" w:space="0" w:color="auto"/>
      </w:divBdr>
    </w:div>
    <w:div w:id="1431076362">
      <w:bodyDiv w:val="1"/>
      <w:marLeft w:val="0"/>
      <w:marRight w:val="0"/>
      <w:marTop w:val="0"/>
      <w:marBottom w:val="0"/>
      <w:divBdr>
        <w:top w:val="none" w:sz="0" w:space="0" w:color="auto"/>
        <w:left w:val="none" w:sz="0" w:space="0" w:color="auto"/>
        <w:bottom w:val="none" w:sz="0" w:space="0" w:color="auto"/>
        <w:right w:val="none" w:sz="0" w:space="0" w:color="auto"/>
      </w:divBdr>
    </w:div>
    <w:div w:id="17590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357859-08DA-41D4-82AC-A911B1E3978D}">
  <ds:schemaRefs>
    <ds:schemaRef ds:uri="http://schemas.openxmlformats.org/officeDocument/2006/bibliography"/>
  </ds:schemaRefs>
</ds:datastoreItem>
</file>

<file path=customXml/itemProps2.xml><?xml version="1.0" encoding="utf-8"?>
<ds:datastoreItem xmlns:ds="http://schemas.openxmlformats.org/officeDocument/2006/customXml" ds:itemID="{B025DFFD-B976-41A3-8571-7B478AB6240E}"/>
</file>

<file path=customXml/itemProps3.xml><?xml version="1.0" encoding="utf-8"?>
<ds:datastoreItem xmlns:ds="http://schemas.openxmlformats.org/officeDocument/2006/customXml" ds:itemID="{B7E98C71-7ABC-4966-B455-EE31CC68686A}"/>
</file>

<file path=customXml/itemProps4.xml><?xml version="1.0" encoding="utf-8"?>
<ds:datastoreItem xmlns:ds="http://schemas.openxmlformats.org/officeDocument/2006/customXml" ds:itemID="{A3FE594C-1DAC-415D-A394-1D0B42B1A996}"/>
</file>

<file path=docProps/app.xml><?xml version="1.0" encoding="utf-8"?>
<Properties xmlns="http://schemas.openxmlformats.org/officeDocument/2006/extended-properties" xmlns:vt="http://schemas.openxmlformats.org/officeDocument/2006/docPropsVTypes">
  <Template>Normal.dotm</Template>
  <TotalTime>1</TotalTime>
  <Pages>5</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Imtithal Audi</cp:lastModifiedBy>
  <cp:revision>4</cp:revision>
  <dcterms:created xsi:type="dcterms:W3CDTF">2023-05-12T16:52:00Z</dcterms:created>
  <dcterms:modified xsi:type="dcterms:W3CDTF">2023-05-14T20:36:00Z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