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17123" w14:textId="08D649F9" w:rsidR="768C671B" w:rsidRDefault="768C671B" w:rsidP="768C671B">
      <w:bookmarkStart w:id="0" w:name="_GoBack"/>
      <w:bookmarkEnd w:id="0"/>
    </w:p>
    <w:p w14:paraId="57E40156" w14:textId="77777777" w:rsidR="00563D7D" w:rsidRDefault="00563D7D" w:rsidP="00563D7D">
      <w:pPr>
        <w:rPr>
          <w:rFonts w:ascii="Lato" w:eastAsia="Cambria" w:hAnsi="Lato" w:cs="Cambria"/>
          <w:b/>
          <w:noProof/>
          <w:sz w:val="21"/>
          <w:szCs w:val="21"/>
          <w:lang w:eastAsia="es-MX"/>
        </w:rPr>
      </w:pPr>
      <w:bookmarkStart w:id="1" w:name="_Toc131168413"/>
    </w:p>
    <w:p w14:paraId="61141788" w14:textId="77777777" w:rsidR="00563D7D" w:rsidRPr="00563D7D" w:rsidRDefault="00563D7D" w:rsidP="00563D7D">
      <w:pPr>
        <w:rPr>
          <w:lang w:eastAsia="es-MX"/>
        </w:rPr>
      </w:pPr>
    </w:p>
    <w:tbl>
      <w:tblPr>
        <w:tblStyle w:val="Tablaconcuadrcula"/>
        <w:tblpPr w:leftFromText="141" w:rightFromText="141" w:vertAnchor="page" w:horzAnchor="margin" w:tblpY="3406"/>
        <w:tblW w:w="9832" w:type="dxa"/>
        <w:tblLook w:val="04A0" w:firstRow="1" w:lastRow="0" w:firstColumn="1" w:lastColumn="0" w:noHBand="0" w:noVBand="1"/>
      </w:tblPr>
      <w:tblGrid>
        <w:gridCol w:w="9832"/>
      </w:tblGrid>
      <w:tr w:rsidR="00563D7D" w14:paraId="20DFCB91" w14:textId="77777777" w:rsidTr="00563D7D">
        <w:trPr>
          <w:trHeight w:val="2032"/>
        </w:trPr>
        <w:tc>
          <w:tcPr>
            <w:tcW w:w="9832" w:type="dxa"/>
            <w:tcBorders>
              <w:top w:val="nil"/>
              <w:left w:val="nil"/>
              <w:bottom w:val="nil"/>
              <w:right w:val="nil"/>
            </w:tcBorders>
            <w:shd w:val="clear" w:color="auto" w:fill="EAF1DD" w:themeFill="accent3" w:themeFillTint="33"/>
          </w:tcPr>
          <w:p w14:paraId="4A4053E8" w14:textId="7F7A88D2" w:rsidR="00563D7D" w:rsidRDefault="00563D7D" w:rsidP="00563D7D">
            <w:pPr>
              <w:spacing w:before="120"/>
              <w:jc w:val="both"/>
              <w:rPr>
                <w:rFonts w:ascii="Lato" w:hAnsi="Lato"/>
              </w:rPr>
            </w:pPr>
            <w:r w:rsidRPr="0E60D220">
              <w:rPr>
                <w:rFonts w:ascii="Lato" w:hAnsi="Lato"/>
              </w:rPr>
              <w:t>This document has been prepared by</w:t>
            </w:r>
            <w:r>
              <w:rPr>
                <w:rFonts w:ascii="Lato" w:hAnsi="Lato"/>
              </w:rPr>
              <w:t xml:space="preserve"> the</w:t>
            </w:r>
            <w:r w:rsidRPr="0E60D220">
              <w:rPr>
                <w:rFonts w:ascii="Lato" w:hAnsi="Lato"/>
              </w:rPr>
              <w:t xml:space="preserve"> International Lesbian, Gay, Bisexual, Trans and Inte</w:t>
            </w:r>
            <w:r>
              <w:rPr>
                <w:rFonts w:ascii="Lato" w:hAnsi="Lato"/>
              </w:rPr>
              <w:t xml:space="preserve">rsex Association (ILGA World),  </w:t>
            </w:r>
            <w:r w:rsidRPr="0E60D220">
              <w:rPr>
                <w:rFonts w:ascii="Lato" w:hAnsi="Lato"/>
              </w:rPr>
              <w:t>Outright International, The Swedish Federation for Lesbian, Gay, Bisexual, Transgender, Queer and Inte</w:t>
            </w:r>
            <w:r w:rsidR="0096641A">
              <w:rPr>
                <w:rFonts w:ascii="Lato" w:hAnsi="Lato"/>
              </w:rPr>
              <w:t xml:space="preserve">rsex Person’s Rights (RFSL), </w:t>
            </w:r>
            <w:r w:rsidRPr="0E60D220">
              <w:rPr>
                <w:rFonts w:ascii="Lato" w:hAnsi="Lato"/>
              </w:rPr>
              <w:t>COC Nederland</w:t>
            </w:r>
            <w:r w:rsidR="0096641A">
              <w:rPr>
                <w:rFonts w:ascii="Lato" w:hAnsi="Lato"/>
              </w:rPr>
              <w:t>, and the International Service for Human Rights</w:t>
            </w:r>
            <w:r w:rsidRPr="0E60D220">
              <w:rPr>
                <w:rFonts w:ascii="Lato" w:hAnsi="Lato"/>
              </w:rPr>
              <w:t xml:space="preserve"> as a response to the second revised text of the draft convention on the right to development (</w:t>
            </w:r>
            <w:hyperlink r:id="rId8">
              <w:r w:rsidRPr="0E60D220">
                <w:rPr>
                  <w:rStyle w:val="Hipervnculo"/>
                  <w:rFonts w:ascii="Lato" w:hAnsi="Lato"/>
                </w:rPr>
                <w:t>A/HRC/WG.2/24/2/Add.1</w:t>
              </w:r>
            </w:hyperlink>
            <w:r w:rsidRPr="0E60D220">
              <w:rPr>
                <w:rFonts w:ascii="Lato" w:hAnsi="Lato"/>
              </w:rPr>
              <w:t>) published on January 12th, 2023. It analyses the use of the notion of gender during the drafting process of the Convention and highlights the importance of maintaining current language on gender equality and women in all their diversity as aligned with international human rights law and development standards, including CEDAW. In addition, t</w:t>
            </w:r>
            <w:r>
              <w:rPr>
                <w:rFonts w:ascii="Lato" w:hAnsi="Lato"/>
              </w:rPr>
              <w:t>he document proposes recommendations</w:t>
            </w:r>
            <w:r w:rsidRPr="0E60D220">
              <w:rPr>
                <w:rFonts w:ascii="Lato" w:hAnsi="Lato"/>
              </w:rPr>
              <w:t xml:space="preserve"> to the draft convention for this purpose.   </w:t>
            </w:r>
          </w:p>
        </w:tc>
      </w:tr>
    </w:tbl>
    <w:p w14:paraId="7C079FAD" w14:textId="77777777" w:rsidR="0080515B" w:rsidRDefault="0080515B" w:rsidP="00563D7D">
      <w:pPr>
        <w:pStyle w:val="Ttulo1"/>
        <w:pBdr>
          <w:bottom w:val="double" w:sz="4" w:space="1" w:color="C0504D" w:themeColor="accent2"/>
        </w:pBdr>
        <w:spacing w:after="240"/>
        <w:rPr>
          <w:rFonts w:ascii="Lato" w:hAnsi="Lato"/>
          <w:b/>
          <w:bCs/>
          <w:color w:val="C0504D" w:themeColor="accent2"/>
          <w:lang w:val="en-US"/>
        </w:rPr>
      </w:pPr>
    </w:p>
    <w:p w14:paraId="5AD7ADB2" w14:textId="77777777" w:rsidR="00563D7D" w:rsidRDefault="00563D7D" w:rsidP="003E40A0">
      <w:pPr>
        <w:pStyle w:val="Ttulo1"/>
        <w:pBdr>
          <w:bottom w:val="double" w:sz="4" w:space="1" w:color="C0504D" w:themeColor="accent2"/>
        </w:pBdr>
        <w:spacing w:after="240"/>
        <w:jc w:val="center"/>
        <w:rPr>
          <w:rFonts w:ascii="Lato" w:hAnsi="Lato"/>
          <w:b/>
          <w:bCs/>
          <w:color w:val="C0504D" w:themeColor="accent2"/>
          <w:lang w:val="en-US"/>
        </w:rPr>
      </w:pPr>
    </w:p>
    <w:p w14:paraId="3CDD7E37" w14:textId="61472C74" w:rsidR="003E40A0" w:rsidRPr="0015773E" w:rsidRDefault="003E40A0" w:rsidP="003E40A0">
      <w:pPr>
        <w:pStyle w:val="Ttulo1"/>
        <w:pBdr>
          <w:bottom w:val="double" w:sz="4" w:space="1" w:color="C0504D" w:themeColor="accent2"/>
        </w:pBdr>
        <w:spacing w:after="240"/>
        <w:jc w:val="center"/>
        <w:rPr>
          <w:rFonts w:ascii="Lato" w:hAnsi="Lato"/>
          <w:b/>
          <w:bCs/>
          <w:color w:val="C0504D" w:themeColor="accent2"/>
          <w:lang w:val="en-US"/>
        </w:rPr>
      </w:pPr>
      <w:r>
        <w:rPr>
          <w:rFonts w:ascii="Lato" w:hAnsi="Lato"/>
          <w:b/>
          <w:bCs/>
          <w:color w:val="C0504D" w:themeColor="accent2"/>
          <w:lang w:val="en-US"/>
        </w:rPr>
        <w:t xml:space="preserve">1. </w:t>
      </w:r>
      <w:bookmarkEnd w:id="1"/>
      <w:r>
        <w:rPr>
          <w:rFonts w:ascii="Lato" w:hAnsi="Lato"/>
          <w:b/>
          <w:bCs/>
          <w:color w:val="C0504D" w:themeColor="accent2"/>
          <w:lang w:val="en-US"/>
        </w:rPr>
        <w:t>Article 16. Equality between women and men</w:t>
      </w:r>
    </w:p>
    <w:p w14:paraId="12827C8C" w14:textId="7A6E9210" w:rsidR="00D9765C" w:rsidRDefault="00D9765C" w:rsidP="768C671B">
      <w:pPr>
        <w:pStyle w:val="NormalWeb"/>
        <w:spacing w:before="0" w:beforeAutospacing="0" w:after="0" w:afterAutospacing="0"/>
        <w:jc w:val="both"/>
        <w:rPr>
          <w:rFonts w:ascii="Lato" w:eastAsia="Cambria" w:hAnsi="Lato" w:cs="Cambria"/>
          <w:noProof/>
          <w:sz w:val="21"/>
          <w:szCs w:val="21"/>
          <w:lang w:val="en-GB" w:eastAsia="es-MX"/>
        </w:rPr>
      </w:pPr>
    </w:p>
    <w:p w14:paraId="3521F288" w14:textId="11DEC078" w:rsidR="00D33129" w:rsidRPr="00FC178C" w:rsidRDefault="0E60D220" w:rsidP="602B350A">
      <w:pPr>
        <w:pStyle w:val="NormalWeb"/>
        <w:spacing w:before="0" w:beforeAutospacing="0" w:after="0" w:afterAutospacing="0"/>
        <w:jc w:val="both"/>
        <w:rPr>
          <w:rFonts w:ascii="Lato" w:hAnsi="Lato"/>
          <w:sz w:val="22"/>
          <w:szCs w:val="22"/>
        </w:rPr>
      </w:pPr>
      <w:r w:rsidRPr="00FC178C">
        <w:rPr>
          <w:rFonts w:ascii="Lato" w:eastAsia="Cambria" w:hAnsi="Lato" w:cs="Cambria"/>
          <w:b/>
          <w:bCs/>
          <w:noProof/>
          <w:sz w:val="22"/>
          <w:szCs w:val="22"/>
          <w:lang w:val="en-GB" w:eastAsia="es-MX"/>
        </w:rPr>
        <w:t>Issue:</w:t>
      </w:r>
      <w:r w:rsidRPr="00FC178C">
        <w:rPr>
          <w:rFonts w:ascii="Lato" w:eastAsia="Cambria" w:hAnsi="Lato" w:cs="Cambria"/>
          <w:noProof/>
          <w:sz w:val="22"/>
          <w:szCs w:val="22"/>
          <w:lang w:val="en-GB" w:eastAsia="es-MX"/>
        </w:rPr>
        <w:t xml:space="preserve"> The Expert Drafting Group (EDG) changed the previous “gender equality” reference on the title to “equality between women and men” and eliminated language referring to “all women and girls”. The EDG accepted suggestions from some States to frame the article with a binary approach of equality “between women and men” based on the reasoning that the objective of this draft article is addressing discrimination against women and girls specifically, and not gender inequality in a broader sense. The decision was also based on the EDG reasoning that the concept of “gender” implied the obligation of States not to discriminate on the basis of sexual orientation and gender identities</w:t>
      </w:r>
      <w:r w:rsidRPr="00FC178C">
        <w:rPr>
          <w:sz w:val="22"/>
          <w:szCs w:val="22"/>
          <w:lang w:val="en-GB" w:eastAsia="en-US"/>
        </w:rPr>
        <w:t>,</w:t>
      </w:r>
      <w:r w:rsidRPr="00FC178C">
        <w:rPr>
          <w:rFonts w:ascii="Lato" w:eastAsia="Cambria" w:hAnsi="Lato" w:cs="Cambria"/>
          <w:noProof/>
          <w:sz w:val="22"/>
          <w:szCs w:val="22"/>
          <w:lang w:val="en-GB" w:eastAsia="es-MX"/>
        </w:rPr>
        <w:t xml:space="preserve"> agreeing with the critique of some States that the previous title of this draft article which spoke to gender equality was not in sync with the intended limited focus on women and girls and that the concept of gender could in some cases reduce the rights of women and girls. In addition, the EDG justified the current language employed in the draft article 16 as fully in line with CEDAW and accepted to erase the word “all” before </w:t>
      </w:r>
      <w:r w:rsidR="00563D7D">
        <w:rPr>
          <w:rFonts w:ascii="Lato" w:eastAsia="Cambria" w:hAnsi="Lato" w:cs="Cambria"/>
          <w:noProof/>
          <w:sz w:val="22"/>
          <w:szCs w:val="22"/>
          <w:lang w:val="en-GB" w:eastAsia="es-MX"/>
        </w:rPr>
        <w:t xml:space="preserve">“women and girls” </w:t>
      </w:r>
      <w:r w:rsidRPr="00FC178C">
        <w:rPr>
          <w:rFonts w:ascii="Lato" w:eastAsia="Cambria" w:hAnsi="Lato" w:cs="Cambria"/>
          <w:noProof/>
          <w:sz w:val="22"/>
          <w:szCs w:val="22"/>
          <w:lang w:val="en-GB" w:eastAsia="es-MX"/>
        </w:rPr>
        <w:t>to ensure consensus.</w:t>
      </w:r>
    </w:p>
    <w:p w14:paraId="68918042" w14:textId="37767A96" w:rsidR="00D33129" w:rsidRPr="00FC178C" w:rsidRDefault="00D33129" w:rsidP="602B350A">
      <w:pPr>
        <w:pStyle w:val="NormalWeb"/>
        <w:spacing w:before="0" w:beforeAutospacing="0" w:after="0" w:afterAutospacing="0"/>
        <w:jc w:val="both"/>
        <w:rPr>
          <w:rFonts w:ascii="Lato" w:hAnsi="Lato"/>
          <w:b/>
          <w:bCs/>
          <w:sz w:val="22"/>
          <w:szCs w:val="22"/>
        </w:rPr>
      </w:pPr>
    </w:p>
    <w:p w14:paraId="49F21B49" w14:textId="3243BCD4" w:rsidR="00D33129" w:rsidRPr="00FC178C" w:rsidRDefault="0E60D220" w:rsidP="602B350A">
      <w:pPr>
        <w:pStyle w:val="NormalWeb"/>
        <w:spacing w:before="0" w:beforeAutospacing="0" w:after="0" w:afterAutospacing="0"/>
        <w:jc w:val="both"/>
        <w:rPr>
          <w:rFonts w:ascii="Lato" w:hAnsi="Lato"/>
          <w:sz w:val="22"/>
          <w:szCs w:val="22"/>
        </w:rPr>
      </w:pPr>
      <w:r w:rsidRPr="00FC178C">
        <w:rPr>
          <w:rFonts w:ascii="Lato" w:hAnsi="Lato"/>
          <w:b/>
          <w:bCs/>
          <w:sz w:val="22"/>
          <w:szCs w:val="22"/>
        </w:rPr>
        <w:t>Our response:</w:t>
      </w:r>
      <w:r w:rsidRPr="00FC178C">
        <w:rPr>
          <w:rFonts w:ascii="Lato" w:hAnsi="Lato"/>
          <w:sz w:val="22"/>
          <w:szCs w:val="22"/>
        </w:rPr>
        <w:t xml:space="preserve"> Despite understanding that there are disparities in the interpretation of the concept of </w:t>
      </w:r>
      <w:r w:rsidRPr="00563D7D">
        <w:rPr>
          <w:rFonts w:ascii="Lato" w:hAnsi="Lato"/>
          <w:sz w:val="22"/>
          <w:szCs w:val="22"/>
        </w:rPr>
        <w:t>“</w:t>
      </w:r>
      <w:r w:rsidRPr="00563D7D">
        <w:rPr>
          <w:rFonts w:ascii="Lato" w:hAnsi="Lato"/>
          <w:bCs/>
          <w:sz w:val="22"/>
          <w:szCs w:val="22"/>
        </w:rPr>
        <w:t>gender</w:t>
      </w:r>
      <w:r w:rsidR="00E6260D">
        <w:rPr>
          <w:rFonts w:ascii="Lato" w:hAnsi="Lato"/>
          <w:bCs/>
          <w:sz w:val="22"/>
          <w:szCs w:val="22"/>
        </w:rPr>
        <w:t>,</w:t>
      </w:r>
      <w:r w:rsidR="00E6260D">
        <w:rPr>
          <w:rFonts w:ascii="Lato" w:hAnsi="Lato"/>
          <w:sz w:val="22"/>
          <w:szCs w:val="22"/>
        </w:rPr>
        <w:t>”</w:t>
      </w:r>
      <w:r w:rsidRPr="00FC178C">
        <w:rPr>
          <w:rFonts w:ascii="Lato" w:hAnsi="Lato"/>
          <w:sz w:val="22"/>
          <w:szCs w:val="22"/>
        </w:rPr>
        <w:t xml:space="preserve"> the usage of </w:t>
      </w:r>
      <w:r w:rsidRPr="00563D7D">
        <w:rPr>
          <w:rFonts w:ascii="Lato" w:hAnsi="Lato"/>
          <w:b/>
          <w:sz w:val="22"/>
          <w:szCs w:val="22"/>
          <w:u w:val="single"/>
        </w:rPr>
        <w:t>“gender equality”</w:t>
      </w:r>
      <w:r w:rsidRPr="00FC178C">
        <w:rPr>
          <w:rFonts w:ascii="Lato" w:hAnsi="Lato"/>
          <w:sz w:val="22"/>
          <w:szCs w:val="22"/>
        </w:rPr>
        <w:t xml:space="preserve"> shows the need to tackle the root causes of the inequalities and imbalance that affect us all in different levels and proportions. This notion is used by UN Women, CEDAW, and other relevant actors such as the UN Secretary and many Member States when talking, for instance,  about combatting Gender-Based Violence. While the CEDAW Convention, adopted in 1979, does not contain the word ‘gender’ (which also reflects the level of legal and social scholarship at that time), later CEDAW documents do use the notion of ‘gender’, including through explicit references to it.</w:t>
      </w:r>
    </w:p>
    <w:p w14:paraId="37D0379C" w14:textId="77777777" w:rsidR="00D33129" w:rsidRPr="00FC178C" w:rsidRDefault="00D33129" w:rsidP="00BF7655">
      <w:pPr>
        <w:pStyle w:val="NormalWeb"/>
        <w:spacing w:before="0" w:beforeAutospacing="0" w:after="0" w:afterAutospacing="0"/>
        <w:jc w:val="both"/>
        <w:rPr>
          <w:rFonts w:ascii="Lato" w:eastAsia="Cambria" w:hAnsi="Lato" w:cs="Cambria"/>
          <w:b/>
          <w:noProof/>
          <w:sz w:val="22"/>
          <w:szCs w:val="22"/>
          <w:lang w:val="en-GB" w:eastAsia="es-MX"/>
        </w:rPr>
      </w:pPr>
    </w:p>
    <w:p w14:paraId="60C8B05A" w14:textId="77777777" w:rsidR="00D33129" w:rsidRPr="00FC178C" w:rsidRDefault="00D33129" w:rsidP="00BF7655">
      <w:pPr>
        <w:spacing w:before="120"/>
        <w:jc w:val="both"/>
        <w:rPr>
          <w:rFonts w:ascii="Lato" w:hAnsi="Lato" w:cs="Calibri"/>
          <w:color w:val="000000" w:themeColor="text1"/>
          <w:sz w:val="22"/>
          <w:szCs w:val="22"/>
        </w:rPr>
      </w:pPr>
      <w:r w:rsidRPr="00FC178C">
        <w:rPr>
          <w:rFonts w:ascii="Lato" w:hAnsi="Lato" w:cs="Calibri"/>
          <w:color w:val="000000" w:themeColor="text1"/>
          <w:sz w:val="22"/>
          <w:szCs w:val="22"/>
        </w:rPr>
        <w:t xml:space="preserve">In its </w:t>
      </w:r>
      <w:r w:rsidRPr="00FC178C">
        <w:rPr>
          <w:rFonts w:ascii="Lato" w:hAnsi="Lato" w:cstheme="minorHAnsi"/>
          <w:sz w:val="22"/>
          <w:szCs w:val="22"/>
        </w:rPr>
        <w:t>General recommendation No. 28 (2010), the CEDAW Committee drew a very clear distinction between the notion of sex (as based on biology) and gender (socially constructed):</w:t>
      </w:r>
    </w:p>
    <w:p w14:paraId="0E22541A" w14:textId="424E5AC7" w:rsidR="00D33129" w:rsidRPr="00FC178C" w:rsidRDefault="00D33129" w:rsidP="00BF7655">
      <w:pPr>
        <w:spacing w:before="120"/>
        <w:ind w:left="72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The term </w:t>
      </w:r>
      <w:r w:rsidRPr="00FC178C">
        <w:rPr>
          <w:rFonts w:ascii="Lato" w:hAnsi="Lato" w:cs="Calibri"/>
          <w:b/>
          <w:bCs/>
          <w:i/>
          <w:color w:val="000000" w:themeColor="text1"/>
          <w:sz w:val="22"/>
          <w:szCs w:val="22"/>
        </w:rPr>
        <w:t>“sex”</w:t>
      </w:r>
      <w:r w:rsidRPr="00FC178C">
        <w:rPr>
          <w:rFonts w:ascii="Lato" w:hAnsi="Lato" w:cs="Calibri"/>
          <w:i/>
          <w:color w:val="000000" w:themeColor="text1"/>
          <w:sz w:val="22"/>
          <w:szCs w:val="22"/>
        </w:rPr>
        <w:t xml:space="preserve"> here refers to biological differences between men and women. The term </w:t>
      </w:r>
      <w:r w:rsidRPr="00FC178C">
        <w:rPr>
          <w:rFonts w:ascii="Lato" w:hAnsi="Lato" w:cs="Calibri"/>
          <w:b/>
          <w:bCs/>
          <w:i/>
          <w:color w:val="000000" w:themeColor="text1"/>
          <w:sz w:val="22"/>
          <w:szCs w:val="22"/>
        </w:rPr>
        <w:t>“gender”</w:t>
      </w:r>
      <w:r w:rsidRPr="00FC178C">
        <w:rPr>
          <w:rFonts w:ascii="Lato" w:hAnsi="Lato" w:cs="Calibri"/>
          <w:i/>
          <w:color w:val="000000" w:themeColor="text1"/>
          <w:sz w:val="22"/>
          <w:szCs w:val="22"/>
        </w:rPr>
        <w:t xml:space="preserve"> refers to 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t>
      </w:r>
      <w:r w:rsidRPr="00FC178C">
        <w:rPr>
          <w:rFonts w:ascii="Lato" w:hAnsi="Lato" w:cs="Calibri"/>
          <w:i/>
          <w:color w:val="000000" w:themeColor="text1"/>
          <w:sz w:val="22"/>
          <w:szCs w:val="22"/>
        </w:rPr>
        <w:lastRenderedPageBreak/>
        <w:t>women. This social positioning of women and men is affected by political, economic, cultural, social, religious, ideological and environmental factors and can be changed by culture, society and community.</w:t>
      </w:r>
      <w:r w:rsidRPr="00FC178C">
        <w:rPr>
          <w:rStyle w:val="Refdenotaalfinal"/>
          <w:rFonts w:ascii="Lato" w:hAnsi="Lato" w:cs="Calibri"/>
          <w:color w:val="000000" w:themeColor="text1"/>
          <w:sz w:val="22"/>
          <w:szCs w:val="22"/>
        </w:rPr>
        <w:endnoteReference w:id="1"/>
      </w:r>
    </w:p>
    <w:p w14:paraId="56011008" w14:textId="77777777" w:rsidR="00D33129" w:rsidRPr="00FC178C" w:rsidRDefault="00D33129" w:rsidP="00BF7655">
      <w:pPr>
        <w:spacing w:before="120"/>
        <w:jc w:val="both"/>
        <w:rPr>
          <w:rFonts w:ascii="Lato" w:hAnsi="Lato" w:cs="Calibri"/>
          <w:iCs/>
          <w:color w:val="000000" w:themeColor="text1"/>
          <w:sz w:val="22"/>
          <w:szCs w:val="22"/>
        </w:rPr>
      </w:pPr>
      <w:r w:rsidRPr="00FC178C">
        <w:rPr>
          <w:rFonts w:ascii="Lato" w:hAnsi="Lato" w:cs="Calibri"/>
          <w:iCs/>
          <w:color w:val="000000" w:themeColor="text1"/>
          <w:sz w:val="22"/>
          <w:szCs w:val="22"/>
        </w:rPr>
        <w:t>Since then, this definition has been used by the Committee in its practice, for instance:</w:t>
      </w:r>
    </w:p>
    <w:p w14:paraId="01D0F1A8" w14:textId="77777777" w:rsidR="00D33129" w:rsidRPr="00FC178C" w:rsidRDefault="00D33129" w:rsidP="00BF7655">
      <w:pPr>
        <w:spacing w:before="120"/>
        <w:ind w:left="720"/>
        <w:jc w:val="both"/>
        <w:rPr>
          <w:rFonts w:ascii="Lato" w:hAnsi="Lato" w:cs="Calibri"/>
          <w:i/>
          <w:color w:val="000000" w:themeColor="text1"/>
          <w:sz w:val="22"/>
          <w:szCs w:val="22"/>
        </w:rPr>
      </w:pPr>
      <w:r w:rsidRPr="00FC178C">
        <w:rPr>
          <w:rFonts w:ascii="Lato" w:hAnsi="Lato" w:cs="Calibri"/>
          <w:b/>
          <w:bCs/>
          <w:i/>
          <w:color w:val="000000" w:themeColor="text1"/>
          <w:sz w:val="22"/>
          <w:szCs w:val="22"/>
        </w:rPr>
        <w:t>Gender</w:t>
      </w:r>
      <w:r w:rsidRPr="00FC178C">
        <w:rPr>
          <w:rFonts w:ascii="Lato" w:hAnsi="Lato" w:cs="Calibri"/>
          <w:i/>
          <w:color w:val="000000" w:themeColor="text1"/>
          <w:sz w:val="22"/>
          <w:szCs w:val="22"/>
        </w:rPr>
        <w:t xml:space="preserve"> refers to socially constructed identities, attributes and roles for women and men and the cultural meaning imposed by society on to biological differences, which are consistently reflected within the justice system and its institutions.</w:t>
      </w:r>
      <w:r w:rsidRPr="00FC178C">
        <w:rPr>
          <w:rStyle w:val="Refdenotaalfinal"/>
          <w:rFonts w:ascii="Lato" w:hAnsi="Lato" w:cs="Calibri"/>
          <w:i/>
          <w:color w:val="000000" w:themeColor="text1"/>
          <w:sz w:val="22"/>
          <w:szCs w:val="22"/>
        </w:rPr>
        <w:endnoteReference w:id="2"/>
      </w:r>
    </w:p>
    <w:p w14:paraId="360474DC" w14:textId="42C9E94F" w:rsidR="008E6277" w:rsidRPr="00FC178C" w:rsidRDefault="008E6277" w:rsidP="00BF7655">
      <w:pPr>
        <w:spacing w:before="120"/>
        <w:jc w:val="both"/>
        <w:rPr>
          <w:rFonts w:ascii="Lato" w:hAnsi="Lato" w:cs="Calibri"/>
          <w:color w:val="000000" w:themeColor="text1"/>
          <w:sz w:val="22"/>
          <w:szCs w:val="22"/>
        </w:rPr>
      </w:pPr>
      <w:r w:rsidRPr="00FC178C">
        <w:rPr>
          <w:rFonts w:ascii="Lato" w:hAnsi="Lato" w:cs="Calibri"/>
          <w:color w:val="000000" w:themeColor="text1"/>
          <w:sz w:val="22"/>
          <w:szCs w:val="22"/>
        </w:rPr>
        <w:t xml:space="preserve">Therefore, </w:t>
      </w:r>
      <w:r w:rsidR="009D1D9E">
        <w:rPr>
          <w:rFonts w:ascii="Lato" w:hAnsi="Lato" w:cs="Calibri"/>
          <w:color w:val="000000" w:themeColor="text1"/>
          <w:sz w:val="22"/>
          <w:szCs w:val="22"/>
        </w:rPr>
        <w:t>the argument on the purpose of A</w:t>
      </w:r>
      <w:r w:rsidRPr="00FC178C">
        <w:rPr>
          <w:rFonts w:ascii="Lato" w:hAnsi="Lato" w:cs="Calibri"/>
          <w:color w:val="000000" w:themeColor="text1"/>
          <w:sz w:val="22"/>
          <w:szCs w:val="22"/>
        </w:rPr>
        <w:t>rticle 16 to address discrimination against women and girls specifically</w:t>
      </w:r>
      <w:r w:rsidR="00566AD9" w:rsidRPr="00FC178C">
        <w:rPr>
          <w:rFonts w:ascii="Lato" w:hAnsi="Lato" w:cs="Calibri"/>
          <w:color w:val="000000" w:themeColor="text1"/>
          <w:sz w:val="22"/>
          <w:szCs w:val="22"/>
        </w:rPr>
        <w:t>,</w:t>
      </w:r>
      <w:r w:rsidRPr="00FC178C">
        <w:rPr>
          <w:rFonts w:ascii="Lato" w:hAnsi="Lato" w:cs="Calibri"/>
          <w:color w:val="000000" w:themeColor="text1"/>
          <w:sz w:val="22"/>
          <w:szCs w:val="22"/>
        </w:rPr>
        <w:t xml:space="preserve"> and that the notion of gender would imply a broader sense that will deviate for this purpose is unsubstantiated. The notion of “gender</w:t>
      </w:r>
      <w:r w:rsidR="00E6260D">
        <w:rPr>
          <w:rFonts w:ascii="Lato" w:hAnsi="Lato" w:cs="Calibri"/>
          <w:color w:val="000000" w:themeColor="text1"/>
          <w:sz w:val="22"/>
          <w:szCs w:val="22"/>
        </w:rPr>
        <w:t>,</w:t>
      </w:r>
      <w:r w:rsidRPr="00FC178C">
        <w:rPr>
          <w:rFonts w:ascii="Lato" w:hAnsi="Lato" w:cs="Calibri"/>
          <w:color w:val="000000" w:themeColor="text1"/>
          <w:sz w:val="22"/>
          <w:szCs w:val="22"/>
        </w:rPr>
        <w:t>”</w:t>
      </w:r>
      <w:r w:rsidR="00566AD9" w:rsidRPr="00FC178C">
        <w:rPr>
          <w:rFonts w:ascii="Lato" w:hAnsi="Lato" w:cs="Calibri"/>
          <w:color w:val="000000" w:themeColor="text1"/>
          <w:sz w:val="22"/>
          <w:szCs w:val="22"/>
        </w:rPr>
        <w:t xml:space="preserve"> from</w:t>
      </w:r>
      <w:r w:rsidRPr="00FC178C">
        <w:rPr>
          <w:rFonts w:ascii="Lato" w:hAnsi="Lato" w:cs="Calibri"/>
          <w:color w:val="000000" w:themeColor="text1"/>
          <w:sz w:val="22"/>
          <w:szCs w:val="22"/>
        </w:rPr>
        <w:t xml:space="preserve"> CEDAW</w:t>
      </w:r>
      <w:r w:rsidR="009D1D9E">
        <w:rPr>
          <w:rFonts w:ascii="Lato" w:hAnsi="Lato" w:cs="Calibri"/>
          <w:color w:val="000000" w:themeColor="text1"/>
          <w:sz w:val="22"/>
          <w:szCs w:val="22"/>
        </w:rPr>
        <w:t>’s</w:t>
      </w:r>
      <w:r w:rsidRPr="00FC178C">
        <w:rPr>
          <w:rFonts w:ascii="Lato" w:hAnsi="Lato" w:cs="Calibri"/>
          <w:color w:val="000000" w:themeColor="text1"/>
          <w:sz w:val="22"/>
          <w:szCs w:val="22"/>
        </w:rPr>
        <w:t xml:space="preserve"> </w:t>
      </w:r>
      <w:r w:rsidR="5F607132" w:rsidRPr="00FC178C">
        <w:rPr>
          <w:rFonts w:ascii="Lato" w:hAnsi="Lato" w:cs="Calibri"/>
          <w:color w:val="000000" w:themeColor="text1"/>
          <w:sz w:val="22"/>
          <w:szCs w:val="22"/>
        </w:rPr>
        <w:t>perspective</w:t>
      </w:r>
      <w:r w:rsidR="00566AD9" w:rsidRPr="00FC178C">
        <w:rPr>
          <w:rFonts w:ascii="Lato" w:hAnsi="Lato" w:cs="Calibri"/>
          <w:color w:val="000000" w:themeColor="text1"/>
          <w:sz w:val="22"/>
          <w:szCs w:val="22"/>
        </w:rPr>
        <w:t xml:space="preserve">, </w:t>
      </w:r>
      <w:r w:rsidRPr="00FC178C">
        <w:rPr>
          <w:rFonts w:ascii="Lato" w:hAnsi="Lato" w:cs="Calibri"/>
          <w:color w:val="000000" w:themeColor="text1"/>
          <w:sz w:val="22"/>
          <w:szCs w:val="22"/>
        </w:rPr>
        <w:t>covers discriminati</w:t>
      </w:r>
      <w:r w:rsidR="00566AD9" w:rsidRPr="00FC178C">
        <w:rPr>
          <w:rFonts w:ascii="Lato" w:hAnsi="Lato" w:cs="Calibri"/>
          <w:color w:val="000000" w:themeColor="text1"/>
          <w:sz w:val="22"/>
          <w:szCs w:val="22"/>
        </w:rPr>
        <w:t xml:space="preserve">on against women and girls in a </w:t>
      </w:r>
      <w:r w:rsidRPr="00FC178C">
        <w:rPr>
          <w:rFonts w:ascii="Lato" w:hAnsi="Lato" w:cs="Calibri"/>
          <w:color w:val="000000" w:themeColor="text1"/>
          <w:sz w:val="22"/>
          <w:szCs w:val="22"/>
        </w:rPr>
        <w:t xml:space="preserve">holistic </w:t>
      </w:r>
      <w:r w:rsidR="00566AD9" w:rsidRPr="00FC178C">
        <w:rPr>
          <w:rFonts w:ascii="Lato" w:hAnsi="Lato" w:cs="Calibri"/>
          <w:color w:val="000000" w:themeColor="text1"/>
          <w:sz w:val="22"/>
          <w:szCs w:val="22"/>
        </w:rPr>
        <w:t>way that</w:t>
      </w:r>
      <w:r w:rsidR="009D1D9E">
        <w:rPr>
          <w:rFonts w:ascii="Lato" w:hAnsi="Lato" w:cs="Calibri"/>
          <w:color w:val="000000" w:themeColor="text1"/>
          <w:sz w:val="22"/>
          <w:szCs w:val="22"/>
        </w:rPr>
        <w:t xml:space="preserve">, </w:t>
      </w:r>
      <w:r w:rsidRPr="00FC178C">
        <w:rPr>
          <w:rFonts w:ascii="Lato" w:hAnsi="Lato" w:cs="Calibri"/>
          <w:color w:val="000000" w:themeColor="text1"/>
          <w:sz w:val="22"/>
          <w:szCs w:val="22"/>
        </w:rPr>
        <w:t xml:space="preserve">instead of lessening the focus, reinforces it </w:t>
      </w:r>
      <w:r w:rsidR="00566AD9" w:rsidRPr="00FC178C">
        <w:rPr>
          <w:rFonts w:ascii="Lato" w:hAnsi="Lato" w:cs="Calibri"/>
          <w:color w:val="000000" w:themeColor="text1"/>
          <w:sz w:val="22"/>
          <w:szCs w:val="22"/>
        </w:rPr>
        <w:t xml:space="preserve">and improves the comprehension of the social positioning of women and girls in several areas. </w:t>
      </w:r>
    </w:p>
    <w:p w14:paraId="18BA7540" w14:textId="4DB04F82" w:rsidR="00D33129" w:rsidRPr="00FC178C" w:rsidRDefault="0E60D220" w:rsidP="0D3B214A">
      <w:pPr>
        <w:spacing w:before="120"/>
        <w:jc w:val="both"/>
        <w:rPr>
          <w:rFonts w:ascii="Lato" w:hAnsi="Lato"/>
          <w:sz w:val="22"/>
          <w:szCs w:val="22"/>
        </w:rPr>
      </w:pPr>
      <w:r w:rsidRPr="00FC178C">
        <w:rPr>
          <w:rFonts w:ascii="Lato" w:hAnsi="Lato" w:cs="Calibri"/>
          <w:color w:val="000000" w:themeColor="text1"/>
          <w:sz w:val="22"/>
          <w:szCs w:val="22"/>
        </w:rPr>
        <w:t>Moreover, the claim that the language used in the draft Convention is fully in line with CEDAW recommendations and jurisprudence is incorrect since recent developments of the Committee are fully inclusive of the usage of the term gender and have a focus on root causes of inequality. By excluding the word “gender” and the notion of “gender equa</w:t>
      </w:r>
      <w:r w:rsidR="00E6260D">
        <w:rPr>
          <w:rFonts w:ascii="Lato" w:hAnsi="Lato" w:cs="Calibri"/>
          <w:color w:val="000000" w:themeColor="text1"/>
          <w:sz w:val="22"/>
          <w:szCs w:val="22"/>
        </w:rPr>
        <w:t xml:space="preserve">lity” from Article 16, the EDG would risk not following </w:t>
      </w:r>
      <w:r w:rsidRPr="00FC178C">
        <w:rPr>
          <w:rFonts w:ascii="Lato" w:hAnsi="Lato" w:cs="Calibri"/>
          <w:color w:val="000000" w:themeColor="text1"/>
          <w:sz w:val="22"/>
          <w:szCs w:val="22"/>
        </w:rPr>
        <w:t xml:space="preserve">the current developments of International Human Rights Law of the last decade. </w:t>
      </w:r>
    </w:p>
    <w:p w14:paraId="47D358FA" w14:textId="2C21BABF" w:rsidR="00D33129" w:rsidRPr="00FC178C" w:rsidRDefault="0D3B214A" w:rsidP="00BF7655">
      <w:pPr>
        <w:spacing w:before="120"/>
        <w:jc w:val="both"/>
        <w:rPr>
          <w:rFonts w:ascii="Lato" w:hAnsi="Lato"/>
          <w:sz w:val="22"/>
          <w:szCs w:val="22"/>
        </w:rPr>
      </w:pPr>
      <w:r w:rsidRPr="00FC178C">
        <w:rPr>
          <w:rFonts w:ascii="Lato" w:hAnsi="Lato"/>
          <w:sz w:val="22"/>
          <w:szCs w:val="22"/>
        </w:rPr>
        <w:t xml:space="preserve">Overall, the CEDAW Committee’s practice is based on the </w:t>
      </w:r>
      <w:r w:rsidRPr="00FC178C">
        <w:rPr>
          <w:rFonts w:ascii="Lato" w:hAnsi="Lato"/>
          <w:b/>
          <w:bCs/>
          <w:sz w:val="22"/>
          <w:szCs w:val="22"/>
        </w:rPr>
        <w:t>concept of gender and relevant notions</w:t>
      </w:r>
      <w:r w:rsidRPr="00FC178C">
        <w:rPr>
          <w:rFonts w:ascii="Lato" w:hAnsi="Lato"/>
          <w:sz w:val="22"/>
          <w:szCs w:val="22"/>
        </w:rPr>
        <w:t xml:space="preserve">, such as: </w:t>
      </w:r>
    </w:p>
    <w:p w14:paraId="12094957"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 equality;</w:t>
      </w:r>
    </w:p>
    <w:p w14:paraId="094F42E9"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gender-based structural inequality;</w:t>
      </w:r>
    </w:p>
    <w:p w14:paraId="40C68FE1"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 bias; gender stereotypes;</w:t>
      </w:r>
    </w:p>
    <w:p w14:paraId="1C8A7D29"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 socialization; (patriarchal) gender roles;</w:t>
      </w:r>
    </w:p>
    <w:p w14:paraId="07F0603F"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gendered ideologies, structures and systems</w:t>
      </w:r>
      <w:r w:rsidRPr="00FC178C">
        <w:rPr>
          <w:rFonts w:ascii="Lato" w:hAnsi="Lato"/>
          <w:sz w:val="22"/>
          <w:szCs w:val="22"/>
          <w:lang w:val="en-US"/>
        </w:rPr>
        <w:t>; gender order of society; gender regime;</w:t>
      </w:r>
    </w:p>
    <w:p w14:paraId="2BA8F5E7"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lang w:val="en-US"/>
        </w:rPr>
        <w:t xml:space="preserve">gender gap; </w:t>
      </w:r>
      <w:r w:rsidRPr="00FC178C">
        <w:rPr>
          <w:rFonts w:ascii="Lato" w:hAnsi="Lato"/>
          <w:sz w:val="22"/>
          <w:szCs w:val="22"/>
        </w:rPr>
        <w:t>gender disparities; gender-differentiated impact;</w:t>
      </w:r>
    </w:p>
    <w:p w14:paraId="0BEE6E6C" w14:textId="77777777" w:rsidR="00D33129" w:rsidRPr="00FC178C" w:rsidRDefault="00D33129" w:rsidP="00BF7655">
      <w:pPr>
        <w:pStyle w:val="Prrafodelista"/>
        <w:numPr>
          <w:ilvl w:val="0"/>
          <w:numId w:val="3"/>
        </w:numPr>
        <w:spacing w:before="120"/>
        <w:jc w:val="both"/>
        <w:rPr>
          <w:rFonts w:ascii="Lato" w:hAnsi="Lato"/>
          <w:sz w:val="22"/>
          <w:szCs w:val="22"/>
          <w:lang w:val="en-US"/>
        </w:rPr>
      </w:pPr>
      <w:r w:rsidRPr="00FC178C">
        <w:rPr>
          <w:rFonts w:ascii="Lato" w:hAnsi="Lato"/>
          <w:sz w:val="22"/>
          <w:szCs w:val="22"/>
        </w:rPr>
        <w:t>gender segregation; gender-segregated labour market;</w:t>
      </w:r>
    </w:p>
    <w:p w14:paraId="550ECDFF"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gender-based discrimination; gender-based violence; gender-related persecution</w:t>
      </w:r>
    </w:p>
    <w:p w14:paraId="34018249"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 analysis; gender perspective;</w:t>
      </w:r>
    </w:p>
    <w:p w14:paraId="38EFEB68"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gender-sensitive legislation; gender-sensitive / gender-responsive measures; gender-responsive action plans;</w:t>
      </w:r>
    </w:p>
    <w:p w14:paraId="6726DA28"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gender-sensitive complaint and grievance mechanisms; gender-responsive judicial remedies; gender-sensitive court proceedings; gender-sensitive legal aid;</w:t>
      </w:r>
    </w:p>
    <w:p w14:paraId="588C2784" w14:textId="77777777" w:rsidR="00D33129" w:rsidRPr="00FC178C" w:rsidRDefault="00D33129" w:rsidP="00BF7655">
      <w:pPr>
        <w:pStyle w:val="Prrafodelista"/>
        <w:numPr>
          <w:ilvl w:val="0"/>
          <w:numId w:val="3"/>
        </w:numPr>
        <w:spacing w:before="120"/>
        <w:jc w:val="both"/>
        <w:rPr>
          <w:rFonts w:ascii="Lato" w:hAnsi="Lato"/>
          <w:sz w:val="22"/>
          <w:szCs w:val="22"/>
        </w:rPr>
      </w:pPr>
      <w:r w:rsidRPr="00FC178C">
        <w:rPr>
          <w:rFonts w:ascii="Lato" w:hAnsi="Lato"/>
          <w:sz w:val="22"/>
          <w:szCs w:val="22"/>
        </w:rPr>
        <w:t>gender-responsive educational programmes; gender-sensitive / gender-responsive training;</w:t>
      </w:r>
    </w:p>
    <w:p w14:paraId="0A7F2822" w14:textId="77777777" w:rsidR="0004627C" w:rsidRPr="00FC178C" w:rsidRDefault="00D33129" w:rsidP="00BF7655">
      <w:pPr>
        <w:pStyle w:val="Prrafodelista"/>
        <w:numPr>
          <w:ilvl w:val="0"/>
          <w:numId w:val="3"/>
        </w:numPr>
        <w:jc w:val="both"/>
        <w:rPr>
          <w:rFonts w:ascii="Lato" w:hAnsi="Lato"/>
          <w:sz w:val="22"/>
          <w:szCs w:val="22"/>
        </w:rPr>
      </w:pPr>
      <w:proofErr w:type="gramStart"/>
      <w:r w:rsidRPr="00FC178C">
        <w:rPr>
          <w:rFonts w:ascii="Lato" w:hAnsi="Lato"/>
          <w:sz w:val="22"/>
          <w:szCs w:val="22"/>
        </w:rPr>
        <w:t>gender-responsive</w:t>
      </w:r>
      <w:proofErr w:type="gramEnd"/>
      <w:r w:rsidRPr="00FC178C">
        <w:rPr>
          <w:rFonts w:ascii="Lato" w:hAnsi="Lato"/>
          <w:sz w:val="22"/>
          <w:szCs w:val="22"/>
        </w:rPr>
        <w:t xml:space="preserve"> social protection and essential services.</w:t>
      </w:r>
      <w:r w:rsidR="0004627C" w:rsidRPr="00FC178C">
        <w:rPr>
          <w:rFonts w:ascii="Lato" w:eastAsiaTheme="minorHAnsi" w:hAnsi="Lato" w:cstheme="minorBidi"/>
          <w:sz w:val="22"/>
          <w:szCs w:val="22"/>
        </w:rPr>
        <w:t xml:space="preserve"> </w:t>
      </w:r>
    </w:p>
    <w:p w14:paraId="3993A7BB" w14:textId="77777777" w:rsidR="0004627C" w:rsidRPr="00FC178C" w:rsidRDefault="0004627C" w:rsidP="00BF7655">
      <w:pPr>
        <w:ind w:left="360"/>
        <w:jc w:val="both"/>
        <w:rPr>
          <w:rFonts w:ascii="Lato" w:hAnsi="Lato"/>
          <w:sz w:val="22"/>
          <w:szCs w:val="22"/>
        </w:rPr>
      </w:pPr>
    </w:p>
    <w:p w14:paraId="3C8EAC9C" w14:textId="4B334BF6" w:rsidR="0004627C" w:rsidRPr="00FC178C" w:rsidRDefault="0D3B214A" w:rsidP="00BF7655">
      <w:pPr>
        <w:jc w:val="both"/>
        <w:rPr>
          <w:rFonts w:ascii="Lato" w:hAnsi="Lato"/>
          <w:sz w:val="22"/>
          <w:szCs w:val="22"/>
        </w:rPr>
      </w:pPr>
      <w:r w:rsidRPr="00FC178C">
        <w:rPr>
          <w:rFonts w:ascii="Lato" w:hAnsi="Lato"/>
          <w:sz w:val="22"/>
          <w:szCs w:val="22"/>
        </w:rPr>
        <w:t xml:space="preserve">In particular, the CEDAW Committee formulated the definition of </w:t>
      </w:r>
      <w:r w:rsidRPr="00FC178C">
        <w:rPr>
          <w:rFonts w:ascii="Lato" w:hAnsi="Lato"/>
          <w:b/>
          <w:bCs/>
          <w:sz w:val="22"/>
          <w:szCs w:val="22"/>
        </w:rPr>
        <w:t>‘gender perspective’</w:t>
      </w:r>
      <w:r w:rsidRPr="00FC178C">
        <w:rPr>
          <w:rFonts w:ascii="Lato" w:hAnsi="Lato"/>
          <w:sz w:val="22"/>
          <w:szCs w:val="22"/>
        </w:rPr>
        <w:t xml:space="preserve"> (in this case, for Indigenous women, but this approach can be extrapolated on many other areas):</w:t>
      </w:r>
    </w:p>
    <w:p w14:paraId="09B5001A" w14:textId="77777777" w:rsidR="0004627C" w:rsidRPr="00FC178C" w:rsidRDefault="0004627C" w:rsidP="00BF7655">
      <w:pPr>
        <w:jc w:val="both"/>
        <w:rPr>
          <w:rFonts w:ascii="Lato" w:hAnsi="Lato"/>
          <w:i/>
          <w:iCs/>
          <w:sz w:val="22"/>
          <w:szCs w:val="22"/>
        </w:rPr>
      </w:pPr>
    </w:p>
    <w:p w14:paraId="4880A534" w14:textId="77777777" w:rsidR="0004627C" w:rsidRPr="00FC178C" w:rsidRDefault="0004627C" w:rsidP="00BF7655">
      <w:pPr>
        <w:jc w:val="both"/>
        <w:rPr>
          <w:rFonts w:ascii="Lato" w:hAnsi="Lato"/>
          <w:i/>
          <w:iCs/>
          <w:sz w:val="22"/>
          <w:szCs w:val="22"/>
        </w:rPr>
      </w:pPr>
      <w:r w:rsidRPr="00FC178C">
        <w:rPr>
          <w:rFonts w:ascii="Lato" w:hAnsi="Lato"/>
          <w:i/>
          <w:iCs/>
          <w:sz w:val="22"/>
          <w:szCs w:val="22"/>
        </w:rPr>
        <w:t xml:space="preserve">A </w:t>
      </w:r>
      <w:r w:rsidRPr="00FC178C">
        <w:rPr>
          <w:rFonts w:ascii="Lato" w:hAnsi="Lato"/>
          <w:b/>
          <w:bCs/>
          <w:i/>
          <w:iCs/>
          <w:sz w:val="22"/>
          <w:szCs w:val="22"/>
        </w:rPr>
        <w:t>gender perspective</w:t>
      </w:r>
      <w:r w:rsidRPr="00FC178C">
        <w:rPr>
          <w:rFonts w:ascii="Lato" w:hAnsi="Lato"/>
          <w:i/>
          <w:iCs/>
          <w:sz w:val="22"/>
          <w:szCs w:val="22"/>
        </w:rPr>
        <w:t xml:space="preserve"> takes into consideration the discriminatory norms, harmful social practices, stereotypes and inferior treatment that have affected Indigenous women and girls historically and still affect them in the present.</w:t>
      </w:r>
      <w:r w:rsidRPr="00FC178C">
        <w:rPr>
          <w:sz w:val="22"/>
          <w:szCs w:val="22"/>
          <w:vertAlign w:val="superscript"/>
        </w:rPr>
        <w:endnoteReference w:id="3"/>
      </w:r>
    </w:p>
    <w:p w14:paraId="66918745" w14:textId="77777777" w:rsidR="0004627C" w:rsidRPr="00FC178C" w:rsidRDefault="0004627C" w:rsidP="00BF7655">
      <w:pPr>
        <w:jc w:val="both"/>
        <w:rPr>
          <w:rFonts w:ascii="Lato" w:hAnsi="Lato"/>
          <w:sz w:val="22"/>
          <w:szCs w:val="22"/>
        </w:rPr>
      </w:pPr>
    </w:p>
    <w:p w14:paraId="0A4E9D87" w14:textId="77777777" w:rsidR="0004627C" w:rsidRPr="00FC178C" w:rsidRDefault="0004627C" w:rsidP="00BF7655">
      <w:pPr>
        <w:jc w:val="both"/>
        <w:rPr>
          <w:rFonts w:ascii="Lato" w:hAnsi="Lato"/>
          <w:sz w:val="22"/>
          <w:szCs w:val="22"/>
        </w:rPr>
      </w:pPr>
      <w:r w:rsidRPr="00FC178C">
        <w:rPr>
          <w:rFonts w:ascii="Lato" w:hAnsi="Lato"/>
          <w:sz w:val="22"/>
          <w:szCs w:val="22"/>
        </w:rPr>
        <w:t xml:space="preserve">Another crucial concept developed by the CEDAW Committee is </w:t>
      </w:r>
      <w:r w:rsidRPr="00FC178C">
        <w:rPr>
          <w:rFonts w:ascii="Lato" w:hAnsi="Lato"/>
          <w:b/>
          <w:bCs/>
          <w:sz w:val="22"/>
          <w:szCs w:val="22"/>
        </w:rPr>
        <w:t>‘gender-based violence’</w:t>
      </w:r>
      <w:r w:rsidRPr="00FC178C">
        <w:rPr>
          <w:rFonts w:ascii="Lato" w:hAnsi="Lato"/>
          <w:sz w:val="22"/>
          <w:szCs w:val="22"/>
        </w:rPr>
        <w:t xml:space="preserve">. In 1992, in its </w:t>
      </w:r>
      <w:r w:rsidRPr="00FC178C">
        <w:rPr>
          <w:rFonts w:ascii="Lato" w:hAnsi="Lato"/>
          <w:i/>
          <w:iCs/>
          <w:sz w:val="22"/>
          <w:szCs w:val="22"/>
        </w:rPr>
        <w:t>General recommendation No. 19: Violence against women</w:t>
      </w:r>
      <w:r w:rsidRPr="00FC178C">
        <w:rPr>
          <w:rFonts w:ascii="Lato" w:hAnsi="Lato"/>
          <w:sz w:val="22"/>
          <w:szCs w:val="22"/>
        </w:rPr>
        <w:t>, the Committee has already introduced the concept of ‘gender based violence’, even though it has not been reflected in the title of the General recommendation. The Committee defined that ‘gender-based violence is a form of discrimination that seriously inhibits women’s ability to enjoy rights and freedoms on a basis of equality with men.’</w:t>
      </w:r>
      <w:r w:rsidRPr="00FC178C">
        <w:rPr>
          <w:sz w:val="22"/>
          <w:szCs w:val="22"/>
          <w:vertAlign w:val="superscript"/>
        </w:rPr>
        <w:endnoteReference w:id="4"/>
      </w:r>
    </w:p>
    <w:p w14:paraId="3BAA6BE9" w14:textId="77777777" w:rsidR="0004627C" w:rsidRPr="00FC178C" w:rsidRDefault="0004627C" w:rsidP="00BF7655">
      <w:pPr>
        <w:jc w:val="both"/>
        <w:rPr>
          <w:rFonts w:ascii="Lato" w:hAnsi="Lato"/>
          <w:sz w:val="22"/>
          <w:szCs w:val="22"/>
        </w:rPr>
      </w:pPr>
    </w:p>
    <w:p w14:paraId="04FDEB29" w14:textId="77777777" w:rsidR="0004627C" w:rsidRPr="00FC178C" w:rsidRDefault="0004627C" w:rsidP="00BF7655">
      <w:pPr>
        <w:jc w:val="both"/>
        <w:rPr>
          <w:rFonts w:ascii="Lato" w:hAnsi="Lato"/>
          <w:sz w:val="22"/>
          <w:szCs w:val="22"/>
          <w:lang w:val="en-US"/>
        </w:rPr>
      </w:pPr>
      <w:r w:rsidRPr="00FC178C">
        <w:rPr>
          <w:rFonts w:ascii="Lato" w:hAnsi="Lato"/>
          <w:sz w:val="22"/>
          <w:szCs w:val="22"/>
          <w:lang w:val="en-US"/>
        </w:rPr>
        <w:lastRenderedPageBreak/>
        <w:t xml:space="preserve">In 2017, the CEDAW Committee issued its </w:t>
      </w:r>
      <w:r w:rsidRPr="00FC178C">
        <w:rPr>
          <w:rFonts w:ascii="Lato" w:hAnsi="Lato"/>
          <w:i/>
          <w:iCs/>
          <w:sz w:val="22"/>
          <w:szCs w:val="22"/>
          <w:lang w:val="en-US"/>
        </w:rPr>
        <w:t>General recommendation No. 35 on gender-based violence against women, updating general recommendation No. 19</w:t>
      </w:r>
      <w:r w:rsidRPr="00FC178C">
        <w:rPr>
          <w:rFonts w:ascii="Lato" w:hAnsi="Lato"/>
          <w:sz w:val="22"/>
          <w:szCs w:val="22"/>
          <w:lang w:val="en-US"/>
        </w:rPr>
        <w:t>. This time, the term ‘gender-based violence’ has been included into the title of the document, and the Committee additionally explained that:</w:t>
      </w:r>
    </w:p>
    <w:p w14:paraId="1C333054" w14:textId="77777777" w:rsidR="0004627C" w:rsidRPr="00FC178C" w:rsidRDefault="0004627C" w:rsidP="00BF7655">
      <w:pPr>
        <w:jc w:val="both"/>
        <w:rPr>
          <w:rFonts w:ascii="Lato" w:hAnsi="Lato"/>
          <w:i/>
          <w:iCs/>
          <w:sz w:val="22"/>
          <w:szCs w:val="22"/>
        </w:rPr>
      </w:pPr>
      <w:r w:rsidRPr="00FC178C">
        <w:rPr>
          <w:rFonts w:ascii="Lato" w:hAnsi="Lato"/>
          <w:i/>
          <w:iCs/>
          <w:sz w:val="22"/>
          <w:szCs w:val="22"/>
        </w:rPr>
        <w:t xml:space="preserve">The concept of ‘violence against women’, as defined in general recommendation No. 19 and other international instruments and documents, has places an emphasis on the fact that such violence </w:t>
      </w:r>
      <w:r w:rsidRPr="00FC178C">
        <w:rPr>
          <w:rFonts w:ascii="Lato" w:hAnsi="Lato"/>
          <w:b/>
          <w:bCs/>
          <w:i/>
          <w:iCs/>
          <w:sz w:val="22"/>
          <w:szCs w:val="22"/>
        </w:rPr>
        <w:t>is gender based</w:t>
      </w:r>
      <w:r w:rsidRPr="00FC178C">
        <w:rPr>
          <w:rFonts w:ascii="Lato" w:hAnsi="Lato"/>
          <w:i/>
          <w:iCs/>
          <w:sz w:val="22"/>
          <w:szCs w:val="22"/>
        </w:rPr>
        <w:t>. Accordingly, in the present recommendation, the term ‘</w:t>
      </w:r>
      <w:r w:rsidRPr="00FC178C">
        <w:rPr>
          <w:rFonts w:ascii="Lato" w:hAnsi="Lato"/>
          <w:b/>
          <w:bCs/>
          <w:i/>
          <w:iCs/>
          <w:sz w:val="22"/>
          <w:szCs w:val="22"/>
        </w:rPr>
        <w:t xml:space="preserve">gender-based violence </w:t>
      </w:r>
      <w:r w:rsidRPr="00FC178C">
        <w:rPr>
          <w:rFonts w:ascii="Lato" w:hAnsi="Lato"/>
          <w:i/>
          <w:iCs/>
          <w:sz w:val="22"/>
          <w:szCs w:val="22"/>
        </w:rPr>
        <w:t xml:space="preserve">against women’ is used as a more precise term that makes explicit </w:t>
      </w:r>
      <w:r w:rsidRPr="00FC178C">
        <w:rPr>
          <w:rFonts w:ascii="Lato" w:hAnsi="Lato"/>
          <w:b/>
          <w:bCs/>
          <w:i/>
          <w:iCs/>
          <w:sz w:val="22"/>
          <w:szCs w:val="22"/>
        </w:rPr>
        <w:t>the gendered causes and impacts</w:t>
      </w:r>
      <w:r w:rsidRPr="00FC178C">
        <w:rPr>
          <w:rFonts w:ascii="Lato" w:hAnsi="Lato"/>
          <w:i/>
          <w:iCs/>
          <w:sz w:val="22"/>
          <w:szCs w:val="22"/>
        </w:rPr>
        <w:t xml:space="preserve"> of the violence. The term further strengthens the understanding of the violence as a social rather than an individual problem, requiring comprehensive responses, beyond those to specific events, individual perpetrators and victims/survivors.</w:t>
      </w:r>
      <w:r w:rsidRPr="00FC178C">
        <w:rPr>
          <w:sz w:val="22"/>
          <w:szCs w:val="22"/>
          <w:vertAlign w:val="superscript"/>
        </w:rPr>
        <w:endnoteReference w:id="5"/>
      </w:r>
    </w:p>
    <w:p w14:paraId="72D1D556" w14:textId="77777777" w:rsidR="0004627C" w:rsidRPr="00FC178C" w:rsidRDefault="0004627C" w:rsidP="0D3B214A">
      <w:pPr>
        <w:jc w:val="both"/>
        <w:rPr>
          <w:rFonts w:ascii="Lato" w:hAnsi="Lato"/>
          <w:i/>
          <w:iCs/>
          <w:sz w:val="22"/>
          <w:szCs w:val="22"/>
        </w:rPr>
      </w:pPr>
      <w:r w:rsidRPr="00FC178C">
        <w:rPr>
          <w:rFonts w:ascii="Lato" w:hAnsi="Lato"/>
          <w:i/>
          <w:iCs/>
          <w:sz w:val="22"/>
          <w:szCs w:val="22"/>
        </w:rPr>
        <w:t xml:space="preserve">The Committee regards </w:t>
      </w:r>
      <w:r w:rsidRPr="00FC178C">
        <w:rPr>
          <w:rFonts w:ascii="Lato" w:hAnsi="Lato"/>
          <w:b/>
          <w:bCs/>
          <w:i/>
          <w:iCs/>
          <w:sz w:val="22"/>
          <w:szCs w:val="22"/>
        </w:rPr>
        <w:t>gender-based violence</w:t>
      </w:r>
      <w:r w:rsidRPr="00FC178C">
        <w:rPr>
          <w:rFonts w:ascii="Lato" w:hAnsi="Lato"/>
          <w:i/>
          <w:iCs/>
          <w:sz w:val="22"/>
          <w:szCs w:val="22"/>
        </w:rPr>
        <w:t xml:space="preserve"> against women as being rooted in gender related factors, such as the ideology of men’s entitlement and privilege over women, social norms regarding masculinity, and the need to assert male control or power, enforce </w:t>
      </w:r>
      <w:r w:rsidRPr="00FC178C">
        <w:rPr>
          <w:rFonts w:ascii="Lato" w:hAnsi="Lato"/>
          <w:b/>
          <w:bCs/>
          <w:i/>
          <w:iCs/>
          <w:sz w:val="22"/>
          <w:szCs w:val="22"/>
        </w:rPr>
        <w:t xml:space="preserve">gender roles </w:t>
      </w:r>
      <w:r w:rsidRPr="00FC178C">
        <w:rPr>
          <w:rFonts w:ascii="Lato" w:hAnsi="Lato"/>
          <w:i/>
          <w:iCs/>
          <w:sz w:val="22"/>
          <w:szCs w:val="22"/>
        </w:rPr>
        <w:t>or prevent, discourage or punish what is considered to be unacceptable female behaviour.</w:t>
      </w:r>
      <w:r w:rsidRPr="00FC178C">
        <w:rPr>
          <w:sz w:val="22"/>
          <w:szCs w:val="22"/>
          <w:vertAlign w:val="superscript"/>
        </w:rPr>
        <w:endnoteReference w:id="6"/>
      </w:r>
    </w:p>
    <w:p w14:paraId="567E61E9" w14:textId="77777777" w:rsidR="003E40A0" w:rsidRPr="00FC178C" w:rsidRDefault="003E40A0" w:rsidP="0D3B214A">
      <w:pPr>
        <w:jc w:val="both"/>
        <w:rPr>
          <w:rFonts w:ascii="Lato" w:hAnsi="Lato"/>
          <w:i/>
          <w:iCs/>
          <w:sz w:val="22"/>
          <w:szCs w:val="22"/>
        </w:rPr>
      </w:pPr>
    </w:p>
    <w:p w14:paraId="77617ACD" w14:textId="425368EA" w:rsidR="00D33129" w:rsidRPr="00254709" w:rsidRDefault="003E40A0" w:rsidP="00254709">
      <w:pPr>
        <w:jc w:val="both"/>
        <w:rPr>
          <w:rFonts w:ascii="Lato" w:hAnsi="Lato"/>
          <w:i/>
          <w:iCs/>
          <w:sz w:val="22"/>
          <w:szCs w:val="22"/>
        </w:rPr>
      </w:pPr>
      <w:r w:rsidRPr="00254709">
        <w:rPr>
          <w:rFonts w:ascii="Lato" w:hAnsi="Lato"/>
          <w:b/>
          <w:bCs/>
          <w:color w:val="C0504D" w:themeColor="accent2"/>
          <w:sz w:val="22"/>
          <w:szCs w:val="22"/>
          <w:lang w:val="en-US"/>
        </w:rPr>
        <w:t>CEDAW: Gender and Development</w:t>
      </w:r>
    </w:p>
    <w:p w14:paraId="2455376E" w14:textId="4ED8F6BD" w:rsidR="00E12771" w:rsidRPr="00FC178C" w:rsidRDefault="00E12771" w:rsidP="00E12771">
      <w:pPr>
        <w:spacing w:before="120"/>
        <w:jc w:val="both"/>
        <w:rPr>
          <w:rFonts w:ascii="Lato" w:hAnsi="Lato" w:cstheme="minorHAnsi"/>
          <w:sz w:val="22"/>
          <w:szCs w:val="22"/>
          <w:lang w:val="en-US"/>
        </w:rPr>
      </w:pPr>
      <w:r w:rsidRPr="00FC178C">
        <w:rPr>
          <w:rFonts w:ascii="Lato" w:hAnsi="Lato" w:cs="Calibri"/>
          <w:color w:val="000000" w:themeColor="text1"/>
          <w:sz w:val="22"/>
          <w:szCs w:val="22"/>
          <w:lang w:val="en-US"/>
        </w:rPr>
        <w:t>T</w:t>
      </w:r>
      <w:r w:rsidRPr="00FC178C">
        <w:rPr>
          <w:rFonts w:ascii="Lato" w:hAnsi="Lato" w:cstheme="minorHAnsi"/>
          <w:sz w:val="22"/>
          <w:szCs w:val="22"/>
          <w:lang w:val="en-US"/>
        </w:rPr>
        <w:t xml:space="preserve">he CEDAW Committee </w:t>
      </w:r>
      <w:r w:rsidR="00E229FB">
        <w:rPr>
          <w:rFonts w:ascii="Lato" w:hAnsi="Lato" w:cstheme="minorHAnsi"/>
          <w:sz w:val="22"/>
          <w:szCs w:val="22"/>
          <w:lang w:val="en-US"/>
        </w:rPr>
        <w:t xml:space="preserve">also </w:t>
      </w:r>
      <w:r w:rsidRPr="00FC178C">
        <w:rPr>
          <w:rFonts w:ascii="Lato" w:hAnsi="Lato" w:cstheme="minorHAnsi"/>
          <w:sz w:val="22"/>
          <w:szCs w:val="22"/>
          <w:lang w:val="en-US"/>
        </w:rPr>
        <w:t>consistently refers to gender in their approach t</w:t>
      </w:r>
      <w:r w:rsidR="00E229FB">
        <w:rPr>
          <w:rFonts w:ascii="Lato" w:hAnsi="Lato" w:cstheme="minorHAnsi"/>
          <w:sz w:val="22"/>
          <w:szCs w:val="22"/>
          <w:lang w:val="en-US"/>
        </w:rPr>
        <w:t>o development, particularly when referring to the Sustainable Development Goals (SDGs)</w:t>
      </w:r>
      <w:r w:rsidRPr="00FC178C">
        <w:rPr>
          <w:rFonts w:ascii="Lato" w:hAnsi="Lato" w:cstheme="minorHAnsi"/>
          <w:sz w:val="22"/>
          <w:szCs w:val="22"/>
          <w:lang w:val="en-US"/>
        </w:rPr>
        <w:t xml:space="preserve">. </w:t>
      </w:r>
    </w:p>
    <w:p w14:paraId="743C44A9" w14:textId="77777777" w:rsidR="00E12771" w:rsidRPr="00FC178C" w:rsidRDefault="00E12771" w:rsidP="00E12771">
      <w:pPr>
        <w:spacing w:before="120"/>
        <w:jc w:val="both"/>
        <w:rPr>
          <w:rFonts w:ascii="Lato" w:hAnsi="Lato" w:cstheme="minorHAnsi"/>
          <w:b/>
          <w:i/>
          <w:sz w:val="22"/>
          <w:szCs w:val="22"/>
          <w:lang w:val="en-US"/>
        </w:rPr>
      </w:pPr>
      <w:r w:rsidRPr="00FC178C">
        <w:rPr>
          <w:rFonts w:ascii="Lato" w:hAnsi="Lato" w:cstheme="minorHAnsi"/>
          <w:b/>
          <w:i/>
          <w:sz w:val="22"/>
          <w:szCs w:val="22"/>
          <w:lang w:val="en-US"/>
        </w:rPr>
        <w:t>Examples from general recommendations:</w:t>
      </w:r>
    </w:p>
    <w:p w14:paraId="4722EF18" w14:textId="77777777" w:rsidR="00E12771" w:rsidRPr="00FC178C" w:rsidRDefault="00E12771" w:rsidP="00E12771">
      <w:pPr>
        <w:pStyle w:val="Prrafodelista"/>
        <w:numPr>
          <w:ilvl w:val="0"/>
          <w:numId w:val="7"/>
        </w:numPr>
        <w:spacing w:before="120"/>
        <w:ind w:left="714" w:hanging="357"/>
        <w:contextualSpacing w:val="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The Convention on the Elimination of All Forms of Discrimination against Women should also be interpreted in a manner that takes into consideration the 2030 Agenda for Sustainable Development, in which States agreed that the achievement of </w:t>
      </w:r>
      <w:r w:rsidRPr="00FC178C">
        <w:rPr>
          <w:rFonts w:ascii="Lato" w:hAnsi="Lato" w:cs="Calibri"/>
          <w:b/>
          <w:bCs/>
          <w:i/>
          <w:color w:val="000000" w:themeColor="text1"/>
          <w:sz w:val="22"/>
          <w:szCs w:val="22"/>
        </w:rPr>
        <w:t>gender equality</w:t>
      </w:r>
      <w:r w:rsidRPr="00FC178C">
        <w:rPr>
          <w:rFonts w:ascii="Lato" w:hAnsi="Lato" w:cs="Calibri"/>
          <w:i/>
          <w:color w:val="000000" w:themeColor="text1"/>
          <w:sz w:val="22"/>
          <w:szCs w:val="22"/>
        </w:rPr>
        <w:t xml:space="preserve"> and the empowerment of women and girls is paramount to sustainable development and the end of poverty.</w:t>
      </w:r>
      <w:r w:rsidRPr="00FC178C">
        <w:rPr>
          <w:rStyle w:val="Refdenotaalfinal"/>
          <w:rFonts w:ascii="Lato" w:hAnsi="Lato" w:cs="Calibri"/>
          <w:color w:val="000000" w:themeColor="text1"/>
          <w:sz w:val="22"/>
          <w:szCs w:val="22"/>
        </w:rPr>
        <w:endnoteReference w:id="7"/>
      </w:r>
    </w:p>
    <w:p w14:paraId="592736C1" w14:textId="77777777" w:rsidR="00E12771" w:rsidRPr="00FC178C" w:rsidRDefault="00E12771" w:rsidP="00E12771">
      <w:pPr>
        <w:pStyle w:val="Prrafodelista"/>
        <w:numPr>
          <w:ilvl w:val="0"/>
          <w:numId w:val="7"/>
        </w:numPr>
        <w:spacing w:before="120"/>
        <w:ind w:left="714" w:hanging="357"/>
        <w:contextualSpacing w:val="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Violations of all rights under the Convention may be found at the root of trafficking in women and girls and must be addressed as part of a transformative approach that empowers women and girls by </w:t>
      </w:r>
      <w:r w:rsidRPr="00FC178C">
        <w:rPr>
          <w:rFonts w:ascii="Lato" w:hAnsi="Lato" w:cs="Calibri"/>
          <w:b/>
          <w:bCs/>
          <w:i/>
          <w:color w:val="000000" w:themeColor="text1"/>
          <w:sz w:val="22"/>
          <w:szCs w:val="22"/>
        </w:rPr>
        <w:t>promoting gender equality</w:t>
      </w:r>
      <w:r w:rsidRPr="00FC178C">
        <w:rPr>
          <w:rFonts w:ascii="Lato" w:hAnsi="Lato" w:cs="Calibri"/>
          <w:i/>
          <w:color w:val="000000" w:themeColor="text1"/>
          <w:sz w:val="22"/>
          <w:szCs w:val="22"/>
        </w:rPr>
        <w:t xml:space="preserve"> and their civil, political, economic, social and cultural rights, in line with Sustainable Development Goals 1, 3, 4–5, 8, 10–11, 13 and 16.</w:t>
      </w:r>
      <w:r w:rsidRPr="00FC178C">
        <w:rPr>
          <w:rStyle w:val="Refdenotaalfinal"/>
          <w:rFonts w:ascii="Lato" w:hAnsi="Lato" w:cs="Calibri"/>
          <w:color w:val="000000" w:themeColor="text1"/>
          <w:sz w:val="22"/>
          <w:szCs w:val="22"/>
        </w:rPr>
        <w:endnoteReference w:id="8"/>
      </w:r>
    </w:p>
    <w:p w14:paraId="6C28F7F2" w14:textId="77777777" w:rsidR="00E12771" w:rsidRPr="00FC178C" w:rsidRDefault="00E12771" w:rsidP="00E12771">
      <w:pPr>
        <w:pStyle w:val="Prrafodelista"/>
        <w:numPr>
          <w:ilvl w:val="0"/>
          <w:numId w:val="7"/>
        </w:numPr>
        <w:spacing w:before="120"/>
        <w:ind w:left="714" w:hanging="357"/>
        <w:contextualSpacing w:val="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Well-designed disaster risk reduction and climate change initiatives that provide for the full and effective participation of women can advance </w:t>
      </w:r>
      <w:r w:rsidRPr="00FC178C">
        <w:rPr>
          <w:rFonts w:ascii="Lato" w:hAnsi="Lato" w:cs="Calibri"/>
          <w:b/>
          <w:bCs/>
          <w:i/>
          <w:color w:val="000000" w:themeColor="text1"/>
          <w:sz w:val="22"/>
          <w:szCs w:val="22"/>
        </w:rPr>
        <w:t>substantive gender equality</w:t>
      </w:r>
      <w:r w:rsidRPr="00FC178C">
        <w:rPr>
          <w:rFonts w:ascii="Lato" w:hAnsi="Lato" w:cs="Calibri"/>
          <w:i/>
          <w:color w:val="000000" w:themeColor="text1"/>
          <w:sz w:val="22"/>
          <w:szCs w:val="22"/>
        </w:rPr>
        <w:t xml:space="preserve"> and the empowerment of women, while ensuring that sustainable development, disaster risk reduction and climate change objectives are achieved. It should be underlined that </w:t>
      </w:r>
      <w:r w:rsidRPr="00FC178C">
        <w:rPr>
          <w:rFonts w:ascii="Lato" w:hAnsi="Lato" w:cs="Calibri"/>
          <w:b/>
          <w:bCs/>
          <w:i/>
          <w:color w:val="000000" w:themeColor="text1"/>
          <w:sz w:val="22"/>
          <w:szCs w:val="22"/>
        </w:rPr>
        <w:t>gender equality</w:t>
      </w:r>
      <w:r w:rsidRPr="00FC178C">
        <w:rPr>
          <w:rFonts w:ascii="Lato" w:hAnsi="Lato" w:cs="Calibri"/>
          <w:i/>
          <w:color w:val="000000" w:themeColor="text1"/>
          <w:sz w:val="22"/>
          <w:szCs w:val="22"/>
        </w:rPr>
        <w:t xml:space="preserve"> is a precondition for the realization of the Sustainable Development Goals.</w:t>
      </w:r>
      <w:r w:rsidRPr="00FC178C">
        <w:rPr>
          <w:rStyle w:val="Refdenotaalfinal"/>
          <w:rFonts w:ascii="Lato" w:hAnsi="Lato" w:cs="Calibri"/>
          <w:i/>
          <w:color w:val="000000" w:themeColor="text1"/>
          <w:sz w:val="22"/>
          <w:szCs w:val="22"/>
        </w:rPr>
        <w:endnoteReference w:id="9"/>
      </w:r>
    </w:p>
    <w:p w14:paraId="3B66A3C1" w14:textId="77777777" w:rsidR="00E12771" w:rsidRDefault="00E12771" w:rsidP="00E12771">
      <w:pPr>
        <w:pStyle w:val="Prrafodelista"/>
        <w:numPr>
          <w:ilvl w:val="0"/>
          <w:numId w:val="7"/>
        </w:numPr>
        <w:spacing w:before="120"/>
        <w:ind w:left="714" w:hanging="357"/>
        <w:contextualSpacing w:val="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States parties, separately and in cooperation with others, should (…) integrate a </w:t>
      </w:r>
      <w:r w:rsidRPr="00FC178C">
        <w:rPr>
          <w:rFonts w:ascii="Lato" w:hAnsi="Lato" w:cs="Calibri"/>
          <w:b/>
          <w:bCs/>
          <w:i/>
          <w:color w:val="000000" w:themeColor="text1"/>
          <w:sz w:val="22"/>
          <w:szCs w:val="22"/>
        </w:rPr>
        <w:t xml:space="preserve">gender equality perspective </w:t>
      </w:r>
      <w:r w:rsidRPr="00FC178C">
        <w:rPr>
          <w:rFonts w:ascii="Lato" w:hAnsi="Lato" w:cs="Calibri"/>
          <w:i/>
          <w:color w:val="000000" w:themeColor="text1"/>
          <w:sz w:val="22"/>
          <w:szCs w:val="22"/>
        </w:rPr>
        <w:t xml:space="preserve">into relevant international, regional, national, </w:t>
      </w:r>
      <w:proofErr w:type="spellStart"/>
      <w:r w:rsidRPr="00FC178C">
        <w:rPr>
          <w:rFonts w:ascii="Lato" w:hAnsi="Lato" w:cs="Calibri"/>
          <w:i/>
          <w:color w:val="000000" w:themeColor="text1"/>
          <w:sz w:val="22"/>
          <w:szCs w:val="22"/>
        </w:rPr>
        <w:t>sectoral</w:t>
      </w:r>
      <w:proofErr w:type="spellEnd"/>
      <w:r w:rsidRPr="00FC178C">
        <w:rPr>
          <w:rFonts w:ascii="Lato" w:hAnsi="Lato" w:cs="Calibri"/>
          <w:i/>
          <w:color w:val="000000" w:themeColor="text1"/>
          <w:sz w:val="22"/>
          <w:szCs w:val="22"/>
        </w:rPr>
        <w:t xml:space="preserve"> and local programmes and projects, including those financed with international climate and sustainable development funds.</w:t>
      </w:r>
      <w:r w:rsidRPr="00FC178C">
        <w:rPr>
          <w:rStyle w:val="Refdenotaalfinal"/>
          <w:rFonts w:ascii="Lato" w:hAnsi="Lato" w:cs="Calibri"/>
          <w:i/>
          <w:color w:val="000000" w:themeColor="text1"/>
          <w:sz w:val="22"/>
          <w:szCs w:val="22"/>
        </w:rPr>
        <w:endnoteReference w:id="10"/>
      </w:r>
    </w:p>
    <w:p w14:paraId="747E88EC" w14:textId="77777777" w:rsidR="00E229FB" w:rsidRPr="00FC178C" w:rsidRDefault="00E229FB" w:rsidP="00E229FB">
      <w:pPr>
        <w:pStyle w:val="Prrafodelista"/>
        <w:spacing w:before="120"/>
        <w:ind w:left="714"/>
        <w:contextualSpacing w:val="0"/>
        <w:jc w:val="both"/>
        <w:rPr>
          <w:rFonts w:ascii="Lato" w:hAnsi="Lato" w:cs="Calibri"/>
          <w:i/>
          <w:color w:val="000000" w:themeColor="text1"/>
          <w:sz w:val="22"/>
          <w:szCs w:val="22"/>
        </w:rPr>
      </w:pPr>
    </w:p>
    <w:p w14:paraId="236BD9E6" w14:textId="77777777" w:rsidR="00E12771" w:rsidRPr="00FC178C" w:rsidRDefault="00E12771" w:rsidP="00E12771">
      <w:pPr>
        <w:spacing w:before="120"/>
        <w:jc w:val="both"/>
        <w:rPr>
          <w:rFonts w:ascii="Lato" w:hAnsi="Lato" w:cstheme="minorHAnsi"/>
          <w:b/>
          <w:i/>
          <w:sz w:val="22"/>
          <w:szCs w:val="22"/>
          <w:lang w:val="en-US"/>
        </w:rPr>
      </w:pPr>
      <w:r w:rsidRPr="00FC178C">
        <w:rPr>
          <w:rFonts w:ascii="Lato" w:hAnsi="Lato" w:cstheme="minorHAnsi"/>
          <w:b/>
          <w:i/>
          <w:sz w:val="22"/>
          <w:szCs w:val="22"/>
          <w:lang w:val="en-US"/>
        </w:rPr>
        <w:t>Examples from country periodic reviews:</w:t>
      </w:r>
    </w:p>
    <w:p w14:paraId="7B9306EC" w14:textId="77777777" w:rsidR="00E12771" w:rsidRPr="00FC178C" w:rsidRDefault="00E12771" w:rsidP="00E12771">
      <w:pPr>
        <w:pStyle w:val="Prrafodelista"/>
        <w:numPr>
          <w:ilvl w:val="0"/>
          <w:numId w:val="6"/>
        </w:numPr>
        <w:spacing w:before="120"/>
        <w:ind w:left="714" w:hanging="357"/>
        <w:contextualSpacing w:val="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The Committee welcomes the international support for the Sustainable Development Goals and calls for the realization of de jure (legal) and de facto (substantive) </w:t>
      </w:r>
      <w:r w:rsidRPr="00FC178C">
        <w:rPr>
          <w:rFonts w:ascii="Lato" w:hAnsi="Lato" w:cs="Calibri"/>
          <w:b/>
          <w:bCs/>
          <w:i/>
          <w:color w:val="000000" w:themeColor="text1"/>
          <w:sz w:val="22"/>
          <w:szCs w:val="22"/>
        </w:rPr>
        <w:t>gender equality</w:t>
      </w:r>
      <w:r w:rsidRPr="00FC178C">
        <w:rPr>
          <w:rFonts w:ascii="Lato" w:hAnsi="Lato" w:cs="Calibri"/>
          <w:i/>
          <w:color w:val="000000" w:themeColor="text1"/>
          <w:sz w:val="22"/>
          <w:szCs w:val="22"/>
        </w:rPr>
        <w:t>, in accordance with the provisions of the Convention, throughout the process of implementing the 2030 Agenda for Sustainable Development.</w:t>
      </w:r>
      <w:r w:rsidRPr="00FC178C">
        <w:rPr>
          <w:rStyle w:val="Refdenotaalfinal"/>
          <w:rFonts w:ascii="Lato" w:hAnsi="Lato" w:cs="Calibri"/>
          <w:color w:val="000000" w:themeColor="text1"/>
          <w:sz w:val="22"/>
          <w:szCs w:val="22"/>
        </w:rPr>
        <w:endnoteReference w:id="11"/>
      </w:r>
      <w:r w:rsidRPr="00FC178C">
        <w:rPr>
          <w:rFonts w:ascii="Lato" w:hAnsi="Lato" w:cs="Calibri"/>
          <w:i/>
          <w:color w:val="000000" w:themeColor="text1"/>
          <w:sz w:val="22"/>
          <w:szCs w:val="22"/>
        </w:rPr>
        <w:t xml:space="preserve"> </w:t>
      </w:r>
    </w:p>
    <w:p w14:paraId="2E1D0E27" w14:textId="77777777" w:rsidR="00E12771" w:rsidRPr="00FC178C" w:rsidRDefault="00E12771" w:rsidP="00E12771">
      <w:pPr>
        <w:pStyle w:val="Prrafodelista"/>
        <w:numPr>
          <w:ilvl w:val="0"/>
          <w:numId w:val="6"/>
        </w:numPr>
        <w:spacing w:before="120"/>
        <w:ind w:left="714" w:hanging="357"/>
        <w:contextualSpacing w:val="0"/>
        <w:jc w:val="both"/>
        <w:rPr>
          <w:rFonts w:ascii="Lato" w:hAnsi="Lato" w:cs="Calibri"/>
          <w:i/>
          <w:color w:val="000000" w:themeColor="text1"/>
          <w:sz w:val="22"/>
          <w:szCs w:val="22"/>
        </w:rPr>
      </w:pPr>
      <w:r w:rsidRPr="00FC178C">
        <w:rPr>
          <w:rFonts w:ascii="Lato" w:hAnsi="Lato" w:cs="Calibri"/>
          <w:i/>
          <w:color w:val="000000" w:themeColor="text1"/>
          <w:sz w:val="22"/>
          <w:szCs w:val="22"/>
        </w:rPr>
        <w:t xml:space="preserve">The Committee calls for the realization of substantive </w:t>
      </w:r>
      <w:r w:rsidRPr="00FC178C">
        <w:rPr>
          <w:rFonts w:ascii="Lato" w:hAnsi="Lato" w:cs="Calibri"/>
          <w:b/>
          <w:bCs/>
          <w:i/>
          <w:color w:val="000000" w:themeColor="text1"/>
          <w:sz w:val="22"/>
          <w:szCs w:val="22"/>
        </w:rPr>
        <w:t>gender equality</w:t>
      </w:r>
      <w:r w:rsidRPr="00FC178C">
        <w:rPr>
          <w:rFonts w:ascii="Lato" w:hAnsi="Lato" w:cs="Calibri"/>
          <w:i/>
          <w:color w:val="000000" w:themeColor="text1"/>
          <w:sz w:val="22"/>
          <w:szCs w:val="22"/>
        </w:rPr>
        <w:t>, in accordance with the provisions of the Convention, throughout the process of implementation of the 2030 Agenda for Sustainable Development.</w:t>
      </w:r>
      <w:r w:rsidRPr="00FC178C">
        <w:rPr>
          <w:rStyle w:val="Refdenotaalfinal"/>
          <w:rFonts w:ascii="Lato" w:hAnsi="Lato" w:cs="Calibri"/>
          <w:i/>
          <w:color w:val="000000" w:themeColor="text1"/>
          <w:sz w:val="22"/>
          <w:szCs w:val="22"/>
        </w:rPr>
        <w:endnoteReference w:id="12"/>
      </w:r>
    </w:p>
    <w:p w14:paraId="721F5D3A" w14:textId="77777777" w:rsidR="000C54F0" w:rsidRPr="00FC178C" w:rsidRDefault="000C54F0" w:rsidP="000C54F0">
      <w:pPr>
        <w:pStyle w:val="Prrafodelista"/>
        <w:spacing w:before="120"/>
        <w:ind w:left="714"/>
        <w:contextualSpacing w:val="0"/>
        <w:jc w:val="both"/>
        <w:rPr>
          <w:rFonts w:ascii="Lato" w:hAnsi="Lato" w:cs="Calibri"/>
          <w:i/>
          <w:color w:val="000000" w:themeColor="text1"/>
          <w:sz w:val="22"/>
          <w:szCs w:val="22"/>
        </w:rPr>
      </w:pPr>
    </w:p>
    <w:p w14:paraId="3E9AD671" w14:textId="4176621B" w:rsidR="000C54F0" w:rsidRPr="00254709" w:rsidRDefault="000C54F0" w:rsidP="00254709">
      <w:pPr>
        <w:jc w:val="both"/>
        <w:rPr>
          <w:rFonts w:ascii="Lato" w:hAnsi="Lato"/>
          <w:b/>
          <w:bCs/>
          <w:color w:val="C0504D" w:themeColor="accent2"/>
          <w:sz w:val="22"/>
          <w:szCs w:val="22"/>
          <w:lang w:val="en-US"/>
        </w:rPr>
      </w:pPr>
      <w:proofErr w:type="spellStart"/>
      <w:r w:rsidRPr="00254709">
        <w:rPr>
          <w:rFonts w:ascii="Lato" w:hAnsi="Lato"/>
          <w:b/>
          <w:bCs/>
          <w:color w:val="C0504D" w:themeColor="accent2"/>
          <w:sz w:val="22"/>
          <w:szCs w:val="22"/>
        </w:rPr>
        <w:t>Intersectionality</w:t>
      </w:r>
      <w:proofErr w:type="spellEnd"/>
      <w:r w:rsidRPr="00254709">
        <w:rPr>
          <w:rFonts w:ascii="Lato" w:hAnsi="Lato"/>
          <w:b/>
          <w:bCs/>
          <w:color w:val="C0504D" w:themeColor="accent2"/>
          <w:sz w:val="22"/>
          <w:szCs w:val="22"/>
        </w:rPr>
        <w:t xml:space="preserve">: </w:t>
      </w:r>
      <w:r w:rsidRPr="00254709">
        <w:rPr>
          <w:rFonts w:ascii="Lato" w:hAnsi="Lato"/>
          <w:b/>
          <w:bCs/>
          <w:color w:val="C0504D" w:themeColor="accent2"/>
          <w:sz w:val="22"/>
          <w:szCs w:val="22"/>
          <w:lang w:val="en-US"/>
        </w:rPr>
        <w:t xml:space="preserve">CEDAW Contribution to the 2030 Sustainable Development Goals in response to a call for inputs by the High-Level Political Forum on Sustainable Development (HLPF) 27 April 2018 </w:t>
      </w:r>
    </w:p>
    <w:p w14:paraId="767E9B79" w14:textId="77777777" w:rsidR="000C54F0" w:rsidRPr="00FC178C" w:rsidRDefault="000C54F0" w:rsidP="000C54F0">
      <w:pPr>
        <w:pStyle w:val="Prrafodelista"/>
        <w:jc w:val="both"/>
        <w:rPr>
          <w:rFonts w:ascii="Lato" w:hAnsi="Lato"/>
          <w:i/>
          <w:iCs/>
          <w:sz w:val="22"/>
          <w:szCs w:val="22"/>
        </w:rPr>
      </w:pPr>
    </w:p>
    <w:p w14:paraId="648CFA19" w14:textId="77777777" w:rsidR="000C54F0" w:rsidRPr="00FC178C" w:rsidRDefault="000C54F0" w:rsidP="000C54F0">
      <w:pPr>
        <w:spacing w:before="120"/>
        <w:jc w:val="both"/>
        <w:rPr>
          <w:rFonts w:ascii="Lato" w:hAnsi="Lato" w:cstheme="minorHAnsi"/>
          <w:sz w:val="22"/>
          <w:szCs w:val="22"/>
          <w:lang w:val="en-US"/>
        </w:rPr>
      </w:pPr>
      <w:r w:rsidRPr="00FC178C">
        <w:rPr>
          <w:rFonts w:ascii="Lato" w:hAnsi="Lato" w:cstheme="minorHAnsi"/>
          <w:sz w:val="22"/>
          <w:szCs w:val="22"/>
          <w:lang w:val="en-US"/>
        </w:rPr>
        <w:t xml:space="preserve">In addition, CEDAW has employed language on </w:t>
      </w:r>
      <w:proofErr w:type="spellStart"/>
      <w:r w:rsidRPr="00FC178C">
        <w:rPr>
          <w:rFonts w:ascii="Lato" w:hAnsi="Lato" w:cstheme="minorHAnsi"/>
          <w:sz w:val="22"/>
          <w:szCs w:val="22"/>
          <w:lang w:val="en-US"/>
        </w:rPr>
        <w:t>intersectionality</w:t>
      </w:r>
      <w:proofErr w:type="spellEnd"/>
      <w:r w:rsidRPr="00FC178C">
        <w:rPr>
          <w:rFonts w:ascii="Lato" w:hAnsi="Lato" w:cstheme="minorHAnsi"/>
          <w:sz w:val="22"/>
          <w:szCs w:val="22"/>
          <w:lang w:val="en-US"/>
        </w:rPr>
        <w:t xml:space="preserve"> and women in all their diversity when contributing to the development framework. </w:t>
      </w:r>
    </w:p>
    <w:p w14:paraId="58245012" w14:textId="528E2265" w:rsidR="000C54F0" w:rsidRPr="00FC178C" w:rsidRDefault="000C54F0" w:rsidP="000C54F0">
      <w:pPr>
        <w:spacing w:before="120"/>
        <w:jc w:val="both"/>
        <w:rPr>
          <w:rFonts w:ascii="Lato" w:hAnsi="Lato" w:cstheme="minorHAnsi"/>
          <w:sz w:val="22"/>
          <w:szCs w:val="22"/>
          <w:lang w:val="en-US"/>
        </w:rPr>
      </w:pPr>
      <w:r w:rsidRPr="00FC178C">
        <w:rPr>
          <w:rFonts w:ascii="Lato" w:hAnsi="Lato" w:cstheme="minorHAnsi"/>
          <w:sz w:val="22"/>
          <w:szCs w:val="22"/>
          <w:lang w:val="en-US"/>
        </w:rPr>
        <w:t>In CEDAW’s assessment of the situation regarding the principle of “ensuring that no one is left behind” at the global level</w:t>
      </w:r>
      <w:r w:rsidR="00E229FB">
        <w:rPr>
          <w:rFonts w:ascii="Lato" w:hAnsi="Lato" w:cstheme="minorHAnsi"/>
          <w:sz w:val="22"/>
          <w:szCs w:val="22"/>
          <w:lang w:val="en-US"/>
        </w:rPr>
        <w:t xml:space="preserve"> the Committee stated</w:t>
      </w:r>
      <w:r w:rsidRPr="00FC178C">
        <w:rPr>
          <w:rFonts w:ascii="Lato" w:hAnsi="Lato" w:cstheme="minorHAnsi"/>
          <w:sz w:val="22"/>
          <w:szCs w:val="22"/>
          <w:lang w:val="en-US"/>
        </w:rPr>
        <w:t>:</w:t>
      </w:r>
    </w:p>
    <w:p w14:paraId="038F41C6" w14:textId="77777777" w:rsidR="000C54F0" w:rsidRPr="00FC178C" w:rsidRDefault="000C54F0" w:rsidP="000C54F0">
      <w:pPr>
        <w:spacing w:before="120"/>
        <w:jc w:val="both"/>
        <w:rPr>
          <w:rFonts w:ascii="Lato" w:hAnsi="Lato" w:cstheme="minorHAnsi"/>
          <w:i/>
          <w:sz w:val="22"/>
          <w:szCs w:val="22"/>
          <w:lang w:val="en-US"/>
        </w:rPr>
      </w:pPr>
      <w:r w:rsidRPr="00FC178C">
        <w:rPr>
          <w:rFonts w:ascii="Lato" w:hAnsi="Lato" w:cstheme="minorHAnsi"/>
          <w:sz w:val="22"/>
          <w:szCs w:val="22"/>
          <w:lang w:val="en-US"/>
        </w:rPr>
        <w:t xml:space="preserve"> “</w:t>
      </w:r>
      <w:r w:rsidRPr="00FC178C">
        <w:rPr>
          <w:rFonts w:ascii="Lato" w:hAnsi="Lato" w:cstheme="minorHAnsi"/>
          <w:i/>
          <w:sz w:val="22"/>
          <w:szCs w:val="22"/>
          <w:lang w:val="en-US"/>
        </w:rPr>
        <w:t xml:space="preserve">CEDAW provides robust standards on equality and non-discrimination </w:t>
      </w:r>
      <w:r w:rsidRPr="00FC178C">
        <w:rPr>
          <w:rFonts w:ascii="Lato" w:hAnsi="Lato" w:cstheme="minorHAnsi"/>
          <w:b/>
          <w:i/>
          <w:sz w:val="22"/>
          <w:szCs w:val="22"/>
          <w:lang w:val="en-US"/>
        </w:rPr>
        <w:t>for all women</w:t>
      </w:r>
      <w:r w:rsidRPr="00FC178C">
        <w:rPr>
          <w:rFonts w:ascii="Lato" w:hAnsi="Lato" w:cstheme="minorHAnsi"/>
          <w:i/>
          <w:sz w:val="22"/>
          <w:szCs w:val="22"/>
          <w:lang w:val="en-US"/>
        </w:rPr>
        <w:t>. It also provides critical normative standards that are intrinsically linked to the Agenda 2030 for sustainable development, such as those related to food, education, health, housing, non-discrimination, political participation, and freedoms of expression and assembly. “</w:t>
      </w:r>
    </w:p>
    <w:p w14:paraId="71B0F611" w14:textId="31CA6E49" w:rsidR="00D33129" w:rsidRPr="00FC178C" w:rsidRDefault="00FC178C" w:rsidP="00E229FB">
      <w:pPr>
        <w:spacing w:before="120"/>
        <w:jc w:val="both"/>
        <w:rPr>
          <w:rFonts w:ascii="Lato" w:eastAsia="Cambria" w:hAnsi="Lato" w:cs="Cambria"/>
          <w:b/>
          <w:noProof/>
          <w:sz w:val="22"/>
          <w:szCs w:val="22"/>
          <w:lang w:eastAsia="es-MX"/>
        </w:rPr>
      </w:pPr>
      <w:r w:rsidRPr="00FC178C">
        <w:rPr>
          <w:rFonts w:ascii="Lato" w:hAnsi="Lato" w:cstheme="minorHAnsi"/>
          <w:sz w:val="22"/>
          <w:szCs w:val="22"/>
          <w:lang w:val="en-US"/>
        </w:rPr>
        <w:t>Moreover, CEDAW emphasized t</w:t>
      </w:r>
      <w:r w:rsidR="000C54F0" w:rsidRPr="00FC178C">
        <w:rPr>
          <w:rFonts w:ascii="Lato" w:hAnsi="Lato" w:cstheme="minorHAnsi"/>
          <w:sz w:val="22"/>
          <w:szCs w:val="22"/>
          <w:lang w:val="en-US"/>
        </w:rPr>
        <w:t xml:space="preserve">he </w:t>
      </w:r>
      <w:r w:rsidR="000C54F0" w:rsidRPr="00FC178C">
        <w:rPr>
          <w:rFonts w:ascii="Lato" w:hAnsi="Lato" w:cstheme="minorHAnsi"/>
          <w:b/>
          <w:sz w:val="22"/>
          <w:szCs w:val="22"/>
          <w:lang w:val="en-US"/>
        </w:rPr>
        <w:t xml:space="preserve">intersection of gender with other forms of disadvantage, such as race, class, ethnicity and sexuality, </w:t>
      </w:r>
      <w:r w:rsidRPr="00FC178C">
        <w:rPr>
          <w:rFonts w:ascii="Lato" w:hAnsi="Lato" w:cstheme="minorHAnsi"/>
          <w:sz w:val="22"/>
          <w:szCs w:val="22"/>
          <w:lang w:val="en-US"/>
        </w:rPr>
        <w:t xml:space="preserve">and how </w:t>
      </w:r>
      <w:r w:rsidR="000C54F0" w:rsidRPr="00FC178C">
        <w:rPr>
          <w:rFonts w:ascii="Lato" w:hAnsi="Lato" w:cstheme="minorHAnsi"/>
          <w:sz w:val="22"/>
          <w:szCs w:val="22"/>
          <w:lang w:val="en-US"/>
        </w:rPr>
        <w:t xml:space="preserve">it is scarcely considered by nearly all countries and this causes an increase in inequalities among women, especially in countries where economic development has been more pronounced but insufficiently accompanied by democratic and social reforms. </w:t>
      </w:r>
    </w:p>
    <w:p w14:paraId="3C2BAF66" w14:textId="24D0661A" w:rsidR="0004627C" w:rsidRPr="00FC178C" w:rsidRDefault="0034278F" w:rsidP="003E40A0">
      <w:pPr>
        <w:pStyle w:val="Ttulo1"/>
        <w:pBdr>
          <w:bottom w:val="double" w:sz="4" w:space="1" w:color="C0504D" w:themeColor="accent2"/>
        </w:pBdr>
        <w:spacing w:after="240"/>
        <w:jc w:val="center"/>
        <w:rPr>
          <w:rFonts w:ascii="Lato" w:hAnsi="Lato"/>
          <w:b/>
          <w:bCs/>
          <w:color w:val="C0504D" w:themeColor="accent2"/>
          <w:lang w:val="en-US"/>
        </w:rPr>
      </w:pPr>
      <w:r w:rsidRPr="00FC178C">
        <w:rPr>
          <w:rFonts w:ascii="Lato" w:eastAsia="Cambria" w:hAnsi="Lato" w:cs="Cambria"/>
          <w:b/>
          <w:bCs/>
          <w:noProof/>
          <w:lang w:eastAsia="es-MX"/>
        </w:rPr>
        <w:t xml:space="preserve"> </w:t>
      </w:r>
      <w:bookmarkStart w:id="2" w:name="_Toc131168414"/>
      <w:r w:rsidR="003E40A0" w:rsidRPr="00FC178C">
        <w:rPr>
          <w:rFonts w:ascii="Lato" w:hAnsi="Lato"/>
          <w:b/>
          <w:bCs/>
          <w:color w:val="C0504D" w:themeColor="accent2"/>
          <w:lang w:val="en-US"/>
        </w:rPr>
        <w:t>2.</w:t>
      </w:r>
      <w:bookmarkEnd w:id="2"/>
      <w:r w:rsidR="003E40A0" w:rsidRPr="00FC178C">
        <w:rPr>
          <w:rFonts w:ascii="Lato" w:eastAsia="Cambria" w:hAnsi="Lato" w:cs="Cambria"/>
          <w:b/>
          <w:bCs/>
          <w:noProof/>
          <w:color w:val="auto"/>
          <w:lang w:eastAsia="es-MX"/>
        </w:rPr>
        <w:t xml:space="preserve"> </w:t>
      </w:r>
      <w:r w:rsidR="003E40A0" w:rsidRPr="00FC178C">
        <w:rPr>
          <w:rFonts w:ascii="Lato" w:hAnsi="Lato"/>
          <w:b/>
          <w:bCs/>
          <w:color w:val="C0504D" w:themeColor="accent2"/>
        </w:rPr>
        <w:t>Other instruments that use the notion of gender.</w:t>
      </w:r>
    </w:p>
    <w:p w14:paraId="3126E7DA" w14:textId="77777777" w:rsidR="00D33129" w:rsidRPr="00FC178C" w:rsidRDefault="00D33129" w:rsidP="00BF7655">
      <w:pPr>
        <w:pStyle w:val="NormalWeb"/>
        <w:spacing w:before="0" w:beforeAutospacing="0" w:after="0" w:afterAutospacing="0"/>
        <w:jc w:val="both"/>
        <w:rPr>
          <w:rFonts w:ascii="Lato" w:eastAsia="Cambria" w:hAnsi="Lato" w:cs="Cambria"/>
          <w:b/>
          <w:noProof/>
          <w:sz w:val="22"/>
          <w:szCs w:val="22"/>
          <w:lang w:val="en-GB" w:eastAsia="es-MX"/>
        </w:rPr>
      </w:pPr>
    </w:p>
    <w:p w14:paraId="0D6FCECF" w14:textId="2D298BBB" w:rsidR="00E12771" w:rsidRPr="00FC178C" w:rsidRDefault="00E12771" w:rsidP="00E12771">
      <w:pPr>
        <w:pStyle w:val="Prrafodelista"/>
        <w:numPr>
          <w:ilvl w:val="0"/>
          <w:numId w:val="5"/>
        </w:numPr>
        <w:jc w:val="both"/>
        <w:rPr>
          <w:rFonts w:ascii="Lato" w:hAnsi="Lato"/>
          <w:i/>
          <w:iCs/>
          <w:sz w:val="22"/>
          <w:szCs w:val="22"/>
        </w:rPr>
      </w:pPr>
      <w:r w:rsidRPr="00FC178C">
        <w:rPr>
          <w:rFonts w:ascii="Lato" w:hAnsi="Lato"/>
          <w:b/>
          <w:bCs/>
          <w:i/>
          <w:iCs/>
          <w:color w:val="C0504D" w:themeColor="accent2"/>
          <w:sz w:val="22"/>
          <w:szCs w:val="22"/>
        </w:rPr>
        <w:t>Convention on the Rights of Person with Disabilities (CRPD)</w:t>
      </w:r>
    </w:p>
    <w:p w14:paraId="316B9E6F" w14:textId="77777777" w:rsidR="0004627C" w:rsidRPr="00FC178C" w:rsidRDefault="0004627C" w:rsidP="00BF7655">
      <w:pPr>
        <w:pStyle w:val="NormalWeb"/>
        <w:spacing w:before="0" w:beforeAutospacing="0" w:after="0" w:afterAutospacing="0"/>
        <w:jc w:val="both"/>
        <w:rPr>
          <w:rFonts w:ascii="Lato" w:eastAsia="Cambria" w:hAnsi="Lato" w:cs="Cambria"/>
          <w:b/>
          <w:noProof/>
          <w:sz w:val="22"/>
          <w:szCs w:val="22"/>
          <w:lang w:val="en-GB" w:eastAsia="es-MX"/>
        </w:rPr>
      </w:pPr>
    </w:p>
    <w:p w14:paraId="7553D996" w14:textId="1F97D3AE" w:rsidR="0004627C" w:rsidRPr="00FC178C" w:rsidRDefault="48CB3526" w:rsidP="00BF7655">
      <w:pPr>
        <w:spacing w:before="120"/>
        <w:jc w:val="both"/>
        <w:rPr>
          <w:rFonts w:ascii="Lato" w:hAnsi="Lato"/>
          <w:sz w:val="22"/>
          <w:szCs w:val="22"/>
        </w:rPr>
      </w:pPr>
      <w:r w:rsidRPr="00FC178C">
        <w:rPr>
          <w:rFonts w:ascii="Lato" w:hAnsi="Lato"/>
          <w:sz w:val="22"/>
          <w:szCs w:val="22"/>
        </w:rPr>
        <w:t xml:space="preserve">Besides CEDAW, many </w:t>
      </w:r>
      <w:r w:rsidR="2A4BF8CA" w:rsidRPr="00FC178C">
        <w:rPr>
          <w:rFonts w:ascii="Lato" w:hAnsi="Lato"/>
          <w:sz w:val="22"/>
          <w:szCs w:val="22"/>
        </w:rPr>
        <w:t xml:space="preserve">Treaty Bodies and the text </w:t>
      </w:r>
      <w:r w:rsidR="42751BFF" w:rsidRPr="00FC178C">
        <w:rPr>
          <w:rFonts w:ascii="Lato" w:hAnsi="Lato"/>
          <w:sz w:val="22"/>
          <w:szCs w:val="22"/>
        </w:rPr>
        <w:t>of one</w:t>
      </w:r>
      <w:r w:rsidR="2A4BF8CA" w:rsidRPr="00FC178C">
        <w:rPr>
          <w:rFonts w:ascii="Lato" w:hAnsi="Lato"/>
          <w:sz w:val="22"/>
          <w:szCs w:val="22"/>
        </w:rPr>
        <w:t xml:space="preserve"> </w:t>
      </w:r>
      <w:r w:rsidR="16245629" w:rsidRPr="00FC178C">
        <w:rPr>
          <w:rFonts w:ascii="Lato" w:hAnsi="Lato"/>
          <w:sz w:val="22"/>
          <w:szCs w:val="22"/>
        </w:rPr>
        <w:t>International C</w:t>
      </w:r>
      <w:r w:rsidR="2A4BF8CA" w:rsidRPr="00FC178C">
        <w:rPr>
          <w:rFonts w:ascii="Lato" w:hAnsi="Lato"/>
          <w:sz w:val="22"/>
          <w:szCs w:val="22"/>
        </w:rPr>
        <w:t xml:space="preserve">onvention </w:t>
      </w:r>
      <w:r w:rsidRPr="00FC178C">
        <w:rPr>
          <w:rFonts w:ascii="Lato" w:hAnsi="Lato"/>
          <w:sz w:val="22"/>
          <w:szCs w:val="22"/>
        </w:rPr>
        <w:t>have used the notions of gender and</w:t>
      </w:r>
      <w:r w:rsidR="2E2137CE" w:rsidRPr="00FC178C">
        <w:rPr>
          <w:rFonts w:ascii="Lato" w:hAnsi="Lato"/>
          <w:sz w:val="22"/>
          <w:szCs w:val="22"/>
        </w:rPr>
        <w:t>/or</w:t>
      </w:r>
      <w:r w:rsidRPr="00FC178C">
        <w:rPr>
          <w:rFonts w:ascii="Lato" w:hAnsi="Lato"/>
          <w:sz w:val="22"/>
          <w:szCs w:val="22"/>
        </w:rPr>
        <w:t xml:space="preserve"> gender equality in their work. T</w:t>
      </w:r>
      <w:r w:rsidR="0004627C" w:rsidRPr="00FC178C">
        <w:rPr>
          <w:rFonts w:ascii="Lato" w:hAnsi="Lato"/>
          <w:sz w:val="22"/>
          <w:szCs w:val="22"/>
        </w:rPr>
        <w:t xml:space="preserve">he most illustrative example is the </w:t>
      </w:r>
      <w:r w:rsidR="0004627C" w:rsidRPr="00FC178C">
        <w:rPr>
          <w:rFonts w:ascii="Lato" w:hAnsi="Lato"/>
          <w:i/>
          <w:iCs/>
          <w:sz w:val="22"/>
          <w:szCs w:val="22"/>
        </w:rPr>
        <w:t>Convention on the Rights of Person with Disabilities</w:t>
      </w:r>
      <w:r w:rsidR="0004627C" w:rsidRPr="00FC178C">
        <w:rPr>
          <w:rFonts w:ascii="Lato" w:hAnsi="Lato"/>
          <w:sz w:val="22"/>
          <w:szCs w:val="22"/>
        </w:rPr>
        <w:t xml:space="preserve"> adopted in 2006 and</w:t>
      </w:r>
      <w:r w:rsidR="12EBF8E6" w:rsidRPr="00FC178C">
        <w:rPr>
          <w:rFonts w:ascii="Lato" w:hAnsi="Lato"/>
          <w:sz w:val="22"/>
          <w:szCs w:val="22"/>
        </w:rPr>
        <w:t xml:space="preserve"> currently</w:t>
      </w:r>
      <w:r w:rsidR="0004627C" w:rsidRPr="00FC178C">
        <w:rPr>
          <w:rFonts w:ascii="Lato" w:hAnsi="Lato"/>
          <w:sz w:val="22"/>
          <w:szCs w:val="22"/>
        </w:rPr>
        <w:t xml:space="preserve"> ratified</w:t>
      </w:r>
      <w:r w:rsidR="75E2E900" w:rsidRPr="00FC178C">
        <w:rPr>
          <w:rFonts w:ascii="Lato" w:hAnsi="Lato"/>
          <w:sz w:val="22"/>
          <w:szCs w:val="22"/>
        </w:rPr>
        <w:t xml:space="preserve"> </w:t>
      </w:r>
      <w:r w:rsidR="0004627C" w:rsidRPr="00FC178C">
        <w:rPr>
          <w:rFonts w:ascii="Lato" w:hAnsi="Lato"/>
          <w:sz w:val="22"/>
          <w:szCs w:val="22"/>
        </w:rPr>
        <w:t>by 186 States</w:t>
      </w:r>
      <w:r w:rsidR="0247DD24" w:rsidRPr="00FC178C">
        <w:rPr>
          <w:rFonts w:ascii="Lato" w:hAnsi="Lato"/>
          <w:sz w:val="22"/>
          <w:szCs w:val="22"/>
        </w:rPr>
        <w:t>.</w:t>
      </w:r>
    </w:p>
    <w:p w14:paraId="2CCF4727" w14:textId="32FF7354" w:rsidR="0004627C" w:rsidRPr="00FC178C" w:rsidRDefault="00E6260D" w:rsidP="00BF7655">
      <w:pPr>
        <w:spacing w:before="120"/>
        <w:jc w:val="both"/>
        <w:rPr>
          <w:rFonts w:ascii="Lato" w:hAnsi="Lato"/>
          <w:sz w:val="22"/>
          <w:szCs w:val="22"/>
          <w:lang w:val="en-US"/>
        </w:rPr>
      </w:pPr>
      <w:r>
        <w:rPr>
          <w:rFonts w:ascii="Lato" w:hAnsi="Lato"/>
          <w:sz w:val="22"/>
          <w:szCs w:val="22"/>
        </w:rPr>
        <w:t>Additionally, i</w:t>
      </w:r>
      <w:r w:rsidR="0004627C" w:rsidRPr="00FC178C">
        <w:rPr>
          <w:rFonts w:ascii="Lato" w:hAnsi="Lato"/>
          <w:sz w:val="22"/>
          <w:szCs w:val="22"/>
        </w:rPr>
        <w:t xml:space="preserve">n the Preamble to the CRPD Convention, it is stated that State parties ‘[emphasize] </w:t>
      </w:r>
      <w:r w:rsidR="0004627C" w:rsidRPr="00FC178C">
        <w:rPr>
          <w:rFonts w:ascii="Lato" w:hAnsi="Lato"/>
          <w:sz w:val="22"/>
          <w:szCs w:val="22"/>
          <w:lang w:val="en-US"/>
        </w:rPr>
        <w:t xml:space="preserve">the need to incorporate a </w:t>
      </w:r>
      <w:r w:rsidR="0004627C" w:rsidRPr="00FC178C">
        <w:rPr>
          <w:rFonts w:ascii="Lato" w:hAnsi="Lato"/>
          <w:b/>
          <w:bCs/>
          <w:sz w:val="22"/>
          <w:szCs w:val="22"/>
          <w:lang w:val="en-US"/>
        </w:rPr>
        <w:t>gender perspective</w:t>
      </w:r>
      <w:r w:rsidR="0004627C" w:rsidRPr="00FC178C">
        <w:rPr>
          <w:rFonts w:ascii="Lato" w:hAnsi="Lato"/>
          <w:sz w:val="22"/>
          <w:szCs w:val="22"/>
          <w:lang w:val="en-US"/>
        </w:rPr>
        <w:t xml:space="preserve"> in all efforts to promote the full enjoyment of human rights and fundamental freedoms by persons with disabilities.’ Further, references to gender are also contained in articles on specific rights or freedoms:</w:t>
      </w:r>
    </w:p>
    <w:p w14:paraId="2E872003" w14:textId="77777777" w:rsidR="0004627C" w:rsidRPr="00FC178C" w:rsidRDefault="0004627C" w:rsidP="00BF7655">
      <w:pPr>
        <w:spacing w:before="120"/>
        <w:jc w:val="both"/>
        <w:rPr>
          <w:rFonts w:ascii="Lato" w:hAnsi="Lato"/>
          <w:sz w:val="22"/>
          <w:szCs w:val="22"/>
          <w:lang w:val="en-US"/>
        </w:rPr>
      </w:pPr>
    </w:p>
    <w:p w14:paraId="11FFA3E8" w14:textId="77777777" w:rsidR="0004627C" w:rsidRPr="00FC178C" w:rsidRDefault="0004627C" w:rsidP="00BF7655">
      <w:pPr>
        <w:spacing w:before="120"/>
        <w:ind w:left="720"/>
        <w:jc w:val="both"/>
        <w:rPr>
          <w:rFonts w:ascii="Lato" w:hAnsi="Lato"/>
          <w:b/>
          <w:bCs/>
          <w:i/>
          <w:iCs/>
          <w:sz w:val="22"/>
          <w:szCs w:val="22"/>
          <w:lang w:val="en-US"/>
        </w:rPr>
      </w:pPr>
      <w:r w:rsidRPr="00FC178C">
        <w:rPr>
          <w:rFonts w:ascii="Lato" w:hAnsi="Lato"/>
          <w:b/>
          <w:bCs/>
          <w:i/>
          <w:iCs/>
          <w:sz w:val="22"/>
          <w:szCs w:val="22"/>
          <w:lang w:val="en-US"/>
        </w:rPr>
        <w:t>Article 16 - Freedom from exploitation, violence and abuse</w:t>
      </w:r>
    </w:p>
    <w:p w14:paraId="173FA5B2" w14:textId="77777777" w:rsidR="0004627C" w:rsidRPr="00FC178C" w:rsidRDefault="0004627C" w:rsidP="00BF7655">
      <w:pPr>
        <w:spacing w:before="120"/>
        <w:ind w:left="720"/>
        <w:jc w:val="both"/>
        <w:rPr>
          <w:rFonts w:ascii="Lato" w:hAnsi="Lato"/>
          <w:i/>
          <w:iCs/>
          <w:sz w:val="22"/>
          <w:szCs w:val="22"/>
          <w:lang w:val="en-US"/>
        </w:rPr>
      </w:pPr>
      <w:r w:rsidRPr="00FC178C">
        <w:rPr>
          <w:rFonts w:ascii="Lato" w:hAnsi="Lato"/>
          <w:i/>
          <w:iCs/>
          <w:sz w:val="22"/>
          <w:szCs w:val="22"/>
          <w:lang w:val="en-US"/>
        </w:rPr>
        <w:t xml:space="preserve">1. States Parties shall take all appropriate legislative, administrative, social, educational and other measures to protect persons with disabilities, both within and outside the home, from all forms of exploitation, violence and abuse, including their </w:t>
      </w:r>
      <w:r w:rsidRPr="00FC178C">
        <w:rPr>
          <w:rFonts w:ascii="Lato" w:hAnsi="Lato"/>
          <w:b/>
          <w:bCs/>
          <w:i/>
          <w:iCs/>
          <w:sz w:val="22"/>
          <w:szCs w:val="22"/>
          <w:lang w:val="en-US"/>
        </w:rPr>
        <w:t>gender-based aspects</w:t>
      </w:r>
      <w:r w:rsidRPr="00FC178C">
        <w:rPr>
          <w:rFonts w:ascii="Lato" w:hAnsi="Lato"/>
          <w:i/>
          <w:iCs/>
          <w:sz w:val="22"/>
          <w:szCs w:val="22"/>
          <w:lang w:val="en-US"/>
        </w:rPr>
        <w:t>.</w:t>
      </w:r>
    </w:p>
    <w:p w14:paraId="7FC449CB" w14:textId="77777777" w:rsidR="0004627C" w:rsidRPr="00FC178C" w:rsidRDefault="0004627C" w:rsidP="00BF7655">
      <w:pPr>
        <w:spacing w:before="120"/>
        <w:ind w:left="720"/>
        <w:jc w:val="both"/>
        <w:rPr>
          <w:rFonts w:ascii="Lato" w:hAnsi="Lato"/>
          <w:i/>
          <w:iCs/>
          <w:sz w:val="22"/>
          <w:szCs w:val="22"/>
          <w:lang w:val="en-US"/>
        </w:rPr>
      </w:pPr>
      <w:r w:rsidRPr="00FC178C">
        <w:rPr>
          <w:rFonts w:ascii="Lato" w:hAnsi="Lato"/>
          <w:i/>
          <w:iCs/>
          <w:sz w:val="22"/>
          <w:szCs w:val="22"/>
          <w:lang w:val="en-US"/>
        </w:rPr>
        <w:t xml:space="preserve">2. States Parties shall also take all appropriate measures to prevent all forms of exploitation, violence and abuse by ensuring, inter alia, appropriate forms of </w:t>
      </w:r>
      <w:r w:rsidRPr="00FC178C">
        <w:rPr>
          <w:rFonts w:ascii="Lato" w:hAnsi="Lato"/>
          <w:b/>
          <w:bCs/>
          <w:i/>
          <w:iCs/>
          <w:sz w:val="22"/>
          <w:szCs w:val="22"/>
          <w:lang w:val="en-US"/>
        </w:rPr>
        <w:t xml:space="preserve">gender- </w:t>
      </w:r>
      <w:r w:rsidRPr="00FC178C">
        <w:rPr>
          <w:rFonts w:ascii="Lato" w:hAnsi="Lato"/>
          <w:i/>
          <w:iCs/>
          <w:sz w:val="22"/>
          <w:szCs w:val="22"/>
          <w:lang w:val="en-US"/>
        </w:rPr>
        <w:t>and age</w:t>
      </w:r>
      <w:r w:rsidRPr="00FC178C">
        <w:rPr>
          <w:rFonts w:ascii="Lato" w:hAnsi="Lato"/>
          <w:b/>
          <w:bCs/>
          <w:i/>
          <w:iCs/>
          <w:sz w:val="22"/>
          <w:szCs w:val="22"/>
          <w:lang w:val="en-US"/>
        </w:rPr>
        <w:t>-sensitive assistance and support</w:t>
      </w:r>
      <w:r w:rsidRPr="00FC178C">
        <w:rPr>
          <w:rFonts w:ascii="Lato" w:hAnsi="Lato"/>
          <w:i/>
          <w:iCs/>
          <w:sz w:val="22"/>
          <w:szCs w:val="22"/>
          <w:lang w:val="en-US"/>
        </w:rPr>
        <w:t xml:space="preserve"> for persons with disabilities and their families and caregivers, including through the provision of information and education on how to avoid, recognize and report instances of exploitation, violence and abuse. States Parties shall ensure that </w:t>
      </w:r>
      <w:r w:rsidRPr="00FC178C">
        <w:rPr>
          <w:rFonts w:ascii="Lato" w:hAnsi="Lato"/>
          <w:b/>
          <w:bCs/>
          <w:i/>
          <w:iCs/>
          <w:sz w:val="22"/>
          <w:szCs w:val="22"/>
          <w:lang w:val="en-US"/>
        </w:rPr>
        <w:t>protection services are</w:t>
      </w:r>
      <w:r w:rsidRPr="00FC178C">
        <w:rPr>
          <w:rFonts w:ascii="Lato" w:hAnsi="Lato"/>
          <w:i/>
          <w:iCs/>
          <w:sz w:val="22"/>
          <w:szCs w:val="22"/>
          <w:lang w:val="en-US"/>
        </w:rPr>
        <w:t xml:space="preserve"> age-, </w:t>
      </w:r>
      <w:r w:rsidRPr="00FC178C">
        <w:rPr>
          <w:rFonts w:ascii="Lato" w:hAnsi="Lato"/>
          <w:b/>
          <w:bCs/>
          <w:i/>
          <w:iCs/>
          <w:sz w:val="22"/>
          <w:szCs w:val="22"/>
          <w:lang w:val="en-US"/>
        </w:rPr>
        <w:t>gender-</w:t>
      </w:r>
      <w:r w:rsidRPr="00FC178C">
        <w:rPr>
          <w:rFonts w:ascii="Lato" w:hAnsi="Lato"/>
          <w:i/>
          <w:iCs/>
          <w:sz w:val="22"/>
          <w:szCs w:val="22"/>
          <w:lang w:val="en-US"/>
        </w:rPr>
        <w:t xml:space="preserve"> and disability-</w:t>
      </w:r>
      <w:r w:rsidRPr="00FC178C">
        <w:rPr>
          <w:rFonts w:ascii="Lato" w:hAnsi="Lato"/>
          <w:b/>
          <w:bCs/>
          <w:i/>
          <w:iCs/>
          <w:sz w:val="22"/>
          <w:szCs w:val="22"/>
          <w:lang w:val="en-US"/>
        </w:rPr>
        <w:t>sensitive</w:t>
      </w:r>
      <w:r w:rsidRPr="00FC178C">
        <w:rPr>
          <w:rFonts w:ascii="Lato" w:hAnsi="Lato"/>
          <w:i/>
          <w:iCs/>
          <w:sz w:val="22"/>
          <w:szCs w:val="22"/>
          <w:lang w:val="en-US"/>
        </w:rPr>
        <w:t>. (…)</w:t>
      </w:r>
    </w:p>
    <w:p w14:paraId="18F8CD4D" w14:textId="604A6F55" w:rsidR="0004627C" w:rsidRPr="00FC178C" w:rsidRDefault="00C1144C" w:rsidP="00BF7655">
      <w:pPr>
        <w:spacing w:before="120"/>
        <w:jc w:val="both"/>
        <w:rPr>
          <w:rFonts w:ascii="Lato" w:hAnsi="Lato"/>
          <w:sz w:val="22"/>
          <w:szCs w:val="22"/>
          <w:lang w:val="en-US"/>
        </w:rPr>
      </w:pPr>
      <w:r w:rsidRPr="00FC178C">
        <w:rPr>
          <w:rFonts w:ascii="Lato" w:hAnsi="Lato"/>
          <w:sz w:val="22"/>
          <w:szCs w:val="22"/>
          <w:lang w:val="en-US"/>
        </w:rPr>
        <w:t>This example demonstrates that the notion of gender has been adopted by one of the most recent international human rights conventions</w:t>
      </w:r>
      <w:r w:rsidR="283ED38C" w:rsidRPr="00FC178C">
        <w:rPr>
          <w:rFonts w:ascii="Lato" w:hAnsi="Lato"/>
          <w:sz w:val="22"/>
          <w:szCs w:val="22"/>
          <w:lang w:val="en-US"/>
        </w:rPr>
        <w:t xml:space="preserve">. </w:t>
      </w:r>
      <w:r w:rsidRPr="00FC178C">
        <w:rPr>
          <w:rFonts w:ascii="Lato" w:hAnsi="Lato"/>
          <w:sz w:val="22"/>
          <w:szCs w:val="22"/>
          <w:lang w:val="en-US"/>
        </w:rPr>
        <w:t xml:space="preserve"> Thus, not including this understand</w:t>
      </w:r>
      <w:r w:rsidR="00E6260D">
        <w:rPr>
          <w:rFonts w:ascii="Lato" w:hAnsi="Lato"/>
          <w:sz w:val="22"/>
          <w:szCs w:val="22"/>
          <w:lang w:val="en-US"/>
        </w:rPr>
        <w:t>ing of gender, particularly in A</w:t>
      </w:r>
      <w:r w:rsidRPr="00FC178C">
        <w:rPr>
          <w:rFonts w:ascii="Lato" w:hAnsi="Lato"/>
          <w:sz w:val="22"/>
          <w:szCs w:val="22"/>
          <w:lang w:val="en-US"/>
        </w:rPr>
        <w:t xml:space="preserve">rticle 16 </w:t>
      </w:r>
      <w:r w:rsidR="750AC1C0" w:rsidRPr="00FC178C">
        <w:rPr>
          <w:rFonts w:ascii="Lato" w:hAnsi="Lato"/>
          <w:sz w:val="22"/>
          <w:szCs w:val="22"/>
          <w:lang w:val="en-US"/>
        </w:rPr>
        <w:t>of the draft convention of the right to development</w:t>
      </w:r>
      <w:r w:rsidRPr="00FC178C">
        <w:rPr>
          <w:rFonts w:ascii="Lato" w:hAnsi="Lato"/>
          <w:sz w:val="22"/>
          <w:szCs w:val="22"/>
          <w:lang w:val="en-US"/>
        </w:rPr>
        <w:t>, would imply and step back in the</w:t>
      </w:r>
      <w:r w:rsidR="00E6260D">
        <w:rPr>
          <w:rFonts w:ascii="Lato" w:hAnsi="Lato"/>
          <w:sz w:val="22"/>
          <w:szCs w:val="22"/>
          <w:lang w:val="en-US"/>
        </w:rPr>
        <w:t xml:space="preserve"> established</w:t>
      </w:r>
      <w:r w:rsidR="009D1D9E">
        <w:rPr>
          <w:rFonts w:ascii="Lato" w:hAnsi="Lato"/>
          <w:sz w:val="22"/>
          <w:szCs w:val="22"/>
          <w:lang w:val="en-US"/>
        </w:rPr>
        <w:t xml:space="preserve"> internationally agreed</w:t>
      </w:r>
      <w:r w:rsidR="00E6260D">
        <w:rPr>
          <w:rFonts w:ascii="Lato" w:hAnsi="Lato"/>
          <w:sz w:val="22"/>
          <w:szCs w:val="22"/>
          <w:lang w:val="en-US"/>
        </w:rPr>
        <w:t xml:space="preserve"> language.</w:t>
      </w:r>
    </w:p>
    <w:p w14:paraId="08A9CE16" w14:textId="77777777" w:rsidR="0004627C" w:rsidRPr="00FC178C" w:rsidRDefault="0004627C" w:rsidP="00BF7655">
      <w:pPr>
        <w:pStyle w:val="NormalWeb"/>
        <w:spacing w:before="0" w:beforeAutospacing="0" w:after="0" w:afterAutospacing="0"/>
        <w:jc w:val="both"/>
        <w:rPr>
          <w:rFonts w:ascii="Lato" w:eastAsia="Cambria" w:hAnsi="Lato" w:cs="Cambria"/>
          <w:b/>
          <w:noProof/>
          <w:sz w:val="22"/>
          <w:szCs w:val="22"/>
          <w:lang w:val="en-GB" w:eastAsia="es-MX"/>
        </w:rPr>
      </w:pPr>
    </w:p>
    <w:p w14:paraId="11AA99B3" w14:textId="5181A326" w:rsidR="1331BF9E" w:rsidRPr="00FC178C" w:rsidRDefault="00E12771" w:rsidP="00E12771">
      <w:pPr>
        <w:pStyle w:val="Prrafodelista"/>
        <w:numPr>
          <w:ilvl w:val="0"/>
          <w:numId w:val="4"/>
        </w:numPr>
        <w:rPr>
          <w:rFonts w:ascii="Lato" w:hAnsi="Lato"/>
          <w:b/>
          <w:bCs/>
          <w:i/>
          <w:iCs/>
          <w:color w:val="C0504D" w:themeColor="accent2"/>
          <w:sz w:val="22"/>
          <w:szCs w:val="22"/>
        </w:rPr>
      </w:pPr>
      <w:r w:rsidRPr="00FC178C">
        <w:rPr>
          <w:rFonts w:ascii="Lato" w:hAnsi="Lato"/>
          <w:b/>
          <w:bCs/>
          <w:i/>
          <w:iCs/>
          <w:color w:val="C0504D" w:themeColor="accent2"/>
          <w:sz w:val="22"/>
          <w:szCs w:val="22"/>
        </w:rPr>
        <w:t>The Agenda 2030 on Sustainable Development</w:t>
      </w:r>
    </w:p>
    <w:p w14:paraId="636FEEAF" w14:textId="06608835" w:rsidR="79D2FF38" w:rsidRPr="00FC178C" w:rsidRDefault="00C1144C" w:rsidP="79D2FF38">
      <w:pPr>
        <w:pStyle w:val="NormalWeb"/>
        <w:jc w:val="both"/>
        <w:rPr>
          <w:rFonts w:ascii="Lato" w:eastAsia="Cambria" w:hAnsi="Lato" w:cs="Cambria"/>
          <w:noProof/>
          <w:sz w:val="22"/>
          <w:szCs w:val="22"/>
          <w:lang w:val="en-US" w:eastAsia="es-MX"/>
        </w:rPr>
      </w:pPr>
      <w:r w:rsidRPr="00FC178C">
        <w:rPr>
          <w:rFonts w:ascii="Lato" w:eastAsia="Cambria" w:hAnsi="Lato" w:cs="Cambria"/>
          <w:noProof/>
          <w:sz w:val="22"/>
          <w:szCs w:val="22"/>
          <w:lang w:val="en-US" w:eastAsia="es-MX"/>
        </w:rPr>
        <w:t>Furthermore, the notion of gender equality which was previously prop</w:t>
      </w:r>
      <w:r w:rsidR="009D1D9E">
        <w:rPr>
          <w:rFonts w:ascii="Lato" w:eastAsia="Cambria" w:hAnsi="Lato" w:cs="Cambria"/>
          <w:noProof/>
          <w:sz w:val="22"/>
          <w:szCs w:val="22"/>
          <w:lang w:val="en-US" w:eastAsia="es-MX"/>
        </w:rPr>
        <w:t>osed in the title of the draft Article 16, would be al</w:t>
      </w:r>
      <w:r w:rsidRPr="00FC178C">
        <w:rPr>
          <w:rFonts w:ascii="Lato" w:eastAsia="Cambria" w:hAnsi="Lato" w:cs="Cambria"/>
          <w:noProof/>
          <w:sz w:val="22"/>
          <w:szCs w:val="22"/>
          <w:lang w:val="en-US" w:eastAsia="es-MX"/>
        </w:rPr>
        <w:t xml:space="preserve">igned with the </w:t>
      </w:r>
      <w:r w:rsidR="00C05654" w:rsidRPr="00FC178C">
        <w:rPr>
          <w:rFonts w:ascii="Lato" w:eastAsia="Cambria" w:hAnsi="Lato" w:cs="Cambria"/>
          <w:noProof/>
          <w:sz w:val="22"/>
          <w:szCs w:val="22"/>
          <w:lang w:val="en-US" w:eastAsia="es-MX"/>
        </w:rPr>
        <w:t>wording u</w:t>
      </w:r>
      <w:r w:rsidR="009D1D9E">
        <w:rPr>
          <w:rFonts w:ascii="Lato" w:eastAsia="Cambria" w:hAnsi="Lato" w:cs="Cambria"/>
          <w:noProof/>
          <w:sz w:val="22"/>
          <w:szCs w:val="22"/>
          <w:lang w:val="en-US" w:eastAsia="es-MX"/>
        </w:rPr>
        <w:t>sed in the Agenda 2030, as well</w:t>
      </w:r>
      <w:r w:rsidR="00C05654" w:rsidRPr="00FC178C">
        <w:rPr>
          <w:rFonts w:ascii="Lato" w:eastAsia="Cambria" w:hAnsi="Lato" w:cs="Cambria"/>
          <w:noProof/>
          <w:sz w:val="22"/>
          <w:szCs w:val="22"/>
          <w:lang w:val="en-US" w:eastAsia="es-MX"/>
        </w:rPr>
        <w:t xml:space="preserve"> as the word “all” before </w:t>
      </w:r>
      <w:r w:rsidR="66F49A42" w:rsidRPr="00FC178C">
        <w:rPr>
          <w:rFonts w:ascii="Lato" w:eastAsia="Cambria" w:hAnsi="Lato" w:cs="Cambria"/>
          <w:noProof/>
          <w:sz w:val="22"/>
          <w:szCs w:val="22"/>
          <w:lang w:val="en-US" w:eastAsia="es-MX"/>
        </w:rPr>
        <w:t>“</w:t>
      </w:r>
      <w:r w:rsidR="00C05654" w:rsidRPr="00FC178C">
        <w:rPr>
          <w:rFonts w:ascii="Lato" w:eastAsia="Cambria" w:hAnsi="Lato" w:cs="Cambria"/>
          <w:noProof/>
          <w:sz w:val="22"/>
          <w:szCs w:val="22"/>
          <w:lang w:val="en-US" w:eastAsia="es-MX"/>
        </w:rPr>
        <w:t xml:space="preserve">women and </w:t>
      </w:r>
      <w:r w:rsidR="00C05654" w:rsidRPr="00FC178C">
        <w:rPr>
          <w:rFonts w:ascii="Lato" w:eastAsia="Cambria" w:hAnsi="Lato" w:cs="Cambria"/>
          <w:noProof/>
          <w:sz w:val="22"/>
          <w:szCs w:val="22"/>
          <w:lang w:val="en-US" w:eastAsia="es-MX"/>
        </w:rPr>
        <w:lastRenderedPageBreak/>
        <w:t>girl</w:t>
      </w:r>
      <w:r w:rsidR="7BDD5F25" w:rsidRPr="00FC178C">
        <w:rPr>
          <w:rFonts w:ascii="Lato" w:eastAsia="Cambria" w:hAnsi="Lato" w:cs="Cambria"/>
          <w:noProof/>
          <w:sz w:val="22"/>
          <w:szCs w:val="22"/>
          <w:lang w:val="en-US" w:eastAsia="es-MX"/>
        </w:rPr>
        <w:t>s</w:t>
      </w:r>
      <w:r w:rsidR="009D1D9E">
        <w:rPr>
          <w:rFonts w:ascii="Lato" w:eastAsia="Cambria" w:hAnsi="Lato" w:cs="Cambria"/>
          <w:noProof/>
          <w:sz w:val="22"/>
          <w:szCs w:val="22"/>
          <w:lang w:val="en-US" w:eastAsia="es-MX"/>
        </w:rPr>
        <w:t>.</w:t>
      </w:r>
      <w:r w:rsidR="7BDD5F25" w:rsidRPr="00FC178C">
        <w:rPr>
          <w:rFonts w:ascii="Lato" w:eastAsia="Cambria" w:hAnsi="Lato" w:cs="Cambria"/>
          <w:noProof/>
          <w:sz w:val="22"/>
          <w:szCs w:val="22"/>
          <w:lang w:val="en-US" w:eastAsia="es-MX"/>
        </w:rPr>
        <w:t>”</w:t>
      </w:r>
      <w:r w:rsidR="0026127F" w:rsidRPr="00FC178C">
        <w:rPr>
          <w:rFonts w:ascii="Lato" w:eastAsia="Cambria" w:hAnsi="Lato" w:cs="Cambria"/>
          <w:noProof/>
          <w:sz w:val="22"/>
          <w:szCs w:val="22"/>
          <w:lang w:val="en-US" w:eastAsia="es-MX"/>
        </w:rPr>
        <w:t xml:space="preserve"> Indeed, the concept of gender equality </w:t>
      </w:r>
      <w:r w:rsidR="3AEE6496" w:rsidRPr="00FC178C">
        <w:rPr>
          <w:rFonts w:ascii="Lato" w:eastAsia="Cambria" w:hAnsi="Lato" w:cs="Cambria"/>
          <w:noProof/>
          <w:sz w:val="22"/>
          <w:szCs w:val="22"/>
          <w:lang w:val="en-US" w:eastAsia="es-MX"/>
        </w:rPr>
        <w:t>shapes</w:t>
      </w:r>
      <w:r w:rsidR="0026127F" w:rsidRPr="00FC178C">
        <w:rPr>
          <w:rFonts w:ascii="Lato" w:eastAsia="Cambria" w:hAnsi="Lato" w:cs="Cambria"/>
          <w:noProof/>
          <w:sz w:val="22"/>
          <w:szCs w:val="22"/>
          <w:lang w:val="en-US" w:eastAsia="es-MX"/>
        </w:rPr>
        <w:t xml:space="preserve"> Goal 5 and all its targets</w:t>
      </w:r>
      <w:r w:rsidR="0026127F" w:rsidRPr="00FC178C">
        <w:rPr>
          <w:rStyle w:val="Refdenotaalfinal"/>
          <w:rFonts w:ascii="Lato" w:eastAsia="Cambria" w:hAnsi="Lato" w:cs="Cambria"/>
          <w:noProof/>
          <w:sz w:val="22"/>
          <w:szCs w:val="22"/>
          <w:lang w:val="en-US" w:eastAsia="es-MX"/>
        </w:rPr>
        <w:endnoteReference w:id="13"/>
      </w:r>
      <w:r w:rsidR="0026127F" w:rsidRPr="00FC178C">
        <w:rPr>
          <w:rFonts w:ascii="Lato" w:eastAsia="Cambria" w:hAnsi="Lato" w:cs="Cambria"/>
          <w:noProof/>
          <w:sz w:val="22"/>
          <w:szCs w:val="22"/>
          <w:lang w:val="en-US" w:eastAsia="es-MX"/>
        </w:rPr>
        <w:t xml:space="preserve">. </w:t>
      </w:r>
      <w:r w:rsidR="00C05654" w:rsidRPr="00FC178C">
        <w:rPr>
          <w:rFonts w:ascii="Lato" w:eastAsia="Cambria" w:hAnsi="Lato" w:cs="Cambria"/>
          <w:noProof/>
          <w:sz w:val="22"/>
          <w:szCs w:val="22"/>
          <w:lang w:val="en-US" w:eastAsia="es-MX"/>
        </w:rPr>
        <w:t xml:space="preserve">Although not a legally binding instrument, the Agenda 2030 reflects a universally agreed document </w:t>
      </w:r>
      <w:r w:rsidR="009D1D9E">
        <w:rPr>
          <w:rFonts w:ascii="Lato" w:eastAsia="Cambria" w:hAnsi="Lato" w:cs="Cambria"/>
          <w:noProof/>
          <w:sz w:val="22"/>
          <w:szCs w:val="22"/>
          <w:lang w:val="en-US" w:eastAsia="es-MX"/>
        </w:rPr>
        <w:t xml:space="preserve">by United Nations Member States, </w:t>
      </w:r>
      <w:r w:rsidR="00C05654" w:rsidRPr="00FC178C">
        <w:rPr>
          <w:rFonts w:ascii="Lato" w:eastAsia="Cambria" w:hAnsi="Lato" w:cs="Cambria"/>
          <w:noProof/>
          <w:sz w:val="22"/>
          <w:szCs w:val="22"/>
          <w:lang w:val="en-US" w:eastAsia="es-MX"/>
        </w:rPr>
        <w:t>and being part of the development framework</w:t>
      </w:r>
      <w:r w:rsidR="009D1D9E">
        <w:rPr>
          <w:rFonts w:ascii="Lato" w:eastAsia="Cambria" w:hAnsi="Lato" w:cs="Cambria"/>
          <w:noProof/>
          <w:sz w:val="22"/>
          <w:szCs w:val="22"/>
          <w:lang w:val="en-US" w:eastAsia="es-MX"/>
        </w:rPr>
        <w:t>,</w:t>
      </w:r>
      <w:r w:rsidR="00C05654" w:rsidRPr="00FC178C">
        <w:rPr>
          <w:rFonts w:ascii="Lato" w:eastAsia="Cambria" w:hAnsi="Lato" w:cs="Cambria"/>
          <w:noProof/>
          <w:sz w:val="22"/>
          <w:szCs w:val="22"/>
          <w:lang w:val="en-US" w:eastAsia="es-MX"/>
        </w:rPr>
        <w:t xml:space="preserve"> it is certainly an example </w:t>
      </w:r>
      <w:r w:rsidR="0026127F" w:rsidRPr="00FC178C">
        <w:rPr>
          <w:rFonts w:ascii="Lato" w:eastAsia="Cambria" w:hAnsi="Lato" w:cs="Cambria"/>
          <w:noProof/>
          <w:sz w:val="22"/>
          <w:szCs w:val="22"/>
          <w:lang w:val="en-US" w:eastAsia="es-MX"/>
        </w:rPr>
        <w:t xml:space="preserve">that shows </w:t>
      </w:r>
      <w:r w:rsidR="66E3B8BD" w:rsidRPr="00FC178C">
        <w:rPr>
          <w:rFonts w:ascii="Lato" w:eastAsia="Cambria" w:hAnsi="Lato" w:cs="Cambria"/>
          <w:noProof/>
          <w:sz w:val="22"/>
          <w:szCs w:val="22"/>
          <w:lang w:val="en-US" w:eastAsia="es-MX"/>
        </w:rPr>
        <w:t xml:space="preserve">that </w:t>
      </w:r>
      <w:r w:rsidR="009D1D9E">
        <w:rPr>
          <w:rFonts w:ascii="Lato" w:eastAsia="Cambria" w:hAnsi="Lato" w:cs="Cambria"/>
          <w:noProof/>
          <w:sz w:val="22"/>
          <w:szCs w:val="22"/>
          <w:lang w:val="en-US" w:eastAsia="es-MX"/>
        </w:rPr>
        <w:t xml:space="preserve">reverting </w:t>
      </w:r>
      <w:r w:rsidR="0026127F" w:rsidRPr="00FC178C">
        <w:rPr>
          <w:rFonts w:ascii="Lato" w:eastAsia="Cambria" w:hAnsi="Lato" w:cs="Cambria"/>
          <w:noProof/>
          <w:sz w:val="22"/>
          <w:szCs w:val="22"/>
          <w:lang w:val="en-US" w:eastAsia="es-MX"/>
        </w:rPr>
        <w:t xml:space="preserve">to </w:t>
      </w:r>
      <w:r w:rsidR="00C05654" w:rsidRPr="00FC178C">
        <w:rPr>
          <w:rFonts w:ascii="Lato" w:eastAsia="Cambria" w:hAnsi="Lato" w:cs="Cambria"/>
          <w:noProof/>
          <w:sz w:val="22"/>
          <w:szCs w:val="22"/>
          <w:lang w:val="en-US" w:eastAsia="es-MX"/>
        </w:rPr>
        <w:t>“Equality between men and women” and excluding the word “all” before women and girls would be a</w:t>
      </w:r>
      <w:r w:rsidR="0026127F" w:rsidRPr="00FC178C">
        <w:rPr>
          <w:rFonts w:ascii="Lato" w:eastAsia="Cambria" w:hAnsi="Lato" w:cs="Cambria"/>
          <w:noProof/>
          <w:sz w:val="22"/>
          <w:szCs w:val="22"/>
          <w:lang w:val="en-US" w:eastAsia="es-MX"/>
        </w:rPr>
        <w:t xml:space="preserve"> step backguards on human rights and development</w:t>
      </w:r>
      <w:r w:rsidR="00C05654" w:rsidRPr="00FC178C">
        <w:rPr>
          <w:rFonts w:ascii="Lato" w:eastAsia="Cambria" w:hAnsi="Lato" w:cs="Cambria"/>
          <w:noProof/>
          <w:sz w:val="22"/>
          <w:szCs w:val="22"/>
          <w:lang w:val="en-US" w:eastAsia="es-MX"/>
        </w:rPr>
        <w:t xml:space="preserve"> </w:t>
      </w:r>
      <w:r w:rsidR="0026127F" w:rsidRPr="00FC178C">
        <w:rPr>
          <w:rFonts w:ascii="Lato" w:eastAsia="Cambria" w:hAnsi="Lato" w:cs="Cambria"/>
          <w:noProof/>
          <w:sz w:val="22"/>
          <w:szCs w:val="22"/>
          <w:lang w:val="en-US" w:eastAsia="es-MX"/>
        </w:rPr>
        <w:t>language</w:t>
      </w:r>
      <w:r w:rsidR="0243F58A" w:rsidRPr="00FC178C">
        <w:rPr>
          <w:rFonts w:ascii="Lato" w:eastAsia="Cambria" w:hAnsi="Lato" w:cs="Cambria"/>
          <w:noProof/>
          <w:sz w:val="22"/>
          <w:szCs w:val="22"/>
          <w:lang w:val="en-US" w:eastAsia="es-MX"/>
        </w:rPr>
        <w:t xml:space="preserve"> </w:t>
      </w:r>
      <w:r w:rsidR="00C05654" w:rsidRPr="00FC178C">
        <w:rPr>
          <w:rFonts w:ascii="Lato" w:eastAsia="Cambria" w:hAnsi="Lato" w:cs="Cambria"/>
          <w:noProof/>
          <w:sz w:val="22"/>
          <w:szCs w:val="22"/>
          <w:lang w:val="en-US" w:eastAsia="es-MX"/>
        </w:rPr>
        <w:t xml:space="preserve">that does not reflect the current global priorities and agreements made by United Nations. </w:t>
      </w:r>
      <w:r w:rsidR="0026127F" w:rsidRPr="00FC178C">
        <w:rPr>
          <w:rFonts w:ascii="Lato" w:eastAsia="Cambria" w:hAnsi="Lato" w:cs="Cambria"/>
          <w:noProof/>
          <w:sz w:val="22"/>
          <w:szCs w:val="22"/>
          <w:lang w:val="en-US" w:eastAsia="es-MX"/>
        </w:rPr>
        <w:t>Thus</w:t>
      </w:r>
      <w:r w:rsidR="00E229FB">
        <w:rPr>
          <w:rFonts w:ascii="Lato" w:eastAsia="Cambria" w:hAnsi="Lato" w:cs="Cambria"/>
          <w:noProof/>
          <w:sz w:val="22"/>
          <w:szCs w:val="22"/>
          <w:lang w:val="en-US" w:eastAsia="es-MX"/>
        </w:rPr>
        <w:t>,</w:t>
      </w:r>
      <w:r w:rsidR="0026127F" w:rsidRPr="00FC178C">
        <w:rPr>
          <w:rFonts w:ascii="Lato" w:eastAsia="Cambria" w:hAnsi="Lato" w:cs="Cambria"/>
          <w:noProof/>
          <w:sz w:val="22"/>
          <w:szCs w:val="22"/>
          <w:lang w:val="en-US" w:eastAsia="es-MX"/>
        </w:rPr>
        <w:t xml:space="preserve"> by ac</w:t>
      </w:r>
      <w:r w:rsidR="009D1D9E">
        <w:rPr>
          <w:rFonts w:ascii="Lato" w:eastAsia="Cambria" w:hAnsi="Lato" w:cs="Cambria"/>
          <w:noProof/>
          <w:sz w:val="22"/>
          <w:szCs w:val="22"/>
          <w:lang w:val="en-US" w:eastAsia="es-MX"/>
        </w:rPr>
        <w:t>c</w:t>
      </w:r>
      <w:r w:rsidR="0026127F" w:rsidRPr="00FC178C">
        <w:rPr>
          <w:rFonts w:ascii="Lato" w:eastAsia="Cambria" w:hAnsi="Lato" w:cs="Cambria"/>
          <w:noProof/>
          <w:sz w:val="22"/>
          <w:szCs w:val="22"/>
          <w:lang w:val="en-US" w:eastAsia="es-MX"/>
        </w:rPr>
        <w:t>epting these modifications</w:t>
      </w:r>
      <w:r w:rsidR="009D1D9E">
        <w:rPr>
          <w:rFonts w:ascii="Lato" w:eastAsia="Cambria" w:hAnsi="Lato" w:cs="Cambria"/>
          <w:noProof/>
          <w:sz w:val="22"/>
          <w:szCs w:val="22"/>
          <w:lang w:val="en-US" w:eastAsia="es-MX"/>
        </w:rPr>
        <w:t>,</w:t>
      </w:r>
      <w:r w:rsidR="0026127F" w:rsidRPr="00FC178C">
        <w:rPr>
          <w:rFonts w:ascii="Lato" w:eastAsia="Cambria" w:hAnsi="Lato" w:cs="Cambria"/>
          <w:noProof/>
          <w:sz w:val="22"/>
          <w:szCs w:val="22"/>
          <w:lang w:val="en-US" w:eastAsia="es-MX"/>
        </w:rPr>
        <w:t xml:space="preserve"> many wom</w:t>
      </w:r>
      <w:r w:rsidR="009D1D9E">
        <w:rPr>
          <w:rFonts w:ascii="Lato" w:eastAsia="Cambria" w:hAnsi="Lato" w:cs="Cambria"/>
          <w:noProof/>
          <w:sz w:val="22"/>
          <w:szCs w:val="22"/>
          <w:lang w:val="en-US" w:eastAsia="es-MX"/>
        </w:rPr>
        <w:t>en would not be represented in A</w:t>
      </w:r>
      <w:r w:rsidR="0026127F" w:rsidRPr="00FC178C">
        <w:rPr>
          <w:rFonts w:ascii="Lato" w:eastAsia="Cambria" w:hAnsi="Lato" w:cs="Cambria"/>
          <w:noProof/>
          <w:sz w:val="22"/>
          <w:szCs w:val="22"/>
          <w:lang w:val="en-US" w:eastAsia="es-MX"/>
        </w:rPr>
        <w:t xml:space="preserve">rticle 16 of the draft Convention, and this would be a real cause to reduce their rights.  </w:t>
      </w:r>
    </w:p>
    <w:p w14:paraId="20AEC0B5" w14:textId="7E172F4C" w:rsidR="79D2FF38" w:rsidRPr="00FC178C" w:rsidRDefault="00E12771" w:rsidP="00E12771">
      <w:pPr>
        <w:pStyle w:val="Prrafodelista"/>
        <w:numPr>
          <w:ilvl w:val="0"/>
          <w:numId w:val="1"/>
        </w:numPr>
        <w:rPr>
          <w:rFonts w:ascii="Lato" w:hAnsi="Lato"/>
          <w:b/>
          <w:bCs/>
          <w:i/>
          <w:iCs/>
          <w:color w:val="C0504D" w:themeColor="accent2"/>
          <w:sz w:val="22"/>
          <w:szCs w:val="22"/>
          <w:lang w:val="en-US"/>
        </w:rPr>
      </w:pPr>
      <w:r w:rsidRPr="00FC178C">
        <w:rPr>
          <w:rFonts w:ascii="Lato" w:hAnsi="Lato"/>
          <w:b/>
          <w:bCs/>
          <w:i/>
          <w:iCs/>
          <w:color w:val="C0504D" w:themeColor="accent2"/>
          <w:sz w:val="22"/>
          <w:szCs w:val="22"/>
          <w:lang w:val="en-US"/>
        </w:rPr>
        <w:t>The Commission on the Status of Women</w:t>
      </w:r>
    </w:p>
    <w:p w14:paraId="79007A0F" w14:textId="143E0500" w:rsidR="79D2FF38" w:rsidRPr="00FC178C" w:rsidRDefault="79D2FF38" w:rsidP="79D2FF38">
      <w:pPr>
        <w:pStyle w:val="NormalWeb"/>
        <w:jc w:val="both"/>
        <w:rPr>
          <w:rFonts w:ascii="Lato" w:eastAsia="Cambria" w:hAnsi="Lato" w:cs="Cambria"/>
          <w:noProof/>
          <w:sz w:val="22"/>
          <w:szCs w:val="22"/>
          <w:lang w:val="en-US" w:eastAsia="es-MX"/>
        </w:rPr>
      </w:pPr>
      <w:r w:rsidRPr="00FC178C">
        <w:rPr>
          <w:rFonts w:ascii="Lato" w:eastAsia="Cambria" w:hAnsi="Lato" w:cs="Cambria"/>
          <w:noProof/>
          <w:sz w:val="22"/>
          <w:szCs w:val="22"/>
          <w:lang w:val="en-US" w:eastAsia="es-MX"/>
        </w:rPr>
        <w:t>The Commission on the Status of Women (CSW) is the principal global intergovernmental body exclusively dedicated to the promotion of gender equality and the empowerment of women. While the final text of CSW, called “Agreed Conclusions,” are not a treaty, they do come in unanimous decisions creating agreed language in an ECOSOC process.  The most recent Agreed Conclusions are on “Innovation and technological change, and education in the digital age for achieving gender equality and the empowerment of all women and girls”. In this text, all Member States have agreed on “build more inclusive innovation eco-systems to promote safe and gender-responsive innovation for gender equality and the empowerment of all women and girls”, amongst other actions to bridge inequalities and bring all women and girls, in all their diversity, to the center.</w:t>
      </w:r>
    </w:p>
    <w:p w14:paraId="2F3F0B4C" w14:textId="2A527C89" w:rsidR="602B350A" w:rsidRPr="00FC178C" w:rsidRDefault="79D2FF38" w:rsidP="602B350A">
      <w:pPr>
        <w:pStyle w:val="NormalWeb"/>
        <w:jc w:val="both"/>
        <w:rPr>
          <w:rFonts w:ascii="Lato" w:eastAsia="Cambria" w:hAnsi="Lato" w:cs="Cambria"/>
          <w:noProof/>
          <w:sz w:val="22"/>
          <w:szCs w:val="22"/>
          <w:lang w:val="en-US" w:eastAsia="es-MX"/>
        </w:rPr>
      </w:pPr>
      <w:r w:rsidRPr="00FC178C">
        <w:rPr>
          <w:rFonts w:ascii="Lato" w:eastAsia="Cambria" w:hAnsi="Lato" w:cs="Cambria"/>
          <w:noProof/>
          <w:sz w:val="22"/>
          <w:szCs w:val="22"/>
          <w:lang w:val="en-US" w:eastAsia="es-MX"/>
        </w:rPr>
        <w:t>Past Agreed Conclusions use similar language on gender, showing that the multilateral conversation on gender equality uses the same terminology as CEDAW and this submission, addressing root causes like the patriarchy and calling Member States to act in order to include women in all of their diversity and who suffer multiple and intersecting forms of discrimination.</w:t>
      </w:r>
    </w:p>
    <w:p w14:paraId="3DB57CEF" w14:textId="1D7A1E3F" w:rsidR="00E12771" w:rsidRPr="00FC178C" w:rsidRDefault="00E12771" w:rsidP="00E12771">
      <w:pPr>
        <w:pStyle w:val="Ttulo1"/>
        <w:pBdr>
          <w:bottom w:val="double" w:sz="4" w:space="1" w:color="C0504D" w:themeColor="accent2"/>
        </w:pBdr>
        <w:spacing w:after="240"/>
        <w:jc w:val="center"/>
        <w:rPr>
          <w:rFonts w:ascii="Lato" w:hAnsi="Lato"/>
          <w:b/>
          <w:bCs/>
          <w:color w:val="C0504D" w:themeColor="accent2"/>
          <w:lang w:val="en-US"/>
        </w:rPr>
      </w:pPr>
      <w:r w:rsidRPr="00FC178C">
        <w:rPr>
          <w:rFonts w:ascii="Lato" w:hAnsi="Lato"/>
          <w:b/>
          <w:bCs/>
          <w:color w:val="C0504D" w:themeColor="accent2"/>
          <w:lang w:val="en-US"/>
        </w:rPr>
        <w:t>3.</w:t>
      </w:r>
      <w:r w:rsidRPr="00FC178C">
        <w:rPr>
          <w:rFonts w:ascii="Lato" w:eastAsia="Cambria" w:hAnsi="Lato" w:cs="Cambria"/>
          <w:b/>
          <w:bCs/>
          <w:noProof/>
          <w:color w:val="auto"/>
          <w:lang w:eastAsia="es-MX"/>
        </w:rPr>
        <w:t xml:space="preserve"> </w:t>
      </w:r>
      <w:r w:rsidRPr="00FC178C">
        <w:rPr>
          <w:rFonts w:ascii="Lato" w:hAnsi="Lato"/>
          <w:b/>
          <w:bCs/>
          <w:color w:val="C0504D" w:themeColor="accent2"/>
        </w:rPr>
        <w:t>Recommendations</w:t>
      </w:r>
    </w:p>
    <w:p w14:paraId="4EBCECF1" w14:textId="2E87598F" w:rsidR="00F10DB4" w:rsidRPr="00254709" w:rsidRDefault="00E229FB" w:rsidP="00E229FB">
      <w:pPr>
        <w:pStyle w:val="NormalWeb"/>
        <w:numPr>
          <w:ilvl w:val="0"/>
          <w:numId w:val="8"/>
        </w:numPr>
        <w:jc w:val="both"/>
        <w:rPr>
          <w:rFonts w:ascii="Lato" w:eastAsia="Cambria" w:hAnsi="Lato" w:cs="Cambria"/>
          <w:bCs/>
          <w:noProof/>
          <w:sz w:val="22"/>
          <w:szCs w:val="22"/>
          <w:lang w:val="en-US" w:eastAsia="es-MX"/>
        </w:rPr>
      </w:pPr>
      <w:r w:rsidRPr="00254709">
        <w:rPr>
          <w:rFonts w:ascii="Lato" w:eastAsia="Cambria" w:hAnsi="Lato" w:cs="Cambria"/>
          <w:bCs/>
          <w:noProof/>
          <w:sz w:val="22"/>
          <w:szCs w:val="22"/>
          <w:lang w:val="en-US" w:eastAsia="es-MX"/>
        </w:rPr>
        <w:t>We recomm</w:t>
      </w:r>
      <w:r w:rsidR="00E6260D">
        <w:rPr>
          <w:rFonts w:ascii="Lato" w:eastAsia="Cambria" w:hAnsi="Lato" w:cs="Cambria"/>
          <w:bCs/>
          <w:noProof/>
          <w:sz w:val="22"/>
          <w:szCs w:val="22"/>
          <w:lang w:val="en-US" w:eastAsia="es-MX"/>
        </w:rPr>
        <w:t>end the Expert Drafting Group</w:t>
      </w:r>
      <w:r w:rsidRPr="00254709">
        <w:rPr>
          <w:rFonts w:ascii="Lato" w:eastAsia="Cambria" w:hAnsi="Lato" w:cs="Cambria"/>
          <w:bCs/>
          <w:noProof/>
          <w:sz w:val="22"/>
          <w:szCs w:val="22"/>
          <w:lang w:val="en-US" w:eastAsia="es-MX"/>
        </w:rPr>
        <w:t xml:space="preserve"> </w:t>
      </w:r>
      <w:r w:rsidR="00563D7D">
        <w:rPr>
          <w:rFonts w:ascii="Lato" w:eastAsia="Cambria" w:hAnsi="Lato" w:cs="Cambria"/>
          <w:bCs/>
          <w:noProof/>
          <w:sz w:val="22"/>
          <w:szCs w:val="22"/>
          <w:lang w:val="en-US" w:eastAsia="es-MX"/>
        </w:rPr>
        <w:t>consider the recent appliance</w:t>
      </w:r>
      <w:r w:rsidRPr="00254709">
        <w:rPr>
          <w:rFonts w:ascii="Lato" w:eastAsia="Cambria" w:hAnsi="Lato" w:cs="Cambria"/>
          <w:bCs/>
          <w:noProof/>
          <w:sz w:val="22"/>
          <w:szCs w:val="22"/>
          <w:lang w:val="en-US" w:eastAsia="es-MX"/>
        </w:rPr>
        <w:t xml:space="preserve"> and interpretation of the notion</w:t>
      </w:r>
      <w:r w:rsidR="00563D7D">
        <w:rPr>
          <w:rFonts w:ascii="Lato" w:eastAsia="Cambria" w:hAnsi="Lato" w:cs="Cambria"/>
          <w:bCs/>
          <w:noProof/>
          <w:sz w:val="22"/>
          <w:szCs w:val="22"/>
          <w:lang w:val="en-US" w:eastAsia="es-MX"/>
        </w:rPr>
        <w:t>s</w:t>
      </w:r>
      <w:r w:rsidRPr="00254709">
        <w:rPr>
          <w:rFonts w:ascii="Lato" w:eastAsia="Cambria" w:hAnsi="Lato" w:cs="Cambria"/>
          <w:bCs/>
          <w:noProof/>
          <w:sz w:val="22"/>
          <w:szCs w:val="22"/>
          <w:lang w:val="en-US" w:eastAsia="es-MX"/>
        </w:rPr>
        <w:t xml:space="preserve"> of </w:t>
      </w:r>
      <w:r w:rsidR="00563D7D">
        <w:rPr>
          <w:rFonts w:ascii="Lato" w:eastAsia="Cambria" w:hAnsi="Lato" w:cs="Cambria"/>
          <w:bCs/>
          <w:noProof/>
          <w:sz w:val="22"/>
          <w:szCs w:val="22"/>
          <w:lang w:val="en-US" w:eastAsia="es-MX"/>
        </w:rPr>
        <w:t>“</w:t>
      </w:r>
      <w:r w:rsidRPr="00254709">
        <w:rPr>
          <w:rFonts w:ascii="Lato" w:eastAsia="Cambria" w:hAnsi="Lato" w:cs="Cambria"/>
          <w:bCs/>
          <w:noProof/>
          <w:sz w:val="22"/>
          <w:szCs w:val="22"/>
          <w:lang w:val="en-US" w:eastAsia="es-MX"/>
        </w:rPr>
        <w:t>gender</w:t>
      </w:r>
      <w:r w:rsidR="00563D7D">
        <w:rPr>
          <w:rFonts w:ascii="Lato" w:eastAsia="Cambria" w:hAnsi="Lato" w:cs="Cambria"/>
          <w:bCs/>
          <w:noProof/>
          <w:sz w:val="22"/>
          <w:szCs w:val="22"/>
          <w:lang w:val="en-US" w:eastAsia="es-MX"/>
        </w:rPr>
        <w:t>”</w:t>
      </w:r>
      <w:r w:rsidRPr="00254709">
        <w:rPr>
          <w:rFonts w:ascii="Lato" w:eastAsia="Cambria" w:hAnsi="Lato" w:cs="Cambria"/>
          <w:bCs/>
          <w:noProof/>
          <w:sz w:val="22"/>
          <w:szCs w:val="22"/>
          <w:lang w:val="en-US" w:eastAsia="es-MX"/>
        </w:rPr>
        <w:t xml:space="preserve"> and </w:t>
      </w:r>
      <w:r w:rsidR="00563D7D">
        <w:rPr>
          <w:rFonts w:ascii="Lato" w:eastAsia="Cambria" w:hAnsi="Lato" w:cs="Cambria"/>
          <w:bCs/>
          <w:noProof/>
          <w:sz w:val="22"/>
          <w:szCs w:val="22"/>
          <w:lang w:val="en-US" w:eastAsia="es-MX"/>
        </w:rPr>
        <w:t>“</w:t>
      </w:r>
      <w:r w:rsidRPr="00254709">
        <w:rPr>
          <w:rFonts w:ascii="Lato" w:eastAsia="Cambria" w:hAnsi="Lato" w:cs="Cambria"/>
          <w:bCs/>
          <w:noProof/>
          <w:sz w:val="22"/>
          <w:szCs w:val="22"/>
          <w:lang w:val="en-US" w:eastAsia="es-MX"/>
        </w:rPr>
        <w:t>gender equality</w:t>
      </w:r>
      <w:r w:rsidR="00563D7D">
        <w:rPr>
          <w:rFonts w:ascii="Lato" w:eastAsia="Cambria" w:hAnsi="Lato" w:cs="Cambria"/>
          <w:bCs/>
          <w:noProof/>
          <w:sz w:val="22"/>
          <w:szCs w:val="22"/>
          <w:lang w:val="en-US" w:eastAsia="es-MX"/>
        </w:rPr>
        <w:t>”</w:t>
      </w:r>
      <w:r w:rsidRPr="00254709">
        <w:rPr>
          <w:rFonts w:ascii="Lato" w:eastAsia="Cambria" w:hAnsi="Lato" w:cs="Cambria"/>
          <w:bCs/>
          <w:noProof/>
          <w:sz w:val="22"/>
          <w:szCs w:val="22"/>
          <w:lang w:val="en-US" w:eastAsia="es-MX"/>
        </w:rPr>
        <w:t xml:space="preserve"> in international human rights law and other agreed language in documents produced by ECOSOC processes</w:t>
      </w:r>
      <w:r w:rsidR="00563D7D">
        <w:rPr>
          <w:rFonts w:ascii="Lato" w:eastAsia="Cambria" w:hAnsi="Lato" w:cs="Cambria"/>
          <w:bCs/>
          <w:noProof/>
          <w:sz w:val="22"/>
          <w:szCs w:val="22"/>
          <w:lang w:val="en-US" w:eastAsia="es-MX"/>
        </w:rPr>
        <w:t>. We urge the EDG to</w:t>
      </w:r>
      <w:r w:rsidR="00E6260D">
        <w:rPr>
          <w:rFonts w:ascii="Lato" w:eastAsia="Cambria" w:hAnsi="Lato" w:cs="Cambria"/>
          <w:bCs/>
          <w:noProof/>
          <w:sz w:val="22"/>
          <w:szCs w:val="22"/>
          <w:lang w:val="en-US" w:eastAsia="es-MX"/>
        </w:rPr>
        <w:t xml:space="preserve"> revert</w:t>
      </w:r>
      <w:r w:rsidR="00EB40FC">
        <w:rPr>
          <w:rFonts w:ascii="Lato" w:eastAsia="Cambria" w:hAnsi="Lato" w:cs="Cambria"/>
          <w:bCs/>
          <w:noProof/>
          <w:sz w:val="22"/>
          <w:szCs w:val="22"/>
          <w:lang w:val="en-US" w:eastAsia="es-MX"/>
        </w:rPr>
        <w:t xml:space="preserve"> to the initial proposal to use the concept of “gender equality” in the text of the draft convention </w:t>
      </w:r>
      <w:r w:rsidR="00EB40FC" w:rsidRPr="00254709">
        <w:rPr>
          <w:rFonts w:ascii="Lato" w:eastAsia="Cambria" w:hAnsi="Lato" w:cs="Cambria"/>
          <w:bCs/>
          <w:noProof/>
          <w:sz w:val="22"/>
          <w:szCs w:val="22"/>
          <w:lang w:val="en-US" w:eastAsia="es-MX"/>
        </w:rPr>
        <w:t>instead of equality between women and men.</w:t>
      </w:r>
    </w:p>
    <w:p w14:paraId="564A395E" w14:textId="25A568BB" w:rsidR="00254709" w:rsidRPr="00254709" w:rsidRDefault="00254709" w:rsidP="00E229FB">
      <w:pPr>
        <w:pStyle w:val="NormalWeb"/>
        <w:numPr>
          <w:ilvl w:val="0"/>
          <w:numId w:val="8"/>
        </w:numPr>
        <w:jc w:val="both"/>
        <w:rPr>
          <w:rFonts w:ascii="Lato" w:eastAsia="Cambria" w:hAnsi="Lato" w:cs="Cambria"/>
          <w:bCs/>
          <w:noProof/>
          <w:sz w:val="22"/>
          <w:szCs w:val="22"/>
          <w:lang w:val="en-US" w:eastAsia="es-MX"/>
        </w:rPr>
      </w:pPr>
      <w:r w:rsidRPr="00254709">
        <w:rPr>
          <w:rFonts w:ascii="Lato" w:eastAsia="Cambria" w:hAnsi="Lato" w:cs="Cambria"/>
          <w:bCs/>
          <w:noProof/>
          <w:sz w:val="22"/>
          <w:szCs w:val="22"/>
          <w:lang w:val="en-US" w:eastAsia="es-MX"/>
        </w:rPr>
        <w:t xml:space="preserve">We highlight the emphasis made on the Agenda 2030 to promote gender equality for ALL women and girls to achieve sustainable </w:t>
      </w:r>
      <w:r w:rsidR="001D1EA3">
        <w:rPr>
          <w:rFonts w:ascii="Lato" w:eastAsia="Cambria" w:hAnsi="Lato" w:cs="Cambria"/>
          <w:bCs/>
          <w:noProof/>
          <w:sz w:val="22"/>
          <w:szCs w:val="22"/>
          <w:lang w:val="en-US" w:eastAsia="es-MX"/>
        </w:rPr>
        <w:t xml:space="preserve">development, and we suggest </w:t>
      </w:r>
      <w:r w:rsidRPr="00254709">
        <w:rPr>
          <w:rFonts w:ascii="Lato" w:eastAsia="Cambria" w:hAnsi="Lato" w:cs="Cambria"/>
          <w:bCs/>
          <w:noProof/>
          <w:sz w:val="22"/>
          <w:szCs w:val="22"/>
          <w:lang w:val="en-US" w:eastAsia="es-MX"/>
        </w:rPr>
        <w:t>cont</w:t>
      </w:r>
      <w:r w:rsidR="00E6260D">
        <w:rPr>
          <w:rFonts w:ascii="Lato" w:eastAsia="Cambria" w:hAnsi="Lato" w:cs="Cambria"/>
          <w:bCs/>
          <w:noProof/>
          <w:sz w:val="22"/>
          <w:szCs w:val="22"/>
          <w:lang w:val="en-US" w:eastAsia="es-MX"/>
        </w:rPr>
        <w:t xml:space="preserve">inuing </w:t>
      </w:r>
      <w:r w:rsidRPr="00254709">
        <w:rPr>
          <w:rFonts w:ascii="Lato" w:eastAsia="Cambria" w:hAnsi="Lato" w:cs="Cambria"/>
          <w:bCs/>
          <w:noProof/>
          <w:sz w:val="22"/>
          <w:szCs w:val="22"/>
          <w:lang w:val="en-US" w:eastAsia="es-MX"/>
        </w:rPr>
        <w:t>this specific approach in the draft convention</w:t>
      </w:r>
      <w:r w:rsidR="00EB40FC">
        <w:rPr>
          <w:rFonts w:ascii="Lato" w:eastAsia="Cambria" w:hAnsi="Lato" w:cs="Cambria"/>
          <w:bCs/>
          <w:noProof/>
          <w:sz w:val="22"/>
          <w:szCs w:val="22"/>
          <w:lang w:val="en-US" w:eastAsia="es-MX"/>
        </w:rPr>
        <w:t>.</w:t>
      </w:r>
    </w:p>
    <w:p w14:paraId="38FD28B9" w14:textId="6DAA5CD4" w:rsidR="00254709" w:rsidRPr="00254709" w:rsidRDefault="00254709" w:rsidP="00E229FB">
      <w:pPr>
        <w:pStyle w:val="NormalWeb"/>
        <w:numPr>
          <w:ilvl w:val="0"/>
          <w:numId w:val="8"/>
        </w:numPr>
        <w:jc w:val="both"/>
        <w:rPr>
          <w:rFonts w:ascii="Lato" w:eastAsia="Cambria" w:hAnsi="Lato" w:cs="Cambria"/>
          <w:bCs/>
          <w:noProof/>
          <w:sz w:val="22"/>
          <w:szCs w:val="22"/>
          <w:lang w:val="en-US" w:eastAsia="es-MX"/>
        </w:rPr>
      </w:pPr>
      <w:r w:rsidRPr="00254709">
        <w:rPr>
          <w:rFonts w:ascii="Lato" w:eastAsia="Cambria" w:hAnsi="Lato" w:cs="Cambria"/>
          <w:bCs/>
          <w:noProof/>
          <w:sz w:val="22"/>
          <w:szCs w:val="22"/>
          <w:lang w:val="en-US" w:eastAsia="es-MX"/>
        </w:rPr>
        <w:t>In order</w:t>
      </w:r>
      <w:r w:rsidR="00E6260D">
        <w:rPr>
          <w:rFonts w:ascii="Lato" w:eastAsia="Cambria" w:hAnsi="Lato" w:cs="Cambria"/>
          <w:bCs/>
          <w:noProof/>
          <w:sz w:val="22"/>
          <w:szCs w:val="22"/>
          <w:lang w:val="en-US" w:eastAsia="es-MX"/>
        </w:rPr>
        <w:t xml:space="preserve"> to fully transmit the aims of A</w:t>
      </w:r>
      <w:r w:rsidRPr="00254709">
        <w:rPr>
          <w:rFonts w:ascii="Lato" w:eastAsia="Cambria" w:hAnsi="Lato" w:cs="Cambria"/>
          <w:bCs/>
          <w:noProof/>
          <w:sz w:val="22"/>
          <w:szCs w:val="22"/>
          <w:lang w:val="en-US" w:eastAsia="es-MX"/>
        </w:rPr>
        <w:t>rticle 16</w:t>
      </w:r>
      <w:r>
        <w:rPr>
          <w:rFonts w:ascii="Lato" w:eastAsia="Cambria" w:hAnsi="Lato" w:cs="Cambria"/>
          <w:bCs/>
          <w:noProof/>
          <w:sz w:val="22"/>
          <w:szCs w:val="22"/>
          <w:lang w:val="en-US" w:eastAsia="es-MX"/>
        </w:rPr>
        <w:t xml:space="preserve"> and tackle th</w:t>
      </w:r>
      <w:r w:rsidR="00EB40FC">
        <w:rPr>
          <w:rFonts w:ascii="Lato" w:eastAsia="Cambria" w:hAnsi="Lato" w:cs="Cambria"/>
          <w:bCs/>
          <w:noProof/>
          <w:sz w:val="22"/>
          <w:szCs w:val="22"/>
          <w:lang w:val="en-US" w:eastAsia="es-MX"/>
        </w:rPr>
        <w:t>e roots and causes of in</w:t>
      </w:r>
      <w:r w:rsidR="00CC1BC1">
        <w:rPr>
          <w:rFonts w:ascii="Lato" w:eastAsia="Cambria" w:hAnsi="Lato" w:cs="Cambria"/>
          <w:bCs/>
          <w:noProof/>
          <w:sz w:val="22"/>
          <w:szCs w:val="22"/>
          <w:lang w:val="en-US" w:eastAsia="es-MX"/>
        </w:rPr>
        <w:t>e</w:t>
      </w:r>
      <w:r w:rsidR="00EB40FC">
        <w:rPr>
          <w:rFonts w:ascii="Lato" w:eastAsia="Cambria" w:hAnsi="Lato" w:cs="Cambria"/>
          <w:bCs/>
          <w:noProof/>
          <w:sz w:val="22"/>
          <w:szCs w:val="22"/>
          <w:lang w:val="en-US" w:eastAsia="es-MX"/>
        </w:rPr>
        <w:t>quality</w:t>
      </w:r>
      <w:r>
        <w:rPr>
          <w:rFonts w:ascii="Lato" w:eastAsia="Cambria" w:hAnsi="Lato" w:cs="Cambria"/>
          <w:bCs/>
          <w:noProof/>
          <w:sz w:val="22"/>
          <w:szCs w:val="22"/>
          <w:lang w:val="en-US" w:eastAsia="es-MX"/>
        </w:rPr>
        <w:t xml:space="preserve"> for women and girls</w:t>
      </w:r>
      <w:r w:rsidRPr="00254709">
        <w:rPr>
          <w:rFonts w:ascii="Lato" w:eastAsia="Cambria" w:hAnsi="Lato" w:cs="Cambria"/>
          <w:bCs/>
          <w:noProof/>
          <w:sz w:val="22"/>
          <w:szCs w:val="22"/>
          <w:lang w:val="en-US" w:eastAsia="es-MX"/>
        </w:rPr>
        <w:t>, it is crucial to ad</w:t>
      </w:r>
      <w:r w:rsidR="00E6260D">
        <w:rPr>
          <w:rFonts w:ascii="Lato" w:eastAsia="Cambria" w:hAnsi="Lato" w:cs="Cambria"/>
          <w:bCs/>
          <w:noProof/>
          <w:sz w:val="22"/>
          <w:szCs w:val="22"/>
          <w:lang w:val="en-US" w:eastAsia="es-MX"/>
        </w:rPr>
        <w:t>d</w:t>
      </w:r>
      <w:r w:rsidRPr="00254709">
        <w:rPr>
          <w:rFonts w:ascii="Lato" w:eastAsia="Cambria" w:hAnsi="Lato" w:cs="Cambria"/>
          <w:bCs/>
          <w:noProof/>
          <w:sz w:val="22"/>
          <w:szCs w:val="22"/>
          <w:lang w:val="en-US" w:eastAsia="es-MX"/>
        </w:rPr>
        <w:t>ress the multiple intersections that constitute the realities of all women and girls. Th</w:t>
      </w:r>
      <w:r w:rsidR="00EB40FC">
        <w:rPr>
          <w:rFonts w:ascii="Lato" w:eastAsia="Cambria" w:hAnsi="Lato" w:cs="Cambria"/>
          <w:bCs/>
          <w:noProof/>
          <w:sz w:val="22"/>
          <w:szCs w:val="22"/>
          <w:lang w:val="en-US" w:eastAsia="es-MX"/>
        </w:rPr>
        <w:t xml:space="preserve">erefore, we encourage to add </w:t>
      </w:r>
      <w:r w:rsidR="00563D7D">
        <w:rPr>
          <w:rFonts w:ascii="Lato" w:eastAsia="Cambria" w:hAnsi="Lato" w:cs="Cambria"/>
          <w:bCs/>
          <w:noProof/>
          <w:sz w:val="22"/>
          <w:szCs w:val="22"/>
          <w:lang w:val="en-US" w:eastAsia="es-MX"/>
        </w:rPr>
        <w:t>in the text of the draft C</w:t>
      </w:r>
      <w:r w:rsidR="001D1EA3">
        <w:rPr>
          <w:rFonts w:ascii="Lato" w:eastAsia="Cambria" w:hAnsi="Lato" w:cs="Cambria"/>
          <w:bCs/>
          <w:noProof/>
          <w:sz w:val="22"/>
          <w:szCs w:val="22"/>
          <w:lang w:val="en-US" w:eastAsia="es-MX"/>
        </w:rPr>
        <w:t>onvention direct references</w:t>
      </w:r>
      <w:r w:rsidR="00E6260D">
        <w:rPr>
          <w:rFonts w:ascii="Lato" w:eastAsia="Cambria" w:hAnsi="Lato" w:cs="Cambria"/>
          <w:bCs/>
          <w:noProof/>
          <w:sz w:val="22"/>
          <w:szCs w:val="22"/>
          <w:lang w:val="en-US" w:eastAsia="es-MX"/>
        </w:rPr>
        <w:t xml:space="preserve"> of </w:t>
      </w:r>
      <w:r w:rsidRPr="00254709">
        <w:rPr>
          <w:rFonts w:ascii="Lato" w:eastAsia="Cambria" w:hAnsi="Lato" w:cs="Cambria"/>
          <w:bCs/>
          <w:noProof/>
          <w:sz w:val="22"/>
          <w:szCs w:val="22"/>
          <w:lang w:val="en-US" w:eastAsia="es-MX"/>
        </w:rPr>
        <w:t>intersectionality and</w:t>
      </w:r>
      <w:r w:rsidR="00EB40FC">
        <w:rPr>
          <w:rFonts w:ascii="Lato" w:eastAsia="Cambria" w:hAnsi="Lato" w:cs="Cambria"/>
          <w:bCs/>
          <w:noProof/>
          <w:sz w:val="22"/>
          <w:szCs w:val="22"/>
          <w:lang w:val="en-US" w:eastAsia="es-MX"/>
        </w:rPr>
        <w:t xml:space="preserve"> </w:t>
      </w:r>
      <w:r w:rsidR="00563D7D">
        <w:rPr>
          <w:rFonts w:ascii="Lato" w:eastAsia="Cambria" w:hAnsi="Lato" w:cs="Cambria"/>
          <w:bCs/>
          <w:noProof/>
          <w:sz w:val="22"/>
          <w:szCs w:val="22"/>
          <w:lang w:val="en-US" w:eastAsia="es-MX"/>
        </w:rPr>
        <w:t xml:space="preserve">grounds of vulnerability </w:t>
      </w:r>
      <w:r w:rsidRPr="00254709">
        <w:rPr>
          <w:rFonts w:ascii="Lato" w:eastAsia="Cambria" w:hAnsi="Lato" w:cs="Cambria"/>
          <w:bCs/>
          <w:noProof/>
          <w:sz w:val="22"/>
          <w:szCs w:val="22"/>
          <w:lang w:val="en-US" w:eastAsia="es-MX"/>
        </w:rPr>
        <w:t xml:space="preserve">such as race, class, ethnicity, sexual orientation, gender identity, disabilities, among others. </w:t>
      </w:r>
    </w:p>
    <w:sectPr w:rsidR="00254709" w:rsidRPr="00254709" w:rsidSect="00D9765C">
      <w:footerReference w:type="even" r:id="rId9"/>
      <w:footerReference w:type="default" r:id="rId10"/>
      <w:headerReference w:type="first" r:id="rId11"/>
      <w:pgSz w:w="11900" w:h="16840"/>
      <w:pgMar w:top="1440" w:right="1080" w:bottom="1440" w:left="1080" w:header="708" w:footer="708"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2EDDF" w16cex:dateUtc="2021-08-02T15:19:00Z"/>
  <w16cex:commentExtensible w16cex:durableId="24B2ED43" w16cex:dateUtc="2021-08-02T15:16:00Z"/>
  <w16cex:commentExtensible w16cex:durableId="24B2ED02" w16cex:dateUtc="2021-08-02T15:15:00Z"/>
  <w16cex:commentExtensible w16cex:durableId="090268D6" w16cex:dateUtc="2023-04-05T12:19:56.641Z"/>
  <w16cex:commentExtensible w16cex:durableId="186FF880" w16cex:dateUtc="2023-04-05T15:28:02.747Z"/>
  <w16cex:commentExtensible w16cex:durableId="1BA08A8A" w16cex:dateUtc="2023-04-19T17:25:05.653Z">
    <w16cex:extLst>
      <w16:ext w16:uri="{CE6994B0-6A32-4C9F-8C6B-6E91EDA988CE}">
        <cr:reactions xmlns:cr="http://schemas.microsoft.com/office/comments/2020/reactions">
          <cr:reaction reactionType="1">
            <cr:reactionInfo dateUtc="2023-04-19T22:47:59.462Z">
              <cr:user userId="S::guillermo@consultant.ilga.org::c08c41b4-dbda-40d6-9e12-126164e3f6d0" userProvider="AD" userName="Guillermo Ricalde"/>
            </cr:reactionInfo>
            <cr:reactionInfo dateUtc="2023-05-08T15:01:25.311Z">
              <cr:user userId="S::urn:spo:anon#f26430f33dc883fc5fe273e9d134e4cdafddd6634377a19a1790d1f4addf0c92::" userProvider="AD" userName="Guest User"/>
            </cr:reactionInfo>
          </cr:reaction>
        </cr:reactions>
      </w16:ext>
    </w16cex:extLst>
  </w16cex:commentExtensible>
  <w16cex:commentExtensible w16cex:durableId="1B1C229E" w16cex:dateUtc="2023-04-19T17:33:52.043Z">
    <w16cex:extLst>
      <w16:ext w16:uri="{CE6994B0-6A32-4C9F-8C6B-6E91EDA988CE}">
        <cr:reactions xmlns:cr="http://schemas.microsoft.com/office/comments/2020/reactions">
          <cr:reaction reactionType="1">
            <cr:reactionInfo dateUtc="2023-04-19T23:01:39.087Z">
              <cr:user userId="S::guillermo@consultant.ilga.org::c08c41b4-dbda-40d6-9e12-126164e3f6d0" userProvider="AD" userName="Guillermo Ricalde"/>
            </cr:reactionInfo>
          </cr:reaction>
        </cr:reactions>
      </w16:ext>
    </w16cex:extLst>
  </w16cex:commentExtensible>
  <w16cex:commentExtensible w16cex:durableId="666E04D2" w16cex:dateUtc="2023-04-19T22:56:28.353Z"/>
  <w16cex:commentExtensible w16cex:durableId="530E057C" w16cex:dateUtc="2023-04-19T23:01:34.994Z"/>
</w16cex:commentsExtensible>
</file>

<file path=word/commentsIds.xml><?xml version="1.0" encoding="utf-8"?>
<w16cid:commentsIds xmlns:mc="http://schemas.openxmlformats.org/markup-compatibility/2006" xmlns:w16cid="http://schemas.microsoft.com/office/word/2016/wordml/cid" mc:Ignorable="w16cid">
  <w16cid:commentId w16cid:paraId="3CF0D35A" w16cid:durableId="24B2EDDF"/>
  <w16cid:commentId w16cid:paraId="36CB02D2" w16cid:durableId="24B2ECEF"/>
  <w16cid:commentId w16cid:paraId="4EBFA7BF" w16cid:durableId="24B2ED43"/>
  <w16cid:commentId w16cid:paraId="43EF6DE8" w16cid:durableId="24B2ECF0"/>
  <w16cid:commentId w16cid:paraId="7C023A7B" w16cid:durableId="24B2ED02"/>
  <w16cid:commentId w16cid:paraId="578CA7C9" w16cid:durableId="24B2ECF1"/>
  <w16cid:commentId w16cid:paraId="16BF73B2" w16cid:durableId="24B2ECF2"/>
  <w16cid:commentId w16cid:paraId="7441E914" w16cid:durableId="24B2ECF3"/>
  <w16cid:commentId w16cid:paraId="5A31CAE0" w16cid:durableId="090268D6"/>
  <w16cid:commentId w16cid:paraId="75198ADF" w16cid:durableId="186FF880"/>
  <w16cid:commentId w16cid:paraId="260872E5" w16cid:durableId="1BA08A8A"/>
  <w16cid:commentId w16cid:paraId="02A12332" w16cid:durableId="1B1C229E"/>
  <w16cid:commentId w16cid:paraId="7F02196A" w16cid:durableId="666E04D2"/>
  <w16cid:commentId w16cid:paraId="00057AA6" w16cid:durableId="530E05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FB2D1" w14:textId="77777777" w:rsidR="00C34E47" w:rsidRDefault="00C34E47">
      <w:r>
        <w:separator/>
      </w:r>
    </w:p>
  </w:endnote>
  <w:endnote w:type="continuationSeparator" w:id="0">
    <w:p w14:paraId="3069A394" w14:textId="77777777" w:rsidR="00C34E47" w:rsidRDefault="00C34E47">
      <w:r>
        <w:continuationSeparator/>
      </w:r>
    </w:p>
  </w:endnote>
  <w:endnote w:id="1">
    <w:p w14:paraId="6850BBEE" w14:textId="77777777" w:rsidR="00D33129" w:rsidRPr="00D33129" w:rsidRDefault="00D33129" w:rsidP="00D33129">
      <w:pPr>
        <w:pStyle w:val="Textonotaalfinal"/>
        <w:rPr>
          <w:rFonts w:ascii="Lato" w:hAnsi="Lato" w:cstheme="minorHAnsi"/>
          <w:sz w:val="18"/>
          <w:szCs w:val="18"/>
          <w:lang w:val="en-US"/>
        </w:rPr>
      </w:pPr>
      <w:r w:rsidRPr="00E121A5">
        <w:rPr>
          <w:rStyle w:val="Refdenotaalfinal"/>
          <w:rFonts w:ascii="Lato" w:hAnsi="Lato" w:cstheme="minorHAnsi"/>
          <w:sz w:val="18"/>
          <w:szCs w:val="18"/>
        </w:rPr>
        <w:endnoteRef/>
      </w:r>
      <w:r w:rsidRPr="00D33129">
        <w:rPr>
          <w:rFonts w:ascii="Lato" w:hAnsi="Lato" w:cstheme="minorHAnsi"/>
          <w:sz w:val="18"/>
          <w:szCs w:val="18"/>
          <w:lang w:val="en-US"/>
        </w:rPr>
        <w:t xml:space="preserve"> General recommendation No. 28 on the core obligations of States parties under article 2 of the CEDAW, CEDAW/C/GC/28 (2010), para. 5. </w:t>
      </w:r>
    </w:p>
  </w:endnote>
  <w:endnote w:id="2">
    <w:p w14:paraId="7C468654" w14:textId="77777777" w:rsidR="00D33129" w:rsidRPr="00D33129" w:rsidRDefault="00D33129" w:rsidP="00D33129">
      <w:pPr>
        <w:pStyle w:val="Textonotaalfinal"/>
        <w:rPr>
          <w:rFonts w:ascii="Lato" w:hAnsi="Lato"/>
          <w:sz w:val="18"/>
          <w:szCs w:val="18"/>
          <w:lang w:val="en-US"/>
        </w:rPr>
      </w:pPr>
      <w:r w:rsidRPr="00E121A5">
        <w:rPr>
          <w:rStyle w:val="Refdenotaalfinal"/>
          <w:rFonts w:ascii="Lato" w:hAnsi="Lato"/>
          <w:sz w:val="18"/>
          <w:szCs w:val="18"/>
        </w:rPr>
        <w:endnoteRef/>
      </w:r>
      <w:r w:rsidRPr="00D33129">
        <w:rPr>
          <w:rFonts w:ascii="Lato" w:hAnsi="Lato"/>
          <w:sz w:val="18"/>
          <w:szCs w:val="18"/>
          <w:lang w:val="en-US"/>
        </w:rPr>
        <w:t xml:space="preserve"> General recommendation No. 33 on women’s access to justice, </w:t>
      </w:r>
      <w:r w:rsidRPr="00D33129">
        <w:rPr>
          <w:rFonts w:ascii="Lato" w:hAnsi="Lato" w:cstheme="minorHAnsi"/>
          <w:sz w:val="18"/>
          <w:szCs w:val="18"/>
          <w:lang w:val="en-US"/>
        </w:rPr>
        <w:t xml:space="preserve">CEDAW/C/GC/33 (2015), </w:t>
      </w:r>
      <w:r w:rsidRPr="00D33129">
        <w:rPr>
          <w:rFonts w:ascii="Lato" w:hAnsi="Lato"/>
          <w:sz w:val="18"/>
          <w:szCs w:val="18"/>
          <w:lang w:val="en-US"/>
        </w:rPr>
        <w:t>para 7.</w:t>
      </w:r>
    </w:p>
  </w:endnote>
  <w:endnote w:id="3">
    <w:p w14:paraId="76F247BD" w14:textId="77777777" w:rsidR="0004627C" w:rsidRPr="0004627C" w:rsidRDefault="0004627C" w:rsidP="0004627C">
      <w:pPr>
        <w:pStyle w:val="Textonotaalfinal"/>
        <w:rPr>
          <w:rFonts w:ascii="Lato" w:hAnsi="Lato"/>
          <w:sz w:val="18"/>
          <w:szCs w:val="18"/>
          <w:lang w:val="en-US"/>
        </w:rPr>
      </w:pPr>
      <w:r w:rsidRPr="00E121A5">
        <w:rPr>
          <w:rStyle w:val="Refdenotaalfinal"/>
          <w:rFonts w:ascii="Lato" w:hAnsi="Lato"/>
          <w:sz w:val="18"/>
          <w:szCs w:val="18"/>
        </w:rPr>
        <w:endnoteRef/>
      </w:r>
      <w:r w:rsidRPr="0004627C">
        <w:rPr>
          <w:rFonts w:ascii="Lato" w:hAnsi="Lato"/>
          <w:sz w:val="18"/>
          <w:szCs w:val="18"/>
          <w:lang w:val="en-US"/>
        </w:rPr>
        <w:t xml:space="preserve"> </w:t>
      </w:r>
      <w:r w:rsidRPr="0004627C">
        <w:rPr>
          <w:rFonts w:ascii="Lato" w:hAnsi="Lato" w:cstheme="minorHAnsi"/>
          <w:sz w:val="18"/>
          <w:szCs w:val="18"/>
          <w:lang w:val="en-US"/>
        </w:rPr>
        <w:t>General recommendation No. 39 on the rights of Indigenous women and girls</w:t>
      </w:r>
      <w:r w:rsidRPr="0004627C">
        <w:rPr>
          <w:rFonts w:ascii="Lato" w:hAnsi="Lato"/>
          <w:sz w:val="18"/>
          <w:szCs w:val="18"/>
          <w:lang w:val="en-US"/>
        </w:rPr>
        <w:t>, CEDAW/C/GC/39 (2022), para. 4.</w:t>
      </w:r>
    </w:p>
  </w:endnote>
  <w:endnote w:id="4">
    <w:p w14:paraId="47B71578" w14:textId="77777777" w:rsidR="0004627C" w:rsidRPr="0004627C" w:rsidRDefault="0004627C" w:rsidP="0004627C">
      <w:pPr>
        <w:pStyle w:val="Textonotaalfinal"/>
        <w:rPr>
          <w:rFonts w:ascii="Lato" w:hAnsi="Lato"/>
          <w:sz w:val="18"/>
          <w:szCs w:val="18"/>
          <w:lang w:val="en-US"/>
        </w:rPr>
      </w:pPr>
      <w:r w:rsidRPr="00E121A5">
        <w:rPr>
          <w:rStyle w:val="Refdenotaalfinal"/>
          <w:rFonts w:ascii="Lato" w:hAnsi="Lato"/>
          <w:sz w:val="18"/>
          <w:szCs w:val="18"/>
        </w:rPr>
        <w:endnoteRef/>
      </w:r>
      <w:r w:rsidRPr="0004627C">
        <w:rPr>
          <w:rFonts w:ascii="Lato" w:hAnsi="Lato"/>
          <w:sz w:val="18"/>
          <w:szCs w:val="18"/>
          <w:lang w:val="en-US"/>
        </w:rPr>
        <w:t xml:space="preserve"> Ibid, para. 1.</w:t>
      </w:r>
    </w:p>
  </w:endnote>
  <w:endnote w:id="5">
    <w:p w14:paraId="55BF8784" w14:textId="77777777" w:rsidR="0004627C" w:rsidRPr="0004627C" w:rsidRDefault="0004627C" w:rsidP="0004627C">
      <w:pPr>
        <w:pStyle w:val="Textonotaalfinal"/>
        <w:rPr>
          <w:rFonts w:ascii="Lato" w:hAnsi="Lato"/>
          <w:sz w:val="18"/>
          <w:szCs w:val="18"/>
          <w:lang w:val="en-US"/>
        </w:rPr>
      </w:pPr>
      <w:r w:rsidRPr="00E121A5">
        <w:rPr>
          <w:rStyle w:val="Refdenotaalfinal"/>
          <w:rFonts w:ascii="Lato" w:hAnsi="Lato"/>
          <w:sz w:val="18"/>
          <w:szCs w:val="18"/>
        </w:rPr>
        <w:endnoteRef/>
      </w:r>
      <w:r w:rsidRPr="0004627C">
        <w:rPr>
          <w:rFonts w:ascii="Lato" w:hAnsi="Lato"/>
          <w:sz w:val="18"/>
          <w:szCs w:val="18"/>
          <w:lang w:val="en-US"/>
        </w:rPr>
        <w:t xml:space="preserve"> </w:t>
      </w:r>
      <w:r w:rsidRPr="0004627C">
        <w:rPr>
          <w:rFonts w:ascii="Lato" w:hAnsi="Lato" w:cstheme="minorHAnsi"/>
          <w:sz w:val="18"/>
          <w:szCs w:val="18"/>
          <w:lang w:val="en-US"/>
        </w:rPr>
        <w:t>General recommendation No. 35 on gender based violence against women, updating general recommendation No. 19, CEDAW/C/GC/35 (2017), para. 9.</w:t>
      </w:r>
    </w:p>
  </w:endnote>
  <w:endnote w:id="6">
    <w:p w14:paraId="2FBEB483" w14:textId="412CA307" w:rsidR="0004627C" w:rsidRPr="0026127F" w:rsidRDefault="0004627C" w:rsidP="0004627C">
      <w:pPr>
        <w:pStyle w:val="Textonotaalfinal"/>
        <w:rPr>
          <w:rFonts w:ascii="Lato" w:hAnsi="Lato"/>
          <w:sz w:val="18"/>
          <w:szCs w:val="18"/>
          <w:lang w:val="en-US"/>
        </w:rPr>
      </w:pPr>
      <w:r w:rsidRPr="00E121A5">
        <w:rPr>
          <w:rStyle w:val="Refdenotaalfinal"/>
          <w:rFonts w:ascii="Lato" w:hAnsi="Lato"/>
          <w:sz w:val="18"/>
          <w:szCs w:val="18"/>
        </w:rPr>
        <w:endnoteRef/>
      </w:r>
      <w:r w:rsidRPr="0004627C">
        <w:rPr>
          <w:rFonts w:ascii="Lato" w:hAnsi="Lato"/>
          <w:sz w:val="18"/>
          <w:szCs w:val="18"/>
          <w:lang w:val="en-US"/>
        </w:rPr>
        <w:t xml:space="preserve"> </w:t>
      </w:r>
      <w:r w:rsidRPr="0004627C">
        <w:rPr>
          <w:rFonts w:ascii="Lato" w:hAnsi="Lato" w:cstheme="minorHAnsi"/>
          <w:sz w:val="18"/>
          <w:szCs w:val="18"/>
          <w:lang w:val="en-US"/>
        </w:rPr>
        <w:t xml:space="preserve">General recommendation No. 35 on gender based violence against women, updating general recommendation No. 19, CEDAW/C/GC/35 (2017), para. </w:t>
      </w:r>
      <w:r w:rsidRPr="0026127F">
        <w:rPr>
          <w:rFonts w:ascii="Lato" w:hAnsi="Lato" w:cstheme="minorHAnsi"/>
          <w:sz w:val="18"/>
          <w:szCs w:val="18"/>
          <w:lang w:val="en-US"/>
        </w:rPr>
        <w:t>19.</w:t>
      </w:r>
      <w:r w:rsidR="0026127F" w:rsidRPr="0026127F">
        <w:rPr>
          <w:rFonts w:ascii="Times New Roman" w:eastAsia="Times New Roman" w:hAnsi="Times New Roman" w:cs="Times New Roman"/>
          <w:sz w:val="24"/>
          <w:szCs w:val="24"/>
          <w:lang w:val="en-GB"/>
        </w:rPr>
        <w:t xml:space="preserve"> </w:t>
      </w:r>
    </w:p>
  </w:endnote>
  <w:endnote w:id="7">
    <w:p w14:paraId="2BB4C6F6" w14:textId="77777777" w:rsidR="00E12771" w:rsidRPr="00462D4A" w:rsidRDefault="00E12771" w:rsidP="00E12771">
      <w:pPr>
        <w:pStyle w:val="Textonotaalfinal"/>
        <w:rPr>
          <w:rFonts w:ascii="Lato" w:hAnsi="Lato" w:cstheme="minorHAnsi"/>
          <w:sz w:val="18"/>
          <w:szCs w:val="18"/>
          <w:lang w:val="en-US"/>
        </w:rPr>
      </w:pPr>
      <w:r w:rsidRPr="00E121A5">
        <w:rPr>
          <w:rStyle w:val="Refdenotaalfinal"/>
          <w:rFonts w:ascii="Lato" w:hAnsi="Lato" w:cstheme="minorHAnsi"/>
          <w:sz w:val="18"/>
          <w:szCs w:val="18"/>
        </w:rPr>
        <w:endnoteRef/>
      </w:r>
      <w:r w:rsidRPr="00462D4A">
        <w:rPr>
          <w:rFonts w:ascii="Lato" w:hAnsi="Lato" w:cstheme="minorHAnsi"/>
          <w:sz w:val="18"/>
          <w:szCs w:val="18"/>
          <w:lang w:val="en-US"/>
        </w:rPr>
        <w:t xml:space="preserve"> General recommendation No. 39 on the rights of Indigenous women and girls</w:t>
      </w:r>
      <w:r w:rsidRPr="00462D4A">
        <w:rPr>
          <w:rFonts w:ascii="Lato" w:hAnsi="Lato"/>
          <w:sz w:val="18"/>
          <w:szCs w:val="18"/>
          <w:lang w:val="en-US"/>
        </w:rPr>
        <w:t>, CEDAW/C/GC/39 (2022), para. 15.</w:t>
      </w:r>
    </w:p>
  </w:endnote>
  <w:endnote w:id="8">
    <w:p w14:paraId="5A1345F9" w14:textId="77777777" w:rsidR="00E12771" w:rsidRPr="00462D4A" w:rsidRDefault="00E12771" w:rsidP="00E12771">
      <w:pPr>
        <w:pStyle w:val="Textonotaalfinal"/>
        <w:rPr>
          <w:rFonts w:ascii="Lato" w:hAnsi="Lato" w:cstheme="minorHAnsi"/>
          <w:sz w:val="18"/>
          <w:szCs w:val="18"/>
          <w:lang w:val="en-US"/>
        </w:rPr>
      </w:pPr>
      <w:r w:rsidRPr="00E121A5">
        <w:rPr>
          <w:rStyle w:val="Refdenotaalfinal"/>
          <w:rFonts w:ascii="Lato" w:hAnsi="Lato" w:cstheme="minorHAnsi"/>
          <w:sz w:val="18"/>
          <w:szCs w:val="18"/>
        </w:rPr>
        <w:endnoteRef/>
      </w:r>
      <w:r w:rsidRPr="00462D4A">
        <w:rPr>
          <w:rFonts w:ascii="Lato" w:hAnsi="Lato" w:cstheme="minorHAnsi"/>
          <w:sz w:val="18"/>
          <w:szCs w:val="18"/>
          <w:lang w:val="en-US"/>
        </w:rPr>
        <w:t xml:space="preserve"> General recommendation No. 38 on trafficking in women and girls in the context of global migration</w:t>
      </w:r>
      <w:r w:rsidRPr="00462D4A">
        <w:rPr>
          <w:rFonts w:ascii="Lato" w:hAnsi="Lato"/>
          <w:sz w:val="18"/>
          <w:szCs w:val="18"/>
          <w:lang w:val="en-US"/>
        </w:rPr>
        <w:t>, CEDAW/C/GC/38 (2020), para. 21.</w:t>
      </w:r>
    </w:p>
  </w:endnote>
  <w:endnote w:id="9">
    <w:p w14:paraId="5FD89F2A" w14:textId="77777777" w:rsidR="00E12771" w:rsidRPr="00462D4A" w:rsidRDefault="00E12771" w:rsidP="00E12771">
      <w:pPr>
        <w:pStyle w:val="Textonotaalfinal"/>
        <w:rPr>
          <w:rFonts w:ascii="Lato" w:hAnsi="Lato"/>
          <w:sz w:val="18"/>
          <w:szCs w:val="18"/>
          <w:lang w:val="en-US"/>
        </w:rPr>
      </w:pPr>
      <w:r w:rsidRPr="00E121A5">
        <w:rPr>
          <w:rStyle w:val="Refdenotaalfinal"/>
          <w:rFonts w:ascii="Lato" w:hAnsi="Lato"/>
          <w:sz w:val="18"/>
          <w:szCs w:val="18"/>
        </w:rPr>
        <w:endnoteRef/>
      </w:r>
      <w:r w:rsidRPr="00462D4A">
        <w:rPr>
          <w:rFonts w:ascii="Lato" w:hAnsi="Lato"/>
          <w:sz w:val="18"/>
          <w:szCs w:val="18"/>
          <w:lang w:val="en-US"/>
        </w:rPr>
        <w:t xml:space="preserve"> </w:t>
      </w:r>
      <w:r w:rsidRPr="00462D4A">
        <w:rPr>
          <w:rFonts w:ascii="Lato" w:hAnsi="Lato" w:cstheme="minorHAnsi"/>
          <w:sz w:val="18"/>
          <w:szCs w:val="18"/>
          <w:lang w:val="en-US"/>
        </w:rPr>
        <w:t>General recommendation No. 37 on the gender-related dimensions of disaster risk reduction in the context of climate change</w:t>
      </w:r>
      <w:r w:rsidRPr="00462D4A">
        <w:rPr>
          <w:rFonts w:ascii="Lato" w:hAnsi="Lato"/>
          <w:sz w:val="18"/>
          <w:szCs w:val="18"/>
          <w:lang w:val="en-US"/>
        </w:rPr>
        <w:t>, CEDAW/C/GC/37 (2018), para. 7.</w:t>
      </w:r>
    </w:p>
  </w:endnote>
  <w:endnote w:id="10">
    <w:p w14:paraId="18E3AE48" w14:textId="77777777" w:rsidR="00E12771" w:rsidRPr="00462D4A" w:rsidRDefault="00E12771" w:rsidP="00E12771">
      <w:pPr>
        <w:pStyle w:val="Textonotaalfinal"/>
        <w:rPr>
          <w:rFonts w:ascii="Lato" w:hAnsi="Lato"/>
          <w:sz w:val="18"/>
          <w:szCs w:val="18"/>
          <w:lang w:val="en-US"/>
        </w:rPr>
      </w:pPr>
      <w:r w:rsidRPr="00E121A5">
        <w:rPr>
          <w:rStyle w:val="Refdenotaalfinal"/>
          <w:rFonts w:ascii="Lato" w:hAnsi="Lato"/>
          <w:sz w:val="18"/>
          <w:szCs w:val="18"/>
        </w:rPr>
        <w:endnoteRef/>
      </w:r>
      <w:r w:rsidRPr="00462D4A">
        <w:rPr>
          <w:rFonts w:ascii="Lato" w:hAnsi="Lato"/>
          <w:sz w:val="18"/>
          <w:szCs w:val="18"/>
          <w:lang w:val="en-US"/>
        </w:rPr>
        <w:t xml:space="preserve"> </w:t>
      </w:r>
      <w:r w:rsidRPr="00462D4A">
        <w:rPr>
          <w:rFonts w:ascii="Lato" w:hAnsi="Lato" w:cstheme="minorHAnsi"/>
          <w:sz w:val="18"/>
          <w:szCs w:val="18"/>
          <w:lang w:val="en-US"/>
        </w:rPr>
        <w:t>General recommendation No. 37 on the gender-related dimensions of disaster risk reduction in the context of climate change</w:t>
      </w:r>
      <w:r w:rsidRPr="00462D4A">
        <w:rPr>
          <w:rFonts w:ascii="Lato" w:hAnsi="Lato"/>
          <w:sz w:val="18"/>
          <w:szCs w:val="18"/>
          <w:lang w:val="en-US"/>
        </w:rPr>
        <w:t>, CEDAW/C/GC/37 (2018), para. 46(e).</w:t>
      </w:r>
    </w:p>
  </w:endnote>
  <w:endnote w:id="11">
    <w:p w14:paraId="6E073B70" w14:textId="77777777" w:rsidR="00E12771" w:rsidRPr="00462D4A" w:rsidRDefault="00E12771" w:rsidP="00E12771">
      <w:pPr>
        <w:pStyle w:val="Textonotaalfinal"/>
        <w:rPr>
          <w:rFonts w:ascii="Lato" w:hAnsi="Lato" w:cstheme="minorHAnsi"/>
          <w:sz w:val="18"/>
          <w:szCs w:val="18"/>
          <w:lang w:val="en-US"/>
        </w:rPr>
      </w:pPr>
      <w:r w:rsidRPr="00E121A5">
        <w:rPr>
          <w:rStyle w:val="Refdenotaalfinal"/>
          <w:rFonts w:ascii="Lato" w:hAnsi="Lato" w:cstheme="minorHAnsi"/>
          <w:sz w:val="18"/>
          <w:szCs w:val="18"/>
        </w:rPr>
        <w:endnoteRef/>
      </w:r>
      <w:r w:rsidRPr="00462D4A">
        <w:rPr>
          <w:rFonts w:ascii="Lato" w:hAnsi="Lato" w:cstheme="minorHAnsi"/>
          <w:sz w:val="18"/>
          <w:szCs w:val="18"/>
          <w:lang w:val="en-US"/>
        </w:rPr>
        <w:t xml:space="preserve"> Concluding observations: Bahrain, CEDAW/C/BHR/CO/4 (2023), para. 6; Concluding observations: Costa Rica, CEDAW/C/CRI/CO/8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Georgia, CEDAW/C/GEO/CO/6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Hungary, CEDAW/C/HUN/CO/9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Norway, CEDAW/C/NOR/CO/10 (2023)</w:t>
      </w:r>
      <w:r w:rsidRPr="00462D4A">
        <w:rPr>
          <w:rFonts w:ascii="Lato" w:hAnsi="Lato"/>
          <w:sz w:val="18"/>
          <w:szCs w:val="18"/>
          <w:lang w:val="en-US"/>
        </w:rPr>
        <w:t xml:space="preserve">, para. 8; </w:t>
      </w:r>
      <w:r w:rsidRPr="00462D4A">
        <w:rPr>
          <w:rFonts w:ascii="Lato" w:hAnsi="Lato" w:cstheme="minorHAnsi"/>
          <w:sz w:val="18"/>
          <w:szCs w:val="18"/>
          <w:lang w:val="en-US"/>
        </w:rPr>
        <w:t>Concluding observations: Slovenia, CEDAW/C/SVN/CO/7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Tunisia, CEDAW/C/TUN/CO/7 (2023)</w:t>
      </w:r>
      <w:r w:rsidRPr="00462D4A">
        <w:rPr>
          <w:rFonts w:ascii="Lato" w:hAnsi="Lato"/>
          <w:sz w:val="18"/>
          <w:szCs w:val="18"/>
          <w:lang w:val="en-US"/>
        </w:rPr>
        <w:t>, para. 7.</w:t>
      </w:r>
    </w:p>
  </w:endnote>
  <w:endnote w:id="12">
    <w:p w14:paraId="45494103" w14:textId="77777777" w:rsidR="00E12771" w:rsidRPr="00462D4A" w:rsidRDefault="00E12771" w:rsidP="00E12771">
      <w:pPr>
        <w:pStyle w:val="Textonotaalfinal"/>
        <w:rPr>
          <w:rFonts w:ascii="Lato" w:hAnsi="Lato"/>
          <w:sz w:val="18"/>
          <w:szCs w:val="18"/>
          <w:lang w:val="en-US"/>
        </w:rPr>
      </w:pPr>
      <w:r w:rsidRPr="00E121A5">
        <w:rPr>
          <w:rStyle w:val="Refdenotaalfinal"/>
          <w:rFonts w:ascii="Lato" w:hAnsi="Lato"/>
          <w:sz w:val="18"/>
          <w:szCs w:val="18"/>
        </w:rPr>
        <w:endnoteRef/>
      </w:r>
      <w:r w:rsidRPr="00462D4A">
        <w:rPr>
          <w:rFonts w:ascii="Lato" w:hAnsi="Lato"/>
          <w:sz w:val="18"/>
          <w:szCs w:val="18"/>
          <w:lang w:val="en-US"/>
        </w:rPr>
        <w:t xml:space="preserve"> </w:t>
      </w:r>
      <w:r w:rsidRPr="00462D4A">
        <w:rPr>
          <w:rFonts w:ascii="Lato" w:hAnsi="Lato" w:cstheme="minorHAnsi"/>
          <w:sz w:val="18"/>
          <w:szCs w:val="18"/>
          <w:lang w:val="en-US"/>
        </w:rPr>
        <w:t>Concluding observations: Bahrain, CEDAW/C/BHR/CO/4 (2023)</w:t>
      </w:r>
      <w:r w:rsidRPr="00462D4A">
        <w:rPr>
          <w:rFonts w:ascii="Lato" w:hAnsi="Lato"/>
          <w:sz w:val="18"/>
          <w:szCs w:val="18"/>
          <w:lang w:val="en-US"/>
        </w:rPr>
        <w:t xml:space="preserve">, para. 51; </w:t>
      </w:r>
      <w:r w:rsidRPr="00462D4A">
        <w:rPr>
          <w:rFonts w:ascii="Lato" w:hAnsi="Lato" w:cstheme="minorHAnsi"/>
          <w:sz w:val="18"/>
          <w:szCs w:val="18"/>
          <w:lang w:val="en-US"/>
        </w:rPr>
        <w:t>Concluding observations: Costa Rica, CEDAW/C/CRI/CO/8 (2023)</w:t>
      </w:r>
      <w:r w:rsidRPr="00462D4A">
        <w:rPr>
          <w:rFonts w:ascii="Lato" w:hAnsi="Lato"/>
          <w:sz w:val="18"/>
          <w:szCs w:val="18"/>
          <w:lang w:val="en-US"/>
        </w:rPr>
        <w:t>, para. 51</w:t>
      </w:r>
    </w:p>
  </w:endnote>
  <w:endnote w:id="13">
    <w:p w14:paraId="2D244932" w14:textId="3FAB9420" w:rsidR="0026127F" w:rsidRPr="0026127F" w:rsidRDefault="0026127F">
      <w:pPr>
        <w:pStyle w:val="Textonotaalfinal"/>
        <w:rPr>
          <w:lang w:val="en-US"/>
        </w:rPr>
      </w:pPr>
      <w:r>
        <w:rPr>
          <w:rStyle w:val="Refdenotaalfinal"/>
        </w:rPr>
        <w:endnoteRef/>
      </w:r>
      <w:r w:rsidRPr="0026127F">
        <w:rPr>
          <w:lang w:val="en-US"/>
        </w:rPr>
        <w:t xml:space="preserve"> </w:t>
      </w:r>
      <w:r w:rsidRPr="00F10DB4">
        <w:rPr>
          <w:rFonts w:ascii="Lato" w:hAnsi="Lato" w:cstheme="minorHAnsi"/>
          <w:sz w:val="18"/>
          <w:szCs w:val="18"/>
          <w:lang w:val="en-GB"/>
        </w:rPr>
        <w:t>The 2030 Agenda for Sustainable Development</w:t>
      </w:r>
      <w:r>
        <w:rPr>
          <w:rFonts w:ascii="Lato" w:hAnsi="Lato" w:cstheme="minorHAnsi"/>
          <w:sz w:val="18"/>
          <w:szCs w:val="18"/>
          <w:lang w:val="en-GB"/>
        </w:rPr>
        <w:t xml:space="preserve">. Goal 5.Achieve gender equality and empower all women and </w:t>
      </w:r>
      <w:r w:rsidRPr="0026127F">
        <w:rPr>
          <w:rFonts w:ascii="Lato" w:hAnsi="Lato" w:cstheme="minorHAnsi"/>
          <w:sz w:val="18"/>
          <w:szCs w:val="18"/>
          <w:lang w:val="en-GB"/>
        </w:rPr>
        <w:t>girls</w:t>
      </w:r>
      <w:r>
        <w:rPr>
          <w:rFonts w:ascii="Lato" w:hAnsi="Lato" w:cstheme="minorHAnsi"/>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6C5F" w14:textId="77777777" w:rsidR="00930226" w:rsidRDefault="0093022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FA323F7" w14:textId="77777777" w:rsidR="00930226" w:rsidRDefault="009302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09D4B" w14:textId="604B08D6" w:rsidR="00930226" w:rsidRDefault="00930226" w:rsidP="00B909F7">
    <w:pPr>
      <w:pBdr>
        <w:top w:val="nil"/>
        <w:left w:val="nil"/>
        <w:bottom w:val="nil"/>
        <w:right w:val="nil"/>
        <w:between w:val="nil"/>
      </w:pBdr>
      <w:tabs>
        <w:tab w:val="center" w:pos="4680"/>
        <w:tab w:val="right" w:pos="9360"/>
      </w:tabs>
      <w:jc w:val="center"/>
      <w:rPr>
        <w:rFonts w:ascii="Cambria" w:eastAsia="Cambria" w:hAnsi="Cambria" w:cs="Cambria"/>
        <w:color w:val="000000"/>
        <w:sz w:val="18"/>
        <w:szCs w:val="18"/>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96641A">
      <w:rPr>
        <w:rFonts w:ascii="Cambria" w:eastAsia="Cambria" w:hAnsi="Cambria" w:cs="Cambria"/>
        <w:noProof/>
        <w:color w:val="000000"/>
        <w:sz w:val="18"/>
        <w:szCs w:val="18"/>
      </w:rPr>
      <w:t>6</w:t>
    </w:r>
    <w:r>
      <w:rPr>
        <w:rFonts w:ascii="Cambria" w:eastAsia="Cambria" w:hAnsi="Cambria" w:cs="Cambria"/>
        <w:color w:val="000000"/>
        <w:sz w:val="18"/>
        <w:szCs w:val="18"/>
      </w:rPr>
      <w:fldChar w:fldCharType="end"/>
    </w:r>
  </w:p>
  <w:p w14:paraId="0B5F19B8" w14:textId="77777777" w:rsidR="00930226" w:rsidRDefault="009302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916D" w14:textId="77777777" w:rsidR="00C34E47" w:rsidRDefault="00C34E47">
      <w:r>
        <w:separator/>
      </w:r>
    </w:p>
  </w:footnote>
  <w:footnote w:type="continuationSeparator" w:id="0">
    <w:p w14:paraId="63F794D8" w14:textId="77777777" w:rsidR="00C34E47" w:rsidRDefault="00C3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1E8B" w14:textId="438B10B4" w:rsidR="00BF7655" w:rsidRDefault="0096641A">
    <w:pPr>
      <w:pStyle w:val="Encabezado"/>
    </w:pPr>
    <w:r w:rsidRPr="0080515B">
      <w:rPr>
        <w:noProof/>
        <w:lang w:val="es-MX" w:eastAsia="es-MX"/>
      </w:rPr>
      <w:drawing>
        <wp:anchor distT="0" distB="0" distL="114300" distR="114300" simplePos="0" relativeHeight="251662336" behindDoc="0" locked="0" layoutInCell="1" allowOverlap="1" wp14:anchorId="17D7156D" wp14:editId="114660CC">
          <wp:simplePos x="0" y="0"/>
          <wp:positionH relativeFrom="column">
            <wp:posOffset>28575</wp:posOffset>
          </wp:positionH>
          <wp:positionV relativeFrom="paragraph">
            <wp:posOffset>150495</wp:posOffset>
          </wp:positionV>
          <wp:extent cx="666750" cy="735965"/>
          <wp:effectExtent l="0" t="0" r="0" b="6985"/>
          <wp:wrapSquare wrapText="bothSides"/>
          <wp:docPr id="1" name="Imagen 1" descr="C:\Users\Guillermo Ricalde\Downloads\CO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 Ricalde\Downloads\COC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AB6" w:rsidRPr="0080515B">
      <w:rPr>
        <w:rFonts w:ascii="Lato" w:hAnsi="Lato"/>
        <w:b/>
        <w:bCs/>
        <w:noProof/>
        <w:color w:val="C0504D" w:themeColor="accent2"/>
        <w:lang w:val="es-MX" w:eastAsia="es-MX"/>
      </w:rPr>
      <w:drawing>
        <wp:anchor distT="0" distB="0" distL="114300" distR="114300" simplePos="0" relativeHeight="251664384" behindDoc="0" locked="0" layoutInCell="1" allowOverlap="1" wp14:anchorId="1B71EC91" wp14:editId="0F7EE0CE">
          <wp:simplePos x="0" y="0"/>
          <wp:positionH relativeFrom="column">
            <wp:posOffset>5124450</wp:posOffset>
          </wp:positionH>
          <wp:positionV relativeFrom="paragraph">
            <wp:posOffset>64770</wp:posOffset>
          </wp:positionV>
          <wp:extent cx="967740" cy="1181100"/>
          <wp:effectExtent l="0" t="0" r="3810" b="0"/>
          <wp:wrapSquare wrapText="bothSides"/>
          <wp:docPr id="3" name="Imagen 3" descr="C:\Users\Guillermo Ricalde\Downloads\WhatsApp Image 2023-05-11 at 3.49.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 Ricalde\Downloads\WhatsApp Image 2023-05-11 at 3.49.12 P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74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655">
      <w:rPr>
        <w:noProof/>
        <w:lang w:val="es-MX" w:eastAsia="es-MX"/>
      </w:rPr>
      <mc:AlternateContent>
        <mc:Choice Requires="wps">
          <w:drawing>
            <wp:anchor distT="0" distB="0" distL="118745" distR="118745" simplePos="0" relativeHeight="251659264" behindDoc="1" locked="0" layoutInCell="1" allowOverlap="0" wp14:anchorId="1A01D453" wp14:editId="3BBB2ED6">
              <wp:simplePos x="0" y="0"/>
              <wp:positionH relativeFrom="margin">
                <wp:posOffset>-57150</wp:posOffset>
              </wp:positionH>
              <wp:positionV relativeFrom="page">
                <wp:posOffset>115570</wp:posOffset>
              </wp:positionV>
              <wp:extent cx="6267450" cy="269875"/>
              <wp:effectExtent l="0" t="0" r="0" b="0"/>
              <wp:wrapSquare wrapText="bothSides"/>
              <wp:docPr id="2" name="Rectángulo 2"/>
              <wp:cNvGraphicFramePr/>
              <a:graphic xmlns:a="http://schemas.openxmlformats.org/drawingml/2006/main">
                <a:graphicData uri="http://schemas.microsoft.com/office/word/2010/wordprocessingShape">
                  <wps:wsp>
                    <wps:cNvSpPr/>
                    <wps:spPr>
                      <a:xfrm>
                        <a:off x="0" y="0"/>
                        <a:ext cx="626745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lang w:val="en-US"/>
                            </w:rPr>
                            <w:alias w:val="Título"/>
                            <w:tag w:val=""/>
                            <w:id w:val="-160776809"/>
                            <w:dataBinding w:prefixMappings="xmlns:ns0='http://purl.org/dc/elements/1.1/' xmlns:ns1='http://schemas.openxmlformats.org/package/2006/metadata/core-properties' " w:xpath="/ns1:coreProperties[1]/ns0:title[1]" w:storeItemID="{6C3C8BC8-F283-45AE-878A-BAB7291924A1}"/>
                            <w:text/>
                          </w:sdtPr>
                          <w:sdtEndPr/>
                          <w:sdtContent>
                            <w:p w14:paraId="32797349" w14:textId="510FF768" w:rsidR="00BF7655" w:rsidRPr="00FA2CBB" w:rsidRDefault="00E46F88" w:rsidP="00BF7655">
                              <w:pPr>
                                <w:pStyle w:val="Encabezado"/>
                                <w:tabs>
                                  <w:tab w:val="clear" w:pos="4680"/>
                                  <w:tab w:val="clear" w:pos="9360"/>
                                </w:tabs>
                                <w:jc w:val="center"/>
                                <w:rPr>
                                  <w:b/>
                                  <w:caps/>
                                  <w:color w:val="FFFFFF" w:themeColor="background1"/>
                                </w:rPr>
                              </w:pPr>
                              <w:r w:rsidRPr="00E46F88">
                                <w:rPr>
                                  <w:b/>
                                  <w:caps/>
                                  <w:color w:val="FFFFFF" w:themeColor="background1"/>
                                  <w:lang w:val="en-US"/>
                                </w:rPr>
                                <w:t>Comments to the draft convention on the rtD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A01D453" id="Rectángulo 2" o:spid="_x0000_s1026" style="position:absolute;margin-left:-4.5pt;margin-top:9.1pt;width:49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" o:allowoverlap="f" fillcolor="#7030a0" stroked="f" strokeweight="2pt">
              <v:textbox style="mso-fit-shape-to-text:t">
                <w:txbxContent>
                  <w:sdt>
                    <w:sdtPr>
                      <w:rPr>
                        <w:b/>
                        <w:caps/>
                        <w:color w:val="FFFFFF" w:themeColor="background1"/>
                        <w:lang w:val="en-US"/>
                      </w:rPr>
                      <w:alias w:val="Título"/>
                      <w:tag w:val=""/>
                      <w:id w:val="-160776809"/>
                      <w:dataBinding w:prefixMappings="xmlns:ns0='http://purl.org/dc/elements/1.1/' xmlns:ns1='http://schemas.openxmlformats.org/package/2006/metadata/core-properties' " w:xpath="/ns1:coreProperties[1]/ns0:title[1]" w:storeItemID="{6C3C8BC8-F283-45AE-878A-BAB7291924A1}"/>
                      <w:text/>
                    </w:sdtPr>
                    <w:sdtEndPr/>
                    <w:sdtContent>
                      <w:p w14:paraId="32797349" w14:textId="510FF768" w:rsidR="00BF7655" w:rsidRPr="00FA2CBB" w:rsidRDefault="00E46F88" w:rsidP="00BF7655">
                        <w:pPr>
                          <w:pStyle w:val="Encabezado"/>
                          <w:tabs>
                            <w:tab w:val="clear" w:pos="4680"/>
                            <w:tab w:val="clear" w:pos="9360"/>
                          </w:tabs>
                          <w:jc w:val="center"/>
                          <w:rPr>
                            <w:b/>
                            <w:caps/>
                            <w:color w:val="FFFFFF" w:themeColor="background1"/>
                          </w:rPr>
                        </w:pPr>
                        <w:r w:rsidRPr="00E46F88">
                          <w:rPr>
                            <w:b/>
                            <w:caps/>
                            <w:color w:val="FFFFFF" w:themeColor="background1"/>
                            <w:lang w:val="en-US"/>
                          </w:rPr>
                          <w:t>Comments to the draft convention on the rtD</w:t>
                        </w:r>
                      </w:p>
                    </w:sdtContent>
                  </w:sdt>
                </w:txbxContent>
              </v:textbox>
              <w10:wrap type="square" anchorx="margin" anchory="page"/>
            </v:rect>
          </w:pict>
        </mc:Fallback>
      </mc:AlternateContent>
    </w:r>
  </w:p>
  <w:p w14:paraId="0C39739F" w14:textId="25484DA5" w:rsidR="00BF7655" w:rsidRDefault="0096641A">
    <w:pPr>
      <w:pStyle w:val="Encabezado"/>
    </w:pPr>
    <w:r>
      <w:rPr>
        <w:rFonts w:ascii="Arial" w:eastAsia="Arial" w:hAnsi="Arial" w:cs="Arial"/>
        <w:noProof/>
        <w:sz w:val="22"/>
        <w:szCs w:val="22"/>
      </w:rPr>
      <w:drawing>
        <wp:anchor distT="0" distB="0" distL="114300" distR="114300" simplePos="0" relativeHeight="251666432" behindDoc="0" locked="0" layoutInCell="1" allowOverlap="1" wp14:anchorId="2FCF7255" wp14:editId="177B13C1">
          <wp:simplePos x="0" y="0"/>
          <wp:positionH relativeFrom="column">
            <wp:posOffset>3038475</wp:posOffset>
          </wp:positionH>
          <wp:positionV relativeFrom="paragraph">
            <wp:posOffset>711200</wp:posOffset>
          </wp:positionV>
          <wp:extent cx="1771650" cy="533400"/>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1771650" cy="533400"/>
                  </a:xfrm>
                  <a:prstGeom prst="rect">
                    <a:avLst/>
                  </a:prstGeom>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7C57E6F8" wp14:editId="57AB6BAD">
          <wp:simplePos x="0" y="0"/>
          <wp:positionH relativeFrom="column">
            <wp:posOffset>2381250</wp:posOffset>
          </wp:positionH>
          <wp:positionV relativeFrom="paragraph">
            <wp:posOffset>108585</wp:posOffset>
          </wp:positionV>
          <wp:extent cx="1685925" cy="386080"/>
          <wp:effectExtent l="0" t="0" r="9525" b="0"/>
          <wp:wrapSquare wrapText="bothSides"/>
          <wp:docPr id="4" name="Imagen 4" descr="https://docs.google.com/uc?export=download&amp;id=19AL0RC4hQwI2hO1yXMhUYghjgXyXm69A&amp;revid=0B-rDo_36YqntSXphRjI0SjdCdGhGcHIwVmliWS9CVzIxSWZ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19AL0RC4hQwI2hO1yXMhUYghjgXyXm69A&amp;revid=0B-rDo_36YqntSXphRjI0SjdCdGhGcHIwVmliWS9CVzIxSWZ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noProof/>
        <w:lang w:val="es-MX" w:eastAsia="es-MX"/>
      </w:rPr>
      <w:drawing>
        <wp:anchor distT="0" distB="0" distL="114300" distR="114300" simplePos="0" relativeHeight="251661312" behindDoc="0" locked="0" layoutInCell="1" allowOverlap="1" wp14:anchorId="237AB8FF" wp14:editId="61D78822">
          <wp:simplePos x="0" y="0"/>
          <wp:positionH relativeFrom="column">
            <wp:posOffset>1209675</wp:posOffset>
          </wp:positionH>
          <wp:positionV relativeFrom="paragraph">
            <wp:posOffset>370840</wp:posOffset>
          </wp:positionV>
          <wp:extent cx="653521" cy="904875"/>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5">
                    <a:extLst>
                      <a:ext uri="{28A0092B-C50C-407E-A947-70E740481C1C}">
                        <a14:useLocalDpi xmlns:a14="http://schemas.microsoft.com/office/drawing/2010/main" val="0"/>
                      </a:ext>
                    </a:extLst>
                  </a:blip>
                  <a:stretch>
                    <a:fillRect/>
                  </a:stretch>
                </pic:blipFill>
                <pic:spPr>
                  <a:xfrm>
                    <a:off x="0" y="0"/>
                    <a:ext cx="653521"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D767E9"/>
    <w:multiLevelType w:val="hybridMultilevel"/>
    <w:tmpl w:val="3C94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B44FE"/>
    <w:multiLevelType w:val="hybridMultilevel"/>
    <w:tmpl w:val="37D09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982C46"/>
    <w:multiLevelType w:val="hybridMultilevel"/>
    <w:tmpl w:val="615A4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7F0C4A"/>
    <w:multiLevelType w:val="hybridMultilevel"/>
    <w:tmpl w:val="587ABD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8930CC"/>
    <w:multiLevelType w:val="hybridMultilevel"/>
    <w:tmpl w:val="591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7E79D"/>
    <w:multiLevelType w:val="hybridMultilevel"/>
    <w:tmpl w:val="474CAA92"/>
    <w:lvl w:ilvl="0" w:tplc="4B9CEDC2">
      <w:start w:val="1"/>
      <w:numFmt w:val="bullet"/>
      <w:lvlText w:val=""/>
      <w:lvlJc w:val="left"/>
      <w:pPr>
        <w:ind w:left="720" w:hanging="360"/>
      </w:pPr>
      <w:rPr>
        <w:rFonts w:ascii="Symbol" w:hAnsi="Symbol" w:hint="default"/>
      </w:rPr>
    </w:lvl>
    <w:lvl w:ilvl="1" w:tplc="B15A43E4">
      <w:start w:val="1"/>
      <w:numFmt w:val="bullet"/>
      <w:lvlText w:val="o"/>
      <w:lvlJc w:val="left"/>
      <w:pPr>
        <w:ind w:left="1440" w:hanging="360"/>
      </w:pPr>
      <w:rPr>
        <w:rFonts w:ascii="Courier New" w:hAnsi="Courier New" w:hint="default"/>
      </w:rPr>
    </w:lvl>
    <w:lvl w:ilvl="2" w:tplc="004836BA">
      <w:start w:val="1"/>
      <w:numFmt w:val="bullet"/>
      <w:lvlText w:val=""/>
      <w:lvlJc w:val="left"/>
      <w:pPr>
        <w:ind w:left="2160" w:hanging="360"/>
      </w:pPr>
      <w:rPr>
        <w:rFonts w:ascii="Wingdings" w:hAnsi="Wingdings" w:hint="default"/>
      </w:rPr>
    </w:lvl>
    <w:lvl w:ilvl="3" w:tplc="05C0E9C6">
      <w:start w:val="1"/>
      <w:numFmt w:val="bullet"/>
      <w:lvlText w:val=""/>
      <w:lvlJc w:val="left"/>
      <w:pPr>
        <w:ind w:left="2880" w:hanging="360"/>
      </w:pPr>
      <w:rPr>
        <w:rFonts w:ascii="Symbol" w:hAnsi="Symbol" w:hint="default"/>
      </w:rPr>
    </w:lvl>
    <w:lvl w:ilvl="4" w:tplc="00C00E44">
      <w:start w:val="1"/>
      <w:numFmt w:val="bullet"/>
      <w:lvlText w:val="o"/>
      <w:lvlJc w:val="left"/>
      <w:pPr>
        <w:ind w:left="3600" w:hanging="360"/>
      </w:pPr>
      <w:rPr>
        <w:rFonts w:ascii="Courier New" w:hAnsi="Courier New" w:hint="default"/>
      </w:rPr>
    </w:lvl>
    <w:lvl w:ilvl="5" w:tplc="C25CCFFE">
      <w:start w:val="1"/>
      <w:numFmt w:val="bullet"/>
      <w:lvlText w:val=""/>
      <w:lvlJc w:val="left"/>
      <w:pPr>
        <w:ind w:left="4320" w:hanging="360"/>
      </w:pPr>
      <w:rPr>
        <w:rFonts w:ascii="Wingdings" w:hAnsi="Wingdings" w:hint="default"/>
      </w:rPr>
    </w:lvl>
    <w:lvl w:ilvl="6" w:tplc="CAE2CADC">
      <w:start w:val="1"/>
      <w:numFmt w:val="bullet"/>
      <w:lvlText w:val=""/>
      <w:lvlJc w:val="left"/>
      <w:pPr>
        <w:ind w:left="5040" w:hanging="360"/>
      </w:pPr>
      <w:rPr>
        <w:rFonts w:ascii="Symbol" w:hAnsi="Symbol" w:hint="default"/>
      </w:rPr>
    </w:lvl>
    <w:lvl w:ilvl="7" w:tplc="04F6A216">
      <w:start w:val="1"/>
      <w:numFmt w:val="bullet"/>
      <w:lvlText w:val="o"/>
      <w:lvlJc w:val="left"/>
      <w:pPr>
        <w:ind w:left="5760" w:hanging="360"/>
      </w:pPr>
      <w:rPr>
        <w:rFonts w:ascii="Courier New" w:hAnsi="Courier New" w:hint="default"/>
      </w:rPr>
    </w:lvl>
    <w:lvl w:ilvl="8" w:tplc="B778006A">
      <w:start w:val="1"/>
      <w:numFmt w:val="bullet"/>
      <w:lvlText w:val=""/>
      <w:lvlJc w:val="left"/>
      <w:pPr>
        <w:ind w:left="6480" w:hanging="360"/>
      </w:pPr>
      <w:rPr>
        <w:rFonts w:ascii="Wingdings" w:hAnsi="Wingdings" w:hint="default"/>
      </w:rPr>
    </w:lvl>
  </w:abstractNum>
  <w:abstractNum w:abstractNumId="7">
    <w:nsid w:val="77716CAA"/>
    <w:multiLevelType w:val="hybridMultilevel"/>
    <w:tmpl w:val="EEC47760"/>
    <w:lvl w:ilvl="0" w:tplc="0152EA68">
      <w:start w:val="3"/>
      <w:numFmt w:val="bullet"/>
      <w:lvlText w:val="-"/>
      <w:lvlJc w:val="left"/>
      <w:pPr>
        <w:ind w:left="720" w:hanging="360"/>
      </w:pPr>
      <w:rPr>
        <w:rFonts w:ascii="Lato" w:eastAsia="Georgia" w:hAnsi="Lato"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1"/>
  </w:num>
  <w:num w:numId="7">
    <w:abstractNumId w:val="5"/>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wNDAwNza1MAGxlXSUglOLizPz80AKDM1rAR2Fxy4tAAAA"/>
  </w:docVars>
  <w:rsids>
    <w:rsidRoot w:val="00DA1997"/>
    <w:rsid w:val="000000C8"/>
    <w:rsid w:val="000007C6"/>
    <w:rsid w:val="000039F9"/>
    <w:rsid w:val="00003AA6"/>
    <w:rsid w:val="00003BD9"/>
    <w:rsid w:val="000067DB"/>
    <w:rsid w:val="00007921"/>
    <w:rsid w:val="000106DE"/>
    <w:rsid w:val="00011829"/>
    <w:rsid w:val="00012CA8"/>
    <w:rsid w:val="000134BE"/>
    <w:rsid w:val="000172D4"/>
    <w:rsid w:val="00020805"/>
    <w:rsid w:val="0002207F"/>
    <w:rsid w:val="00023287"/>
    <w:rsid w:val="000244C1"/>
    <w:rsid w:val="00024D77"/>
    <w:rsid w:val="000268A7"/>
    <w:rsid w:val="000277E0"/>
    <w:rsid w:val="00031EE5"/>
    <w:rsid w:val="00032215"/>
    <w:rsid w:val="000352C1"/>
    <w:rsid w:val="00035576"/>
    <w:rsid w:val="00035EFA"/>
    <w:rsid w:val="000370C4"/>
    <w:rsid w:val="0004156D"/>
    <w:rsid w:val="000436D6"/>
    <w:rsid w:val="00043BB5"/>
    <w:rsid w:val="00043D22"/>
    <w:rsid w:val="0004414F"/>
    <w:rsid w:val="0004627C"/>
    <w:rsid w:val="0004738A"/>
    <w:rsid w:val="00047753"/>
    <w:rsid w:val="000502F6"/>
    <w:rsid w:val="0005157D"/>
    <w:rsid w:val="00052198"/>
    <w:rsid w:val="00054CE3"/>
    <w:rsid w:val="0005505B"/>
    <w:rsid w:val="00056658"/>
    <w:rsid w:val="00060A9F"/>
    <w:rsid w:val="00063199"/>
    <w:rsid w:val="00064060"/>
    <w:rsid w:val="00065B10"/>
    <w:rsid w:val="000662E9"/>
    <w:rsid w:val="000666A4"/>
    <w:rsid w:val="000671CE"/>
    <w:rsid w:val="000705B5"/>
    <w:rsid w:val="00071564"/>
    <w:rsid w:val="00071757"/>
    <w:rsid w:val="00073234"/>
    <w:rsid w:val="0007346B"/>
    <w:rsid w:val="00073534"/>
    <w:rsid w:val="0007405E"/>
    <w:rsid w:val="000743BA"/>
    <w:rsid w:val="000779BB"/>
    <w:rsid w:val="00077AC4"/>
    <w:rsid w:val="00077CA8"/>
    <w:rsid w:val="00080205"/>
    <w:rsid w:val="00081810"/>
    <w:rsid w:val="00081B73"/>
    <w:rsid w:val="00082306"/>
    <w:rsid w:val="000825D1"/>
    <w:rsid w:val="00082836"/>
    <w:rsid w:val="0008590C"/>
    <w:rsid w:val="00086274"/>
    <w:rsid w:val="000953CA"/>
    <w:rsid w:val="0009560F"/>
    <w:rsid w:val="00097F1B"/>
    <w:rsid w:val="000A05C7"/>
    <w:rsid w:val="000A1BAC"/>
    <w:rsid w:val="000A2411"/>
    <w:rsid w:val="000A27EC"/>
    <w:rsid w:val="000A2BBD"/>
    <w:rsid w:val="000A5A66"/>
    <w:rsid w:val="000A5D83"/>
    <w:rsid w:val="000A5ECD"/>
    <w:rsid w:val="000A633F"/>
    <w:rsid w:val="000A7518"/>
    <w:rsid w:val="000B1982"/>
    <w:rsid w:val="000B2102"/>
    <w:rsid w:val="000B259A"/>
    <w:rsid w:val="000B38E5"/>
    <w:rsid w:val="000C022D"/>
    <w:rsid w:val="000C185B"/>
    <w:rsid w:val="000C21FF"/>
    <w:rsid w:val="000C5066"/>
    <w:rsid w:val="000C54F0"/>
    <w:rsid w:val="000C5889"/>
    <w:rsid w:val="000C7AC1"/>
    <w:rsid w:val="000D1B83"/>
    <w:rsid w:val="000D35D2"/>
    <w:rsid w:val="000D6316"/>
    <w:rsid w:val="000D6D9F"/>
    <w:rsid w:val="000D7EBB"/>
    <w:rsid w:val="000E00D1"/>
    <w:rsid w:val="000E058F"/>
    <w:rsid w:val="000E07D8"/>
    <w:rsid w:val="000E15CE"/>
    <w:rsid w:val="000E35EC"/>
    <w:rsid w:val="000E43A9"/>
    <w:rsid w:val="000E7020"/>
    <w:rsid w:val="000E7392"/>
    <w:rsid w:val="000F4936"/>
    <w:rsid w:val="00102644"/>
    <w:rsid w:val="00102EFD"/>
    <w:rsid w:val="00102F89"/>
    <w:rsid w:val="001038A9"/>
    <w:rsid w:val="00104C3B"/>
    <w:rsid w:val="001050E4"/>
    <w:rsid w:val="0010692B"/>
    <w:rsid w:val="00106D30"/>
    <w:rsid w:val="00113544"/>
    <w:rsid w:val="001140DF"/>
    <w:rsid w:val="0011798E"/>
    <w:rsid w:val="00120BD4"/>
    <w:rsid w:val="00120FC4"/>
    <w:rsid w:val="00121E61"/>
    <w:rsid w:val="00122095"/>
    <w:rsid w:val="00122789"/>
    <w:rsid w:val="00122C91"/>
    <w:rsid w:val="00122DDD"/>
    <w:rsid w:val="0012366F"/>
    <w:rsid w:val="00130F16"/>
    <w:rsid w:val="001322DB"/>
    <w:rsid w:val="00135400"/>
    <w:rsid w:val="0013549F"/>
    <w:rsid w:val="00135ABC"/>
    <w:rsid w:val="00136907"/>
    <w:rsid w:val="0014012C"/>
    <w:rsid w:val="00140BF2"/>
    <w:rsid w:val="00143218"/>
    <w:rsid w:val="00144CED"/>
    <w:rsid w:val="001452C6"/>
    <w:rsid w:val="0014557D"/>
    <w:rsid w:val="00150AFF"/>
    <w:rsid w:val="001518A0"/>
    <w:rsid w:val="00152062"/>
    <w:rsid w:val="00152942"/>
    <w:rsid w:val="00154086"/>
    <w:rsid w:val="001548AC"/>
    <w:rsid w:val="0015562C"/>
    <w:rsid w:val="00157283"/>
    <w:rsid w:val="0016094B"/>
    <w:rsid w:val="001616C7"/>
    <w:rsid w:val="00161E6F"/>
    <w:rsid w:val="00162415"/>
    <w:rsid w:val="00163F17"/>
    <w:rsid w:val="00164858"/>
    <w:rsid w:val="001648F7"/>
    <w:rsid w:val="00166147"/>
    <w:rsid w:val="0016743B"/>
    <w:rsid w:val="00171700"/>
    <w:rsid w:val="001738CB"/>
    <w:rsid w:val="00174529"/>
    <w:rsid w:val="00174902"/>
    <w:rsid w:val="001754F9"/>
    <w:rsid w:val="00175AB9"/>
    <w:rsid w:val="0017611B"/>
    <w:rsid w:val="00181846"/>
    <w:rsid w:val="00182BA1"/>
    <w:rsid w:val="00182F67"/>
    <w:rsid w:val="001836AE"/>
    <w:rsid w:val="001845AD"/>
    <w:rsid w:val="001857C3"/>
    <w:rsid w:val="00185A1F"/>
    <w:rsid w:val="00185E5D"/>
    <w:rsid w:val="00185F0F"/>
    <w:rsid w:val="00187509"/>
    <w:rsid w:val="0019066D"/>
    <w:rsid w:val="001921AE"/>
    <w:rsid w:val="001943E8"/>
    <w:rsid w:val="00194BED"/>
    <w:rsid w:val="00194C27"/>
    <w:rsid w:val="00196DEA"/>
    <w:rsid w:val="00197B34"/>
    <w:rsid w:val="00197CD7"/>
    <w:rsid w:val="001A0F15"/>
    <w:rsid w:val="001A2877"/>
    <w:rsid w:val="001A4FC5"/>
    <w:rsid w:val="001A70FE"/>
    <w:rsid w:val="001A75E7"/>
    <w:rsid w:val="001A762F"/>
    <w:rsid w:val="001A77E8"/>
    <w:rsid w:val="001B211D"/>
    <w:rsid w:val="001B4762"/>
    <w:rsid w:val="001C0327"/>
    <w:rsid w:val="001C05F4"/>
    <w:rsid w:val="001C1BEE"/>
    <w:rsid w:val="001C1F57"/>
    <w:rsid w:val="001C21C6"/>
    <w:rsid w:val="001C2DF8"/>
    <w:rsid w:val="001C37E3"/>
    <w:rsid w:val="001C4146"/>
    <w:rsid w:val="001C44FE"/>
    <w:rsid w:val="001C5201"/>
    <w:rsid w:val="001C7AEB"/>
    <w:rsid w:val="001D1A58"/>
    <w:rsid w:val="001D1EA3"/>
    <w:rsid w:val="001D5006"/>
    <w:rsid w:val="001E6317"/>
    <w:rsid w:val="001E77AB"/>
    <w:rsid w:val="001F0C76"/>
    <w:rsid w:val="001F1D73"/>
    <w:rsid w:val="001F2777"/>
    <w:rsid w:val="001F2ED9"/>
    <w:rsid w:val="001F604B"/>
    <w:rsid w:val="0020154C"/>
    <w:rsid w:val="00203041"/>
    <w:rsid w:val="0020370D"/>
    <w:rsid w:val="002043F4"/>
    <w:rsid w:val="00206447"/>
    <w:rsid w:val="0021291E"/>
    <w:rsid w:val="00213631"/>
    <w:rsid w:val="00213E34"/>
    <w:rsid w:val="00221957"/>
    <w:rsid w:val="002230E3"/>
    <w:rsid w:val="0022335F"/>
    <w:rsid w:val="002234C5"/>
    <w:rsid w:val="00224F52"/>
    <w:rsid w:val="0022529E"/>
    <w:rsid w:val="0022570A"/>
    <w:rsid w:val="00227122"/>
    <w:rsid w:val="00227B24"/>
    <w:rsid w:val="0023262F"/>
    <w:rsid w:val="00232D81"/>
    <w:rsid w:val="00233501"/>
    <w:rsid w:val="0023364F"/>
    <w:rsid w:val="00233FB7"/>
    <w:rsid w:val="00243704"/>
    <w:rsid w:val="00244585"/>
    <w:rsid w:val="00244C92"/>
    <w:rsid w:val="00244D4B"/>
    <w:rsid w:val="00244E06"/>
    <w:rsid w:val="00245A8B"/>
    <w:rsid w:val="00245B32"/>
    <w:rsid w:val="00246044"/>
    <w:rsid w:val="00252DD4"/>
    <w:rsid w:val="00252E0D"/>
    <w:rsid w:val="002545BF"/>
    <w:rsid w:val="0025465D"/>
    <w:rsid w:val="00254709"/>
    <w:rsid w:val="00254A7E"/>
    <w:rsid w:val="00256166"/>
    <w:rsid w:val="0026127F"/>
    <w:rsid w:val="002635C0"/>
    <w:rsid w:val="00263943"/>
    <w:rsid w:val="002660E1"/>
    <w:rsid w:val="00266302"/>
    <w:rsid w:val="0026799C"/>
    <w:rsid w:val="002711A6"/>
    <w:rsid w:val="00272FC2"/>
    <w:rsid w:val="0027374A"/>
    <w:rsid w:val="0027432E"/>
    <w:rsid w:val="00274837"/>
    <w:rsid w:val="00275C91"/>
    <w:rsid w:val="0027793C"/>
    <w:rsid w:val="00280FF4"/>
    <w:rsid w:val="00282AA3"/>
    <w:rsid w:val="00285154"/>
    <w:rsid w:val="0028523E"/>
    <w:rsid w:val="00287B09"/>
    <w:rsid w:val="002916EB"/>
    <w:rsid w:val="00292B93"/>
    <w:rsid w:val="00294055"/>
    <w:rsid w:val="00294727"/>
    <w:rsid w:val="00294989"/>
    <w:rsid w:val="0029580C"/>
    <w:rsid w:val="00295A30"/>
    <w:rsid w:val="002A05BB"/>
    <w:rsid w:val="002A4125"/>
    <w:rsid w:val="002A59C3"/>
    <w:rsid w:val="002A6E7A"/>
    <w:rsid w:val="002A70F2"/>
    <w:rsid w:val="002A7B53"/>
    <w:rsid w:val="002B1F85"/>
    <w:rsid w:val="002B2B1B"/>
    <w:rsid w:val="002C0A49"/>
    <w:rsid w:val="002C1539"/>
    <w:rsid w:val="002C1D42"/>
    <w:rsid w:val="002C1E08"/>
    <w:rsid w:val="002C46D2"/>
    <w:rsid w:val="002C61DD"/>
    <w:rsid w:val="002C6953"/>
    <w:rsid w:val="002D2C36"/>
    <w:rsid w:val="002D434E"/>
    <w:rsid w:val="002D5065"/>
    <w:rsid w:val="002D69BC"/>
    <w:rsid w:val="002E0893"/>
    <w:rsid w:val="002E1605"/>
    <w:rsid w:val="002E1924"/>
    <w:rsid w:val="002E4FF1"/>
    <w:rsid w:val="002E6B17"/>
    <w:rsid w:val="002E7755"/>
    <w:rsid w:val="002F04F2"/>
    <w:rsid w:val="002F2BC0"/>
    <w:rsid w:val="002F326A"/>
    <w:rsid w:val="002F6B47"/>
    <w:rsid w:val="002F7DDB"/>
    <w:rsid w:val="003013A7"/>
    <w:rsid w:val="00305D39"/>
    <w:rsid w:val="003068CF"/>
    <w:rsid w:val="00306A9B"/>
    <w:rsid w:val="00310DFD"/>
    <w:rsid w:val="00310FB4"/>
    <w:rsid w:val="0031218D"/>
    <w:rsid w:val="00314B6F"/>
    <w:rsid w:val="003159E6"/>
    <w:rsid w:val="00323007"/>
    <w:rsid w:val="003245B3"/>
    <w:rsid w:val="00325CE1"/>
    <w:rsid w:val="00325F48"/>
    <w:rsid w:val="003261EF"/>
    <w:rsid w:val="0032623A"/>
    <w:rsid w:val="00327D0F"/>
    <w:rsid w:val="00330AD7"/>
    <w:rsid w:val="00330DA4"/>
    <w:rsid w:val="003328F5"/>
    <w:rsid w:val="00332F8B"/>
    <w:rsid w:val="0033319E"/>
    <w:rsid w:val="003343D2"/>
    <w:rsid w:val="00334F6A"/>
    <w:rsid w:val="003353D7"/>
    <w:rsid w:val="00337534"/>
    <w:rsid w:val="00341CA4"/>
    <w:rsid w:val="0034278F"/>
    <w:rsid w:val="00342F44"/>
    <w:rsid w:val="00343B7E"/>
    <w:rsid w:val="00343FEA"/>
    <w:rsid w:val="00346826"/>
    <w:rsid w:val="00346AC9"/>
    <w:rsid w:val="00347E29"/>
    <w:rsid w:val="00351085"/>
    <w:rsid w:val="0035319D"/>
    <w:rsid w:val="00353EF9"/>
    <w:rsid w:val="00355E2A"/>
    <w:rsid w:val="00356333"/>
    <w:rsid w:val="00360DB4"/>
    <w:rsid w:val="00360F0A"/>
    <w:rsid w:val="0036180E"/>
    <w:rsid w:val="00363BB0"/>
    <w:rsid w:val="0036594A"/>
    <w:rsid w:val="003662DF"/>
    <w:rsid w:val="00367D19"/>
    <w:rsid w:val="00370ABA"/>
    <w:rsid w:val="003712B3"/>
    <w:rsid w:val="00371DBC"/>
    <w:rsid w:val="00371FE5"/>
    <w:rsid w:val="00372D18"/>
    <w:rsid w:val="0037306C"/>
    <w:rsid w:val="00374D63"/>
    <w:rsid w:val="0037581C"/>
    <w:rsid w:val="0037631D"/>
    <w:rsid w:val="003769C6"/>
    <w:rsid w:val="00380991"/>
    <w:rsid w:val="003814C5"/>
    <w:rsid w:val="0038254F"/>
    <w:rsid w:val="003828DB"/>
    <w:rsid w:val="0038311C"/>
    <w:rsid w:val="003845DD"/>
    <w:rsid w:val="00385464"/>
    <w:rsid w:val="0038579A"/>
    <w:rsid w:val="0038724F"/>
    <w:rsid w:val="00390F8E"/>
    <w:rsid w:val="00394F50"/>
    <w:rsid w:val="00396F78"/>
    <w:rsid w:val="00397E59"/>
    <w:rsid w:val="003A0331"/>
    <w:rsid w:val="003A04F5"/>
    <w:rsid w:val="003A0BEC"/>
    <w:rsid w:val="003A4EB0"/>
    <w:rsid w:val="003A5BD2"/>
    <w:rsid w:val="003A6E17"/>
    <w:rsid w:val="003A726A"/>
    <w:rsid w:val="003B0EEC"/>
    <w:rsid w:val="003B1420"/>
    <w:rsid w:val="003B14C9"/>
    <w:rsid w:val="003B53BC"/>
    <w:rsid w:val="003B5B82"/>
    <w:rsid w:val="003B699A"/>
    <w:rsid w:val="003C0795"/>
    <w:rsid w:val="003C0858"/>
    <w:rsid w:val="003C3C75"/>
    <w:rsid w:val="003C56D6"/>
    <w:rsid w:val="003C58B4"/>
    <w:rsid w:val="003E0297"/>
    <w:rsid w:val="003E0351"/>
    <w:rsid w:val="003E11BE"/>
    <w:rsid w:val="003E40A0"/>
    <w:rsid w:val="003E5108"/>
    <w:rsid w:val="003F0595"/>
    <w:rsid w:val="003F1855"/>
    <w:rsid w:val="003F2404"/>
    <w:rsid w:val="003F28E2"/>
    <w:rsid w:val="003F7C9B"/>
    <w:rsid w:val="003F7EB2"/>
    <w:rsid w:val="0040160F"/>
    <w:rsid w:val="00402408"/>
    <w:rsid w:val="00402BFC"/>
    <w:rsid w:val="0040471F"/>
    <w:rsid w:val="0040492C"/>
    <w:rsid w:val="004055D6"/>
    <w:rsid w:val="00407E69"/>
    <w:rsid w:val="0041052E"/>
    <w:rsid w:val="00410B2A"/>
    <w:rsid w:val="00410CF2"/>
    <w:rsid w:val="00414105"/>
    <w:rsid w:val="004146C9"/>
    <w:rsid w:val="00415005"/>
    <w:rsid w:val="0041605C"/>
    <w:rsid w:val="00416731"/>
    <w:rsid w:val="00416A01"/>
    <w:rsid w:val="004207B4"/>
    <w:rsid w:val="004209A7"/>
    <w:rsid w:val="004217F0"/>
    <w:rsid w:val="00423C95"/>
    <w:rsid w:val="004269D3"/>
    <w:rsid w:val="004271EB"/>
    <w:rsid w:val="004337BC"/>
    <w:rsid w:val="00435B82"/>
    <w:rsid w:val="00436F0B"/>
    <w:rsid w:val="004378A8"/>
    <w:rsid w:val="00440E53"/>
    <w:rsid w:val="00443262"/>
    <w:rsid w:val="0044377D"/>
    <w:rsid w:val="00443952"/>
    <w:rsid w:val="00445F5C"/>
    <w:rsid w:val="00446205"/>
    <w:rsid w:val="0045167A"/>
    <w:rsid w:val="004517F7"/>
    <w:rsid w:val="00454DA4"/>
    <w:rsid w:val="00455A74"/>
    <w:rsid w:val="0045701A"/>
    <w:rsid w:val="00457879"/>
    <w:rsid w:val="00457A1F"/>
    <w:rsid w:val="00460286"/>
    <w:rsid w:val="00460D7B"/>
    <w:rsid w:val="0046164C"/>
    <w:rsid w:val="00461F10"/>
    <w:rsid w:val="004621AE"/>
    <w:rsid w:val="00462BD0"/>
    <w:rsid w:val="004630D6"/>
    <w:rsid w:val="00463F47"/>
    <w:rsid w:val="004643D0"/>
    <w:rsid w:val="00464AD2"/>
    <w:rsid w:val="00465347"/>
    <w:rsid w:val="00466805"/>
    <w:rsid w:val="0046737C"/>
    <w:rsid w:val="00472619"/>
    <w:rsid w:val="0047318F"/>
    <w:rsid w:val="0047326D"/>
    <w:rsid w:val="004732A4"/>
    <w:rsid w:val="00473F4A"/>
    <w:rsid w:val="00474FDA"/>
    <w:rsid w:val="00475CB5"/>
    <w:rsid w:val="00475DF4"/>
    <w:rsid w:val="00476C84"/>
    <w:rsid w:val="004770AE"/>
    <w:rsid w:val="00480257"/>
    <w:rsid w:val="0048058C"/>
    <w:rsid w:val="00480D6E"/>
    <w:rsid w:val="004840D8"/>
    <w:rsid w:val="00484DA3"/>
    <w:rsid w:val="00485D91"/>
    <w:rsid w:val="00486900"/>
    <w:rsid w:val="00487796"/>
    <w:rsid w:val="00487A2E"/>
    <w:rsid w:val="00491108"/>
    <w:rsid w:val="0049131F"/>
    <w:rsid w:val="00491786"/>
    <w:rsid w:val="00491893"/>
    <w:rsid w:val="00491DB6"/>
    <w:rsid w:val="0049356E"/>
    <w:rsid w:val="004939F0"/>
    <w:rsid w:val="00495916"/>
    <w:rsid w:val="004A3033"/>
    <w:rsid w:val="004A3E0B"/>
    <w:rsid w:val="004B482E"/>
    <w:rsid w:val="004B539A"/>
    <w:rsid w:val="004B5A42"/>
    <w:rsid w:val="004B7AFF"/>
    <w:rsid w:val="004C1349"/>
    <w:rsid w:val="004C3083"/>
    <w:rsid w:val="004C5749"/>
    <w:rsid w:val="004C63EF"/>
    <w:rsid w:val="004C773E"/>
    <w:rsid w:val="004D104E"/>
    <w:rsid w:val="004D190B"/>
    <w:rsid w:val="004D3F83"/>
    <w:rsid w:val="004D430E"/>
    <w:rsid w:val="004D467C"/>
    <w:rsid w:val="004D5369"/>
    <w:rsid w:val="004D55F7"/>
    <w:rsid w:val="004D5CA2"/>
    <w:rsid w:val="004D5FAD"/>
    <w:rsid w:val="004D6028"/>
    <w:rsid w:val="004D6533"/>
    <w:rsid w:val="004D7D17"/>
    <w:rsid w:val="004E01E8"/>
    <w:rsid w:val="004E0BCB"/>
    <w:rsid w:val="004E2466"/>
    <w:rsid w:val="004E36A9"/>
    <w:rsid w:val="004E36EF"/>
    <w:rsid w:val="004E6946"/>
    <w:rsid w:val="004E6C3F"/>
    <w:rsid w:val="004E6E8E"/>
    <w:rsid w:val="004F012E"/>
    <w:rsid w:val="004F2526"/>
    <w:rsid w:val="004F2D45"/>
    <w:rsid w:val="004F73B4"/>
    <w:rsid w:val="004F7B89"/>
    <w:rsid w:val="00501A97"/>
    <w:rsid w:val="00503A2C"/>
    <w:rsid w:val="005043A6"/>
    <w:rsid w:val="00511006"/>
    <w:rsid w:val="00511DE4"/>
    <w:rsid w:val="005129ED"/>
    <w:rsid w:val="00513202"/>
    <w:rsid w:val="00514188"/>
    <w:rsid w:val="005144A1"/>
    <w:rsid w:val="0051475C"/>
    <w:rsid w:val="00516653"/>
    <w:rsid w:val="005203F7"/>
    <w:rsid w:val="00521300"/>
    <w:rsid w:val="005220D2"/>
    <w:rsid w:val="005255F5"/>
    <w:rsid w:val="005276EF"/>
    <w:rsid w:val="00530F29"/>
    <w:rsid w:val="00531F11"/>
    <w:rsid w:val="0053207E"/>
    <w:rsid w:val="00540264"/>
    <w:rsid w:val="00541075"/>
    <w:rsid w:val="0054164C"/>
    <w:rsid w:val="00544E3C"/>
    <w:rsid w:val="0055125C"/>
    <w:rsid w:val="00551AE9"/>
    <w:rsid w:val="00551CF1"/>
    <w:rsid w:val="00553145"/>
    <w:rsid w:val="00554E3F"/>
    <w:rsid w:val="005561FF"/>
    <w:rsid w:val="00556497"/>
    <w:rsid w:val="00556DE4"/>
    <w:rsid w:val="00557F91"/>
    <w:rsid w:val="00560175"/>
    <w:rsid w:val="00560C5A"/>
    <w:rsid w:val="00560DC9"/>
    <w:rsid w:val="00563D7D"/>
    <w:rsid w:val="00564113"/>
    <w:rsid w:val="005665B5"/>
    <w:rsid w:val="00566AD9"/>
    <w:rsid w:val="005707EA"/>
    <w:rsid w:val="00574434"/>
    <w:rsid w:val="00575499"/>
    <w:rsid w:val="00576C8B"/>
    <w:rsid w:val="0057729B"/>
    <w:rsid w:val="00581F67"/>
    <w:rsid w:val="00585E5B"/>
    <w:rsid w:val="005917F9"/>
    <w:rsid w:val="00595095"/>
    <w:rsid w:val="005A0CF7"/>
    <w:rsid w:val="005A2842"/>
    <w:rsid w:val="005A33D3"/>
    <w:rsid w:val="005B1D9A"/>
    <w:rsid w:val="005B32F4"/>
    <w:rsid w:val="005B3613"/>
    <w:rsid w:val="005C12AD"/>
    <w:rsid w:val="005C1ECE"/>
    <w:rsid w:val="005C2930"/>
    <w:rsid w:val="005C2D69"/>
    <w:rsid w:val="005C2DC8"/>
    <w:rsid w:val="005C4741"/>
    <w:rsid w:val="005D0D42"/>
    <w:rsid w:val="005D358B"/>
    <w:rsid w:val="005D49FA"/>
    <w:rsid w:val="005D50C6"/>
    <w:rsid w:val="005D521F"/>
    <w:rsid w:val="005D6A7A"/>
    <w:rsid w:val="005E087A"/>
    <w:rsid w:val="005E25B2"/>
    <w:rsid w:val="005E4FD3"/>
    <w:rsid w:val="005F32B5"/>
    <w:rsid w:val="005F6A25"/>
    <w:rsid w:val="005F73A2"/>
    <w:rsid w:val="00600173"/>
    <w:rsid w:val="00601BB2"/>
    <w:rsid w:val="0060362D"/>
    <w:rsid w:val="00605579"/>
    <w:rsid w:val="00612D09"/>
    <w:rsid w:val="00613DF8"/>
    <w:rsid w:val="00614E3F"/>
    <w:rsid w:val="00616770"/>
    <w:rsid w:val="00617C30"/>
    <w:rsid w:val="006209E2"/>
    <w:rsid w:val="00622E1A"/>
    <w:rsid w:val="006233A0"/>
    <w:rsid w:val="006234B6"/>
    <w:rsid w:val="00623B27"/>
    <w:rsid w:val="00624E21"/>
    <w:rsid w:val="00624FF0"/>
    <w:rsid w:val="006253BE"/>
    <w:rsid w:val="00625C19"/>
    <w:rsid w:val="006270BD"/>
    <w:rsid w:val="006336B4"/>
    <w:rsid w:val="00634A7E"/>
    <w:rsid w:val="006367C2"/>
    <w:rsid w:val="00642E92"/>
    <w:rsid w:val="0064338B"/>
    <w:rsid w:val="00646668"/>
    <w:rsid w:val="006467D0"/>
    <w:rsid w:val="006469FD"/>
    <w:rsid w:val="0064792F"/>
    <w:rsid w:val="00647972"/>
    <w:rsid w:val="00651442"/>
    <w:rsid w:val="00653F37"/>
    <w:rsid w:val="0065554B"/>
    <w:rsid w:val="00655DD6"/>
    <w:rsid w:val="0066004D"/>
    <w:rsid w:val="00663F6E"/>
    <w:rsid w:val="00666280"/>
    <w:rsid w:val="00666F9F"/>
    <w:rsid w:val="0067093D"/>
    <w:rsid w:val="00671217"/>
    <w:rsid w:val="0067323B"/>
    <w:rsid w:val="00673541"/>
    <w:rsid w:val="0067444C"/>
    <w:rsid w:val="00677C7B"/>
    <w:rsid w:val="00677F74"/>
    <w:rsid w:val="00680AFE"/>
    <w:rsid w:val="00680B95"/>
    <w:rsid w:val="00682D69"/>
    <w:rsid w:val="006836C4"/>
    <w:rsid w:val="00691757"/>
    <w:rsid w:val="00691ABE"/>
    <w:rsid w:val="006928D9"/>
    <w:rsid w:val="00694370"/>
    <w:rsid w:val="00694D49"/>
    <w:rsid w:val="00694E25"/>
    <w:rsid w:val="00696541"/>
    <w:rsid w:val="006A0A1F"/>
    <w:rsid w:val="006A16C3"/>
    <w:rsid w:val="006A1D00"/>
    <w:rsid w:val="006A301B"/>
    <w:rsid w:val="006A3272"/>
    <w:rsid w:val="006B12FC"/>
    <w:rsid w:val="006B2C99"/>
    <w:rsid w:val="006C0782"/>
    <w:rsid w:val="006C347D"/>
    <w:rsid w:val="006C691B"/>
    <w:rsid w:val="006C69DD"/>
    <w:rsid w:val="006C6A91"/>
    <w:rsid w:val="006C6B4C"/>
    <w:rsid w:val="006C78AD"/>
    <w:rsid w:val="006D0182"/>
    <w:rsid w:val="006D17A6"/>
    <w:rsid w:val="006D2214"/>
    <w:rsid w:val="006D3F93"/>
    <w:rsid w:val="006D5169"/>
    <w:rsid w:val="006D5C22"/>
    <w:rsid w:val="006D5EFE"/>
    <w:rsid w:val="006D74A4"/>
    <w:rsid w:val="006E065D"/>
    <w:rsid w:val="006E24CE"/>
    <w:rsid w:val="006E45E3"/>
    <w:rsid w:val="006F0617"/>
    <w:rsid w:val="006F15F2"/>
    <w:rsid w:val="006F508D"/>
    <w:rsid w:val="006F5A72"/>
    <w:rsid w:val="0070019D"/>
    <w:rsid w:val="00700918"/>
    <w:rsid w:val="00701669"/>
    <w:rsid w:val="00701A58"/>
    <w:rsid w:val="0070449F"/>
    <w:rsid w:val="00705F74"/>
    <w:rsid w:val="00706E74"/>
    <w:rsid w:val="0071002F"/>
    <w:rsid w:val="00711347"/>
    <w:rsid w:val="00715608"/>
    <w:rsid w:val="00720764"/>
    <w:rsid w:val="007207FF"/>
    <w:rsid w:val="00721814"/>
    <w:rsid w:val="007258F2"/>
    <w:rsid w:val="00725E19"/>
    <w:rsid w:val="00727D94"/>
    <w:rsid w:val="0073019C"/>
    <w:rsid w:val="00730CA8"/>
    <w:rsid w:val="00732239"/>
    <w:rsid w:val="0073392F"/>
    <w:rsid w:val="00733A5C"/>
    <w:rsid w:val="007341D8"/>
    <w:rsid w:val="007344BF"/>
    <w:rsid w:val="00734C5B"/>
    <w:rsid w:val="00740EBB"/>
    <w:rsid w:val="007415BD"/>
    <w:rsid w:val="007420E2"/>
    <w:rsid w:val="0074268E"/>
    <w:rsid w:val="007426BB"/>
    <w:rsid w:val="007450C8"/>
    <w:rsid w:val="00746380"/>
    <w:rsid w:val="0074684B"/>
    <w:rsid w:val="00751AEA"/>
    <w:rsid w:val="007553F9"/>
    <w:rsid w:val="00755C97"/>
    <w:rsid w:val="00756EB3"/>
    <w:rsid w:val="007600B1"/>
    <w:rsid w:val="007608FD"/>
    <w:rsid w:val="00770BF5"/>
    <w:rsid w:val="00771CBB"/>
    <w:rsid w:val="007803A6"/>
    <w:rsid w:val="0078063D"/>
    <w:rsid w:val="007854AE"/>
    <w:rsid w:val="00785AC7"/>
    <w:rsid w:val="007900B4"/>
    <w:rsid w:val="0079195B"/>
    <w:rsid w:val="00793A98"/>
    <w:rsid w:val="00797290"/>
    <w:rsid w:val="007A05CA"/>
    <w:rsid w:val="007A28EA"/>
    <w:rsid w:val="007A44A8"/>
    <w:rsid w:val="007A52A2"/>
    <w:rsid w:val="007A697D"/>
    <w:rsid w:val="007A7C49"/>
    <w:rsid w:val="007A7EAF"/>
    <w:rsid w:val="007B0803"/>
    <w:rsid w:val="007B1E60"/>
    <w:rsid w:val="007B403A"/>
    <w:rsid w:val="007B6F4F"/>
    <w:rsid w:val="007B78D2"/>
    <w:rsid w:val="007C044F"/>
    <w:rsid w:val="007C1357"/>
    <w:rsid w:val="007C1F63"/>
    <w:rsid w:val="007C24F9"/>
    <w:rsid w:val="007C296D"/>
    <w:rsid w:val="007C310E"/>
    <w:rsid w:val="007C3403"/>
    <w:rsid w:val="007C34CD"/>
    <w:rsid w:val="007C4802"/>
    <w:rsid w:val="007D00D4"/>
    <w:rsid w:val="007D14E0"/>
    <w:rsid w:val="007D43E8"/>
    <w:rsid w:val="007D46A4"/>
    <w:rsid w:val="007D4DD5"/>
    <w:rsid w:val="007D637F"/>
    <w:rsid w:val="007D774E"/>
    <w:rsid w:val="007E3539"/>
    <w:rsid w:val="007E5087"/>
    <w:rsid w:val="007E600E"/>
    <w:rsid w:val="007F3280"/>
    <w:rsid w:val="007F35D7"/>
    <w:rsid w:val="007F3866"/>
    <w:rsid w:val="007F3C48"/>
    <w:rsid w:val="007F4841"/>
    <w:rsid w:val="007F7749"/>
    <w:rsid w:val="00800D3A"/>
    <w:rsid w:val="0080179C"/>
    <w:rsid w:val="00803323"/>
    <w:rsid w:val="00803411"/>
    <w:rsid w:val="0080515B"/>
    <w:rsid w:val="00807451"/>
    <w:rsid w:val="0081104B"/>
    <w:rsid w:val="00811BB5"/>
    <w:rsid w:val="00811C23"/>
    <w:rsid w:val="008146B5"/>
    <w:rsid w:val="00814FEF"/>
    <w:rsid w:val="0082041E"/>
    <w:rsid w:val="00823D93"/>
    <w:rsid w:val="00824A74"/>
    <w:rsid w:val="008268EC"/>
    <w:rsid w:val="00827269"/>
    <w:rsid w:val="00827BF6"/>
    <w:rsid w:val="0083021B"/>
    <w:rsid w:val="00830AFF"/>
    <w:rsid w:val="008327A9"/>
    <w:rsid w:val="00836AA2"/>
    <w:rsid w:val="008379B9"/>
    <w:rsid w:val="00841A18"/>
    <w:rsid w:val="00841E6E"/>
    <w:rsid w:val="00843B56"/>
    <w:rsid w:val="008451CA"/>
    <w:rsid w:val="00845363"/>
    <w:rsid w:val="00853284"/>
    <w:rsid w:val="00857D40"/>
    <w:rsid w:val="00857EAA"/>
    <w:rsid w:val="00860730"/>
    <w:rsid w:val="0086369E"/>
    <w:rsid w:val="0086512C"/>
    <w:rsid w:val="00866A94"/>
    <w:rsid w:val="00866BCD"/>
    <w:rsid w:val="00866F3F"/>
    <w:rsid w:val="0086743B"/>
    <w:rsid w:val="00870139"/>
    <w:rsid w:val="008715A0"/>
    <w:rsid w:val="00871D4E"/>
    <w:rsid w:val="0087264E"/>
    <w:rsid w:val="00872DE9"/>
    <w:rsid w:val="00874D58"/>
    <w:rsid w:val="00875365"/>
    <w:rsid w:val="00875F97"/>
    <w:rsid w:val="00876BBA"/>
    <w:rsid w:val="008772B1"/>
    <w:rsid w:val="00877400"/>
    <w:rsid w:val="00877851"/>
    <w:rsid w:val="00877C14"/>
    <w:rsid w:val="00877DD0"/>
    <w:rsid w:val="00880330"/>
    <w:rsid w:val="00882BEA"/>
    <w:rsid w:val="008869FB"/>
    <w:rsid w:val="00886B43"/>
    <w:rsid w:val="00886DB1"/>
    <w:rsid w:val="0088706F"/>
    <w:rsid w:val="008872E1"/>
    <w:rsid w:val="008874C4"/>
    <w:rsid w:val="0088756A"/>
    <w:rsid w:val="008902C2"/>
    <w:rsid w:val="0089213E"/>
    <w:rsid w:val="0089507B"/>
    <w:rsid w:val="00896B55"/>
    <w:rsid w:val="00897B76"/>
    <w:rsid w:val="008A07D6"/>
    <w:rsid w:val="008A1B1C"/>
    <w:rsid w:val="008A1B57"/>
    <w:rsid w:val="008A2F9D"/>
    <w:rsid w:val="008A3C3D"/>
    <w:rsid w:val="008A42F1"/>
    <w:rsid w:val="008A47AB"/>
    <w:rsid w:val="008A75C7"/>
    <w:rsid w:val="008B0FB2"/>
    <w:rsid w:val="008B19E5"/>
    <w:rsid w:val="008B2538"/>
    <w:rsid w:val="008B312E"/>
    <w:rsid w:val="008B3848"/>
    <w:rsid w:val="008B3C26"/>
    <w:rsid w:val="008B3EBA"/>
    <w:rsid w:val="008B42CE"/>
    <w:rsid w:val="008B51A7"/>
    <w:rsid w:val="008B5371"/>
    <w:rsid w:val="008B5699"/>
    <w:rsid w:val="008B5740"/>
    <w:rsid w:val="008B586B"/>
    <w:rsid w:val="008B6582"/>
    <w:rsid w:val="008B7384"/>
    <w:rsid w:val="008B7F4D"/>
    <w:rsid w:val="008C1FB5"/>
    <w:rsid w:val="008C3C32"/>
    <w:rsid w:val="008C5A89"/>
    <w:rsid w:val="008C63BC"/>
    <w:rsid w:val="008C721D"/>
    <w:rsid w:val="008C795F"/>
    <w:rsid w:val="008D14BE"/>
    <w:rsid w:val="008D1846"/>
    <w:rsid w:val="008D3604"/>
    <w:rsid w:val="008D3C3D"/>
    <w:rsid w:val="008D7061"/>
    <w:rsid w:val="008E026D"/>
    <w:rsid w:val="008E0993"/>
    <w:rsid w:val="008E31DD"/>
    <w:rsid w:val="008E42D1"/>
    <w:rsid w:val="008E6277"/>
    <w:rsid w:val="008E67EF"/>
    <w:rsid w:val="008E6B0A"/>
    <w:rsid w:val="008F181B"/>
    <w:rsid w:val="008F275A"/>
    <w:rsid w:val="008F3ECE"/>
    <w:rsid w:val="008F3F96"/>
    <w:rsid w:val="008F4023"/>
    <w:rsid w:val="008F57FA"/>
    <w:rsid w:val="008F5907"/>
    <w:rsid w:val="008F5C7B"/>
    <w:rsid w:val="008F794E"/>
    <w:rsid w:val="00900E69"/>
    <w:rsid w:val="00900FDE"/>
    <w:rsid w:val="00903845"/>
    <w:rsid w:val="00903E90"/>
    <w:rsid w:val="0090481D"/>
    <w:rsid w:val="009059AC"/>
    <w:rsid w:val="00905A60"/>
    <w:rsid w:val="00906BF1"/>
    <w:rsid w:val="00907D1E"/>
    <w:rsid w:val="009102DB"/>
    <w:rsid w:val="00910392"/>
    <w:rsid w:val="00910BA8"/>
    <w:rsid w:val="0091377A"/>
    <w:rsid w:val="009150A9"/>
    <w:rsid w:val="009201D4"/>
    <w:rsid w:val="00920270"/>
    <w:rsid w:val="009212FF"/>
    <w:rsid w:val="00926CFA"/>
    <w:rsid w:val="00930226"/>
    <w:rsid w:val="0093044D"/>
    <w:rsid w:val="0093051E"/>
    <w:rsid w:val="00931B93"/>
    <w:rsid w:val="0093314D"/>
    <w:rsid w:val="009343CC"/>
    <w:rsid w:val="00937C64"/>
    <w:rsid w:val="00940D12"/>
    <w:rsid w:val="00941CEB"/>
    <w:rsid w:val="0094439B"/>
    <w:rsid w:val="009445C1"/>
    <w:rsid w:val="00947A20"/>
    <w:rsid w:val="00950E06"/>
    <w:rsid w:val="0095124A"/>
    <w:rsid w:val="00951E58"/>
    <w:rsid w:val="009531D3"/>
    <w:rsid w:val="009533BC"/>
    <w:rsid w:val="00955EC8"/>
    <w:rsid w:val="0095708D"/>
    <w:rsid w:val="0095740A"/>
    <w:rsid w:val="009615B1"/>
    <w:rsid w:val="00962F4B"/>
    <w:rsid w:val="00965ABD"/>
    <w:rsid w:val="0096641A"/>
    <w:rsid w:val="00966C17"/>
    <w:rsid w:val="00966D3F"/>
    <w:rsid w:val="009711D0"/>
    <w:rsid w:val="0097419A"/>
    <w:rsid w:val="009745BC"/>
    <w:rsid w:val="00974FDE"/>
    <w:rsid w:val="009763FE"/>
    <w:rsid w:val="00976E6B"/>
    <w:rsid w:val="009808DF"/>
    <w:rsid w:val="009830EA"/>
    <w:rsid w:val="00984D49"/>
    <w:rsid w:val="00985878"/>
    <w:rsid w:val="009860CB"/>
    <w:rsid w:val="00986E7F"/>
    <w:rsid w:val="0099054F"/>
    <w:rsid w:val="009914FF"/>
    <w:rsid w:val="00993569"/>
    <w:rsid w:val="009A0107"/>
    <w:rsid w:val="009A2929"/>
    <w:rsid w:val="009A33A7"/>
    <w:rsid w:val="009A448A"/>
    <w:rsid w:val="009A5067"/>
    <w:rsid w:val="009A5D50"/>
    <w:rsid w:val="009A5FD4"/>
    <w:rsid w:val="009B156B"/>
    <w:rsid w:val="009B47B4"/>
    <w:rsid w:val="009B55DF"/>
    <w:rsid w:val="009B599B"/>
    <w:rsid w:val="009B612E"/>
    <w:rsid w:val="009B6A40"/>
    <w:rsid w:val="009B76B4"/>
    <w:rsid w:val="009C01AF"/>
    <w:rsid w:val="009C2DB1"/>
    <w:rsid w:val="009C3045"/>
    <w:rsid w:val="009C3167"/>
    <w:rsid w:val="009C6798"/>
    <w:rsid w:val="009C763B"/>
    <w:rsid w:val="009D0773"/>
    <w:rsid w:val="009D17E0"/>
    <w:rsid w:val="009D1D9E"/>
    <w:rsid w:val="009D234C"/>
    <w:rsid w:val="009D3969"/>
    <w:rsid w:val="009D6B33"/>
    <w:rsid w:val="009D6B8B"/>
    <w:rsid w:val="009D73F2"/>
    <w:rsid w:val="009E56DC"/>
    <w:rsid w:val="009E7FA7"/>
    <w:rsid w:val="009F0139"/>
    <w:rsid w:val="009F44E1"/>
    <w:rsid w:val="009F486B"/>
    <w:rsid w:val="009F61B6"/>
    <w:rsid w:val="00A024C4"/>
    <w:rsid w:val="00A02EC9"/>
    <w:rsid w:val="00A030FD"/>
    <w:rsid w:val="00A031E6"/>
    <w:rsid w:val="00A04CAA"/>
    <w:rsid w:val="00A05F58"/>
    <w:rsid w:val="00A068B2"/>
    <w:rsid w:val="00A11B33"/>
    <w:rsid w:val="00A1220C"/>
    <w:rsid w:val="00A1295C"/>
    <w:rsid w:val="00A14976"/>
    <w:rsid w:val="00A15326"/>
    <w:rsid w:val="00A159BF"/>
    <w:rsid w:val="00A17F22"/>
    <w:rsid w:val="00A22455"/>
    <w:rsid w:val="00A23407"/>
    <w:rsid w:val="00A257C6"/>
    <w:rsid w:val="00A25983"/>
    <w:rsid w:val="00A25FE5"/>
    <w:rsid w:val="00A2603C"/>
    <w:rsid w:val="00A265FF"/>
    <w:rsid w:val="00A27B40"/>
    <w:rsid w:val="00A32052"/>
    <w:rsid w:val="00A33FC9"/>
    <w:rsid w:val="00A373AD"/>
    <w:rsid w:val="00A406C7"/>
    <w:rsid w:val="00A45F27"/>
    <w:rsid w:val="00A46B8E"/>
    <w:rsid w:val="00A46C1E"/>
    <w:rsid w:val="00A47090"/>
    <w:rsid w:val="00A506E6"/>
    <w:rsid w:val="00A53404"/>
    <w:rsid w:val="00A543BB"/>
    <w:rsid w:val="00A54CEA"/>
    <w:rsid w:val="00A54FB2"/>
    <w:rsid w:val="00A5588D"/>
    <w:rsid w:val="00A572B1"/>
    <w:rsid w:val="00A60B1F"/>
    <w:rsid w:val="00A61764"/>
    <w:rsid w:val="00A63DE8"/>
    <w:rsid w:val="00A653BE"/>
    <w:rsid w:val="00A669FF"/>
    <w:rsid w:val="00A67C1E"/>
    <w:rsid w:val="00A70E7C"/>
    <w:rsid w:val="00A72158"/>
    <w:rsid w:val="00A72581"/>
    <w:rsid w:val="00A73883"/>
    <w:rsid w:val="00A749B0"/>
    <w:rsid w:val="00A74D44"/>
    <w:rsid w:val="00A750A6"/>
    <w:rsid w:val="00A76649"/>
    <w:rsid w:val="00A807DA"/>
    <w:rsid w:val="00A82653"/>
    <w:rsid w:val="00A83FA9"/>
    <w:rsid w:val="00A84A23"/>
    <w:rsid w:val="00A853E0"/>
    <w:rsid w:val="00A857EB"/>
    <w:rsid w:val="00A8683F"/>
    <w:rsid w:val="00A86B3E"/>
    <w:rsid w:val="00A86C6C"/>
    <w:rsid w:val="00A93ED6"/>
    <w:rsid w:val="00A93EEC"/>
    <w:rsid w:val="00A94062"/>
    <w:rsid w:val="00A94390"/>
    <w:rsid w:val="00A950DA"/>
    <w:rsid w:val="00A95C4E"/>
    <w:rsid w:val="00A968A2"/>
    <w:rsid w:val="00AA1AF9"/>
    <w:rsid w:val="00AA2187"/>
    <w:rsid w:val="00AA41EE"/>
    <w:rsid w:val="00AA560F"/>
    <w:rsid w:val="00AA66CB"/>
    <w:rsid w:val="00AA6F44"/>
    <w:rsid w:val="00AB0B52"/>
    <w:rsid w:val="00AB2364"/>
    <w:rsid w:val="00AB3E60"/>
    <w:rsid w:val="00AB4D79"/>
    <w:rsid w:val="00AB6DBB"/>
    <w:rsid w:val="00AC3D72"/>
    <w:rsid w:val="00AC652F"/>
    <w:rsid w:val="00AD2B01"/>
    <w:rsid w:val="00AD3519"/>
    <w:rsid w:val="00AD45B3"/>
    <w:rsid w:val="00AD6948"/>
    <w:rsid w:val="00AE10CB"/>
    <w:rsid w:val="00AE33BB"/>
    <w:rsid w:val="00AE5EC0"/>
    <w:rsid w:val="00AE7965"/>
    <w:rsid w:val="00AF0AC8"/>
    <w:rsid w:val="00AF3773"/>
    <w:rsid w:val="00AF5B5B"/>
    <w:rsid w:val="00AF6390"/>
    <w:rsid w:val="00B00297"/>
    <w:rsid w:val="00B014FE"/>
    <w:rsid w:val="00B02161"/>
    <w:rsid w:val="00B0282C"/>
    <w:rsid w:val="00B0342F"/>
    <w:rsid w:val="00B04863"/>
    <w:rsid w:val="00B04CF4"/>
    <w:rsid w:val="00B04E70"/>
    <w:rsid w:val="00B05175"/>
    <w:rsid w:val="00B0649E"/>
    <w:rsid w:val="00B06AEF"/>
    <w:rsid w:val="00B071B3"/>
    <w:rsid w:val="00B07A37"/>
    <w:rsid w:val="00B07D5B"/>
    <w:rsid w:val="00B12195"/>
    <w:rsid w:val="00B13AE5"/>
    <w:rsid w:val="00B1766A"/>
    <w:rsid w:val="00B17CCB"/>
    <w:rsid w:val="00B23096"/>
    <w:rsid w:val="00B23935"/>
    <w:rsid w:val="00B24158"/>
    <w:rsid w:val="00B24743"/>
    <w:rsid w:val="00B24A02"/>
    <w:rsid w:val="00B259C8"/>
    <w:rsid w:val="00B26396"/>
    <w:rsid w:val="00B2737E"/>
    <w:rsid w:val="00B27C70"/>
    <w:rsid w:val="00B30E48"/>
    <w:rsid w:val="00B31687"/>
    <w:rsid w:val="00B32158"/>
    <w:rsid w:val="00B3272B"/>
    <w:rsid w:val="00B34C87"/>
    <w:rsid w:val="00B36DAC"/>
    <w:rsid w:val="00B36FE6"/>
    <w:rsid w:val="00B4185F"/>
    <w:rsid w:val="00B41C8A"/>
    <w:rsid w:val="00B425E8"/>
    <w:rsid w:val="00B42627"/>
    <w:rsid w:val="00B42B30"/>
    <w:rsid w:val="00B431A7"/>
    <w:rsid w:val="00B43236"/>
    <w:rsid w:val="00B44022"/>
    <w:rsid w:val="00B44C24"/>
    <w:rsid w:val="00B44DB4"/>
    <w:rsid w:val="00B450B3"/>
    <w:rsid w:val="00B45761"/>
    <w:rsid w:val="00B458D7"/>
    <w:rsid w:val="00B46DCD"/>
    <w:rsid w:val="00B53AA8"/>
    <w:rsid w:val="00B60CE7"/>
    <w:rsid w:val="00B613A4"/>
    <w:rsid w:val="00B620C8"/>
    <w:rsid w:val="00B6328D"/>
    <w:rsid w:val="00B70549"/>
    <w:rsid w:val="00B7091A"/>
    <w:rsid w:val="00B71B78"/>
    <w:rsid w:val="00B80842"/>
    <w:rsid w:val="00B80DDE"/>
    <w:rsid w:val="00B80F2E"/>
    <w:rsid w:val="00B811BC"/>
    <w:rsid w:val="00B82A36"/>
    <w:rsid w:val="00B82DAC"/>
    <w:rsid w:val="00B839DC"/>
    <w:rsid w:val="00B85473"/>
    <w:rsid w:val="00B85FFD"/>
    <w:rsid w:val="00B86D39"/>
    <w:rsid w:val="00B909F7"/>
    <w:rsid w:val="00B94B69"/>
    <w:rsid w:val="00B954DB"/>
    <w:rsid w:val="00B9718B"/>
    <w:rsid w:val="00B97619"/>
    <w:rsid w:val="00BA09C3"/>
    <w:rsid w:val="00BA302B"/>
    <w:rsid w:val="00BA3C84"/>
    <w:rsid w:val="00BA44E9"/>
    <w:rsid w:val="00BA52C3"/>
    <w:rsid w:val="00BA534F"/>
    <w:rsid w:val="00BA58E1"/>
    <w:rsid w:val="00BA5C77"/>
    <w:rsid w:val="00BB0B67"/>
    <w:rsid w:val="00BB1619"/>
    <w:rsid w:val="00BB33F9"/>
    <w:rsid w:val="00BB524C"/>
    <w:rsid w:val="00BC24AA"/>
    <w:rsid w:val="00BC34E1"/>
    <w:rsid w:val="00BC4653"/>
    <w:rsid w:val="00BC626B"/>
    <w:rsid w:val="00BD15E6"/>
    <w:rsid w:val="00BD4158"/>
    <w:rsid w:val="00BD4635"/>
    <w:rsid w:val="00BD4FB4"/>
    <w:rsid w:val="00BD5090"/>
    <w:rsid w:val="00BD5D4C"/>
    <w:rsid w:val="00BD5EB1"/>
    <w:rsid w:val="00BE045A"/>
    <w:rsid w:val="00BE0D3F"/>
    <w:rsid w:val="00BE251E"/>
    <w:rsid w:val="00BE51BE"/>
    <w:rsid w:val="00BF21F0"/>
    <w:rsid w:val="00BF250A"/>
    <w:rsid w:val="00BF3C01"/>
    <w:rsid w:val="00BF63F1"/>
    <w:rsid w:val="00BF6ED1"/>
    <w:rsid w:val="00BF7655"/>
    <w:rsid w:val="00C00B9A"/>
    <w:rsid w:val="00C0137B"/>
    <w:rsid w:val="00C02AAA"/>
    <w:rsid w:val="00C035A5"/>
    <w:rsid w:val="00C0418E"/>
    <w:rsid w:val="00C05654"/>
    <w:rsid w:val="00C069A2"/>
    <w:rsid w:val="00C079A0"/>
    <w:rsid w:val="00C110F3"/>
    <w:rsid w:val="00C1144C"/>
    <w:rsid w:val="00C1212E"/>
    <w:rsid w:val="00C13132"/>
    <w:rsid w:val="00C134EC"/>
    <w:rsid w:val="00C1736D"/>
    <w:rsid w:val="00C201F6"/>
    <w:rsid w:val="00C21B50"/>
    <w:rsid w:val="00C22BD8"/>
    <w:rsid w:val="00C2541B"/>
    <w:rsid w:val="00C25E4B"/>
    <w:rsid w:val="00C3042A"/>
    <w:rsid w:val="00C31AA2"/>
    <w:rsid w:val="00C333F1"/>
    <w:rsid w:val="00C33776"/>
    <w:rsid w:val="00C339E0"/>
    <w:rsid w:val="00C3401D"/>
    <w:rsid w:val="00C34E47"/>
    <w:rsid w:val="00C353A5"/>
    <w:rsid w:val="00C36844"/>
    <w:rsid w:val="00C376EB"/>
    <w:rsid w:val="00C37EC2"/>
    <w:rsid w:val="00C40116"/>
    <w:rsid w:val="00C4016D"/>
    <w:rsid w:val="00C40946"/>
    <w:rsid w:val="00C42CBE"/>
    <w:rsid w:val="00C45C98"/>
    <w:rsid w:val="00C462E9"/>
    <w:rsid w:val="00C46641"/>
    <w:rsid w:val="00C517BE"/>
    <w:rsid w:val="00C51D54"/>
    <w:rsid w:val="00C535E9"/>
    <w:rsid w:val="00C54CD4"/>
    <w:rsid w:val="00C5533D"/>
    <w:rsid w:val="00C561B9"/>
    <w:rsid w:val="00C57749"/>
    <w:rsid w:val="00C61B2B"/>
    <w:rsid w:val="00C61DA6"/>
    <w:rsid w:val="00C62293"/>
    <w:rsid w:val="00C63AF1"/>
    <w:rsid w:val="00C646B6"/>
    <w:rsid w:val="00C64FA4"/>
    <w:rsid w:val="00C65724"/>
    <w:rsid w:val="00C6619B"/>
    <w:rsid w:val="00C67B31"/>
    <w:rsid w:val="00C67E9B"/>
    <w:rsid w:val="00C745EE"/>
    <w:rsid w:val="00C76995"/>
    <w:rsid w:val="00C83F1E"/>
    <w:rsid w:val="00C84FA3"/>
    <w:rsid w:val="00C86610"/>
    <w:rsid w:val="00C90E01"/>
    <w:rsid w:val="00C92395"/>
    <w:rsid w:val="00C96197"/>
    <w:rsid w:val="00C96889"/>
    <w:rsid w:val="00C97F3F"/>
    <w:rsid w:val="00CA0F80"/>
    <w:rsid w:val="00CA1A7B"/>
    <w:rsid w:val="00CA1F7A"/>
    <w:rsid w:val="00CA2430"/>
    <w:rsid w:val="00CA4660"/>
    <w:rsid w:val="00CA54E5"/>
    <w:rsid w:val="00CA6E96"/>
    <w:rsid w:val="00CB1FD8"/>
    <w:rsid w:val="00CB2294"/>
    <w:rsid w:val="00CB2F56"/>
    <w:rsid w:val="00CB57CF"/>
    <w:rsid w:val="00CB7F4C"/>
    <w:rsid w:val="00CC1BC1"/>
    <w:rsid w:val="00CC28EB"/>
    <w:rsid w:val="00CC3DDA"/>
    <w:rsid w:val="00CC50E6"/>
    <w:rsid w:val="00CC5BE2"/>
    <w:rsid w:val="00CD3242"/>
    <w:rsid w:val="00CD36B7"/>
    <w:rsid w:val="00CD3AB6"/>
    <w:rsid w:val="00CD6754"/>
    <w:rsid w:val="00CD6E9D"/>
    <w:rsid w:val="00CD7179"/>
    <w:rsid w:val="00CE0F2D"/>
    <w:rsid w:val="00CE23E6"/>
    <w:rsid w:val="00CE3018"/>
    <w:rsid w:val="00CE3B21"/>
    <w:rsid w:val="00CE6818"/>
    <w:rsid w:val="00CE7463"/>
    <w:rsid w:val="00CF12C7"/>
    <w:rsid w:val="00CF1657"/>
    <w:rsid w:val="00CF3600"/>
    <w:rsid w:val="00CF38FF"/>
    <w:rsid w:val="00CF3B39"/>
    <w:rsid w:val="00CF5CDE"/>
    <w:rsid w:val="00CF7C1D"/>
    <w:rsid w:val="00D009DE"/>
    <w:rsid w:val="00D01401"/>
    <w:rsid w:val="00D04E0F"/>
    <w:rsid w:val="00D04E62"/>
    <w:rsid w:val="00D0572A"/>
    <w:rsid w:val="00D065A2"/>
    <w:rsid w:val="00D06BC9"/>
    <w:rsid w:val="00D12622"/>
    <w:rsid w:val="00D13D23"/>
    <w:rsid w:val="00D13F42"/>
    <w:rsid w:val="00D14343"/>
    <w:rsid w:val="00D20916"/>
    <w:rsid w:val="00D21DE6"/>
    <w:rsid w:val="00D23487"/>
    <w:rsid w:val="00D2419B"/>
    <w:rsid w:val="00D245BD"/>
    <w:rsid w:val="00D30D97"/>
    <w:rsid w:val="00D30EA0"/>
    <w:rsid w:val="00D33129"/>
    <w:rsid w:val="00D331A2"/>
    <w:rsid w:val="00D3435A"/>
    <w:rsid w:val="00D35BD3"/>
    <w:rsid w:val="00D35D68"/>
    <w:rsid w:val="00D375C5"/>
    <w:rsid w:val="00D4042D"/>
    <w:rsid w:val="00D41DE4"/>
    <w:rsid w:val="00D41E58"/>
    <w:rsid w:val="00D54121"/>
    <w:rsid w:val="00D54F6D"/>
    <w:rsid w:val="00D56330"/>
    <w:rsid w:val="00D61445"/>
    <w:rsid w:val="00D62651"/>
    <w:rsid w:val="00D62899"/>
    <w:rsid w:val="00D647E0"/>
    <w:rsid w:val="00D64B13"/>
    <w:rsid w:val="00D65339"/>
    <w:rsid w:val="00D659A5"/>
    <w:rsid w:val="00D65CB9"/>
    <w:rsid w:val="00D66846"/>
    <w:rsid w:val="00D673DA"/>
    <w:rsid w:val="00D70327"/>
    <w:rsid w:val="00D70A00"/>
    <w:rsid w:val="00D73F4D"/>
    <w:rsid w:val="00D761D1"/>
    <w:rsid w:val="00D76FC2"/>
    <w:rsid w:val="00D77E2B"/>
    <w:rsid w:val="00D8056E"/>
    <w:rsid w:val="00D8066C"/>
    <w:rsid w:val="00D81010"/>
    <w:rsid w:val="00D8440D"/>
    <w:rsid w:val="00D848C8"/>
    <w:rsid w:val="00D91941"/>
    <w:rsid w:val="00D91AA7"/>
    <w:rsid w:val="00D95B12"/>
    <w:rsid w:val="00D9603F"/>
    <w:rsid w:val="00D96384"/>
    <w:rsid w:val="00D9765C"/>
    <w:rsid w:val="00DA14F3"/>
    <w:rsid w:val="00DA1997"/>
    <w:rsid w:val="00DA1E23"/>
    <w:rsid w:val="00DA2D8D"/>
    <w:rsid w:val="00DA3079"/>
    <w:rsid w:val="00DA7F06"/>
    <w:rsid w:val="00DB05AA"/>
    <w:rsid w:val="00DB20C6"/>
    <w:rsid w:val="00DB2764"/>
    <w:rsid w:val="00DB3F0F"/>
    <w:rsid w:val="00DB6209"/>
    <w:rsid w:val="00DB6A5C"/>
    <w:rsid w:val="00DB7D2E"/>
    <w:rsid w:val="00DC2B14"/>
    <w:rsid w:val="00DC2D54"/>
    <w:rsid w:val="00DC6DF6"/>
    <w:rsid w:val="00DD3314"/>
    <w:rsid w:val="00DD45E1"/>
    <w:rsid w:val="00DE41C1"/>
    <w:rsid w:val="00DE5579"/>
    <w:rsid w:val="00DE7DDA"/>
    <w:rsid w:val="00DF0D0B"/>
    <w:rsid w:val="00DF0DAD"/>
    <w:rsid w:val="00DF3F69"/>
    <w:rsid w:val="00DF5C2A"/>
    <w:rsid w:val="00DF7BCF"/>
    <w:rsid w:val="00E03901"/>
    <w:rsid w:val="00E05475"/>
    <w:rsid w:val="00E0627A"/>
    <w:rsid w:val="00E0645E"/>
    <w:rsid w:val="00E10C65"/>
    <w:rsid w:val="00E12771"/>
    <w:rsid w:val="00E12CDD"/>
    <w:rsid w:val="00E13D69"/>
    <w:rsid w:val="00E15938"/>
    <w:rsid w:val="00E213E5"/>
    <w:rsid w:val="00E229FB"/>
    <w:rsid w:val="00E22AB1"/>
    <w:rsid w:val="00E2375E"/>
    <w:rsid w:val="00E23C28"/>
    <w:rsid w:val="00E24730"/>
    <w:rsid w:val="00E248D1"/>
    <w:rsid w:val="00E2605A"/>
    <w:rsid w:val="00E261FF"/>
    <w:rsid w:val="00E27014"/>
    <w:rsid w:val="00E27688"/>
    <w:rsid w:val="00E27F68"/>
    <w:rsid w:val="00E32B5B"/>
    <w:rsid w:val="00E33252"/>
    <w:rsid w:val="00E355C5"/>
    <w:rsid w:val="00E400B2"/>
    <w:rsid w:val="00E4314E"/>
    <w:rsid w:val="00E4317C"/>
    <w:rsid w:val="00E44BF7"/>
    <w:rsid w:val="00E46575"/>
    <w:rsid w:val="00E46F88"/>
    <w:rsid w:val="00E4704A"/>
    <w:rsid w:val="00E52010"/>
    <w:rsid w:val="00E5298B"/>
    <w:rsid w:val="00E5453E"/>
    <w:rsid w:val="00E612F5"/>
    <w:rsid w:val="00E6260D"/>
    <w:rsid w:val="00E63605"/>
    <w:rsid w:val="00E66391"/>
    <w:rsid w:val="00E6751E"/>
    <w:rsid w:val="00E71BD2"/>
    <w:rsid w:val="00E73FC7"/>
    <w:rsid w:val="00E77B1E"/>
    <w:rsid w:val="00E8046E"/>
    <w:rsid w:val="00E853A2"/>
    <w:rsid w:val="00E85E0D"/>
    <w:rsid w:val="00E87669"/>
    <w:rsid w:val="00E87FA0"/>
    <w:rsid w:val="00E90A04"/>
    <w:rsid w:val="00E911EA"/>
    <w:rsid w:val="00E94EA5"/>
    <w:rsid w:val="00E96DC0"/>
    <w:rsid w:val="00EA292B"/>
    <w:rsid w:val="00EA2D37"/>
    <w:rsid w:val="00EA5E55"/>
    <w:rsid w:val="00EA715E"/>
    <w:rsid w:val="00EA73FB"/>
    <w:rsid w:val="00EB082B"/>
    <w:rsid w:val="00EB40D8"/>
    <w:rsid w:val="00EB40FC"/>
    <w:rsid w:val="00EB58CB"/>
    <w:rsid w:val="00EB5FEF"/>
    <w:rsid w:val="00EB61C4"/>
    <w:rsid w:val="00EB74FD"/>
    <w:rsid w:val="00EC0C6B"/>
    <w:rsid w:val="00EC1FBE"/>
    <w:rsid w:val="00EC4B21"/>
    <w:rsid w:val="00EC5678"/>
    <w:rsid w:val="00ED0060"/>
    <w:rsid w:val="00ED10FD"/>
    <w:rsid w:val="00ED2FCB"/>
    <w:rsid w:val="00ED6CD3"/>
    <w:rsid w:val="00ED6F72"/>
    <w:rsid w:val="00EE2573"/>
    <w:rsid w:val="00EE2FDB"/>
    <w:rsid w:val="00EE307A"/>
    <w:rsid w:val="00EE7475"/>
    <w:rsid w:val="00EF36EA"/>
    <w:rsid w:val="00EF3762"/>
    <w:rsid w:val="00EF37E3"/>
    <w:rsid w:val="00EF3EF1"/>
    <w:rsid w:val="00EF47B7"/>
    <w:rsid w:val="00EF4C20"/>
    <w:rsid w:val="00EF5C90"/>
    <w:rsid w:val="00EF6998"/>
    <w:rsid w:val="00F00309"/>
    <w:rsid w:val="00F032C7"/>
    <w:rsid w:val="00F03F61"/>
    <w:rsid w:val="00F04A6A"/>
    <w:rsid w:val="00F0513A"/>
    <w:rsid w:val="00F053DD"/>
    <w:rsid w:val="00F05740"/>
    <w:rsid w:val="00F06A64"/>
    <w:rsid w:val="00F108D2"/>
    <w:rsid w:val="00F10DB4"/>
    <w:rsid w:val="00F1179F"/>
    <w:rsid w:val="00F15AFB"/>
    <w:rsid w:val="00F2142C"/>
    <w:rsid w:val="00F21BE3"/>
    <w:rsid w:val="00F2579C"/>
    <w:rsid w:val="00F257F3"/>
    <w:rsid w:val="00F25E16"/>
    <w:rsid w:val="00F25F5F"/>
    <w:rsid w:val="00F279C1"/>
    <w:rsid w:val="00F27E2C"/>
    <w:rsid w:val="00F30F43"/>
    <w:rsid w:val="00F32F3F"/>
    <w:rsid w:val="00F330EB"/>
    <w:rsid w:val="00F33486"/>
    <w:rsid w:val="00F35A2C"/>
    <w:rsid w:val="00F36EA4"/>
    <w:rsid w:val="00F37771"/>
    <w:rsid w:val="00F40694"/>
    <w:rsid w:val="00F41716"/>
    <w:rsid w:val="00F42EB3"/>
    <w:rsid w:val="00F438BB"/>
    <w:rsid w:val="00F45EFB"/>
    <w:rsid w:val="00F47DF7"/>
    <w:rsid w:val="00F516ED"/>
    <w:rsid w:val="00F54EF5"/>
    <w:rsid w:val="00F55583"/>
    <w:rsid w:val="00F55648"/>
    <w:rsid w:val="00F56C00"/>
    <w:rsid w:val="00F600F0"/>
    <w:rsid w:val="00F6234A"/>
    <w:rsid w:val="00F654BE"/>
    <w:rsid w:val="00F661C7"/>
    <w:rsid w:val="00F66686"/>
    <w:rsid w:val="00F70F4C"/>
    <w:rsid w:val="00F71676"/>
    <w:rsid w:val="00F72E49"/>
    <w:rsid w:val="00F7318E"/>
    <w:rsid w:val="00F74D7E"/>
    <w:rsid w:val="00F7636C"/>
    <w:rsid w:val="00F80DFB"/>
    <w:rsid w:val="00F832DE"/>
    <w:rsid w:val="00F8448B"/>
    <w:rsid w:val="00F84977"/>
    <w:rsid w:val="00F84C11"/>
    <w:rsid w:val="00F85618"/>
    <w:rsid w:val="00F85957"/>
    <w:rsid w:val="00F8678B"/>
    <w:rsid w:val="00F90474"/>
    <w:rsid w:val="00F908AF"/>
    <w:rsid w:val="00F92F6D"/>
    <w:rsid w:val="00F93DBE"/>
    <w:rsid w:val="00F9476B"/>
    <w:rsid w:val="00F94D6C"/>
    <w:rsid w:val="00F96FB4"/>
    <w:rsid w:val="00F970F8"/>
    <w:rsid w:val="00FA0C62"/>
    <w:rsid w:val="00FA1418"/>
    <w:rsid w:val="00FA2942"/>
    <w:rsid w:val="00FA2CBB"/>
    <w:rsid w:val="00FA3B9F"/>
    <w:rsid w:val="00FA45F8"/>
    <w:rsid w:val="00FA548A"/>
    <w:rsid w:val="00FA59DE"/>
    <w:rsid w:val="00FB17AA"/>
    <w:rsid w:val="00FB370B"/>
    <w:rsid w:val="00FB40C5"/>
    <w:rsid w:val="00FB45D5"/>
    <w:rsid w:val="00FB4F4A"/>
    <w:rsid w:val="00FB5F7D"/>
    <w:rsid w:val="00FB6A14"/>
    <w:rsid w:val="00FB7179"/>
    <w:rsid w:val="00FC178C"/>
    <w:rsid w:val="00FC23D5"/>
    <w:rsid w:val="00FC456C"/>
    <w:rsid w:val="00FC5058"/>
    <w:rsid w:val="00FC642D"/>
    <w:rsid w:val="00FC7494"/>
    <w:rsid w:val="00FC765E"/>
    <w:rsid w:val="00FC7F51"/>
    <w:rsid w:val="00FD144D"/>
    <w:rsid w:val="00FD3CC8"/>
    <w:rsid w:val="00FD5E04"/>
    <w:rsid w:val="00FD75D4"/>
    <w:rsid w:val="00FE2EF3"/>
    <w:rsid w:val="00FE4944"/>
    <w:rsid w:val="00FE573B"/>
    <w:rsid w:val="00FE7513"/>
    <w:rsid w:val="00FF1AB1"/>
    <w:rsid w:val="00FF3C0F"/>
    <w:rsid w:val="00FF40AF"/>
    <w:rsid w:val="00FF424F"/>
    <w:rsid w:val="00FF4650"/>
    <w:rsid w:val="00FF716E"/>
    <w:rsid w:val="00FF7692"/>
    <w:rsid w:val="0243F58A"/>
    <w:rsid w:val="0247DD24"/>
    <w:rsid w:val="0345C2F3"/>
    <w:rsid w:val="0A723764"/>
    <w:rsid w:val="0C57A66B"/>
    <w:rsid w:val="0D3B214A"/>
    <w:rsid w:val="0E60D220"/>
    <w:rsid w:val="11C0568E"/>
    <w:rsid w:val="12EBF8E6"/>
    <w:rsid w:val="1331BF9E"/>
    <w:rsid w:val="135F8769"/>
    <w:rsid w:val="16245629"/>
    <w:rsid w:val="190AE9BD"/>
    <w:rsid w:val="1B9FC322"/>
    <w:rsid w:val="1C06BA6B"/>
    <w:rsid w:val="1FA47C7B"/>
    <w:rsid w:val="222B8891"/>
    <w:rsid w:val="22D9710E"/>
    <w:rsid w:val="23B7A64F"/>
    <w:rsid w:val="251608A0"/>
    <w:rsid w:val="259D7237"/>
    <w:rsid w:val="283ED38C"/>
    <w:rsid w:val="292EF6FB"/>
    <w:rsid w:val="29931324"/>
    <w:rsid w:val="2A4BF8CA"/>
    <w:rsid w:val="2B3B595A"/>
    <w:rsid w:val="2CA9A9DF"/>
    <w:rsid w:val="2E2137CE"/>
    <w:rsid w:val="2E8E4346"/>
    <w:rsid w:val="2F864688"/>
    <w:rsid w:val="3535F4C2"/>
    <w:rsid w:val="38CBDCEE"/>
    <w:rsid w:val="3A2C5083"/>
    <w:rsid w:val="3AEE6496"/>
    <w:rsid w:val="3CD1939C"/>
    <w:rsid w:val="3E603FE4"/>
    <w:rsid w:val="3EB2E3CB"/>
    <w:rsid w:val="3F18EFA3"/>
    <w:rsid w:val="3F8341F5"/>
    <w:rsid w:val="3FFF5BF1"/>
    <w:rsid w:val="408EF6DF"/>
    <w:rsid w:val="42751BFF"/>
    <w:rsid w:val="42DA53DA"/>
    <w:rsid w:val="4384955C"/>
    <w:rsid w:val="4582505D"/>
    <w:rsid w:val="459A9782"/>
    <w:rsid w:val="48CB3526"/>
    <w:rsid w:val="49B7AE9D"/>
    <w:rsid w:val="4BB9B78F"/>
    <w:rsid w:val="4F22109E"/>
    <w:rsid w:val="50B79003"/>
    <w:rsid w:val="52092CF4"/>
    <w:rsid w:val="5209E4DE"/>
    <w:rsid w:val="529B5991"/>
    <w:rsid w:val="5645BE9D"/>
    <w:rsid w:val="5831E167"/>
    <w:rsid w:val="58806D80"/>
    <w:rsid w:val="5A1C3DE1"/>
    <w:rsid w:val="5C32CCF8"/>
    <w:rsid w:val="5C796F95"/>
    <w:rsid w:val="5EA5334C"/>
    <w:rsid w:val="5F607132"/>
    <w:rsid w:val="602B350A"/>
    <w:rsid w:val="60D75A2E"/>
    <w:rsid w:val="6367008F"/>
    <w:rsid w:val="656C73E3"/>
    <w:rsid w:val="66E3B8BD"/>
    <w:rsid w:val="66F49A42"/>
    <w:rsid w:val="67BA9F8B"/>
    <w:rsid w:val="67C374C3"/>
    <w:rsid w:val="69D21750"/>
    <w:rsid w:val="6A38F3EB"/>
    <w:rsid w:val="6FF81264"/>
    <w:rsid w:val="750AC1C0"/>
    <w:rsid w:val="75E2E900"/>
    <w:rsid w:val="768C671B"/>
    <w:rsid w:val="79CF18E7"/>
    <w:rsid w:val="79D2FF38"/>
    <w:rsid w:val="7A6056A9"/>
    <w:rsid w:val="7BDD5F25"/>
    <w:rsid w:val="7D27C962"/>
    <w:rsid w:val="7EFFB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2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Ind w:w="0" w:type="dxa"/>
      <w:tblCellMar>
        <w:top w:w="0" w:type="dxa"/>
        <w:left w:w="108" w:type="dxa"/>
        <w:bottom w:w="0" w:type="dxa"/>
        <w:right w:w="108" w:type="dxa"/>
      </w:tblCellMar>
    </w:tblPr>
  </w:style>
  <w:style w:type="table" w:customStyle="1" w:styleId="a0">
    <w:basedOn w:val="Tablanormal"/>
    <w:tblPr>
      <w:tblStyleRowBandSize w:val="1"/>
      <w:tblStyleColBandSize w:val="1"/>
      <w:tblInd w:w="0" w:type="dxa"/>
      <w:tblCellMar>
        <w:top w:w="0" w:type="dxa"/>
        <w:left w:w="108" w:type="dxa"/>
        <w:bottom w:w="0" w:type="dxa"/>
        <w:right w:w="108" w:type="dxa"/>
      </w:tblCellMar>
    </w:tblPr>
  </w:style>
  <w:style w:type="table" w:customStyle="1" w:styleId="a1">
    <w:basedOn w:val="Tablanormal"/>
    <w:tblPr>
      <w:tblStyleRowBandSize w:val="1"/>
      <w:tblStyleColBandSize w:val="1"/>
      <w:tblInd w:w="0" w:type="dxa"/>
      <w:tblCellMar>
        <w:top w:w="0" w:type="dxa"/>
        <w:left w:w="108" w:type="dxa"/>
        <w:bottom w:w="0" w:type="dxa"/>
        <w:right w:w="108" w:type="dxa"/>
      </w:tblCellMar>
    </w:tblPr>
  </w:style>
  <w:style w:type="table" w:customStyle="1" w:styleId="a2">
    <w:basedOn w:val="Tablanormal"/>
    <w:tblPr>
      <w:tblStyleRowBandSize w:val="1"/>
      <w:tblStyleColBandSize w:val="1"/>
      <w:tblInd w:w="0" w:type="dxa"/>
      <w:tblCellMar>
        <w:top w:w="0" w:type="dxa"/>
        <w:left w:w="108" w:type="dxa"/>
        <w:bottom w:w="0" w:type="dxa"/>
        <w:right w:w="108" w:type="dxa"/>
      </w:tblCellMar>
    </w:tblPr>
  </w:style>
  <w:style w:type="table" w:customStyle="1" w:styleId="a3">
    <w:basedOn w:val="Tablanormal"/>
    <w:tblPr>
      <w:tblStyleRowBandSize w:val="1"/>
      <w:tblStyleColBandSize w:val="1"/>
      <w:tblInd w:w="0" w:type="dxa"/>
      <w:tblCellMar>
        <w:top w:w="0" w:type="dxa"/>
        <w:left w:w="108" w:type="dxa"/>
        <w:bottom w:w="0" w:type="dxa"/>
        <w:right w:w="108" w:type="dxa"/>
      </w:tblCellMar>
    </w:tblPr>
  </w:style>
  <w:style w:type="table" w:customStyle="1" w:styleId="a4">
    <w:basedOn w:val="Tablanormal"/>
    <w:tblPr>
      <w:tblStyleRowBandSize w:val="1"/>
      <w:tblStyleColBandSize w:val="1"/>
      <w:tblInd w:w="0" w:type="dxa"/>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0C185B"/>
    <w:rPr>
      <w:sz w:val="18"/>
      <w:szCs w:val="18"/>
    </w:rPr>
  </w:style>
  <w:style w:type="character" w:customStyle="1" w:styleId="TextodegloboCar">
    <w:name w:val="Texto de globo Car"/>
    <w:basedOn w:val="Fuentedeprrafopredeter"/>
    <w:link w:val="Textodeglobo"/>
    <w:uiPriority w:val="99"/>
    <w:semiHidden/>
    <w:rsid w:val="000C185B"/>
    <w:rPr>
      <w:sz w:val="18"/>
      <w:szCs w:val="18"/>
    </w:rPr>
  </w:style>
  <w:style w:type="character" w:styleId="Hipervnculo">
    <w:name w:val="Hyperlink"/>
    <w:basedOn w:val="Fuentedeprrafopredeter"/>
    <w:uiPriority w:val="99"/>
    <w:unhideWhenUsed/>
    <w:rsid w:val="0047318F"/>
    <w:rPr>
      <w:color w:val="0000FF" w:themeColor="hyperlink"/>
      <w:u w:val="single"/>
    </w:rPr>
  </w:style>
  <w:style w:type="character" w:styleId="Hipervnculovisitado">
    <w:name w:val="FollowedHyperlink"/>
    <w:basedOn w:val="Fuentedeprrafopredeter"/>
    <w:uiPriority w:val="99"/>
    <w:semiHidden/>
    <w:unhideWhenUsed/>
    <w:rsid w:val="00CF3600"/>
    <w:rPr>
      <w:color w:val="800080" w:themeColor="followedHyperlink"/>
      <w:u w:val="single"/>
    </w:rPr>
  </w:style>
  <w:style w:type="paragraph" w:styleId="Encabezado">
    <w:name w:val="header"/>
    <w:basedOn w:val="Normal"/>
    <w:link w:val="EncabezadoCar"/>
    <w:uiPriority w:val="99"/>
    <w:unhideWhenUsed/>
    <w:rsid w:val="00A1295C"/>
    <w:pPr>
      <w:tabs>
        <w:tab w:val="center" w:pos="4680"/>
        <w:tab w:val="right" w:pos="9360"/>
      </w:tabs>
    </w:pPr>
  </w:style>
  <w:style w:type="character" w:customStyle="1" w:styleId="EncabezadoCar">
    <w:name w:val="Encabezado Car"/>
    <w:basedOn w:val="Fuentedeprrafopredeter"/>
    <w:link w:val="Encabezado"/>
    <w:uiPriority w:val="99"/>
    <w:rsid w:val="00A1295C"/>
  </w:style>
  <w:style w:type="paragraph" w:styleId="Piedepgina">
    <w:name w:val="footer"/>
    <w:basedOn w:val="Normal"/>
    <w:link w:val="PiedepginaCar"/>
    <w:uiPriority w:val="99"/>
    <w:unhideWhenUsed/>
    <w:rsid w:val="00A1295C"/>
    <w:pPr>
      <w:tabs>
        <w:tab w:val="center" w:pos="4680"/>
        <w:tab w:val="right" w:pos="9360"/>
      </w:tabs>
    </w:pPr>
  </w:style>
  <w:style w:type="character" w:customStyle="1" w:styleId="PiedepginaCar">
    <w:name w:val="Pie de página Car"/>
    <w:basedOn w:val="Fuentedeprrafopredeter"/>
    <w:link w:val="Piedepgina"/>
    <w:uiPriority w:val="99"/>
    <w:rsid w:val="00A1295C"/>
  </w:style>
  <w:style w:type="character" w:styleId="Textoennegrita">
    <w:name w:val="Strong"/>
    <w:basedOn w:val="Fuentedeprrafopredeter"/>
    <w:uiPriority w:val="22"/>
    <w:qFormat/>
    <w:rsid w:val="000E00D1"/>
    <w:rPr>
      <w:b/>
      <w:bCs/>
    </w:rPr>
  </w:style>
  <w:style w:type="paragraph" w:styleId="Prrafodelista">
    <w:name w:val="List Paragraph"/>
    <w:basedOn w:val="Normal"/>
    <w:uiPriority w:val="34"/>
    <w:qFormat/>
    <w:rsid w:val="00221957"/>
    <w:pPr>
      <w:ind w:left="720"/>
      <w:contextualSpacing/>
    </w:pPr>
  </w:style>
  <w:style w:type="paragraph" w:styleId="Asuntodelcomentario">
    <w:name w:val="annotation subject"/>
    <w:basedOn w:val="Textocomentario"/>
    <w:next w:val="Textocomentario"/>
    <w:link w:val="AsuntodelcomentarioCar"/>
    <w:uiPriority w:val="99"/>
    <w:semiHidden/>
    <w:unhideWhenUsed/>
    <w:rsid w:val="008E42D1"/>
    <w:rPr>
      <w:b/>
      <w:bCs/>
      <w:sz w:val="20"/>
      <w:szCs w:val="20"/>
    </w:rPr>
  </w:style>
  <w:style w:type="character" w:customStyle="1" w:styleId="AsuntodelcomentarioCar">
    <w:name w:val="Asunto del comentario Car"/>
    <w:basedOn w:val="TextocomentarioCar"/>
    <w:link w:val="Asuntodelcomentario"/>
    <w:uiPriority w:val="99"/>
    <w:semiHidden/>
    <w:rsid w:val="008E42D1"/>
    <w:rPr>
      <w:b/>
      <w:bCs/>
      <w:sz w:val="20"/>
      <w:szCs w:val="20"/>
    </w:rPr>
  </w:style>
  <w:style w:type="character" w:customStyle="1" w:styleId="Mencinsinresolver1">
    <w:name w:val="Mención sin resolver1"/>
    <w:basedOn w:val="Fuentedeprrafopredeter"/>
    <w:uiPriority w:val="99"/>
    <w:rsid w:val="0094439B"/>
    <w:rPr>
      <w:color w:val="605E5C"/>
      <w:shd w:val="clear" w:color="auto" w:fill="E1DFDD"/>
    </w:rPr>
  </w:style>
  <w:style w:type="paragraph" w:styleId="NormalWeb">
    <w:name w:val="Normal (Web)"/>
    <w:basedOn w:val="Normal"/>
    <w:uiPriority w:val="99"/>
    <w:unhideWhenUsed/>
    <w:rsid w:val="00B458D7"/>
    <w:pPr>
      <w:spacing w:before="100" w:beforeAutospacing="1" w:after="100" w:afterAutospacing="1"/>
    </w:pPr>
    <w:rPr>
      <w:lang w:val="da-DK" w:eastAsia="en-GB"/>
    </w:rPr>
  </w:style>
  <w:style w:type="character" w:customStyle="1" w:styleId="UnresolvedMention1">
    <w:name w:val="Unresolved Mention1"/>
    <w:basedOn w:val="Fuentedeprrafopredeter"/>
    <w:uiPriority w:val="99"/>
    <w:rsid w:val="00233FB7"/>
    <w:rPr>
      <w:color w:val="605E5C"/>
      <w:shd w:val="clear" w:color="auto" w:fill="E1DFDD"/>
    </w:rPr>
  </w:style>
  <w:style w:type="character" w:customStyle="1" w:styleId="UnresolvedMention2">
    <w:name w:val="Unresolved Mention2"/>
    <w:basedOn w:val="Fuentedeprrafopredeter"/>
    <w:uiPriority w:val="99"/>
    <w:rsid w:val="00EE7475"/>
    <w:rPr>
      <w:color w:val="605E5C"/>
      <w:shd w:val="clear" w:color="auto" w:fill="E1DFDD"/>
    </w:rPr>
  </w:style>
  <w:style w:type="character" w:customStyle="1" w:styleId="UnresolvedMention3">
    <w:name w:val="Unresolved Mention3"/>
    <w:basedOn w:val="Fuentedeprrafopredeter"/>
    <w:uiPriority w:val="99"/>
    <w:rsid w:val="0020154C"/>
    <w:rPr>
      <w:color w:val="605E5C"/>
      <w:shd w:val="clear" w:color="auto" w:fill="E1DFDD"/>
    </w:rPr>
  </w:style>
  <w:style w:type="character" w:customStyle="1" w:styleId="UnresolvedMention4">
    <w:name w:val="Unresolved Mention4"/>
    <w:basedOn w:val="Fuentedeprrafopredeter"/>
    <w:uiPriority w:val="99"/>
    <w:rsid w:val="0012366F"/>
    <w:rPr>
      <w:color w:val="605E5C"/>
      <w:shd w:val="clear" w:color="auto" w:fill="E1DFDD"/>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TextonotapieCar1"/>
    <w:uiPriority w:val="99"/>
    <w:unhideWhenUsed/>
    <w:qFormat/>
    <w:rsid w:val="0079195B"/>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79195B"/>
    <w:rPr>
      <w:sz w:val="20"/>
      <w:szCs w:val="20"/>
    </w:rPr>
  </w:style>
  <w:style w:type="character" w:styleId="Refdenotaalpie">
    <w:name w:val="footnote reference"/>
    <w:aliases w:val="4_G,Ref,de nota al pie,註腳內容,de nota al pie + (Asian) MS Mincho,11 pt,callout,Footnotes refss,Appel note de bas de p.,ftref,fr,oc-footreference,oc-footnoteref,oc-footreference1,oc-footnoteref1,(Diplomarbeit FZ),-E Fußnotenzeichen"/>
    <w:basedOn w:val="Fuentedeprrafopredeter"/>
    <w:link w:val="4GCharCharChar"/>
    <w:uiPriority w:val="99"/>
    <w:unhideWhenUsed/>
    <w:qFormat/>
    <w:rsid w:val="0079195B"/>
    <w:rPr>
      <w:vertAlign w:val="superscript"/>
    </w:rPr>
  </w:style>
  <w:style w:type="character" w:customStyle="1" w:styleId="UnresolvedMention5">
    <w:name w:val="Unresolved Mention5"/>
    <w:basedOn w:val="Fuentedeprrafopredeter"/>
    <w:uiPriority w:val="99"/>
    <w:rsid w:val="001038A9"/>
    <w:rPr>
      <w:color w:val="605E5C"/>
      <w:shd w:val="clear" w:color="auto" w:fill="E1DFDD"/>
    </w:rPr>
  </w:style>
  <w:style w:type="character" w:customStyle="1" w:styleId="UnresolvedMention6">
    <w:name w:val="Unresolved Mention6"/>
    <w:basedOn w:val="Fuentedeprrafopredeter"/>
    <w:uiPriority w:val="99"/>
    <w:semiHidden/>
    <w:unhideWhenUsed/>
    <w:rsid w:val="00886DB1"/>
    <w:rPr>
      <w:color w:val="605E5C"/>
      <w:shd w:val="clear" w:color="auto" w:fill="E1DFDD"/>
    </w:rPr>
  </w:style>
  <w:style w:type="paragraph" w:styleId="Revisin">
    <w:name w:val="Revision"/>
    <w:hidden/>
    <w:uiPriority w:val="99"/>
    <w:semiHidden/>
    <w:rsid w:val="006209E2"/>
  </w:style>
  <w:style w:type="character" w:customStyle="1" w:styleId="UnresolvedMention">
    <w:name w:val="Unresolved Mention"/>
    <w:basedOn w:val="Fuentedeprrafopredeter"/>
    <w:uiPriority w:val="99"/>
    <w:semiHidden/>
    <w:unhideWhenUsed/>
    <w:rsid w:val="00E5453E"/>
    <w:rPr>
      <w:color w:val="605E5C"/>
      <w:shd w:val="clear" w:color="auto" w:fill="E1DFDD"/>
    </w:rPr>
  </w:style>
  <w:style w:type="character" w:customStyle="1" w:styleId="apple-converted-space">
    <w:name w:val="apple-converted-space"/>
    <w:basedOn w:val="Fuentedeprrafopredeter"/>
    <w:rsid w:val="00B811BC"/>
  </w:style>
  <w:style w:type="table" w:styleId="Tablaconcuadrcula">
    <w:name w:val="Table Grid"/>
    <w:basedOn w:val="Tablanormal"/>
    <w:uiPriority w:val="39"/>
    <w:rsid w:val="0015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qFormat/>
    <w:rsid w:val="000E15CE"/>
    <w:pPr>
      <w:suppressAutoHyphens/>
      <w:spacing w:after="120" w:line="240" w:lineRule="atLeast"/>
      <w:ind w:left="1134" w:right="1134"/>
      <w:jc w:val="both"/>
    </w:pPr>
    <w:rPr>
      <w:sz w:val="20"/>
      <w:szCs w:val="20"/>
    </w:rPr>
  </w:style>
  <w:style w:type="character" w:customStyle="1" w:styleId="SingleTxtGChar">
    <w:name w:val="_ Single Txt_G Char"/>
    <w:link w:val="SingleTxtG"/>
    <w:qFormat/>
    <w:locked/>
    <w:rsid w:val="000E15CE"/>
    <w:rPr>
      <w:sz w:val="20"/>
      <w:szCs w:val="20"/>
    </w:rPr>
  </w:style>
  <w:style w:type="character" w:customStyle="1" w:styleId="5GCar">
    <w:name w:val="5_G Car"/>
    <w:aliases w:val="Footnote Text Char Car Car Car,Footnote Text Char Car Car Car Car Car Car,Footnote Text Char Car Car Car Car Car1,fn Car,footnote text Car,Footnotes Car,Footnote ak Car,ft Car,fn cafc Car,fn Char Char Car"/>
    <w:basedOn w:val="Fuentedeprrafopredeter"/>
    <w:uiPriority w:val="99"/>
    <w:rsid w:val="00394F50"/>
    <w:rPr>
      <w:rFonts w:ascii="Times New Roman" w:eastAsia="Times New Roman" w:hAnsi="Times New Roman" w:cs="Times New Roman"/>
      <w:sz w:val="18"/>
      <w:lang w:bidi="ar-SA"/>
    </w:rPr>
  </w:style>
  <w:style w:type="paragraph" w:customStyle="1" w:styleId="ParNoG">
    <w:name w:val="_ParNo_G"/>
    <w:basedOn w:val="SingleTxtG"/>
    <w:qFormat/>
    <w:rsid w:val="00394F50"/>
    <w:pPr>
      <w:numPr>
        <w:numId w:val="2"/>
      </w:numPr>
      <w:kinsoku w:val="0"/>
      <w:overflowPunct w:val="0"/>
      <w:autoSpaceDE w:val="0"/>
      <w:autoSpaceDN w:val="0"/>
      <w:adjustRightInd w:val="0"/>
      <w:snapToGrid w:val="0"/>
    </w:pPr>
  </w:style>
  <w:style w:type="paragraph" w:customStyle="1" w:styleId="4GCharCharChar">
    <w:name w:val="4_G Char Char Char"/>
    <w:aliases w:val="ftref Char Char Char,16 Point Char Char Char,Superscript 6 Point Char Char Char Char Char Char"/>
    <w:basedOn w:val="Normal"/>
    <w:link w:val="Refdenotaalpie"/>
    <w:uiPriority w:val="99"/>
    <w:rsid w:val="00394F50"/>
    <w:pPr>
      <w:jc w:val="both"/>
    </w:pPr>
    <w:rPr>
      <w:vertAlign w:val="superscript"/>
    </w:rPr>
  </w:style>
  <w:style w:type="paragraph" w:styleId="Textonotaalfinal">
    <w:name w:val="endnote text"/>
    <w:basedOn w:val="Normal"/>
    <w:link w:val="TextonotaalfinalCar"/>
    <w:uiPriority w:val="99"/>
    <w:semiHidden/>
    <w:unhideWhenUsed/>
    <w:rsid w:val="00D33129"/>
    <w:rPr>
      <w:rFonts w:asciiTheme="minorHAnsi" w:eastAsiaTheme="minorHAnsi" w:hAnsiTheme="minorHAnsi" w:cstheme="minorBidi"/>
      <w:sz w:val="20"/>
      <w:szCs w:val="20"/>
      <w:lang w:val="es-MX"/>
    </w:rPr>
  </w:style>
  <w:style w:type="character" w:customStyle="1" w:styleId="TextonotaalfinalCar">
    <w:name w:val="Texto nota al final Car"/>
    <w:basedOn w:val="Fuentedeprrafopredeter"/>
    <w:link w:val="Textonotaalfinal"/>
    <w:uiPriority w:val="99"/>
    <w:semiHidden/>
    <w:rsid w:val="00D33129"/>
    <w:rPr>
      <w:rFonts w:asciiTheme="minorHAnsi" w:eastAsiaTheme="minorHAnsi" w:hAnsiTheme="minorHAnsi" w:cstheme="minorBidi"/>
      <w:sz w:val="20"/>
      <w:szCs w:val="20"/>
      <w:lang w:val="es-MX"/>
    </w:rPr>
  </w:style>
  <w:style w:type="character" w:styleId="Refdenotaalfinal">
    <w:name w:val="endnote reference"/>
    <w:basedOn w:val="Fuentedeprrafopredeter"/>
    <w:uiPriority w:val="99"/>
    <w:semiHidden/>
    <w:unhideWhenUsed/>
    <w:rsid w:val="00D33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454">
      <w:bodyDiv w:val="1"/>
      <w:marLeft w:val="0"/>
      <w:marRight w:val="0"/>
      <w:marTop w:val="0"/>
      <w:marBottom w:val="0"/>
      <w:divBdr>
        <w:top w:val="none" w:sz="0" w:space="0" w:color="auto"/>
        <w:left w:val="none" w:sz="0" w:space="0" w:color="auto"/>
        <w:bottom w:val="none" w:sz="0" w:space="0" w:color="auto"/>
        <w:right w:val="none" w:sz="0" w:space="0" w:color="auto"/>
      </w:divBdr>
    </w:div>
    <w:div w:id="28259883">
      <w:bodyDiv w:val="1"/>
      <w:marLeft w:val="0"/>
      <w:marRight w:val="0"/>
      <w:marTop w:val="0"/>
      <w:marBottom w:val="0"/>
      <w:divBdr>
        <w:top w:val="none" w:sz="0" w:space="0" w:color="auto"/>
        <w:left w:val="none" w:sz="0" w:space="0" w:color="auto"/>
        <w:bottom w:val="none" w:sz="0" w:space="0" w:color="auto"/>
        <w:right w:val="none" w:sz="0" w:space="0" w:color="auto"/>
      </w:divBdr>
    </w:div>
    <w:div w:id="70004836">
      <w:bodyDiv w:val="1"/>
      <w:marLeft w:val="0"/>
      <w:marRight w:val="0"/>
      <w:marTop w:val="0"/>
      <w:marBottom w:val="0"/>
      <w:divBdr>
        <w:top w:val="none" w:sz="0" w:space="0" w:color="auto"/>
        <w:left w:val="none" w:sz="0" w:space="0" w:color="auto"/>
        <w:bottom w:val="none" w:sz="0" w:space="0" w:color="auto"/>
        <w:right w:val="none" w:sz="0" w:space="0" w:color="auto"/>
      </w:divBdr>
    </w:div>
    <w:div w:id="85031372">
      <w:bodyDiv w:val="1"/>
      <w:marLeft w:val="0"/>
      <w:marRight w:val="0"/>
      <w:marTop w:val="0"/>
      <w:marBottom w:val="0"/>
      <w:divBdr>
        <w:top w:val="none" w:sz="0" w:space="0" w:color="auto"/>
        <w:left w:val="none" w:sz="0" w:space="0" w:color="auto"/>
        <w:bottom w:val="none" w:sz="0" w:space="0" w:color="auto"/>
        <w:right w:val="none" w:sz="0" w:space="0" w:color="auto"/>
      </w:divBdr>
    </w:div>
    <w:div w:id="89469751">
      <w:bodyDiv w:val="1"/>
      <w:marLeft w:val="0"/>
      <w:marRight w:val="0"/>
      <w:marTop w:val="0"/>
      <w:marBottom w:val="0"/>
      <w:divBdr>
        <w:top w:val="none" w:sz="0" w:space="0" w:color="auto"/>
        <w:left w:val="none" w:sz="0" w:space="0" w:color="auto"/>
        <w:bottom w:val="none" w:sz="0" w:space="0" w:color="auto"/>
        <w:right w:val="none" w:sz="0" w:space="0" w:color="auto"/>
      </w:divBdr>
    </w:div>
    <w:div w:id="136996922">
      <w:bodyDiv w:val="1"/>
      <w:marLeft w:val="0"/>
      <w:marRight w:val="0"/>
      <w:marTop w:val="0"/>
      <w:marBottom w:val="0"/>
      <w:divBdr>
        <w:top w:val="none" w:sz="0" w:space="0" w:color="auto"/>
        <w:left w:val="none" w:sz="0" w:space="0" w:color="auto"/>
        <w:bottom w:val="none" w:sz="0" w:space="0" w:color="auto"/>
        <w:right w:val="none" w:sz="0" w:space="0" w:color="auto"/>
      </w:divBdr>
    </w:div>
    <w:div w:id="149716738">
      <w:bodyDiv w:val="1"/>
      <w:marLeft w:val="0"/>
      <w:marRight w:val="0"/>
      <w:marTop w:val="0"/>
      <w:marBottom w:val="0"/>
      <w:divBdr>
        <w:top w:val="none" w:sz="0" w:space="0" w:color="auto"/>
        <w:left w:val="none" w:sz="0" w:space="0" w:color="auto"/>
        <w:bottom w:val="none" w:sz="0" w:space="0" w:color="auto"/>
        <w:right w:val="none" w:sz="0" w:space="0" w:color="auto"/>
      </w:divBdr>
    </w:div>
    <w:div w:id="166287253">
      <w:bodyDiv w:val="1"/>
      <w:marLeft w:val="0"/>
      <w:marRight w:val="0"/>
      <w:marTop w:val="0"/>
      <w:marBottom w:val="0"/>
      <w:divBdr>
        <w:top w:val="none" w:sz="0" w:space="0" w:color="auto"/>
        <w:left w:val="none" w:sz="0" w:space="0" w:color="auto"/>
        <w:bottom w:val="none" w:sz="0" w:space="0" w:color="auto"/>
        <w:right w:val="none" w:sz="0" w:space="0" w:color="auto"/>
      </w:divBdr>
      <w:divsChild>
        <w:div w:id="318510011">
          <w:marLeft w:val="0"/>
          <w:marRight w:val="0"/>
          <w:marTop w:val="0"/>
          <w:marBottom w:val="0"/>
          <w:divBdr>
            <w:top w:val="none" w:sz="0" w:space="0" w:color="auto"/>
            <w:left w:val="none" w:sz="0" w:space="0" w:color="auto"/>
            <w:bottom w:val="none" w:sz="0" w:space="0" w:color="auto"/>
            <w:right w:val="none" w:sz="0" w:space="0" w:color="auto"/>
          </w:divBdr>
          <w:divsChild>
            <w:div w:id="1542131874">
              <w:marLeft w:val="0"/>
              <w:marRight w:val="0"/>
              <w:marTop w:val="0"/>
              <w:marBottom w:val="0"/>
              <w:divBdr>
                <w:top w:val="none" w:sz="0" w:space="0" w:color="auto"/>
                <w:left w:val="none" w:sz="0" w:space="0" w:color="auto"/>
                <w:bottom w:val="none" w:sz="0" w:space="0" w:color="auto"/>
                <w:right w:val="none" w:sz="0" w:space="0" w:color="auto"/>
              </w:divBdr>
              <w:divsChild>
                <w:div w:id="5682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2590">
      <w:bodyDiv w:val="1"/>
      <w:marLeft w:val="0"/>
      <w:marRight w:val="0"/>
      <w:marTop w:val="0"/>
      <w:marBottom w:val="0"/>
      <w:divBdr>
        <w:top w:val="none" w:sz="0" w:space="0" w:color="auto"/>
        <w:left w:val="none" w:sz="0" w:space="0" w:color="auto"/>
        <w:bottom w:val="none" w:sz="0" w:space="0" w:color="auto"/>
        <w:right w:val="none" w:sz="0" w:space="0" w:color="auto"/>
      </w:divBdr>
    </w:div>
    <w:div w:id="191501964">
      <w:bodyDiv w:val="1"/>
      <w:marLeft w:val="0"/>
      <w:marRight w:val="0"/>
      <w:marTop w:val="0"/>
      <w:marBottom w:val="0"/>
      <w:divBdr>
        <w:top w:val="none" w:sz="0" w:space="0" w:color="auto"/>
        <w:left w:val="none" w:sz="0" w:space="0" w:color="auto"/>
        <w:bottom w:val="none" w:sz="0" w:space="0" w:color="auto"/>
        <w:right w:val="none" w:sz="0" w:space="0" w:color="auto"/>
      </w:divBdr>
    </w:div>
    <w:div w:id="217671082">
      <w:bodyDiv w:val="1"/>
      <w:marLeft w:val="0"/>
      <w:marRight w:val="0"/>
      <w:marTop w:val="0"/>
      <w:marBottom w:val="0"/>
      <w:divBdr>
        <w:top w:val="none" w:sz="0" w:space="0" w:color="auto"/>
        <w:left w:val="none" w:sz="0" w:space="0" w:color="auto"/>
        <w:bottom w:val="none" w:sz="0" w:space="0" w:color="auto"/>
        <w:right w:val="none" w:sz="0" w:space="0" w:color="auto"/>
      </w:divBdr>
    </w:div>
    <w:div w:id="239412846">
      <w:bodyDiv w:val="1"/>
      <w:marLeft w:val="0"/>
      <w:marRight w:val="0"/>
      <w:marTop w:val="0"/>
      <w:marBottom w:val="0"/>
      <w:divBdr>
        <w:top w:val="none" w:sz="0" w:space="0" w:color="auto"/>
        <w:left w:val="none" w:sz="0" w:space="0" w:color="auto"/>
        <w:bottom w:val="none" w:sz="0" w:space="0" w:color="auto"/>
        <w:right w:val="none" w:sz="0" w:space="0" w:color="auto"/>
      </w:divBdr>
      <w:divsChild>
        <w:div w:id="1371491550">
          <w:marLeft w:val="0"/>
          <w:marRight w:val="0"/>
          <w:marTop w:val="0"/>
          <w:marBottom w:val="0"/>
          <w:divBdr>
            <w:top w:val="none" w:sz="0" w:space="0" w:color="auto"/>
            <w:left w:val="none" w:sz="0" w:space="0" w:color="auto"/>
            <w:bottom w:val="none" w:sz="0" w:space="0" w:color="auto"/>
            <w:right w:val="none" w:sz="0" w:space="0" w:color="auto"/>
          </w:divBdr>
          <w:divsChild>
            <w:div w:id="1696878940">
              <w:marLeft w:val="0"/>
              <w:marRight w:val="0"/>
              <w:marTop w:val="0"/>
              <w:marBottom w:val="0"/>
              <w:divBdr>
                <w:top w:val="none" w:sz="0" w:space="0" w:color="auto"/>
                <w:left w:val="none" w:sz="0" w:space="0" w:color="auto"/>
                <w:bottom w:val="none" w:sz="0" w:space="0" w:color="auto"/>
                <w:right w:val="none" w:sz="0" w:space="0" w:color="auto"/>
              </w:divBdr>
              <w:divsChild>
                <w:div w:id="5473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1120">
      <w:bodyDiv w:val="1"/>
      <w:marLeft w:val="0"/>
      <w:marRight w:val="0"/>
      <w:marTop w:val="0"/>
      <w:marBottom w:val="0"/>
      <w:divBdr>
        <w:top w:val="none" w:sz="0" w:space="0" w:color="auto"/>
        <w:left w:val="none" w:sz="0" w:space="0" w:color="auto"/>
        <w:bottom w:val="none" w:sz="0" w:space="0" w:color="auto"/>
        <w:right w:val="none" w:sz="0" w:space="0" w:color="auto"/>
      </w:divBdr>
    </w:div>
    <w:div w:id="280191163">
      <w:bodyDiv w:val="1"/>
      <w:marLeft w:val="0"/>
      <w:marRight w:val="0"/>
      <w:marTop w:val="0"/>
      <w:marBottom w:val="0"/>
      <w:divBdr>
        <w:top w:val="none" w:sz="0" w:space="0" w:color="auto"/>
        <w:left w:val="none" w:sz="0" w:space="0" w:color="auto"/>
        <w:bottom w:val="none" w:sz="0" w:space="0" w:color="auto"/>
        <w:right w:val="none" w:sz="0" w:space="0" w:color="auto"/>
      </w:divBdr>
      <w:divsChild>
        <w:div w:id="835344911">
          <w:marLeft w:val="0"/>
          <w:marRight w:val="0"/>
          <w:marTop w:val="0"/>
          <w:marBottom w:val="0"/>
          <w:divBdr>
            <w:top w:val="none" w:sz="0" w:space="0" w:color="auto"/>
            <w:left w:val="none" w:sz="0" w:space="0" w:color="auto"/>
            <w:bottom w:val="none" w:sz="0" w:space="0" w:color="auto"/>
            <w:right w:val="none" w:sz="0" w:space="0" w:color="auto"/>
          </w:divBdr>
          <w:divsChild>
            <w:div w:id="904610735">
              <w:marLeft w:val="0"/>
              <w:marRight w:val="0"/>
              <w:marTop w:val="0"/>
              <w:marBottom w:val="0"/>
              <w:divBdr>
                <w:top w:val="none" w:sz="0" w:space="0" w:color="auto"/>
                <w:left w:val="none" w:sz="0" w:space="0" w:color="auto"/>
                <w:bottom w:val="none" w:sz="0" w:space="0" w:color="auto"/>
                <w:right w:val="none" w:sz="0" w:space="0" w:color="auto"/>
              </w:divBdr>
              <w:divsChild>
                <w:div w:id="12722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3569">
      <w:bodyDiv w:val="1"/>
      <w:marLeft w:val="0"/>
      <w:marRight w:val="0"/>
      <w:marTop w:val="0"/>
      <w:marBottom w:val="0"/>
      <w:divBdr>
        <w:top w:val="none" w:sz="0" w:space="0" w:color="auto"/>
        <w:left w:val="none" w:sz="0" w:space="0" w:color="auto"/>
        <w:bottom w:val="none" w:sz="0" w:space="0" w:color="auto"/>
        <w:right w:val="none" w:sz="0" w:space="0" w:color="auto"/>
      </w:divBdr>
      <w:divsChild>
        <w:div w:id="1227566493">
          <w:marLeft w:val="0"/>
          <w:marRight w:val="0"/>
          <w:marTop w:val="0"/>
          <w:marBottom w:val="0"/>
          <w:divBdr>
            <w:top w:val="none" w:sz="0" w:space="0" w:color="auto"/>
            <w:left w:val="none" w:sz="0" w:space="0" w:color="auto"/>
            <w:bottom w:val="none" w:sz="0" w:space="0" w:color="auto"/>
            <w:right w:val="none" w:sz="0" w:space="0" w:color="auto"/>
          </w:divBdr>
        </w:div>
        <w:div w:id="1856848151">
          <w:marLeft w:val="0"/>
          <w:marRight w:val="0"/>
          <w:marTop w:val="0"/>
          <w:marBottom w:val="0"/>
          <w:divBdr>
            <w:top w:val="none" w:sz="0" w:space="0" w:color="auto"/>
            <w:left w:val="none" w:sz="0" w:space="0" w:color="auto"/>
            <w:bottom w:val="none" w:sz="0" w:space="0" w:color="auto"/>
            <w:right w:val="none" w:sz="0" w:space="0" w:color="auto"/>
          </w:divBdr>
        </w:div>
        <w:div w:id="600139913">
          <w:marLeft w:val="0"/>
          <w:marRight w:val="0"/>
          <w:marTop w:val="0"/>
          <w:marBottom w:val="0"/>
          <w:divBdr>
            <w:top w:val="none" w:sz="0" w:space="0" w:color="auto"/>
            <w:left w:val="none" w:sz="0" w:space="0" w:color="auto"/>
            <w:bottom w:val="none" w:sz="0" w:space="0" w:color="auto"/>
            <w:right w:val="none" w:sz="0" w:space="0" w:color="auto"/>
          </w:divBdr>
        </w:div>
        <w:div w:id="1674802298">
          <w:marLeft w:val="0"/>
          <w:marRight w:val="0"/>
          <w:marTop w:val="0"/>
          <w:marBottom w:val="0"/>
          <w:divBdr>
            <w:top w:val="none" w:sz="0" w:space="0" w:color="auto"/>
            <w:left w:val="none" w:sz="0" w:space="0" w:color="auto"/>
            <w:bottom w:val="none" w:sz="0" w:space="0" w:color="auto"/>
            <w:right w:val="none" w:sz="0" w:space="0" w:color="auto"/>
          </w:divBdr>
        </w:div>
        <w:div w:id="169563683">
          <w:marLeft w:val="0"/>
          <w:marRight w:val="0"/>
          <w:marTop w:val="0"/>
          <w:marBottom w:val="0"/>
          <w:divBdr>
            <w:top w:val="none" w:sz="0" w:space="0" w:color="auto"/>
            <w:left w:val="none" w:sz="0" w:space="0" w:color="auto"/>
            <w:bottom w:val="none" w:sz="0" w:space="0" w:color="auto"/>
            <w:right w:val="none" w:sz="0" w:space="0" w:color="auto"/>
          </w:divBdr>
        </w:div>
      </w:divsChild>
    </w:div>
    <w:div w:id="346253996">
      <w:bodyDiv w:val="1"/>
      <w:marLeft w:val="0"/>
      <w:marRight w:val="0"/>
      <w:marTop w:val="0"/>
      <w:marBottom w:val="0"/>
      <w:divBdr>
        <w:top w:val="none" w:sz="0" w:space="0" w:color="auto"/>
        <w:left w:val="none" w:sz="0" w:space="0" w:color="auto"/>
        <w:bottom w:val="none" w:sz="0" w:space="0" w:color="auto"/>
        <w:right w:val="none" w:sz="0" w:space="0" w:color="auto"/>
      </w:divBdr>
    </w:div>
    <w:div w:id="372392532">
      <w:bodyDiv w:val="1"/>
      <w:marLeft w:val="0"/>
      <w:marRight w:val="0"/>
      <w:marTop w:val="0"/>
      <w:marBottom w:val="0"/>
      <w:divBdr>
        <w:top w:val="none" w:sz="0" w:space="0" w:color="auto"/>
        <w:left w:val="none" w:sz="0" w:space="0" w:color="auto"/>
        <w:bottom w:val="none" w:sz="0" w:space="0" w:color="auto"/>
        <w:right w:val="none" w:sz="0" w:space="0" w:color="auto"/>
      </w:divBdr>
    </w:div>
    <w:div w:id="394622125">
      <w:bodyDiv w:val="1"/>
      <w:marLeft w:val="0"/>
      <w:marRight w:val="0"/>
      <w:marTop w:val="0"/>
      <w:marBottom w:val="0"/>
      <w:divBdr>
        <w:top w:val="none" w:sz="0" w:space="0" w:color="auto"/>
        <w:left w:val="none" w:sz="0" w:space="0" w:color="auto"/>
        <w:bottom w:val="none" w:sz="0" w:space="0" w:color="auto"/>
        <w:right w:val="none" w:sz="0" w:space="0" w:color="auto"/>
      </w:divBdr>
    </w:div>
    <w:div w:id="433594829">
      <w:bodyDiv w:val="1"/>
      <w:marLeft w:val="0"/>
      <w:marRight w:val="0"/>
      <w:marTop w:val="0"/>
      <w:marBottom w:val="0"/>
      <w:divBdr>
        <w:top w:val="none" w:sz="0" w:space="0" w:color="auto"/>
        <w:left w:val="none" w:sz="0" w:space="0" w:color="auto"/>
        <w:bottom w:val="none" w:sz="0" w:space="0" w:color="auto"/>
        <w:right w:val="none" w:sz="0" w:space="0" w:color="auto"/>
      </w:divBdr>
    </w:div>
    <w:div w:id="452939030">
      <w:bodyDiv w:val="1"/>
      <w:marLeft w:val="0"/>
      <w:marRight w:val="0"/>
      <w:marTop w:val="0"/>
      <w:marBottom w:val="0"/>
      <w:divBdr>
        <w:top w:val="none" w:sz="0" w:space="0" w:color="auto"/>
        <w:left w:val="none" w:sz="0" w:space="0" w:color="auto"/>
        <w:bottom w:val="none" w:sz="0" w:space="0" w:color="auto"/>
        <w:right w:val="none" w:sz="0" w:space="0" w:color="auto"/>
      </w:divBdr>
    </w:div>
    <w:div w:id="537476925">
      <w:bodyDiv w:val="1"/>
      <w:marLeft w:val="0"/>
      <w:marRight w:val="0"/>
      <w:marTop w:val="0"/>
      <w:marBottom w:val="0"/>
      <w:divBdr>
        <w:top w:val="none" w:sz="0" w:space="0" w:color="auto"/>
        <w:left w:val="none" w:sz="0" w:space="0" w:color="auto"/>
        <w:bottom w:val="none" w:sz="0" w:space="0" w:color="auto"/>
        <w:right w:val="none" w:sz="0" w:space="0" w:color="auto"/>
      </w:divBdr>
    </w:div>
    <w:div w:id="540213641">
      <w:bodyDiv w:val="1"/>
      <w:marLeft w:val="0"/>
      <w:marRight w:val="0"/>
      <w:marTop w:val="0"/>
      <w:marBottom w:val="0"/>
      <w:divBdr>
        <w:top w:val="none" w:sz="0" w:space="0" w:color="auto"/>
        <w:left w:val="none" w:sz="0" w:space="0" w:color="auto"/>
        <w:bottom w:val="none" w:sz="0" w:space="0" w:color="auto"/>
        <w:right w:val="none" w:sz="0" w:space="0" w:color="auto"/>
      </w:divBdr>
    </w:div>
    <w:div w:id="558638971">
      <w:bodyDiv w:val="1"/>
      <w:marLeft w:val="0"/>
      <w:marRight w:val="0"/>
      <w:marTop w:val="0"/>
      <w:marBottom w:val="0"/>
      <w:divBdr>
        <w:top w:val="none" w:sz="0" w:space="0" w:color="auto"/>
        <w:left w:val="none" w:sz="0" w:space="0" w:color="auto"/>
        <w:bottom w:val="none" w:sz="0" w:space="0" w:color="auto"/>
        <w:right w:val="none" w:sz="0" w:space="0" w:color="auto"/>
      </w:divBdr>
    </w:div>
    <w:div w:id="575478669">
      <w:bodyDiv w:val="1"/>
      <w:marLeft w:val="0"/>
      <w:marRight w:val="0"/>
      <w:marTop w:val="0"/>
      <w:marBottom w:val="0"/>
      <w:divBdr>
        <w:top w:val="none" w:sz="0" w:space="0" w:color="auto"/>
        <w:left w:val="none" w:sz="0" w:space="0" w:color="auto"/>
        <w:bottom w:val="none" w:sz="0" w:space="0" w:color="auto"/>
        <w:right w:val="none" w:sz="0" w:space="0" w:color="auto"/>
      </w:divBdr>
    </w:div>
    <w:div w:id="619722975">
      <w:bodyDiv w:val="1"/>
      <w:marLeft w:val="0"/>
      <w:marRight w:val="0"/>
      <w:marTop w:val="0"/>
      <w:marBottom w:val="0"/>
      <w:divBdr>
        <w:top w:val="none" w:sz="0" w:space="0" w:color="auto"/>
        <w:left w:val="none" w:sz="0" w:space="0" w:color="auto"/>
        <w:bottom w:val="none" w:sz="0" w:space="0" w:color="auto"/>
        <w:right w:val="none" w:sz="0" w:space="0" w:color="auto"/>
      </w:divBdr>
    </w:div>
    <w:div w:id="644701817">
      <w:bodyDiv w:val="1"/>
      <w:marLeft w:val="0"/>
      <w:marRight w:val="0"/>
      <w:marTop w:val="0"/>
      <w:marBottom w:val="0"/>
      <w:divBdr>
        <w:top w:val="none" w:sz="0" w:space="0" w:color="auto"/>
        <w:left w:val="none" w:sz="0" w:space="0" w:color="auto"/>
        <w:bottom w:val="none" w:sz="0" w:space="0" w:color="auto"/>
        <w:right w:val="none" w:sz="0" w:space="0" w:color="auto"/>
      </w:divBdr>
    </w:div>
    <w:div w:id="691806061">
      <w:bodyDiv w:val="1"/>
      <w:marLeft w:val="0"/>
      <w:marRight w:val="0"/>
      <w:marTop w:val="0"/>
      <w:marBottom w:val="0"/>
      <w:divBdr>
        <w:top w:val="none" w:sz="0" w:space="0" w:color="auto"/>
        <w:left w:val="none" w:sz="0" w:space="0" w:color="auto"/>
        <w:bottom w:val="none" w:sz="0" w:space="0" w:color="auto"/>
        <w:right w:val="none" w:sz="0" w:space="0" w:color="auto"/>
      </w:divBdr>
    </w:div>
    <w:div w:id="721173018">
      <w:bodyDiv w:val="1"/>
      <w:marLeft w:val="0"/>
      <w:marRight w:val="0"/>
      <w:marTop w:val="0"/>
      <w:marBottom w:val="0"/>
      <w:divBdr>
        <w:top w:val="none" w:sz="0" w:space="0" w:color="auto"/>
        <w:left w:val="none" w:sz="0" w:space="0" w:color="auto"/>
        <w:bottom w:val="none" w:sz="0" w:space="0" w:color="auto"/>
        <w:right w:val="none" w:sz="0" w:space="0" w:color="auto"/>
      </w:divBdr>
      <w:divsChild>
        <w:div w:id="593320720">
          <w:marLeft w:val="0"/>
          <w:marRight w:val="0"/>
          <w:marTop w:val="0"/>
          <w:marBottom w:val="0"/>
          <w:divBdr>
            <w:top w:val="none" w:sz="0" w:space="0" w:color="auto"/>
            <w:left w:val="none" w:sz="0" w:space="0" w:color="auto"/>
            <w:bottom w:val="none" w:sz="0" w:space="0" w:color="auto"/>
            <w:right w:val="none" w:sz="0" w:space="0" w:color="auto"/>
          </w:divBdr>
          <w:divsChild>
            <w:div w:id="1620061612">
              <w:marLeft w:val="0"/>
              <w:marRight w:val="0"/>
              <w:marTop w:val="0"/>
              <w:marBottom w:val="0"/>
              <w:divBdr>
                <w:top w:val="none" w:sz="0" w:space="0" w:color="auto"/>
                <w:left w:val="none" w:sz="0" w:space="0" w:color="auto"/>
                <w:bottom w:val="none" w:sz="0" w:space="0" w:color="auto"/>
                <w:right w:val="none" w:sz="0" w:space="0" w:color="auto"/>
              </w:divBdr>
              <w:divsChild>
                <w:div w:id="48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9103">
      <w:bodyDiv w:val="1"/>
      <w:marLeft w:val="0"/>
      <w:marRight w:val="0"/>
      <w:marTop w:val="0"/>
      <w:marBottom w:val="0"/>
      <w:divBdr>
        <w:top w:val="none" w:sz="0" w:space="0" w:color="auto"/>
        <w:left w:val="none" w:sz="0" w:space="0" w:color="auto"/>
        <w:bottom w:val="none" w:sz="0" w:space="0" w:color="auto"/>
        <w:right w:val="none" w:sz="0" w:space="0" w:color="auto"/>
      </w:divBdr>
    </w:div>
    <w:div w:id="764960763">
      <w:bodyDiv w:val="1"/>
      <w:marLeft w:val="0"/>
      <w:marRight w:val="0"/>
      <w:marTop w:val="0"/>
      <w:marBottom w:val="0"/>
      <w:divBdr>
        <w:top w:val="none" w:sz="0" w:space="0" w:color="auto"/>
        <w:left w:val="none" w:sz="0" w:space="0" w:color="auto"/>
        <w:bottom w:val="none" w:sz="0" w:space="0" w:color="auto"/>
        <w:right w:val="none" w:sz="0" w:space="0" w:color="auto"/>
      </w:divBdr>
    </w:div>
    <w:div w:id="806824128">
      <w:bodyDiv w:val="1"/>
      <w:marLeft w:val="0"/>
      <w:marRight w:val="0"/>
      <w:marTop w:val="0"/>
      <w:marBottom w:val="0"/>
      <w:divBdr>
        <w:top w:val="none" w:sz="0" w:space="0" w:color="auto"/>
        <w:left w:val="none" w:sz="0" w:space="0" w:color="auto"/>
        <w:bottom w:val="none" w:sz="0" w:space="0" w:color="auto"/>
        <w:right w:val="none" w:sz="0" w:space="0" w:color="auto"/>
      </w:divBdr>
    </w:div>
    <w:div w:id="808785792">
      <w:bodyDiv w:val="1"/>
      <w:marLeft w:val="0"/>
      <w:marRight w:val="0"/>
      <w:marTop w:val="0"/>
      <w:marBottom w:val="0"/>
      <w:divBdr>
        <w:top w:val="none" w:sz="0" w:space="0" w:color="auto"/>
        <w:left w:val="none" w:sz="0" w:space="0" w:color="auto"/>
        <w:bottom w:val="none" w:sz="0" w:space="0" w:color="auto"/>
        <w:right w:val="none" w:sz="0" w:space="0" w:color="auto"/>
      </w:divBdr>
    </w:div>
    <w:div w:id="821239305">
      <w:bodyDiv w:val="1"/>
      <w:marLeft w:val="0"/>
      <w:marRight w:val="0"/>
      <w:marTop w:val="0"/>
      <w:marBottom w:val="0"/>
      <w:divBdr>
        <w:top w:val="none" w:sz="0" w:space="0" w:color="auto"/>
        <w:left w:val="none" w:sz="0" w:space="0" w:color="auto"/>
        <w:bottom w:val="none" w:sz="0" w:space="0" w:color="auto"/>
        <w:right w:val="none" w:sz="0" w:space="0" w:color="auto"/>
      </w:divBdr>
    </w:div>
    <w:div w:id="825364498">
      <w:bodyDiv w:val="1"/>
      <w:marLeft w:val="0"/>
      <w:marRight w:val="0"/>
      <w:marTop w:val="0"/>
      <w:marBottom w:val="0"/>
      <w:divBdr>
        <w:top w:val="none" w:sz="0" w:space="0" w:color="auto"/>
        <w:left w:val="none" w:sz="0" w:space="0" w:color="auto"/>
        <w:bottom w:val="none" w:sz="0" w:space="0" w:color="auto"/>
        <w:right w:val="none" w:sz="0" w:space="0" w:color="auto"/>
      </w:divBdr>
    </w:div>
    <w:div w:id="847984595">
      <w:bodyDiv w:val="1"/>
      <w:marLeft w:val="0"/>
      <w:marRight w:val="0"/>
      <w:marTop w:val="0"/>
      <w:marBottom w:val="0"/>
      <w:divBdr>
        <w:top w:val="none" w:sz="0" w:space="0" w:color="auto"/>
        <w:left w:val="none" w:sz="0" w:space="0" w:color="auto"/>
        <w:bottom w:val="none" w:sz="0" w:space="0" w:color="auto"/>
        <w:right w:val="none" w:sz="0" w:space="0" w:color="auto"/>
      </w:divBdr>
    </w:div>
    <w:div w:id="906107831">
      <w:bodyDiv w:val="1"/>
      <w:marLeft w:val="0"/>
      <w:marRight w:val="0"/>
      <w:marTop w:val="0"/>
      <w:marBottom w:val="0"/>
      <w:divBdr>
        <w:top w:val="none" w:sz="0" w:space="0" w:color="auto"/>
        <w:left w:val="none" w:sz="0" w:space="0" w:color="auto"/>
        <w:bottom w:val="none" w:sz="0" w:space="0" w:color="auto"/>
        <w:right w:val="none" w:sz="0" w:space="0" w:color="auto"/>
      </w:divBdr>
    </w:div>
    <w:div w:id="928008329">
      <w:bodyDiv w:val="1"/>
      <w:marLeft w:val="0"/>
      <w:marRight w:val="0"/>
      <w:marTop w:val="0"/>
      <w:marBottom w:val="0"/>
      <w:divBdr>
        <w:top w:val="none" w:sz="0" w:space="0" w:color="auto"/>
        <w:left w:val="none" w:sz="0" w:space="0" w:color="auto"/>
        <w:bottom w:val="none" w:sz="0" w:space="0" w:color="auto"/>
        <w:right w:val="none" w:sz="0" w:space="0" w:color="auto"/>
      </w:divBdr>
    </w:div>
    <w:div w:id="934241824">
      <w:bodyDiv w:val="1"/>
      <w:marLeft w:val="0"/>
      <w:marRight w:val="0"/>
      <w:marTop w:val="0"/>
      <w:marBottom w:val="0"/>
      <w:divBdr>
        <w:top w:val="none" w:sz="0" w:space="0" w:color="auto"/>
        <w:left w:val="none" w:sz="0" w:space="0" w:color="auto"/>
        <w:bottom w:val="none" w:sz="0" w:space="0" w:color="auto"/>
        <w:right w:val="none" w:sz="0" w:space="0" w:color="auto"/>
      </w:divBdr>
    </w:div>
    <w:div w:id="938483448">
      <w:bodyDiv w:val="1"/>
      <w:marLeft w:val="0"/>
      <w:marRight w:val="0"/>
      <w:marTop w:val="0"/>
      <w:marBottom w:val="0"/>
      <w:divBdr>
        <w:top w:val="none" w:sz="0" w:space="0" w:color="auto"/>
        <w:left w:val="none" w:sz="0" w:space="0" w:color="auto"/>
        <w:bottom w:val="none" w:sz="0" w:space="0" w:color="auto"/>
        <w:right w:val="none" w:sz="0" w:space="0" w:color="auto"/>
      </w:divBdr>
    </w:div>
    <w:div w:id="956720010">
      <w:bodyDiv w:val="1"/>
      <w:marLeft w:val="0"/>
      <w:marRight w:val="0"/>
      <w:marTop w:val="0"/>
      <w:marBottom w:val="0"/>
      <w:divBdr>
        <w:top w:val="none" w:sz="0" w:space="0" w:color="auto"/>
        <w:left w:val="none" w:sz="0" w:space="0" w:color="auto"/>
        <w:bottom w:val="none" w:sz="0" w:space="0" w:color="auto"/>
        <w:right w:val="none" w:sz="0" w:space="0" w:color="auto"/>
      </w:divBdr>
      <w:divsChild>
        <w:div w:id="1574850225">
          <w:marLeft w:val="0"/>
          <w:marRight w:val="0"/>
          <w:marTop w:val="0"/>
          <w:marBottom w:val="0"/>
          <w:divBdr>
            <w:top w:val="none" w:sz="0" w:space="0" w:color="auto"/>
            <w:left w:val="none" w:sz="0" w:space="0" w:color="auto"/>
            <w:bottom w:val="none" w:sz="0" w:space="0" w:color="auto"/>
            <w:right w:val="none" w:sz="0" w:space="0" w:color="auto"/>
          </w:divBdr>
          <w:divsChild>
            <w:div w:id="1969776681">
              <w:marLeft w:val="0"/>
              <w:marRight w:val="0"/>
              <w:marTop w:val="0"/>
              <w:marBottom w:val="0"/>
              <w:divBdr>
                <w:top w:val="none" w:sz="0" w:space="0" w:color="auto"/>
                <w:left w:val="none" w:sz="0" w:space="0" w:color="auto"/>
                <w:bottom w:val="none" w:sz="0" w:space="0" w:color="auto"/>
                <w:right w:val="none" w:sz="0" w:space="0" w:color="auto"/>
              </w:divBdr>
            </w:div>
            <w:div w:id="20281497">
              <w:marLeft w:val="0"/>
              <w:marRight w:val="0"/>
              <w:marTop w:val="0"/>
              <w:marBottom w:val="0"/>
              <w:divBdr>
                <w:top w:val="none" w:sz="0" w:space="0" w:color="auto"/>
                <w:left w:val="none" w:sz="0" w:space="0" w:color="auto"/>
                <w:bottom w:val="none" w:sz="0" w:space="0" w:color="auto"/>
                <w:right w:val="none" w:sz="0" w:space="0" w:color="auto"/>
              </w:divBdr>
            </w:div>
            <w:div w:id="1040862345">
              <w:marLeft w:val="0"/>
              <w:marRight w:val="0"/>
              <w:marTop w:val="0"/>
              <w:marBottom w:val="0"/>
              <w:divBdr>
                <w:top w:val="none" w:sz="0" w:space="0" w:color="auto"/>
                <w:left w:val="none" w:sz="0" w:space="0" w:color="auto"/>
                <w:bottom w:val="none" w:sz="0" w:space="0" w:color="auto"/>
                <w:right w:val="none" w:sz="0" w:space="0" w:color="auto"/>
              </w:divBdr>
            </w:div>
            <w:div w:id="1014265987">
              <w:marLeft w:val="0"/>
              <w:marRight w:val="0"/>
              <w:marTop w:val="0"/>
              <w:marBottom w:val="0"/>
              <w:divBdr>
                <w:top w:val="none" w:sz="0" w:space="0" w:color="auto"/>
                <w:left w:val="none" w:sz="0" w:space="0" w:color="auto"/>
                <w:bottom w:val="none" w:sz="0" w:space="0" w:color="auto"/>
                <w:right w:val="none" w:sz="0" w:space="0" w:color="auto"/>
              </w:divBdr>
              <w:divsChild>
                <w:div w:id="823932241">
                  <w:marLeft w:val="0"/>
                  <w:marRight w:val="0"/>
                  <w:marTop w:val="0"/>
                  <w:marBottom w:val="0"/>
                  <w:divBdr>
                    <w:top w:val="none" w:sz="0" w:space="0" w:color="auto"/>
                    <w:left w:val="none" w:sz="0" w:space="0" w:color="auto"/>
                    <w:bottom w:val="none" w:sz="0" w:space="0" w:color="auto"/>
                    <w:right w:val="none" w:sz="0" w:space="0" w:color="auto"/>
                  </w:divBdr>
                </w:div>
                <w:div w:id="1985742425">
                  <w:marLeft w:val="0"/>
                  <w:marRight w:val="0"/>
                  <w:marTop w:val="0"/>
                  <w:marBottom w:val="0"/>
                  <w:divBdr>
                    <w:top w:val="none" w:sz="0" w:space="0" w:color="auto"/>
                    <w:left w:val="none" w:sz="0" w:space="0" w:color="auto"/>
                    <w:bottom w:val="none" w:sz="0" w:space="0" w:color="auto"/>
                    <w:right w:val="none" w:sz="0" w:space="0" w:color="auto"/>
                  </w:divBdr>
                </w:div>
                <w:div w:id="466748429">
                  <w:marLeft w:val="0"/>
                  <w:marRight w:val="0"/>
                  <w:marTop w:val="0"/>
                  <w:marBottom w:val="0"/>
                  <w:divBdr>
                    <w:top w:val="none" w:sz="0" w:space="0" w:color="auto"/>
                    <w:left w:val="none" w:sz="0" w:space="0" w:color="auto"/>
                    <w:bottom w:val="none" w:sz="0" w:space="0" w:color="auto"/>
                    <w:right w:val="none" w:sz="0" w:space="0" w:color="auto"/>
                  </w:divBdr>
                </w:div>
                <w:div w:id="19866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391">
          <w:marLeft w:val="0"/>
          <w:marRight w:val="0"/>
          <w:marTop w:val="0"/>
          <w:marBottom w:val="0"/>
          <w:divBdr>
            <w:top w:val="none" w:sz="0" w:space="0" w:color="auto"/>
            <w:left w:val="none" w:sz="0" w:space="0" w:color="auto"/>
            <w:bottom w:val="none" w:sz="0" w:space="0" w:color="auto"/>
            <w:right w:val="none" w:sz="0" w:space="0" w:color="auto"/>
          </w:divBdr>
          <w:divsChild>
            <w:div w:id="1921138938">
              <w:marLeft w:val="0"/>
              <w:marRight w:val="0"/>
              <w:marTop w:val="0"/>
              <w:marBottom w:val="0"/>
              <w:divBdr>
                <w:top w:val="none" w:sz="0" w:space="0" w:color="auto"/>
                <w:left w:val="none" w:sz="0" w:space="0" w:color="auto"/>
                <w:bottom w:val="none" w:sz="0" w:space="0" w:color="auto"/>
                <w:right w:val="none" w:sz="0" w:space="0" w:color="auto"/>
              </w:divBdr>
              <w:divsChild>
                <w:div w:id="1781272">
                  <w:marLeft w:val="0"/>
                  <w:marRight w:val="0"/>
                  <w:marTop w:val="0"/>
                  <w:marBottom w:val="0"/>
                  <w:divBdr>
                    <w:top w:val="none" w:sz="0" w:space="0" w:color="auto"/>
                    <w:left w:val="none" w:sz="0" w:space="0" w:color="auto"/>
                    <w:bottom w:val="none" w:sz="0" w:space="0" w:color="auto"/>
                    <w:right w:val="none" w:sz="0" w:space="0" w:color="auto"/>
                  </w:divBdr>
                </w:div>
                <w:div w:id="1746755041">
                  <w:marLeft w:val="0"/>
                  <w:marRight w:val="0"/>
                  <w:marTop w:val="0"/>
                  <w:marBottom w:val="0"/>
                  <w:divBdr>
                    <w:top w:val="none" w:sz="0" w:space="0" w:color="auto"/>
                    <w:left w:val="none" w:sz="0" w:space="0" w:color="auto"/>
                    <w:bottom w:val="none" w:sz="0" w:space="0" w:color="auto"/>
                    <w:right w:val="none" w:sz="0" w:space="0" w:color="auto"/>
                  </w:divBdr>
                </w:div>
                <w:div w:id="674190875">
                  <w:marLeft w:val="0"/>
                  <w:marRight w:val="0"/>
                  <w:marTop w:val="0"/>
                  <w:marBottom w:val="0"/>
                  <w:divBdr>
                    <w:top w:val="none" w:sz="0" w:space="0" w:color="auto"/>
                    <w:left w:val="none" w:sz="0" w:space="0" w:color="auto"/>
                    <w:bottom w:val="none" w:sz="0" w:space="0" w:color="auto"/>
                    <w:right w:val="none" w:sz="0" w:space="0" w:color="auto"/>
                  </w:divBdr>
                </w:div>
              </w:divsChild>
            </w:div>
            <w:div w:id="1340963340">
              <w:marLeft w:val="0"/>
              <w:marRight w:val="0"/>
              <w:marTop w:val="0"/>
              <w:marBottom w:val="0"/>
              <w:divBdr>
                <w:top w:val="none" w:sz="0" w:space="0" w:color="auto"/>
                <w:left w:val="none" w:sz="0" w:space="0" w:color="auto"/>
                <w:bottom w:val="none" w:sz="0" w:space="0" w:color="auto"/>
                <w:right w:val="none" w:sz="0" w:space="0" w:color="auto"/>
              </w:divBdr>
            </w:div>
            <w:div w:id="1518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345">
      <w:bodyDiv w:val="1"/>
      <w:marLeft w:val="0"/>
      <w:marRight w:val="0"/>
      <w:marTop w:val="0"/>
      <w:marBottom w:val="0"/>
      <w:divBdr>
        <w:top w:val="none" w:sz="0" w:space="0" w:color="auto"/>
        <w:left w:val="none" w:sz="0" w:space="0" w:color="auto"/>
        <w:bottom w:val="none" w:sz="0" w:space="0" w:color="auto"/>
        <w:right w:val="none" w:sz="0" w:space="0" w:color="auto"/>
      </w:divBdr>
    </w:div>
    <w:div w:id="1010371828">
      <w:bodyDiv w:val="1"/>
      <w:marLeft w:val="0"/>
      <w:marRight w:val="0"/>
      <w:marTop w:val="0"/>
      <w:marBottom w:val="0"/>
      <w:divBdr>
        <w:top w:val="none" w:sz="0" w:space="0" w:color="auto"/>
        <w:left w:val="none" w:sz="0" w:space="0" w:color="auto"/>
        <w:bottom w:val="none" w:sz="0" w:space="0" w:color="auto"/>
        <w:right w:val="none" w:sz="0" w:space="0" w:color="auto"/>
      </w:divBdr>
    </w:div>
    <w:div w:id="1034619822">
      <w:bodyDiv w:val="1"/>
      <w:marLeft w:val="0"/>
      <w:marRight w:val="0"/>
      <w:marTop w:val="0"/>
      <w:marBottom w:val="0"/>
      <w:divBdr>
        <w:top w:val="none" w:sz="0" w:space="0" w:color="auto"/>
        <w:left w:val="none" w:sz="0" w:space="0" w:color="auto"/>
        <w:bottom w:val="none" w:sz="0" w:space="0" w:color="auto"/>
        <w:right w:val="none" w:sz="0" w:space="0" w:color="auto"/>
      </w:divBdr>
    </w:div>
    <w:div w:id="1045763440">
      <w:bodyDiv w:val="1"/>
      <w:marLeft w:val="0"/>
      <w:marRight w:val="0"/>
      <w:marTop w:val="0"/>
      <w:marBottom w:val="0"/>
      <w:divBdr>
        <w:top w:val="none" w:sz="0" w:space="0" w:color="auto"/>
        <w:left w:val="none" w:sz="0" w:space="0" w:color="auto"/>
        <w:bottom w:val="none" w:sz="0" w:space="0" w:color="auto"/>
        <w:right w:val="none" w:sz="0" w:space="0" w:color="auto"/>
      </w:divBdr>
    </w:div>
    <w:div w:id="1045983339">
      <w:bodyDiv w:val="1"/>
      <w:marLeft w:val="0"/>
      <w:marRight w:val="0"/>
      <w:marTop w:val="0"/>
      <w:marBottom w:val="0"/>
      <w:divBdr>
        <w:top w:val="none" w:sz="0" w:space="0" w:color="auto"/>
        <w:left w:val="none" w:sz="0" w:space="0" w:color="auto"/>
        <w:bottom w:val="none" w:sz="0" w:space="0" w:color="auto"/>
        <w:right w:val="none" w:sz="0" w:space="0" w:color="auto"/>
      </w:divBdr>
    </w:div>
    <w:div w:id="1068575817">
      <w:bodyDiv w:val="1"/>
      <w:marLeft w:val="0"/>
      <w:marRight w:val="0"/>
      <w:marTop w:val="0"/>
      <w:marBottom w:val="0"/>
      <w:divBdr>
        <w:top w:val="none" w:sz="0" w:space="0" w:color="auto"/>
        <w:left w:val="none" w:sz="0" w:space="0" w:color="auto"/>
        <w:bottom w:val="none" w:sz="0" w:space="0" w:color="auto"/>
        <w:right w:val="none" w:sz="0" w:space="0" w:color="auto"/>
      </w:divBdr>
    </w:div>
    <w:div w:id="1090347052">
      <w:bodyDiv w:val="1"/>
      <w:marLeft w:val="0"/>
      <w:marRight w:val="0"/>
      <w:marTop w:val="0"/>
      <w:marBottom w:val="0"/>
      <w:divBdr>
        <w:top w:val="none" w:sz="0" w:space="0" w:color="auto"/>
        <w:left w:val="none" w:sz="0" w:space="0" w:color="auto"/>
        <w:bottom w:val="none" w:sz="0" w:space="0" w:color="auto"/>
        <w:right w:val="none" w:sz="0" w:space="0" w:color="auto"/>
      </w:divBdr>
    </w:div>
    <w:div w:id="1105148612">
      <w:bodyDiv w:val="1"/>
      <w:marLeft w:val="0"/>
      <w:marRight w:val="0"/>
      <w:marTop w:val="0"/>
      <w:marBottom w:val="0"/>
      <w:divBdr>
        <w:top w:val="none" w:sz="0" w:space="0" w:color="auto"/>
        <w:left w:val="none" w:sz="0" w:space="0" w:color="auto"/>
        <w:bottom w:val="none" w:sz="0" w:space="0" w:color="auto"/>
        <w:right w:val="none" w:sz="0" w:space="0" w:color="auto"/>
      </w:divBdr>
    </w:div>
    <w:div w:id="1128548176">
      <w:bodyDiv w:val="1"/>
      <w:marLeft w:val="0"/>
      <w:marRight w:val="0"/>
      <w:marTop w:val="0"/>
      <w:marBottom w:val="0"/>
      <w:divBdr>
        <w:top w:val="none" w:sz="0" w:space="0" w:color="auto"/>
        <w:left w:val="none" w:sz="0" w:space="0" w:color="auto"/>
        <w:bottom w:val="none" w:sz="0" w:space="0" w:color="auto"/>
        <w:right w:val="none" w:sz="0" w:space="0" w:color="auto"/>
      </w:divBdr>
    </w:div>
    <w:div w:id="1142582390">
      <w:bodyDiv w:val="1"/>
      <w:marLeft w:val="0"/>
      <w:marRight w:val="0"/>
      <w:marTop w:val="0"/>
      <w:marBottom w:val="0"/>
      <w:divBdr>
        <w:top w:val="none" w:sz="0" w:space="0" w:color="auto"/>
        <w:left w:val="none" w:sz="0" w:space="0" w:color="auto"/>
        <w:bottom w:val="none" w:sz="0" w:space="0" w:color="auto"/>
        <w:right w:val="none" w:sz="0" w:space="0" w:color="auto"/>
      </w:divBdr>
    </w:div>
    <w:div w:id="1151630114">
      <w:bodyDiv w:val="1"/>
      <w:marLeft w:val="0"/>
      <w:marRight w:val="0"/>
      <w:marTop w:val="0"/>
      <w:marBottom w:val="0"/>
      <w:divBdr>
        <w:top w:val="none" w:sz="0" w:space="0" w:color="auto"/>
        <w:left w:val="none" w:sz="0" w:space="0" w:color="auto"/>
        <w:bottom w:val="none" w:sz="0" w:space="0" w:color="auto"/>
        <w:right w:val="none" w:sz="0" w:space="0" w:color="auto"/>
      </w:divBdr>
      <w:divsChild>
        <w:div w:id="696855130">
          <w:marLeft w:val="0"/>
          <w:marRight w:val="0"/>
          <w:marTop w:val="0"/>
          <w:marBottom w:val="0"/>
          <w:divBdr>
            <w:top w:val="none" w:sz="0" w:space="0" w:color="auto"/>
            <w:left w:val="none" w:sz="0" w:space="0" w:color="auto"/>
            <w:bottom w:val="none" w:sz="0" w:space="0" w:color="auto"/>
            <w:right w:val="none" w:sz="0" w:space="0" w:color="auto"/>
          </w:divBdr>
          <w:divsChild>
            <w:div w:id="1299995872">
              <w:marLeft w:val="0"/>
              <w:marRight w:val="0"/>
              <w:marTop w:val="0"/>
              <w:marBottom w:val="0"/>
              <w:divBdr>
                <w:top w:val="none" w:sz="0" w:space="0" w:color="auto"/>
                <w:left w:val="none" w:sz="0" w:space="0" w:color="auto"/>
                <w:bottom w:val="none" w:sz="0" w:space="0" w:color="auto"/>
                <w:right w:val="none" w:sz="0" w:space="0" w:color="auto"/>
              </w:divBdr>
              <w:divsChild>
                <w:div w:id="484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3980">
      <w:bodyDiv w:val="1"/>
      <w:marLeft w:val="0"/>
      <w:marRight w:val="0"/>
      <w:marTop w:val="0"/>
      <w:marBottom w:val="0"/>
      <w:divBdr>
        <w:top w:val="none" w:sz="0" w:space="0" w:color="auto"/>
        <w:left w:val="none" w:sz="0" w:space="0" w:color="auto"/>
        <w:bottom w:val="none" w:sz="0" w:space="0" w:color="auto"/>
        <w:right w:val="none" w:sz="0" w:space="0" w:color="auto"/>
      </w:divBdr>
    </w:div>
    <w:div w:id="1152331247">
      <w:bodyDiv w:val="1"/>
      <w:marLeft w:val="0"/>
      <w:marRight w:val="0"/>
      <w:marTop w:val="0"/>
      <w:marBottom w:val="0"/>
      <w:divBdr>
        <w:top w:val="none" w:sz="0" w:space="0" w:color="auto"/>
        <w:left w:val="none" w:sz="0" w:space="0" w:color="auto"/>
        <w:bottom w:val="none" w:sz="0" w:space="0" w:color="auto"/>
        <w:right w:val="none" w:sz="0" w:space="0" w:color="auto"/>
      </w:divBdr>
    </w:div>
    <w:div w:id="1187058942">
      <w:bodyDiv w:val="1"/>
      <w:marLeft w:val="0"/>
      <w:marRight w:val="0"/>
      <w:marTop w:val="0"/>
      <w:marBottom w:val="0"/>
      <w:divBdr>
        <w:top w:val="none" w:sz="0" w:space="0" w:color="auto"/>
        <w:left w:val="none" w:sz="0" w:space="0" w:color="auto"/>
        <w:bottom w:val="none" w:sz="0" w:space="0" w:color="auto"/>
        <w:right w:val="none" w:sz="0" w:space="0" w:color="auto"/>
      </w:divBdr>
    </w:div>
    <w:div w:id="1188525772">
      <w:bodyDiv w:val="1"/>
      <w:marLeft w:val="0"/>
      <w:marRight w:val="0"/>
      <w:marTop w:val="0"/>
      <w:marBottom w:val="0"/>
      <w:divBdr>
        <w:top w:val="none" w:sz="0" w:space="0" w:color="auto"/>
        <w:left w:val="none" w:sz="0" w:space="0" w:color="auto"/>
        <w:bottom w:val="none" w:sz="0" w:space="0" w:color="auto"/>
        <w:right w:val="none" w:sz="0" w:space="0" w:color="auto"/>
      </w:divBdr>
    </w:div>
    <w:div w:id="1209031158">
      <w:bodyDiv w:val="1"/>
      <w:marLeft w:val="0"/>
      <w:marRight w:val="0"/>
      <w:marTop w:val="0"/>
      <w:marBottom w:val="0"/>
      <w:divBdr>
        <w:top w:val="none" w:sz="0" w:space="0" w:color="auto"/>
        <w:left w:val="none" w:sz="0" w:space="0" w:color="auto"/>
        <w:bottom w:val="none" w:sz="0" w:space="0" w:color="auto"/>
        <w:right w:val="none" w:sz="0" w:space="0" w:color="auto"/>
      </w:divBdr>
      <w:divsChild>
        <w:div w:id="470054428">
          <w:marLeft w:val="0"/>
          <w:marRight w:val="0"/>
          <w:marTop w:val="0"/>
          <w:marBottom w:val="0"/>
          <w:divBdr>
            <w:top w:val="none" w:sz="0" w:space="0" w:color="auto"/>
            <w:left w:val="none" w:sz="0" w:space="0" w:color="auto"/>
            <w:bottom w:val="none" w:sz="0" w:space="0" w:color="auto"/>
            <w:right w:val="none" w:sz="0" w:space="0" w:color="auto"/>
          </w:divBdr>
          <w:divsChild>
            <w:div w:id="346442598">
              <w:marLeft w:val="0"/>
              <w:marRight w:val="0"/>
              <w:marTop w:val="0"/>
              <w:marBottom w:val="0"/>
              <w:divBdr>
                <w:top w:val="none" w:sz="0" w:space="0" w:color="auto"/>
                <w:left w:val="none" w:sz="0" w:space="0" w:color="auto"/>
                <w:bottom w:val="none" w:sz="0" w:space="0" w:color="auto"/>
                <w:right w:val="none" w:sz="0" w:space="0" w:color="auto"/>
              </w:divBdr>
            </w:div>
          </w:divsChild>
        </w:div>
        <w:div w:id="1193955379">
          <w:marLeft w:val="0"/>
          <w:marRight w:val="0"/>
          <w:marTop w:val="0"/>
          <w:marBottom w:val="0"/>
          <w:divBdr>
            <w:top w:val="none" w:sz="0" w:space="0" w:color="auto"/>
            <w:left w:val="none" w:sz="0" w:space="0" w:color="auto"/>
            <w:bottom w:val="none" w:sz="0" w:space="0" w:color="auto"/>
            <w:right w:val="none" w:sz="0" w:space="0" w:color="auto"/>
          </w:divBdr>
          <w:divsChild>
            <w:div w:id="108397770">
              <w:marLeft w:val="0"/>
              <w:marRight w:val="0"/>
              <w:marTop w:val="0"/>
              <w:marBottom w:val="0"/>
              <w:divBdr>
                <w:top w:val="none" w:sz="0" w:space="0" w:color="auto"/>
                <w:left w:val="none" w:sz="0" w:space="0" w:color="auto"/>
                <w:bottom w:val="none" w:sz="0" w:space="0" w:color="auto"/>
                <w:right w:val="none" w:sz="0" w:space="0" w:color="auto"/>
              </w:divBdr>
              <w:divsChild>
                <w:div w:id="932517959">
                  <w:marLeft w:val="0"/>
                  <w:marRight w:val="0"/>
                  <w:marTop w:val="0"/>
                  <w:marBottom w:val="0"/>
                  <w:divBdr>
                    <w:top w:val="none" w:sz="0" w:space="0" w:color="auto"/>
                    <w:left w:val="none" w:sz="0" w:space="0" w:color="auto"/>
                    <w:bottom w:val="none" w:sz="0" w:space="0" w:color="auto"/>
                    <w:right w:val="none" w:sz="0" w:space="0" w:color="auto"/>
                  </w:divBdr>
                </w:div>
                <w:div w:id="15047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1930">
      <w:bodyDiv w:val="1"/>
      <w:marLeft w:val="0"/>
      <w:marRight w:val="0"/>
      <w:marTop w:val="0"/>
      <w:marBottom w:val="0"/>
      <w:divBdr>
        <w:top w:val="none" w:sz="0" w:space="0" w:color="auto"/>
        <w:left w:val="none" w:sz="0" w:space="0" w:color="auto"/>
        <w:bottom w:val="none" w:sz="0" w:space="0" w:color="auto"/>
        <w:right w:val="none" w:sz="0" w:space="0" w:color="auto"/>
      </w:divBdr>
    </w:div>
    <w:div w:id="1303542025">
      <w:bodyDiv w:val="1"/>
      <w:marLeft w:val="0"/>
      <w:marRight w:val="0"/>
      <w:marTop w:val="0"/>
      <w:marBottom w:val="0"/>
      <w:divBdr>
        <w:top w:val="none" w:sz="0" w:space="0" w:color="auto"/>
        <w:left w:val="none" w:sz="0" w:space="0" w:color="auto"/>
        <w:bottom w:val="none" w:sz="0" w:space="0" w:color="auto"/>
        <w:right w:val="none" w:sz="0" w:space="0" w:color="auto"/>
      </w:divBdr>
    </w:div>
    <w:div w:id="1304316310">
      <w:bodyDiv w:val="1"/>
      <w:marLeft w:val="0"/>
      <w:marRight w:val="0"/>
      <w:marTop w:val="0"/>
      <w:marBottom w:val="0"/>
      <w:divBdr>
        <w:top w:val="none" w:sz="0" w:space="0" w:color="auto"/>
        <w:left w:val="none" w:sz="0" w:space="0" w:color="auto"/>
        <w:bottom w:val="none" w:sz="0" w:space="0" w:color="auto"/>
        <w:right w:val="none" w:sz="0" w:space="0" w:color="auto"/>
      </w:divBdr>
    </w:div>
    <w:div w:id="1326588599">
      <w:bodyDiv w:val="1"/>
      <w:marLeft w:val="0"/>
      <w:marRight w:val="0"/>
      <w:marTop w:val="0"/>
      <w:marBottom w:val="0"/>
      <w:divBdr>
        <w:top w:val="none" w:sz="0" w:space="0" w:color="auto"/>
        <w:left w:val="none" w:sz="0" w:space="0" w:color="auto"/>
        <w:bottom w:val="none" w:sz="0" w:space="0" w:color="auto"/>
        <w:right w:val="none" w:sz="0" w:space="0" w:color="auto"/>
      </w:divBdr>
    </w:div>
    <w:div w:id="1342199278">
      <w:bodyDiv w:val="1"/>
      <w:marLeft w:val="0"/>
      <w:marRight w:val="0"/>
      <w:marTop w:val="0"/>
      <w:marBottom w:val="0"/>
      <w:divBdr>
        <w:top w:val="none" w:sz="0" w:space="0" w:color="auto"/>
        <w:left w:val="none" w:sz="0" w:space="0" w:color="auto"/>
        <w:bottom w:val="none" w:sz="0" w:space="0" w:color="auto"/>
        <w:right w:val="none" w:sz="0" w:space="0" w:color="auto"/>
      </w:divBdr>
    </w:div>
    <w:div w:id="1347828685">
      <w:bodyDiv w:val="1"/>
      <w:marLeft w:val="0"/>
      <w:marRight w:val="0"/>
      <w:marTop w:val="0"/>
      <w:marBottom w:val="0"/>
      <w:divBdr>
        <w:top w:val="none" w:sz="0" w:space="0" w:color="auto"/>
        <w:left w:val="none" w:sz="0" w:space="0" w:color="auto"/>
        <w:bottom w:val="none" w:sz="0" w:space="0" w:color="auto"/>
        <w:right w:val="none" w:sz="0" w:space="0" w:color="auto"/>
      </w:divBdr>
    </w:div>
    <w:div w:id="1355376345">
      <w:bodyDiv w:val="1"/>
      <w:marLeft w:val="0"/>
      <w:marRight w:val="0"/>
      <w:marTop w:val="0"/>
      <w:marBottom w:val="0"/>
      <w:divBdr>
        <w:top w:val="none" w:sz="0" w:space="0" w:color="auto"/>
        <w:left w:val="none" w:sz="0" w:space="0" w:color="auto"/>
        <w:bottom w:val="none" w:sz="0" w:space="0" w:color="auto"/>
        <w:right w:val="none" w:sz="0" w:space="0" w:color="auto"/>
      </w:divBdr>
    </w:div>
    <w:div w:id="1366247547">
      <w:bodyDiv w:val="1"/>
      <w:marLeft w:val="0"/>
      <w:marRight w:val="0"/>
      <w:marTop w:val="0"/>
      <w:marBottom w:val="0"/>
      <w:divBdr>
        <w:top w:val="none" w:sz="0" w:space="0" w:color="auto"/>
        <w:left w:val="none" w:sz="0" w:space="0" w:color="auto"/>
        <w:bottom w:val="none" w:sz="0" w:space="0" w:color="auto"/>
        <w:right w:val="none" w:sz="0" w:space="0" w:color="auto"/>
      </w:divBdr>
    </w:div>
    <w:div w:id="1374571864">
      <w:bodyDiv w:val="1"/>
      <w:marLeft w:val="0"/>
      <w:marRight w:val="0"/>
      <w:marTop w:val="0"/>
      <w:marBottom w:val="0"/>
      <w:divBdr>
        <w:top w:val="none" w:sz="0" w:space="0" w:color="auto"/>
        <w:left w:val="none" w:sz="0" w:space="0" w:color="auto"/>
        <w:bottom w:val="none" w:sz="0" w:space="0" w:color="auto"/>
        <w:right w:val="none" w:sz="0" w:space="0" w:color="auto"/>
      </w:divBdr>
    </w:div>
    <w:div w:id="1377125062">
      <w:bodyDiv w:val="1"/>
      <w:marLeft w:val="0"/>
      <w:marRight w:val="0"/>
      <w:marTop w:val="0"/>
      <w:marBottom w:val="0"/>
      <w:divBdr>
        <w:top w:val="none" w:sz="0" w:space="0" w:color="auto"/>
        <w:left w:val="none" w:sz="0" w:space="0" w:color="auto"/>
        <w:bottom w:val="none" w:sz="0" w:space="0" w:color="auto"/>
        <w:right w:val="none" w:sz="0" w:space="0" w:color="auto"/>
      </w:divBdr>
    </w:div>
    <w:div w:id="1387338887">
      <w:bodyDiv w:val="1"/>
      <w:marLeft w:val="0"/>
      <w:marRight w:val="0"/>
      <w:marTop w:val="0"/>
      <w:marBottom w:val="0"/>
      <w:divBdr>
        <w:top w:val="none" w:sz="0" w:space="0" w:color="auto"/>
        <w:left w:val="none" w:sz="0" w:space="0" w:color="auto"/>
        <w:bottom w:val="none" w:sz="0" w:space="0" w:color="auto"/>
        <w:right w:val="none" w:sz="0" w:space="0" w:color="auto"/>
      </w:divBdr>
    </w:div>
    <w:div w:id="1425568392">
      <w:bodyDiv w:val="1"/>
      <w:marLeft w:val="0"/>
      <w:marRight w:val="0"/>
      <w:marTop w:val="0"/>
      <w:marBottom w:val="0"/>
      <w:divBdr>
        <w:top w:val="none" w:sz="0" w:space="0" w:color="auto"/>
        <w:left w:val="none" w:sz="0" w:space="0" w:color="auto"/>
        <w:bottom w:val="none" w:sz="0" w:space="0" w:color="auto"/>
        <w:right w:val="none" w:sz="0" w:space="0" w:color="auto"/>
      </w:divBdr>
    </w:div>
    <w:div w:id="1434864890">
      <w:bodyDiv w:val="1"/>
      <w:marLeft w:val="0"/>
      <w:marRight w:val="0"/>
      <w:marTop w:val="0"/>
      <w:marBottom w:val="0"/>
      <w:divBdr>
        <w:top w:val="none" w:sz="0" w:space="0" w:color="auto"/>
        <w:left w:val="none" w:sz="0" w:space="0" w:color="auto"/>
        <w:bottom w:val="none" w:sz="0" w:space="0" w:color="auto"/>
        <w:right w:val="none" w:sz="0" w:space="0" w:color="auto"/>
      </w:divBdr>
      <w:divsChild>
        <w:div w:id="743992964">
          <w:marLeft w:val="0"/>
          <w:marRight w:val="0"/>
          <w:marTop w:val="0"/>
          <w:marBottom w:val="0"/>
          <w:divBdr>
            <w:top w:val="none" w:sz="0" w:space="0" w:color="auto"/>
            <w:left w:val="none" w:sz="0" w:space="0" w:color="auto"/>
            <w:bottom w:val="none" w:sz="0" w:space="0" w:color="auto"/>
            <w:right w:val="none" w:sz="0" w:space="0" w:color="auto"/>
          </w:divBdr>
          <w:divsChild>
            <w:div w:id="1259799326">
              <w:marLeft w:val="0"/>
              <w:marRight w:val="0"/>
              <w:marTop w:val="0"/>
              <w:marBottom w:val="0"/>
              <w:divBdr>
                <w:top w:val="none" w:sz="0" w:space="0" w:color="auto"/>
                <w:left w:val="none" w:sz="0" w:space="0" w:color="auto"/>
                <w:bottom w:val="none" w:sz="0" w:space="0" w:color="auto"/>
                <w:right w:val="none" w:sz="0" w:space="0" w:color="auto"/>
              </w:divBdr>
              <w:divsChild>
                <w:div w:id="14498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0112">
      <w:bodyDiv w:val="1"/>
      <w:marLeft w:val="0"/>
      <w:marRight w:val="0"/>
      <w:marTop w:val="0"/>
      <w:marBottom w:val="0"/>
      <w:divBdr>
        <w:top w:val="none" w:sz="0" w:space="0" w:color="auto"/>
        <w:left w:val="none" w:sz="0" w:space="0" w:color="auto"/>
        <w:bottom w:val="none" w:sz="0" w:space="0" w:color="auto"/>
        <w:right w:val="none" w:sz="0" w:space="0" w:color="auto"/>
      </w:divBdr>
    </w:div>
    <w:div w:id="1436438157">
      <w:bodyDiv w:val="1"/>
      <w:marLeft w:val="0"/>
      <w:marRight w:val="0"/>
      <w:marTop w:val="0"/>
      <w:marBottom w:val="0"/>
      <w:divBdr>
        <w:top w:val="none" w:sz="0" w:space="0" w:color="auto"/>
        <w:left w:val="none" w:sz="0" w:space="0" w:color="auto"/>
        <w:bottom w:val="none" w:sz="0" w:space="0" w:color="auto"/>
        <w:right w:val="none" w:sz="0" w:space="0" w:color="auto"/>
      </w:divBdr>
    </w:div>
    <w:div w:id="1443378737">
      <w:bodyDiv w:val="1"/>
      <w:marLeft w:val="0"/>
      <w:marRight w:val="0"/>
      <w:marTop w:val="0"/>
      <w:marBottom w:val="0"/>
      <w:divBdr>
        <w:top w:val="none" w:sz="0" w:space="0" w:color="auto"/>
        <w:left w:val="none" w:sz="0" w:space="0" w:color="auto"/>
        <w:bottom w:val="none" w:sz="0" w:space="0" w:color="auto"/>
        <w:right w:val="none" w:sz="0" w:space="0" w:color="auto"/>
      </w:divBdr>
    </w:div>
    <w:div w:id="1465853534">
      <w:bodyDiv w:val="1"/>
      <w:marLeft w:val="0"/>
      <w:marRight w:val="0"/>
      <w:marTop w:val="0"/>
      <w:marBottom w:val="0"/>
      <w:divBdr>
        <w:top w:val="none" w:sz="0" w:space="0" w:color="auto"/>
        <w:left w:val="none" w:sz="0" w:space="0" w:color="auto"/>
        <w:bottom w:val="none" w:sz="0" w:space="0" w:color="auto"/>
        <w:right w:val="none" w:sz="0" w:space="0" w:color="auto"/>
      </w:divBdr>
    </w:div>
    <w:div w:id="1494250599">
      <w:bodyDiv w:val="1"/>
      <w:marLeft w:val="0"/>
      <w:marRight w:val="0"/>
      <w:marTop w:val="0"/>
      <w:marBottom w:val="0"/>
      <w:divBdr>
        <w:top w:val="none" w:sz="0" w:space="0" w:color="auto"/>
        <w:left w:val="none" w:sz="0" w:space="0" w:color="auto"/>
        <w:bottom w:val="none" w:sz="0" w:space="0" w:color="auto"/>
        <w:right w:val="none" w:sz="0" w:space="0" w:color="auto"/>
      </w:divBdr>
    </w:div>
    <w:div w:id="1500078591">
      <w:bodyDiv w:val="1"/>
      <w:marLeft w:val="0"/>
      <w:marRight w:val="0"/>
      <w:marTop w:val="0"/>
      <w:marBottom w:val="0"/>
      <w:divBdr>
        <w:top w:val="none" w:sz="0" w:space="0" w:color="auto"/>
        <w:left w:val="none" w:sz="0" w:space="0" w:color="auto"/>
        <w:bottom w:val="none" w:sz="0" w:space="0" w:color="auto"/>
        <w:right w:val="none" w:sz="0" w:space="0" w:color="auto"/>
      </w:divBdr>
    </w:div>
    <w:div w:id="1522813046">
      <w:bodyDiv w:val="1"/>
      <w:marLeft w:val="0"/>
      <w:marRight w:val="0"/>
      <w:marTop w:val="0"/>
      <w:marBottom w:val="0"/>
      <w:divBdr>
        <w:top w:val="none" w:sz="0" w:space="0" w:color="auto"/>
        <w:left w:val="none" w:sz="0" w:space="0" w:color="auto"/>
        <w:bottom w:val="none" w:sz="0" w:space="0" w:color="auto"/>
        <w:right w:val="none" w:sz="0" w:space="0" w:color="auto"/>
      </w:divBdr>
    </w:div>
    <w:div w:id="1536622597">
      <w:bodyDiv w:val="1"/>
      <w:marLeft w:val="0"/>
      <w:marRight w:val="0"/>
      <w:marTop w:val="0"/>
      <w:marBottom w:val="0"/>
      <w:divBdr>
        <w:top w:val="none" w:sz="0" w:space="0" w:color="auto"/>
        <w:left w:val="none" w:sz="0" w:space="0" w:color="auto"/>
        <w:bottom w:val="none" w:sz="0" w:space="0" w:color="auto"/>
        <w:right w:val="none" w:sz="0" w:space="0" w:color="auto"/>
      </w:divBdr>
    </w:div>
    <w:div w:id="1550997692">
      <w:bodyDiv w:val="1"/>
      <w:marLeft w:val="0"/>
      <w:marRight w:val="0"/>
      <w:marTop w:val="0"/>
      <w:marBottom w:val="0"/>
      <w:divBdr>
        <w:top w:val="none" w:sz="0" w:space="0" w:color="auto"/>
        <w:left w:val="none" w:sz="0" w:space="0" w:color="auto"/>
        <w:bottom w:val="none" w:sz="0" w:space="0" w:color="auto"/>
        <w:right w:val="none" w:sz="0" w:space="0" w:color="auto"/>
      </w:divBdr>
    </w:div>
    <w:div w:id="1562058120">
      <w:bodyDiv w:val="1"/>
      <w:marLeft w:val="0"/>
      <w:marRight w:val="0"/>
      <w:marTop w:val="0"/>
      <w:marBottom w:val="0"/>
      <w:divBdr>
        <w:top w:val="none" w:sz="0" w:space="0" w:color="auto"/>
        <w:left w:val="none" w:sz="0" w:space="0" w:color="auto"/>
        <w:bottom w:val="none" w:sz="0" w:space="0" w:color="auto"/>
        <w:right w:val="none" w:sz="0" w:space="0" w:color="auto"/>
      </w:divBdr>
      <w:divsChild>
        <w:div w:id="393503126">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
          </w:divsChild>
        </w:div>
        <w:div w:id="2093505376">
          <w:marLeft w:val="0"/>
          <w:marRight w:val="0"/>
          <w:marTop w:val="0"/>
          <w:marBottom w:val="0"/>
          <w:divBdr>
            <w:top w:val="none" w:sz="0" w:space="0" w:color="auto"/>
            <w:left w:val="none" w:sz="0" w:space="0" w:color="auto"/>
            <w:bottom w:val="none" w:sz="0" w:space="0" w:color="auto"/>
            <w:right w:val="none" w:sz="0" w:space="0" w:color="auto"/>
          </w:divBdr>
          <w:divsChild>
            <w:div w:id="133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9488">
      <w:bodyDiv w:val="1"/>
      <w:marLeft w:val="0"/>
      <w:marRight w:val="0"/>
      <w:marTop w:val="0"/>
      <w:marBottom w:val="0"/>
      <w:divBdr>
        <w:top w:val="none" w:sz="0" w:space="0" w:color="auto"/>
        <w:left w:val="none" w:sz="0" w:space="0" w:color="auto"/>
        <w:bottom w:val="none" w:sz="0" w:space="0" w:color="auto"/>
        <w:right w:val="none" w:sz="0" w:space="0" w:color="auto"/>
      </w:divBdr>
    </w:div>
    <w:div w:id="1566376527">
      <w:bodyDiv w:val="1"/>
      <w:marLeft w:val="0"/>
      <w:marRight w:val="0"/>
      <w:marTop w:val="0"/>
      <w:marBottom w:val="0"/>
      <w:divBdr>
        <w:top w:val="none" w:sz="0" w:space="0" w:color="auto"/>
        <w:left w:val="none" w:sz="0" w:space="0" w:color="auto"/>
        <w:bottom w:val="none" w:sz="0" w:space="0" w:color="auto"/>
        <w:right w:val="none" w:sz="0" w:space="0" w:color="auto"/>
      </w:divBdr>
    </w:div>
    <w:div w:id="1603143097">
      <w:bodyDiv w:val="1"/>
      <w:marLeft w:val="0"/>
      <w:marRight w:val="0"/>
      <w:marTop w:val="0"/>
      <w:marBottom w:val="0"/>
      <w:divBdr>
        <w:top w:val="none" w:sz="0" w:space="0" w:color="auto"/>
        <w:left w:val="none" w:sz="0" w:space="0" w:color="auto"/>
        <w:bottom w:val="none" w:sz="0" w:space="0" w:color="auto"/>
        <w:right w:val="none" w:sz="0" w:space="0" w:color="auto"/>
      </w:divBdr>
    </w:div>
    <w:div w:id="1612975129">
      <w:bodyDiv w:val="1"/>
      <w:marLeft w:val="0"/>
      <w:marRight w:val="0"/>
      <w:marTop w:val="0"/>
      <w:marBottom w:val="0"/>
      <w:divBdr>
        <w:top w:val="none" w:sz="0" w:space="0" w:color="auto"/>
        <w:left w:val="none" w:sz="0" w:space="0" w:color="auto"/>
        <w:bottom w:val="none" w:sz="0" w:space="0" w:color="auto"/>
        <w:right w:val="none" w:sz="0" w:space="0" w:color="auto"/>
      </w:divBdr>
    </w:div>
    <w:div w:id="1623999893">
      <w:bodyDiv w:val="1"/>
      <w:marLeft w:val="0"/>
      <w:marRight w:val="0"/>
      <w:marTop w:val="0"/>
      <w:marBottom w:val="0"/>
      <w:divBdr>
        <w:top w:val="none" w:sz="0" w:space="0" w:color="auto"/>
        <w:left w:val="none" w:sz="0" w:space="0" w:color="auto"/>
        <w:bottom w:val="none" w:sz="0" w:space="0" w:color="auto"/>
        <w:right w:val="none" w:sz="0" w:space="0" w:color="auto"/>
      </w:divBdr>
    </w:div>
    <w:div w:id="1636913719">
      <w:bodyDiv w:val="1"/>
      <w:marLeft w:val="0"/>
      <w:marRight w:val="0"/>
      <w:marTop w:val="0"/>
      <w:marBottom w:val="0"/>
      <w:divBdr>
        <w:top w:val="none" w:sz="0" w:space="0" w:color="auto"/>
        <w:left w:val="none" w:sz="0" w:space="0" w:color="auto"/>
        <w:bottom w:val="none" w:sz="0" w:space="0" w:color="auto"/>
        <w:right w:val="none" w:sz="0" w:space="0" w:color="auto"/>
      </w:divBdr>
    </w:div>
    <w:div w:id="1664355743">
      <w:bodyDiv w:val="1"/>
      <w:marLeft w:val="0"/>
      <w:marRight w:val="0"/>
      <w:marTop w:val="0"/>
      <w:marBottom w:val="0"/>
      <w:divBdr>
        <w:top w:val="none" w:sz="0" w:space="0" w:color="auto"/>
        <w:left w:val="none" w:sz="0" w:space="0" w:color="auto"/>
        <w:bottom w:val="none" w:sz="0" w:space="0" w:color="auto"/>
        <w:right w:val="none" w:sz="0" w:space="0" w:color="auto"/>
      </w:divBdr>
    </w:div>
    <w:div w:id="1677683278">
      <w:bodyDiv w:val="1"/>
      <w:marLeft w:val="0"/>
      <w:marRight w:val="0"/>
      <w:marTop w:val="0"/>
      <w:marBottom w:val="0"/>
      <w:divBdr>
        <w:top w:val="none" w:sz="0" w:space="0" w:color="auto"/>
        <w:left w:val="none" w:sz="0" w:space="0" w:color="auto"/>
        <w:bottom w:val="none" w:sz="0" w:space="0" w:color="auto"/>
        <w:right w:val="none" w:sz="0" w:space="0" w:color="auto"/>
      </w:divBdr>
    </w:div>
    <w:div w:id="1692141624">
      <w:bodyDiv w:val="1"/>
      <w:marLeft w:val="0"/>
      <w:marRight w:val="0"/>
      <w:marTop w:val="0"/>
      <w:marBottom w:val="0"/>
      <w:divBdr>
        <w:top w:val="none" w:sz="0" w:space="0" w:color="auto"/>
        <w:left w:val="none" w:sz="0" w:space="0" w:color="auto"/>
        <w:bottom w:val="none" w:sz="0" w:space="0" w:color="auto"/>
        <w:right w:val="none" w:sz="0" w:space="0" w:color="auto"/>
      </w:divBdr>
    </w:div>
    <w:div w:id="1701710763">
      <w:bodyDiv w:val="1"/>
      <w:marLeft w:val="0"/>
      <w:marRight w:val="0"/>
      <w:marTop w:val="0"/>
      <w:marBottom w:val="0"/>
      <w:divBdr>
        <w:top w:val="none" w:sz="0" w:space="0" w:color="auto"/>
        <w:left w:val="none" w:sz="0" w:space="0" w:color="auto"/>
        <w:bottom w:val="none" w:sz="0" w:space="0" w:color="auto"/>
        <w:right w:val="none" w:sz="0" w:space="0" w:color="auto"/>
      </w:divBdr>
    </w:div>
    <w:div w:id="1705598768">
      <w:bodyDiv w:val="1"/>
      <w:marLeft w:val="0"/>
      <w:marRight w:val="0"/>
      <w:marTop w:val="0"/>
      <w:marBottom w:val="0"/>
      <w:divBdr>
        <w:top w:val="none" w:sz="0" w:space="0" w:color="auto"/>
        <w:left w:val="none" w:sz="0" w:space="0" w:color="auto"/>
        <w:bottom w:val="none" w:sz="0" w:space="0" w:color="auto"/>
        <w:right w:val="none" w:sz="0" w:space="0" w:color="auto"/>
      </w:divBdr>
    </w:div>
    <w:div w:id="1746026310">
      <w:bodyDiv w:val="1"/>
      <w:marLeft w:val="0"/>
      <w:marRight w:val="0"/>
      <w:marTop w:val="0"/>
      <w:marBottom w:val="0"/>
      <w:divBdr>
        <w:top w:val="none" w:sz="0" w:space="0" w:color="auto"/>
        <w:left w:val="none" w:sz="0" w:space="0" w:color="auto"/>
        <w:bottom w:val="none" w:sz="0" w:space="0" w:color="auto"/>
        <w:right w:val="none" w:sz="0" w:space="0" w:color="auto"/>
      </w:divBdr>
    </w:div>
    <w:div w:id="1779639908">
      <w:bodyDiv w:val="1"/>
      <w:marLeft w:val="0"/>
      <w:marRight w:val="0"/>
      <w:marTop w:val="0"/>
      <w:marBottom w:val="0"/>
      <w:divBdr>
        <w:top w:val="none" w:sz="0" w:space="0" w:color="auto"/>
        <w:left w:val="none" w:sz="0" w:space="0" w:color="auto"/>
        <w:bottom w:val="none" w:sz="0" w:space="0" w:color="auto"/>
        <w:right w:val="none" w:sz="0" w:space="0" w:color="auto"/>
      </w:divBdr>
    </w:div>
    <w:div w:id="1783765974">
      <w:bodyDiv w:val="1"/>
      <w:marLeft w:val="0"/>
      <w:marRight w:val="0"/>
      <w:marTop w:val="0"/>
      <w:marBottom w:val="0"/>
      <w:divBdr>
        <w:top w:val="none" w:sz="0" w:space="0" w:color="auto"/>
        <w:left w:val="none" w:sz="0" w:space="0" w:color="auto"/>
        <w:bottom w:val="none" w:sz="0" w:space="0" w:color="auto"/>
        <w:right w:val="none" w:sz="0" w:space="0" w:color="auto"/>
      </w:divBdr>
    </w:div>
    <w:div w:id="1818915982">
      <w:bodyDiv w:val="1"/>
      <w:marLeft w:val="0"/>
      <w:marRight w:val="0"/>
      <w:marTop w:val="0"/>
      <w:marBottom w:val="0"/>
      <w:divBdr>
        <w:top w:val="none" w:sz="0" w:space="0" w:color="auto"/>
        <w:left w:val="none" w:sz="0" w:space="0" w:color="auto"/>
        <w:bottom w:val="none" w:sz="0" w:space="0" w:color="auto"/>
        <w:right w:val="none" w:sz="0" w:space="0" w:color="auto"/>
      </w:divBdr>
    </w:div>
    <w:div w:id="1852211126">
      <w:bodyDiv w:val="1"/>
      <w:marLeft w:val="0"/>
      <w:marRight w:val="0"/>
      <w:marTop w:val="0"/>
      <w:marBottom w:val="0"/>
      <w:divBdr>
        <w:top w:val="none" w:sz="0" w:space="0" w:color="auto"/>
        <w:left w:val="none" w:sz="0" w:space="0" w:color="auto"/>
        <w:bottom w:val="none" w:sz="0" w:space="0" w:color="auto"/>
        <w:right w:val="none" w:sz="0" w:space="0" w:color="auto"/>
      </w:divBdr>
    </w:div>
    <w:div w:id="1866283262">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79202128">
      <w:bodyDiv w:val="1"/>
      <w:marLeft w:val="0"/>
      <w:marRight w:val="0"/>
      <w:marTop w:val="0"/>
      <w:marBottom w:val="0"/>
      <w:divBdr>
        <w:top w:val="none" w:sz="0" w:space="0" w:color="auto"/>
        <w:left w:val="none" w:sz="0" w:space="0" w:color="auto"/>
        <w:bottom w:val="none" w:sz="0" w:space="0" w:color="auto"/>
        <w:right w:val="none" w:sz="0" w:space="0" w:color="auto"/>
      </w:divBdr>
    </w:div>
    <w:div w:id="1882787960">
      <w:bodyDiv w:val="1"/>
      <w:marLeft w:val="0"/>
      <w:marRight w:val="0"/>
      <w:marTop w:val="0"/>
      <w:marBottom w:val="0"/>
      <w:divBdr>
        <w:top w:val="none" w:sz="0" w:space="0" w:color="auto"/>
        <w:left w:val="none" w:sz="0" w:space="0" w:color="auto"/>
        <w:bottom w:val="none" w:sz="0" w:space="0" w:color="auto"/>
        <w:right w:val="none" w:sz="0" w:space="0" w:color="auto"/>
      </w:divBdr>
    </w:div>
    <w:div w:id="1901599210">
      <w:bodyDiv w:val="1"/>
      <w:marLeft w:val="0"/>
      <w:marRight w:val="0"/>
      <w:marTop w:val="0"/>
      <w:marBottom w:val="0"/>
      <w:divBdr>
        <w:top w:val="none" w:sz="0" w:space="0" w:color="auto"/>
        <w:left w:val="none" w:sz="0" w:space="0" w:color="auto"/>
        <w:bottom w:val="none" w:sz="0" w:space="0" w:color="auto"/>
        <w:right w:val="none" w:sz="0" w:space="0" w:color="auto"/>
      </w:divBdr>
    </w:div>
    <w:div w:id="1915045875">
      <w:bodyDiv w:val="1"/>
      <w:marLeft w:val="0"/>
      <w:marRight w:val="0"/>
      <w:marTop w:val="0"/>
      <w:marBottom w:val="0"/>
      <w:divBdr>
        <w:top w:val="none" w:sz="0" w:space="0" w:color="auto"/>
        <w:left w:val="none" w:sz="0" w:space="0" w:color="auto"/>
        <w:bottom w:val="none" w:sz="0" w:space="0" w:color="auto"/>
        <w:right w:val="none" w:sz="0" w:space="0" w:color="auto"/>
      </w:divBdr>
    </w:div>
    <w:div w:id="1926498583">
      <w:bodyDiv w:val="1"/>
      <w:marLeft w:val="0"/>
      <w:marRight w:val="0"/>
      <w:marTop w:val="0"/>
      <w:marBottom w:val="0"/>
      <w:divBdr>
        <w:top w:val="none" w:sz="0" w:space="0" w:color="auto"/>
        <w:left w:val="none" w:sz="0" w:space="0" w:color="auto"/>
        <w:bottom w:val="none" w:sz="0" w:space="0" w:color="auto"/>
        <w:right w:val="none" w:sz="0" w:space="0" w:color="auto"/>
      </w:divBdr>
    </w:div>
    <w:div w:id="1934898163">
      <w:bodyDiv w:val="1"/>
      <w:marLeft w:val="0"/>
      <w:marRight w:val="0"/>
      <w:marTop w:val="0"/>
      <w:marBottom w:val="0"/>
      <w:divBdr>
        <w:top w:val="none" w:sz="0" w:space="0" w:color="auto"/>
        <w:left w:val="none" w:sz="0" w:space="0" w:color="auto"/>
        <w:bottom w:val="none" w:sz="0" w:space="0" w:color="auto"/>
        <w:right w:val="none" w:sz="0" w:space="0" w:color="auto"/>
      </w:divBdr>
    </w:div>
    <w:div w:id="2028478683">
      <w:bodyDiv w:val="1"/>
      <w:marLeft w:val="0"/>
      <w:marRight w:val="0"/>
      <w:marTop w:val="0"/>
      <w:marBottom w:val="0"/>
      <w:divBdr>
        <w:top w:val="none" w:sz="0" w:space="0" w:color="auto"/>
        <w:left w:val="none" w:sz="0" w:space="0" w:color="auto"/>
        <w:bottom w:val="none" w:sz="0" w:space="0" w:color="auto"/>
        <w:right w:val="none" w:sz="0" w:space="0" w:color="auto"/>
      </w:divBdr>
    </w:div>
    <w:div w:id="2039546979">
      <w:bodyDiv w:val="1"/>
      <w:marLeft w:val="0"/>
      <w:marRight w:val="0"/>
      <w:marTop w:val="0"/>
      <w:marBottom w:val="0"/>
      <w:divBdr>
        <w:top w:val="none" w:sz="0" w:space="0" w:color="auto"/>
        <w:left w:val="none" w:sz="0" w:space="0" w:color="auto"/>
        <w:bottom w:val="none" w:sz="0" w:space="0" w:color="auto"/>
        <w:right w:val="none" w:sz="0" w:space="0" w:color="auto"/>
      </w:divBdr>
    </w:div>
    <w:div w:id="2051370079">
      <w:bodyDiv w:val="1"/>
      <w:marLeft w:val="0"/>
      <w:marRight w:val="0"/>
      <w:marTop w:val="0"/>
      <w:marBottom w:val="0"/>
      <w:divBdr>
        <w:top w:val="none" w:sz="0" w:space="0" w:color="auto"/>
        <w:left w:val="none" w:sz="0" w:space="0" w:color="auto"/>
        <w:bottom w:val="none" w:sz="0" w:space="0" w:color="auto"/>
        <w:right w:val="none" w:sz="0" w:space="0" w:color="auto"/>
      </w:divBdr>
    </w:div>
    <w:div w:id="2066295157">
      <w:bodyDiv w:val="1"/>
      <w:marLeft w:val="0"/>
      <w:marRight w:val="0"/>
      <w:marTop w:val="0"/>
      <w:marBottom w:val="0"/>
      <w:divBdr>
        <w:top w:val="none" w:sz="0" w:space="0" w:color="auto"/>
        <w:left w:val="none" w:sz="0" w:space="0" w:color="auto"/>
        <w:bottom w:val="none" w:sz="0" w:space="0" w:color="auto"/>
        <w:right w:val="none" w:sz="0" w:space="0" w:color="auto"/>
      </w:divBdr>
    </w:div>
    <w:div w:id="2100520282">
      <w:bodyDiv w:val="1"/>
      <w:marLeft w:val="0"/>
      <w:marRight w:val="0"/>
      <w:marTop w:val="0"/>
      <w:marBottom w:val="0"/>
      <w:divBdr>
        <w:top w:val="none" w:sz="0" w:space="0" w:color="auto"/>
        <w:left w:val="none" w:sz="0" w:space="0" w:color="auto"/>
        <w:bottom w:val="none" w:sz="0" w:space="0" w:color="auto"/>
        <w:right w:val="none" w:sz="0" w:space="0" w:color="auto"/>
      </w:divBdr>
    </w:div>
    <w:div w:id="214677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issues/development/session24/2022-12-08/A-HRC-WG.2-24-2-Add.1.docx" TargetMode="External"/><Relationship Id="rId13" Type="http://schemas.openxmlformats.org/officeDocument/2006/relationships/theme" Target="theme/theme1.xml"/><Relationship Id="rId85" Type="http://schemas.openxmlformats.org/officeDocument/2006/relationships/customXml" Target="../customXml/item4.xml"/><Relationship Id="rId3" Type="http://schemas.openxmlformats.org/officeDocument/2006/relationships/styles" Target="styles.xml"/><Relationship Id="rId8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82" Type="http://schemas.microsoft.com/office/2018/08/relationships/commentsExtensible" Target="commentsExtensible.xml"/><Relationship Id="rId10" Type="http://schemas.openxmlformats.org/officeDocument/2006/relationships/footer" Target="footer2.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E7B10EA-B9AA-4FDD-84C9-82D2C173C1E5}">
  <ds:schemaRefs>
    <ds:schemaRef ds:uri="http://schemas.openxmlformats.org/officeDocument/2006/bibliography"/>
  </ds:schemaRefs>
</ds:datastoreItem>
</file>

<file path=customXml/itemProps2.xml><?xml version="1.0" encoding="utf-8"?>
<ds:datastoreItem xmlns:ds="http://schemas.openxmlformats.org/officeDocument/2006/customXml" ds:itemID="{89B5C557-18BF-44AA-968A-F7BD7CB4E82E}"/>
</file>

<file path=customXml/itemProps3.xml><?xml version="1.0" encoding="utf-8"?>
<ds:datastoreItem xmlns:ds="http://schemas.openxmlformats.org/officeDocument/2006/customXml" ds:itemID="{D50ADF30-5474-48B0-B9CF-B0C184D4349D}"/>
</file>

<file path=customXml/itemProps4.xml><?xml version="1.0" encoding="utf-8"?>
<ds:datastoreItem xmlns:ds="http://schemas.openxmlformats.org/officeDocument/2006/customXml" ds:itemID="{D823B183-F2DB-4FEE-99E5-371988806DC4}"/>
</file>

<file path=docProps/app.xml><?xml version="1.0" encoding="utf-8"?>
<Properties xmlns="http://schemas.openxmlformats.org/officeDocument/2006/extended-properties" xmlns:vt="http://schemas.openxmlformats.org/officeDocument/2006/docPropsVTypes">
  <Template>Normal</Template>
  <TotalTime>203</TotalTime>
  <Pages>6</Pages>
  <Words>2609</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Comments to the draft convention on the rtD </vt:lpstr>
    </vt:vector>
  </TitlesOfParts>
  <Company>McGill University</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the draft convention on the rtD</dc:title>
  <dc:creator>Maria</dc:creator>
  <cp:lastModifiedBy>Cuenta Microsoft</cp:lastModifiedBy>
  <cp:revision>50</cp:revision>
  <cp:lastPrinted>2023-05-11T14:43:00Z</cp:lastPrinted>
  <dcterms:created xsi:type="dcterms:W3CDTF">2022-06-23T23:17:00Z</dcterms:created>
  <dcterms:modified xsi:type="dcterms:W3CDTF">2023-05-11T16:10:00Z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