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68F3" w14:textId="7181F86E" w:rsidR="006553C2" w:rsidRPr="002464CC" w:rsidRDefault="006553C2" w:rsidP="001E7A19">
      <w:pPr>
        <w:jc w:val="center"/>
        <w:rPr>
          <w:rFonts w:eastAsia="Calibri"/>
          <w:b/>
          <w:bCs/>
          <w:sz w:val="28"/>
          <w:szCs w:val="28"/>
        </w:rPr>
      </w:pPr>
      <w:r w:rsidRPr="002464CC">
        <w:rPr>
          <w:rFonts w:eastAsia="Calibri"/>
          <w:b/>
          <w:bCs/>
          <w:sz w:val="28"/>
          <w:szCs w:val="28"/>
        </w:rPr>
        <w:t>Special Rapporteur on the right to development</w:t>
      </w:r>
    </w:p>
    <w:p w14:paraId="0C54CBBA" w14:textId="77777777" w:rsidR="006553C2" w:rsidRPr="002464CC" w:rsidRDefault="006553C2" w:rsidP="006553C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</w:p>
    <w:p w14:paraId="0C3A9D79" w14:textId="1D1A6783" w:rsidR="001C29E3" w:rsidRPr="002464CC" w:rsidRDefault="001C29E3" w:rsidP="001C29E3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2464CC">
        <w:rPr>
          <w:rFonts w:eastAsia="Calibri"/>
          <w:b/>
          <w:bCs/>
          <w:i/>
          <w:iCs/>
          <w:sz w:val="24"/>
          <w:szCs w:val="24"/>
        </w:rPr>
        <w:t xml:space="preserve">Comments </w:t>
      </w:r>
      <w:r w:rsidR="009C2BA2" w:rsidRPr="002464CC">
        <w:rPr>
          <w:rFonts w:eastAsia="Calibri"/>
          <w:b/>
          <w:bCs/>
          <w:i/>
          <w:iCs/>
          <w:sz w:val="24"/>
          <w:szCs w:val="24"/>
        </w:rPr>
        <w:t xml:space="preserve">and suggestions regarding </w:t>
      </w:r>
      <w:r w:rsidRPr="002464CC">
        <w:rPr>
          <w:rFonts w:eastAsia="Calibri"/>
          <w:b/>
          <w:bCs/>
          <w:i/>
          <w:iCs/>
          <w:sz w:val="24"/>
          <w:szCs w:val="24"/>
        </w:rPr>
        <w:t xml:space="preserve">the </w:t>
      </w:r>
      <w:r w:rsidR="000A6EF1" w:rsidRPr="002464CC">
        <w:rPr>
          <w:rFonts w:eastAsia="Calibri"/>
          <w:b/>
          <w:bCs/>
          <w:i/>
          <w:iCs/>
          <w:sz w:val="24"/>
          <w:szCs w:val="24"/>
        </w:rPr>
        <w:t>“</w:t>
      </w:r>
      <w:r w:rsidRPr="002464CC">
        <w:rPr>
          <w:rFonts w:eastAsia="Calibri"/>
          <w:b/>
          <w:bCs/>
          <w:i/>
          <w:iCs/>
          <w:sz w:val="24"/>
          <w:szCs w:val="24"/>
        </w:rPr>
        <w:t>Second revised text of the draft convention on the right to development</w:t>
      </w:r>
      <w:r w:rsidR="000A6EF1" w:rsidRPr="002464CC">
        <w:rPr>
          <w:rFonts w:eastAsia="Calibri"/>
          <w:b/>
          <w:bCs/>
          <w:i/>
          <w:iCs/>
          <w:sz w:val="24"/>
          <w:szCs w:val="24"/>
        </w:rPr>
        <w:t>”</w:t>
      </w:r>
      <w:r w:rsidRPr="002464CC">
        <w:rPr>
          <w:rFonts w:eastAsia="Calibri"/>
          <w:b/>
          <w:bCs/>
          <w:i/>
          <w:iCs/>
          <w:sz w:val="24"/>
          <w:szCs w:val="24"/>
        </w:rPr>
        <w:t>, A/HRC/WG.2/24/2</w:t>
      </w:r>
    </w:p>
    <w:p w14:paraId="57F73158" w14:textId="77777777" w:rsidR="001C29E3" w:rsidRPr="002464CC" w:rsidRDefault="001C29E3" w:rsidP="006553C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</w:p>
    <w:p w14:paraId="7497C28F" w14:textId="6257850F" w:rsidR="001C29E3" w:rsidRPr="002464CC" w:rsidRDefault="001C29E3" w:rsidP="001C29E3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center"/>
        <w:rPr>
          <w:rFonts w:eastAsia="Calibri"/>
          <w:sz w:val="24"/>
          <w:szCs w:val="24"/>
        </w:rPr>
      </w:pPr>
      <w:r w:rsidRPr="002464CC">
        <w:rPr>
          <w:rFonts w:eastAsia="Calibri"/>
          <w:sz w:val="24"/>
          <w:szCs w:val="24"/>
        </w:rPr>
        <w:t>1</w:t>
      </w:r>
      <w:r w:rsidR="00916E30">
        <w:rPr>
          <w:rFonts w:eastAsia="Calibri"/>
          <w:sz w:val="24"/>
          <w:szCs w:val="24"/>
        </w:rPr>
        <w:t>2</w:t>
      </w:r>
      <w:r w:rsidRPr="002464CC">
        <w:rPr>
          <w:rFonts w:eastAsia="Calibri"/>
          <w:sz w:val="24"/>
          <w:szCs w:val="24"/>
        </w:rPr>
        <w:t xml:space="preserve"> May 2023 </w:t>
      </w:r>
    </w:p>
    <w:p w14:paraId="0C2D9661" w14:textId="77777777" w:rsidR="001C29E3" w:rsidRPr="002464CC" w:rsidRDefault="001C29E3" w:rsidP="006553C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</w:p>
    <w:p w14:paraId="2C1846A9" w14:textId="50E242AB" w:rsidR="006553C2" w:rsidRPr="002464CC" w:rsidRDefault="007D26BB" w:rsidP="006553C2">
      <w:pPr>
        <w:jc w:val="both"/>
        <w:rPr>
          <w:sz w:val="24"/>
          <w:szCs w:val="24"/>
        </w:rPr>
      </w:pPr>
      <w:r w:rsidRPr="002464CC">
        <w:rPr>
          <w:sz w:val="24"/>
          <w:szCs w:val="24"/>
        </w:rPr>
        <w:t xml:space="preserve">The </w:t>
      </w:r>
      <w:r w:rsidRPr="002464CC">
        <w:rPr>
          <w:color w:val="000000"/>
          <w:sz w:val="24"/>
          <w:szCs w:val="24"/>
          <w:shd w:val="clear" w:color="auto" w:fill="FFFFFF"/>
          <w:lang w:eastAsia="en-GB"/>
        </w:rPr>
        <w:t xml:space="preserve">United Nations </w:t>
      </w:r>
      <w:r w:rsidRPr="002464CC">
        <w:rPr>
          <w:sz w:val="24"/>
          <w:szCs w:val="24"/>
        </w:rPr>
        <w:t>Special Rapporteur on the right to development welcomes the opportunity to provide comments and suggestions regarding the “Second revised text of the draft convention on the right to development”</w:t>
      </w:r>
      <w:r w:rsidR="00FB4FE4">
        <w:rPr>
          <w:sz w:val="24"/>
          <w:szCs w:val="24"/>
        </w:rPr>
        <w:t xml:space="preserve"> (Draft Convention)</w:t>
      </w:r>
      <w:r w:rsidRPr="002464CC">
        <w:rPr>
          <w:sz w:val="24"/>
          <w:szCs w:val="24"/>
        </w:rPr>
        <w:t xml:space="preserve">. Since the Special Rapporteur, Mr. Surya Deva, </w:t>
      </w:r>
      <w:r w:rsidR="006553C2" w:rsidRPr="002464CC">
        <w:rPr>
          <w:sz w:val="24"/>
          <w:szCs w:val="24"/>
        </w:rPr>
        <w:t xml:space="preserve">took up his functions </w:t>
      </w:r>
      <w:r w:rsidRPr="002464CC">
        <w:rPr>
          <w:sz w:val="24"/>
          <w:szCs w:val="24"/>
        </w:rPr>
        <w:t xml:space="preserve">only </w:t>
      </w:r>
      <w:r w:rsidR="006553C2" w:rsidRPr="002464CC">
        <w:rPr>
          <w:sz w:val="24"/>
          <w:szCs w:val="24"/>
        </w:rPr>
        <w:t>on 1 May 20</w:t>
      </w:r>
      <w:r w:rsidR="00CF4DD1" w:rsidRPr="002464CC">
        <w:rPr>
          <w:sz w:val="24"/>
          <w:szCs w:val="24"/>
        </w:rPr>
        <w:t>23</w:t>
      </w:r>
      <w:r w:rsidR="00A559ED" w:rsidRPr="002464CC">
        <w:rPr>
          <w:sz w:val="24"/>
          <w:szCs w:val="24"/>
        </w:rPr>
        <w:t xml:space="preserve"> and text of the </w:t>
      </w:r>
      <w:r w:rsidR="008F3A2F">
        <w:rPr>
          <w:sz w:val="24"/>
          <w:szCs w:val="24"/>
        </w:rPr>
        <w:t>D</w:t>
      </w:r>
      <w:r w:rsidR="00A559ED" w:rsidRPr="002464CC">
        <w:rPr>
          <w:sz w:val="24"/>
          <w:szCs w:val="24"/>
        </w:rPr>
        <w:t xml:space="preserve">raft </w:t>
      </w:r>
      <w:r w:rsidR="008F3A2F">
        <w:rPr>
          <w:sz w:val="24"/>
          <w:szCs w:val="24"/>
        </w:rPr>
        <w:t>C</w:t>
      </w:r>
      <w:r w:rsidR="00A559ED" w:rsidRPr="002464CC">
        <w:rPr>
          <w:sz w:val="24"/>
          <w:szCs w:val="24"/>
        </w:rPr>
        <w:t>onvention is at an advance stage of negotiation</w:t>
      </w:r>
      <w:r w:rsidRPr="002464CC">
        <w:rPr>
          <w:sz w:val="24"/>
          <w:szCs w:val="24"/>
        </w:rPr>
        <w:t xml:space="preserve">, </w:t>
      </w:r>
      <w:r w:rsidR="005A35C4" w:rsidRPr="002464CC">
        <w:rPr>
          <w:sz w:val="24"/>
          <w:szCs w:val="24"/>
        </w:rPr>
        <w:t xml:space="preserve">the comments and suggestions below are constrained by these </w:t>
      </w:r>
      <w:r w:rsidR="008F3A2F">
        <w:rPr>
          <w:sz w:val="24"/>
          <w:szCs w:val="24"/>
        </w:rPr>
        <w:t xml:space="preserve">two </w:t>
      </w:r>
      <w:r w:rsidR="005A35C4" w:rsidRPr="002464CC">
        <w:rPr>
          <w:sz w:val="24"/>
          <w:szCs w:val="24"/>
        </w:rPr>
        <w:t>factors</w:t>
      </w:r>
      <w:r w:rsidR="006553C2" w:rsidRPr="002464CC">
        <w:rPr>
          <w:sz w:val="24"/>
          <w:szCs w:val="24"/>
        </w:rPr>
        <w:t xml:space="preserve">.  </w:t>
      </w:r>
    </w:p>
    <w:p w14:paraId="3A5B7BB0" w14:textId="77777777" w:rsidR="006553C2" w:rsidRPr="002464CC" w:rsidRDefault="006553C2" w:rsidP="006553C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</w:p>
    <w:p w14:paraId="20460E17" w14:textId="75D26F9A" w:rsidR="009C2BA2" w:rsidRPr="002464CC" w:rsidRDefault="009C2BA2" w:rsidP="006553C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b/>
          <w:bCs/>
          <w:sz w:val="24"/>
          <w:szCs w:val="24"/>
        </w:rPr>
      </w:pPr>
      <w:r w:rsidRPr="002464CC">
        <w:rPr>
          <w:rFonts w:eastAsia="Calibri"/>
          <w:b/>
          <w:bCs/>
          <w:sz w:val="24"/>
          <w:szCs w:val="24"/>
        </w:rPr>
        <w:t xml:space="preserve">General comments </w:t>
      </w:r>
    </w:p>
    <w:p w14:paraId="63005213" w14:textId="77777777" w:rsidR="009C2BA2" w:rsidRPr="002464CC" w:rsidRDefault="009C2BA2" w:rsidP="006553C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</w:p>
    <w:p w14:paraId="7FA881B0" w14:textId="58DEFD7B" w:rsidR="009C2BA2" w:rsidRPr="002464CC" w:rsidRDefault="002464CC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 w:rsidRPr="002464CC">
        <w:rPr>
          <w:rFonts w:eastAsia="Calibri"/>
          <w:sz w:val="24"/>
          <w:szCs w:val="24"/>
        </w:rPr>
        <w:t>I full</w:t>
      </w:r>
      <w:r>
        <w:rPr>
          <w:rFonts w:eastAsia="Calibri"/>
          <w:sz w:val="24"/>
          <w:szCs w:val="24"/>
        </w:rPr>
        <w:t>y</w:t>
      </w:r>
      <w:r w:rsidRPr="002464CC">
        <w:rPr>
          <w:rFonts w:eastAsia="Calibri"/>
          <w:sz w:val="24"/>
          <w:szCs w:val="24"/>
        </w:rPr>
        <w:t xml:space="preserve"> support the </w:t>
      </w:r>
      <w:r w:rsidR="00647874">
        <w:rPr>
          <w:rFonts w:eastAsia="Calibri"/>
          <w:sz w:val="24"/>
          <w:szCs w:val="24"/>
        </w:rPr>
        <w:t xml:space="preserve">current process to </w:t>
      </w:r>
      <w:r w:rsidR="00647874" w:rsidRPr="002464CC">
        <w:rPr>
          <w:rFonts w:eastAsia="Calibri"/>
          <w:sz w:val="24"/>
          <w:szCs w:val="24"/>
        </w:rPr>
        <w:t>legali</w:t>
      </w:r>
      <w:r w:rsidR="00647874">
        <w:rPr>
          <w:rFonts w:eastAsia="Calibri"/>
          <w:sz w:val="24"/>
          <w:szCs w:val="24"/>
        </w:rPr>
        <w:t xml:space="preserve">se </w:t>
      </w:r>
      <w:r>
        <w:rPr>
          <w:rFonts w:eastAsia="Calibri"/>
          <w:sz w:val="24"/>
          <w:szCs w:val="24"/>
        </w:rPr>
        <w:t>the right to development</w:t>
      </w:r>
      <w:r w:rsidR="006478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at the international level </w:t>
      </w:r>
      <w:r w:rsidR="00F709DC">
        <w:rPr>
          <w:rFonts w:eastAsia="Calibri"/>
          <w:sz w:val="24"/>
          <w:szCs w:val="24"/>
        </w:rPr>
        <w:t xml:space="preserve">as a critical pathway </w:t>
      </w:r>
      <w:r>
        <w:rPr>
          <w:rFonts w:eastAsia="Calibri"/>
          <w:sz w:val="24"/>
          <w:szCs w:val="24"/>
        </w:rPr>
        <w:t>to promote and realise this right.</w:t>
      </w:r>
      <w:r w:rsidR="009C6562">
        <w:rPr>
          <w:rFonts w:eastAsia="Calibri"/>
          <w:sz w:val="24"/>
          <w:szCs w:val="24"/>
        </w:rPr>
        <w:t xml:space="preserve"> Such legalisation will have an important “signalling” effect</w:t>
      </w:r>
      <w:r w:rsidR="00803F15">
        <w:rPr>
          <w:rFonts w:eastAsia="Calibri"/>
          <w:sz w:val="24"/>
          <w:szCs w:val="24"/>
        </w:rPr>
        <w:t xml:space="preserve"> about the status of the right to development</w:t>
      </w:r>
      <w:r w:rsidR="00FB4FE4">
        <w:rPr>
          <w:rFonts w:eastAsia="Calibri"/>
          <w:sz w:val="24"/>
          <w:szCs w:val="24"/>
        </w:rPr>
        <w:t xml:space="preserve"> vis-à-vis other human rights enumerated in the Universal Declaration of Human Rights and </w:t>
      </w:r>
      <w:r w:rsidR="008F3A2F">
        <w:rPr>
          <w:rFonts w:eastAsia="Calibri"/>
          <w:sz w:val="24"/>
          <w:szCs w:val="24"/>
        </w:rPr>
        <w:t>other</w:t>
      </w:r>
      <w:r w:rsidR="00FB4FE4">
        <w:rPr>
          <w:rFonts w:eastAsia="Calibri"/>
          <w:sz w:val="24"/>
          <w:szCs w:val="24"/>
        </w:rPr>
        <w:t xml:space="preserve"> international human rights conventions</w:t>
      </w:r>
      <w:r w:rsidR="001A0F53">
        <w:rPr>
          <w:rFonts w:eastAsia="Calibri"/>
          <w:sz w:val="24"/>
          <w:szCs w:val="24"/>
        </w:rPr>
        <w:t>. Th</w:t>
      </w:r>
      <w:r w:rsidR="00FB4FE4">
        <w:rPr>
          <w:rFonts w:eastAsia="Calibri"/>
          <w:sz w:val="24"/>
          <w:szCs w:val="24"/>
        </w:rPr>
        <w:t>e Convention</w:t>
      </w:r>
      <w:r w:rsidR="000E788A">
        <w:rPr>
          <w:rFonts w:eastAsia="Calibri"/>
          <w:sz w:val="24"/>
          <w:szCs w:val="24"/>
        </w:rPr>
        <w:t>, once adopted,</w:t>
      </w:r>
      <w:r w:rsidR="00FB4FE4">
        <w:rPr>
          <w:rFonts w:eastAsia="Calibri"/>
          <w:sz w:val="24"/>
          <w:szCs w:val="24"/>
        </w:rPr>
        <w:t xml:space="preserve"> </w:t>
      </w:r>
      <w:r w:rsidR="001A0F53">
        <w:rPr>
          <w:rFonts w:eastAsia="Calibri"/>
          <w:sz w:val="24"/>
          <w:szCs w:val="24"/>
        </w:rPr>
        <w:t xml:space="preserve">should also have a cascading effect on the </w:t>
      </w:r>
      <w:r w:rsidR="00FB4FE4">
        <w:rPr>
          <w:rFonts w:eastAsia="Calibri"/>
          <w:sz w:val="24"/>
          <w:szCs w:val="24"/>
        </w:rPr>
        <w:t>evolution</w:t>
      </w:r>
      <w:r w:rsidR="001A0F53">
        <w:rPr>
          <w:rFonts w:eastAsia="Calibri"/>
          <w:sz w:val="24"/>
          <w:szCs w:val="24"/>
        </w:rPr>
        <w:t xml:space="preserve"> of laws, </w:t>
      </w:r>
      <w:proofErr w:type="gramStart"/>
      <w:r w:rsidR="001A0F53">
        <w:rPr>
          <w:rFonts w:eastAsia="Calibri"/>
          <w:sz w:val="24"/>
          <w:szCs w:val="24"/>
        </w:rPr>
        <w:t>policies</w:t>
      </w:r>
      <w:proofErr w:type="gramEnd"/>
      <w:r w:rsidR="001A0F53">
        <w:rPr>
          <w:rFonts w:eastAsia="Calibri"/>
          <w:sz w:val="24"/>
          <w:szCs w:val="24"/>
        </w:rPr>
        <w:t xml:space="preserve"> and programmes to implement the right </w:t>
      </w:r>
      <w:r w:rsidR="00FB4FE4">
        <w:rPr>
          <w:rFonts w:eastAsia="Calibri"/>
          <w:sz w:val="24"/>
          <w:szCs w:val="24"/>
        </w:rPr>
        <w:t xml:space="preserve">to development </w:t>
      </w:r>
      <w:r w:rsidR="001A0F53">
        <w:rPr>
          <w:rFonts w:eastAsia="Calibri"/>
          <w:sz w:val="24"/>
          <w:szCs w:val="24"/>
        </w:rPr>
        <w:t xml:space="preserve">at local, national and regional levels.  </w:t>
      </w:r>
      <w:r>
        <w:rPr>
          <w:rFonts w:eastAsia="Calibri"/>
          <w:sz w:val="24"/>
          <w:szCs w:val="24"/>
        </w:rPr>
        <w:t xml:space="preserve"> </w:t>
      </w:r>
    </w:p>
    <w:p w14:paraId="50AA74E6" w14:textId="77777777" w:rsidR="009C2BA2" w:rsidRPr="002464CC" w:rsidRDefault="009C2BA2" w:rsidP="009C2BA2">
      <w:pPr>
        <w:pStyle w:val="ListParagraph"/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360"/>
        <w:jc w:val="both"/>
        <w:rPr>
          <w:rFonts w:eastAsia="Calibri"/>
          <w:sz w:val="24"/>
          <w:szCs w:val="24"/>
        </w:rPr>
      </w:pPr>
    </w:p>
    <w:p w14:paraId="0E231D0B" w14:textId="0BB30BE7" w:rsidR="00A51EB5" w:rsidRDefault="00A51EB5" w:rsidP="007B2DA7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Although there are </w:t>
      </w:r>
      <w:r w:rsidR="000E788A">
        <w:rPr>
          <w:rFonts w:eastAsia="Calibri"/>
          <w:sz w:val="24"/>
          <w:szCs w:val="24"/>
        </w:rPr>
        <w:t xml:space="preserve">certain </w:t>
      </w:r>
      <w:r>
        <w:rPr>
          <w:rFonts w:eastAsia="Calibri"/>
          <w:sz w:val="24"/>
          <w:szCs w:val="24"/>
        </w:rPr>
        <w:t xml:space="preserve">areas for improvement, the </w:t>
      </w:r>
      <w:r w:rsidR="000E788A">
        <w:rPr>
          <w:rFonts w:eastAsia="Calibri"/>
          <w:sz w:val="24"/>
          <w:szCs w:val="24"/>
        </w:rPr>
        <w:t xml:space="preserve">current </w:t>
      </w:r>
      <w:r>
        <w:rPr>
          <w:rFonts w:eastAsia="Calibri"/>
          <w:sz w:val="24"/>
          <w:szCs w:val="24"/>
        </w:rPr>
        <w:t xml:space="preserve">text of the Draft Convention </w:t>
      </w:r>
      <w:r w:rsidR="004418AF">
        <w:rPr>
          <w:rFonts w:eastAsia="Calibri"/>
          <w:sz w:val="24"/>
          <w:szCs w:val="24"/>
        </w:rPr>
        <w:t xml:space="preserve">is </w:t>
      </w:r>
      <w:r>
        <w:rPr>
          <w:rFonts w:eastAsia="Calibri"/>
          <w:sz w:val="24"/>
          <w:szCs w:val="24"/>
        </w:rPr>
        <w:t xml:space="preserve">generally </w:t>
      </w:r>
      <w:r w:rsidR="004418AF">
        <w:rPr>
          <w:rFonts w:eastAsia="Calibri"/>
          <w:sz w:val="24"/>
          <w:szCs w:val="24"/>
        </w:rPr>
        <w:t>good</w:t>
      </w:r>
      <w:r>
        <w:rPr>
          <w:rFonts w:eastAsia="Calibri"/>
          <w:sz w:val="24"/>
          <w:szCs w:val="24"/>
        </w:rPr>
        <w:t xml:space="preserve">. Therefore, I would like to take this opportunity to </w:t>
      </w:r>
      <w:r w:rsidR="00EE4735">
        <w:rPr>
          <w:rFonts w:eastAsia="Calibri"/>
          <w:sz w:val="24"/>
          <w:szCs w:val="24"/>
        </w:rPr>
        <w:t xml:space="preserve">congratulate the </w:t>
      </w:r>
      <w:r w:rsidR="00EE4735" w:rsidRPr="00EE4735">
        <w:rPr>
          <w:rFonts w:eastAsia="Calibri"/>
          <w:sz w:val="24"/>
          <w:szCs w:val="24"/>
        </w:rPr>
        <w:t>Chair-Rapporteur</w:t>
      </w:r>
      <w:r w:rsidR="00EE4735">
        <w:rPr>
          <w:rFonts w:eastAsia="Calibri"/>
          <w:sz w:val="24"/>
          <w:szCs w:val="24"/>
        </w:rPr>
        <w:t xml:space="preserve"> </w:t>
      </w:r>
      <w:r w:rsidR="00EE4735" w:rsidRPr="00EE4735">
        <w:rPr>
          <w:rFonts w:eastAsia="Calibri"/>
          <w:sz w:val="24"/>
          <w:szCs w:val="24"/>
        </w:rPr>
        <w:t xml:space="preserve">Ambassador Akram </w:t>
      </w:r>
      <w:r w:rsidR="00EE4735">
        <w:rPr>
          <w:rFonts w:eastAsia="Calibri"/>
          <w:sz w:val="24"/>
          <w:szCs w:val="24"/>
        </w:rPr>
        <w:t xml:space="preserve">as well as </w:t>
      </w:r>
      <w:r w:rsidR="007F0B0A">
        <w:rPr>
          <w:rFonts w:eastAsia="Calibri"/>
          <w:sz w:val="24"/>
          <w:szCs w:val="24"/>
        </w:rPr>
        <w:t>the</w:t>
      </w:r>
      <w:r w:rsidR="00EE4735">
        <w:rPr>
          <w:rFonts w:eastAsia="Calibri"/>
          <w:sz w:val="24"/>
          <w:szCs w:val="24"/>
        </w:rPr>
        <w:t xml:space="preserve"> members of the Drafting Group for </w:t>
      </w:r>
      <w:r w:rsidR="007F0B0A">
        <w:rPr>
          <w:rFonts w:eastAsia="Calibri"/>
          <w:sz w:val="24"/>
          <w:szCs w:val="24"/>
        </w:rPr>
        <w:t xml:space="preserve">all </w:t>
      </w:r>
      <w:r w:rsidR="00EE4735">
        <w:rPr>
          <w:rFonts w:eastAsia="Calibri"/>
          <w:sz w:val="24"/>
          <w:szCs w:val="24"/>
        </w:rPr>
        <w:t xml:space="preserve">their hard work </w:t>
      </w:r>
      <w:r w:rsidR="001A6DC7">
        <w:rPr>
          <w:rFonts w:eastAsia="Calibri"/>
          <w:sz w:val="24"/>
          <w:szCs w:val="24"/>
        </w:rPr>
        <w:t xml:space="preserve">and </w:t>
      </w:r>
      <w:r w:rsidR="00EE4735">
        <w:rPr>
          <w:rFonts w:eastAsia="Calibri"/>
          <w:sz w:val="24"/>
          <w:szCs w:val="24"/>
        </w:rPr>
        <w:t xml:space="preserve">for adopting an inclusive, </w:t>
      </w:r>
      <w:proofErr w:type="gramStart"/>
      <w:r w:rsidR="00EE4735">
        <w:rPr>
          <w:rFonts w:eastAsia="Calibri"/>
          <w:sz w:val="24"/>
          <w:szCs w:val="24"/>
        </w:rPr>
        <w:t>consultative</w:t>
      </w:r>
      <w:proofErr w:type="gramEnd"/>
      <w:r w:rsidR="00EE4735">
        <w:rPr>
          <w:rFonts w:eastAsia="Calibri"/>
          <w:sz w:val="24"/>
          <w:szCs w:val="24"/>
        </w:rPr>
        <w:t xml:space="preserve"> and evidence-based approach</w:t>
      </w:r>
      <w:r w:rsidR="000E788A">
        <w:rPr>
          <w:rFonts w:eastAsia="Calibri"/>
          <w:sz w:val="24"/>
          <w:szCs w:val="24"/>
        </w:rPr>
        <w:t xml:space="preserve"> in the drafting process</w:t>
      </w:r>
      <w:r w:rsidR="00EE4735">
        <w:rPr>
          <w:rFonts w:eastAsia="Calibri"/>
          <w:sz w:val="24"/>
          <w:szCs w:val="24"/>
        </w:rPr>
        <w:t>.</w:t>
      </w:r>
      <w:r w:rsidR="00EE4735" w:rsidRPr="00EE4735">
        <w:rPr>
          <w:rFonts w:eastAsia="Calibri"/>
          <w:sz w:val="24"/>
          <w:szCs w:val="24"/>
        </w:rPr>
        <w:t xml:space="preserve"> </w:t>
      </w:r>
    </w:p>
    <w:p w14:paraId="741DE3BE" w14:textId="77777777" w:rsidR="00A51EB5" w:rsidRPr="00A51EB5" w:rsidRDefault="00A51EB5" w:rsidP="00A51EB5">
      <w:pPr>
        <w:pStyle w:val="ListParagraph"/>
        <w:rPr>
          <w:rFonts w:eastAsia="Calibri"/>
          <w:sz w:val="24"/>
          <w:szCs w:val="24"/>
        </w:rPr>
      </w:pPr>
    </w:p>
    <w:p w14:paraId="4EF92566" w14:textId="3956CE92" w:rsidR="001C444E" w:rsidRDefault="00703AE9" w:rsidP="007B2DA7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 w:rsidRPr="00703AE9">
        <w:rPr>
          <w:rFonts w:eastAsia="Calibri"/>
          <w:sz w:val="24"/>
          <w:szCs w:val="24"/>
        </w:rPr>
        <w:t>Considering the principles of</w:t>
      </w:r>
      <w:r w:rsidR="009C2BA2" w:rsidRPr="00703AE9">
        <w:rPr>
          <w:rFonts w:eastAsia="Calibri"/>
          <w:sz w:val="24"/>
          <w:szCs w:val="24"/>
        </w:rPr>
        <w:t xml:space="preserve"> </w:t>
      </w:r>
      <w:r w:rsidRPr="00703AE9">
        <w:rPr>
          <w:rFonts w:eastAsia="Calibri"/>
          <w:sz w:val="24"/>
          <w:szCs w:val="24"/>
        </w:rPr>
        <w:t>the universality, inalienability, indivisibility, interdependence and interrelatedness of all human rights</w:t>
      </w:r>
      <w:r>
        <w:rPr>
          <w:rFonts w:eastAsia="Calibri"/>
          <w:sz w:val="24"/>
          <w:szCs w:val="24"/>
        </w:rPr>
        <w:t xml:space="preserve">, the Draft Convention should keep </w:t>
      </w:r>
      <w:r w:rsidR="002B029B">
        <w:rPr>
          <w:rFonts w:eastAsia="Calibri"/>
          <w:sz w:val="24"/>
          <w:szCs w:val="24"/>
        </w:rPr>
        <w:t xml:space="preserve">in mind </w:t>
      </w:r>
      <w:r>
        <w:rPr>
          <w:rFonts w:eastAsia="Calibri"/>
          <w:sz w:val="24"/>
          <w:szCs w:val="24"/>
        </w:rPr>
        <w:t xml:space="preserve">the </w:t>
      </w:r>
      <w:r w:rsidR="002B029B">
        <w:rPr>
          <w:rFonts w:eastAsia="Calibri"/>
          <w:sz w:val="24"/>
          <w:szCs w:val="24"/>
        </w:rPr>
        <w:t xml:space="preserve">broader </w:t>
      </w:r>
      <w:r>
        <w:rPr>
          <w:rFonts w:eastAsia="Calibri"/>
          <w:sz w:val="24"/>
          <w:szCs w:val="24"/>
        </w:rPr>
        <w:t>context of other treaty negotiation processes in the human rights and other related fields</w:t>
      </w:r>
      <w:r w:rsidR="00BB2462">
        <w:rPr>
          <w:rFonts w:eastAsia="Calibri"/>
          <w:sz w:val="24"/>
          <w:szCs w:val="24"/>
        </w:rPr>
        <w:t xml:space="preserve"> having a bearing on the right to development</w:t>
      </w:r>
      <w:r>
        <w:rPr>
          <w:rFonts w:eastAsia="Calibri"/>
          <w:sz w:val="24"/>
          <w:szCs w:val="24"/>
        </w:rPr>
        <w:t>.</w:t>
      </w:r>
      <w:r w:rsidR="001C444E">
        <w:rPr>
          <w:rFonts w:eastAsia="Calibri"/>
          <w:sz w:val="24"/>
          <w:szCs w:val="24"/>
        </w:rPr>
        <w:t xml:space="preserve"> The following illustrative examples</w:t>
      </w:r>
      <w:r w:rsidR="00622E1F">
        <w:rPr>
          <w:rFonts w:eastAsia="Calibri"/>
          <w:sz w:val="24"/>
          <w:szCs w:val="24"/>
        </w:rPr>
        <w:t xml:space="preserve"> should suffice</w:t>
      </w:r>
      <w:r w:rsidR="00275D0F">
        <w:rPr>
          <w:rFonts w:eastAsia="Calibri"/>
          <w:sz w:val="24"/>
          <w:szCs w:val="24"/>
        </w:rPr>
        <w:t xml:space="preserve"> to </w:t>
      </w:r>
      <w:r w:rsidR="00B52BCA">
        <w:rPr>
          <w:rFonts w:eastAsia="Calibri"/>
          <w:sz w:val="24"/>
          <w:szCs w:val="24"/>
        </w:rPr>
        <w:t xml:space="preserve">support </w:t>
      </w:r>
      <w:r w:rsidR="00275D0F">
        <w:rPr>
          <w:rFonts w:eastAsia="Calibri"/>
          <w:sz w:val="24"/>
          <w:szCs w:val="24"/>
        </w:rPr>
        <w:t>this point</w:t>
      </w:r>
      <w:r w:rsidR="001C444E">
        <w:rPr>
          <w:rFonts w:eastAsia="Calibri"/>
          <w:sz w:val="24"/>
          <w:szCs w:val="24"/>
        </w:rPr>
        <w:t xml:space="preserve">: </w:t>
      </w:r>
    </w:p>
    <w:p w14:paraId="2312467E" w14:textId="77777777" w:rsidR="001C444E" w:rsidRPr="001C444E" w:rsidRDefault="001C444E" w:rsidP="001C444E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</w:p>
    <w:p w14:paraId="61BBE832" w14:textId="3C381912" w:rsidR="001C444E" w:rsidRDefault="00042199" w:rsidP="001C444E">
      <w:pPr>
        <w:pStyle w:val="ListParagraph"/>
        <w:numPr>
          <w:ilvl w:val="0"/>
          <w:numId w:val="35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 w:rsidRPr="001C444E">
        <w:rPr>
          <w:rFonts w:eastAsia="Calibri"/>
          <w:sz w:val="24"/>
          <w:szCs w:val="24"/>
        </w:rPr>
        <w:t xml:space="preserve"> </w:t>
      </w:r>
      <w:r w:rsidR="001C444E">
        <w:rPr>
          <w:rFonts w:eastAsia="Calibri"/>
          <w:sz w:val="24"/>
          <w:szCs w:val="24"/>
        </w:rPr>
        <w:t xml:space="preserve">An Open-ended Intergovernmental Working Group is negotiating </w:t>
      </w:r>
      <w:r w:rsidR="001C444E" w:rsidRPr="001C444E">
        <w:rPr>
          <w:rFonts w:eastAsia="Calibri"/>
          <w:sz w:val="24"/>
          <w:szCs w:val="24"/>
        </w:rPr>
        <w:t xml:space="preserve">an international legally </w:t>
      </w:r>
      <w:r w:rsidR="00B52BCA">
        <w:rPr>
          <w:rFonts w:eastAsia="Calibri"/>
          <w:sz w:val="24"/>
          <w:szCs w:val="24"/>
        </w:rPr>
        <w:t xml:space="preserve">binding instrument </w:t>
      </w:r>
      <w:r w:rsidR="001C444E">
        <w:rPr>
          <w:rFonts w:eastAsia="Calibri"/>
          <w:sz w:val="24"/>
          <w:szCs w:val="24"/>
        </w:rPr>
        <w:t xml:space="preserve">to regulate the activities of </w:t>
      </w:r>
      <w:r w:rsidR="001C444E" w:rsidRPr="001C444E">
        <w:rPr>
          <w:rFonts w:eastAsia="Calibri"/>
          <w:sz w:val="24"/>
          <w:szCs w:val="24"/>
        </w:rPr>
        <w:t>transnational corporations and other business enterprises.</w:t>
      </w:r>
      <w:r w:rsidR="001C444E">
        <w:rPr>
          <w:rStyle w:val="FootnoteReference"/>
          <w:rFonts w:eastAsia="Calibri"/>
          <w:sz w:val="24"/>
          <w:szCs w:val="24"/>
        </w:rPr>
        <w:footnoteReference w:id="1"/>
      </w:r>
    </w:p>
    <w:p w14:paraId="78AF3A57" w14:textId="1F5B0B88" w:rsidR="00A065CA" w:rsidRDefault="002A08BA" w:rsidP="001C444E">
      <w:pPr>
        <w:pStyle w:val="ListParagraph"/>
        <w:numPr>
          <w:ilvl w:val="0"/>
          <w:numId w:val="35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An</w:t>
      </w:r>
      <w:r w:rsidRPr="002A08B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</w:t>
      </w:r>
      <w:r w:rsidRPr="002A08BA">
        <w:rPr>
          <w:rFonts w:eastAsia="Calibri"/>
          <w:sz w:val="24"/>
          <w:szCs w:val="24"/>
        </w:rPr>
        <w:t xml:space="preserve">pen-ended </w:t>
      </w:r>
      <w:r>
        <w:rPr>
          <w:rFonts w:eastAsia="Calibri"/>
          <w:sz w:val="24"/>
          <w:szCs w:val="24"/>
        </w:rPr>
        <w:t>I</w:t>
      </w:r>
      <w:r w:rsidRPr="002A08BA">
        <w:rPr>
          <w:rFonts w:eastAsia="Calibri"/>
          <w:sz w:val="24"/>
          <w:szCs w:val="24"/>
        </w:rPr>
        <w:t xml:space="preserve">ntergovernmental </w:t>
      </w:r>
      <w:r>
        <w:rPr>
          <w:rFonts w:eastAsia="Calibri"/>
          <w:sz w:val="24"/>
          <w:szCs w:val="24"/>
        </w:rPr>
        <w:t>W</w:t>
      </w:r>
      <w:r w:rsidRPr="002A08BA">
        <w:rPr>
          <w:rFonts w:eastAsia="Calibri"/>
          <w:sz w:val="24"/>
          <w:szCs w:val="24"/>
        </w:rPr>
        <w:t xml:space="preserve">orking </w:t>
      </w:r>
      <w:r>
        <w:rPr>
          <w:rFonts w:eastAsia="Calibri"/>
          <w:sz w:val="24"/>
          <w:szCs w:val="24"/>
        </w:rPr>
        <w:t>G</w:t>
      </w:r>
      <w:r w:rsidRPr="002A08BA">
        <w:rPr>
          <w:rFonts w:eastAsia="Calibri"/>
          <w:sz w:val="24"/>
          <w:szCs w:val="24"/>
        </w:rPr>
        <w:t>roup</w:t>
      </w:r>
      <w:r>
        <w:rPr>
          <w:rFonts w:eastAsia="Calibri"/>
          <w:sz w:val="24"/>
          <w:szCs w:val="24"/>
        </w:rPr>
        <w:t xml:space="preserve"> is </w:t>
      </w:r>
      <w:r w:rsidRPr="002A08BA">
        <w:rPr>
          <w:rFonts w:eastAsia="Calibri"/>
          <w:sz w:val="24"/>
          <w:szCs w:val="24"/>
        </w:rPr>
        <w:t>elaborat</w:t>
      </w:r>
      <w:r w:rsidR="00C26DE6">
        <w:rPr>
          <w:rFonts w:eastAsia="Calibri"/>
          <w:sz w:val="24"/>
          <w:szCs w:val="24"/>
        </w:rPr>
        <w:t xml:space="preserve">ing </w:t>
      </w:r>
      <w:r w:rsidRPr="002A08BA">
        <w:rPr>
          <w:rFonts w:eastAsia="Calibri"/>
          <w:sz w:val="24"/>
          <w:szCs w:val="24"/>
        </w:rPr>
        <w:t>the content of an international regulatory framework</w:t>
      </w:r>
      <w:r>
        <w:rPr>
          <w:rFonts w:eastAsia="Calibri"/>
          <w:sz w:val="24"/>
          <w:szCs w:val="24"/>
        </w:rPr>
        <w:t xml:space="preserve"> </w:t>
      </w:r>
      <w:r w:rsidR="00C26DE6">
        <w:rPr>
          <w:rFonts w:eastAsia="Calibri"/>
          <w:sz w:val="24"/>
          <w:szCs w:val="24"/>
        </w:rPr>
        <w:t xml:space="preserve">to deal with </w:t>
      </w:r>
      <w:r w:rsidRPr="002A08BA">
        <w:rPr>
          <w:rFonts w:eastAsia="Calibri"/>
          <w:sz w:val="24"/>
          <w:szCs w:val="24"/>
        </w:rPr>
        <w:t>human rights violations and abuses relating to the activities of private military and security companies</w:t>
      </w:r>
      <w:r w:rsidR="00A065CA">
        <w:rPr>
          <w:rFonts w:eastAsia="Calibri"/>
          <w:sz w:val="24"/>
          <w:szCs w:val="24"/>
        </w:rPr>
        <w:t>.</w:t>
      </w:r>
      <w:r w:rsidR="00A065CA">
        <w:rPr>
          <w:rStyle w:val="FootnoteReference"/>
          <w:rFonts w:eastAsia="Calibri"/>
          <w:sz w:val="24"/>
          <w:szCs w:val="24"/>
        </w:rPr>
        <w:footnoteReference w:id="2"/>
      </w:r>
    </w:p>
    <w:p w14:paraId="0D473376" w14:textId="6B44A207" w:rsidR="00AC2AC7" w:rsidRDefault="00AC2AC7" w:rsidP="001C444E">
      <w:pPr>
        <w:pStyle w:val="ListParagraph"/>
        <w:numPr>
          <w:ilvl w:val="0"/>
          <w:numId w:val="35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An </w:t>
      </w:r>
      <w:r w:rsidRPr="00AC2AC7">
        <w:rPr>
          <w:rFonts w:eastAsia="Calibri"/>
          <w:sz w:val="24"/>
          <w:szCs w:val="24"/>
        </w:rPr>
        <w:t xml:space="preserve">Intergovernmental Negotiating Committee </w:t>
      </w:r>
      <w:r>
        <w:rPr>
          <w:rFonts w:eastAsia="Calibri"/>
          <w:sz w:val="24"/>
          <w:szCs w:val="24"/>
        </w:rPr>
        <w:t>is</w:t>
      </w:r>
      <w:r w:rsidRPr="00AC2AC7">
        <w:rPr>
          <w:rFonts w:eastAsia="Calibri"/>
          <w:sz w:val="24"/>
          <w:szCs w:val="24"/>
        </w:rPr>
        <w:t xml:space="preserve"> develop</w:t>
      </w:r>
      <w:r>
        <w:rPr>
          <w:rFonts w:eastAsia="Calibri"/>
          <w:sz w:val="24"/>
          <w:szCs w:val="24"/>
        </w:rPr>
        <w:t>ing</w:t>
      </w:r>
      <w:r w:rsidRPr="00AC2AC7">
        <w:rPr>
          <w:rFonts w:eastAsia="Calibri"/>
          <w:sz w:val="24"/>
          <w:szCs w:val="24"/>
        </w:rPr>
        <w:t xml:space="preserve"> an international legally binding instrument on plastic pollution, including in the marine environment.</w:t>
      </w:r>
      <w:r>
        <w:rPr>
          <w:rStyle w:val="FootnoteReference"/>
          <w:rFonts w:eastAsia="Calibri"/>
          <w:sz w:val="24"/>
          <w:szCs w:val="24"/>
        </w:rPr>
        <w:footnoteReference w:id="3"/>
      </w:r>
    </w:p>
    <w:p w14:paraId="0D87B827" w14:textId="45B9AD9B" w:rsidR="0082617F" w:rsidRPr="001C444E" w:rsidRDefault="007A3F07" w:rsidP="001C444E">
      <w:pPr>
        <w:pStyle w:val="ListParagraph"/>
        <w:numPr>
          <w:ilvl w:val="0"/>
          <w:numId w:val="35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There are a</w:t>
      </w:r>
      <w:r w:rsidR="0082617F">
        <w:rPr>
          <w:rFonts w:eastAsia="Calibri"/>
          <w:sz w:val="24"/>
          <w:szCs w:val="24"/>
        </w:rPr>
        <w:t xml:space="preserve">greed outcomes of </w:t>
      </w:r>
      <w:r>
        <w:rPr>
          <w:rFonts w:eastAsia="Calibri"/>
          <w:sz w:val="24"/>
          <w:szCs w:val="24"/>
        </w:rPr>
        <w:t xml:space="preserve">the </w:t>
      </w:r>
      <w:r w:rsidR="0082617F">
        <w:rPr>
          <w:rFonts w:eastAsia="Calibri"/>
          <w:sz w:val="24"/>
          <w:szCs w:val="24"/>
        </w:rPr>
        <w:t xml:space="preserve">annual </w:t>
      </w:r>
      <w:r w:rsidR="0082617F" w:rsidRPr="0082617F">
        <w:rPr>
          <w:rFonts w:eastAsia="Calibri"/>
          <w:sz w:val="24"/>
          <w:szCs w:val="24"/>
        </w:rPr>
        <w:t>Conference of the Parties</w:t>
      </w:r>
      <w:r w:rsidR="00B66EB7">
        <w:rPr>
          <w:rFonts w:eastAsia="Calibri"/>
          <w:sz w:val="24"/>
          <w:szCs w:val="24"/>
        </w:rPr>
        <w:t xml:space="preserve"> (</w:t>
      </w:r>
      <w:r w:rsidR="0082617F">
        <w:rPr>
          <w:rFonts w:eastAsia="Calibri"/>
          <w:sz w:val="24"/>
          <w:szCs w:val="24"/>
        </w:rPr>
        <w:t>COP</w:t>
      </w:r>
      <w:r w:rsidR="00B66EB7">
        <w:rPr>
          <w:rFonts w:eastAsia="Calibri"/>
          <w:sz w:val="24"/>
          <w:szCs w:val="24"/>
        </w:rPr>
        <w:t>)</w:t>
      </w:r>
      <w:r w:rsidR="004E112C">
        <w:rPr>
          <w:rFonts w:eastAsia="Calibri"/>
          <w:sz w:val="24"/>
          <w:szCs w:val="24"/>
        </w:rPr>
        <w:t xml:space="preserve"> to review the implementation of the </w:t>
      </w:r>
      <w:r w:rsidR="004E112C" w:rsidRPr="004E112C">
        <w:rPr>
          <w:rFonts w:eastAsia="Calibri"/>
          <w:sz w:val="24"/>
          <w:szCs w:val="24"/>
        </w:rPr>
        <w:t>United Nations Framework Convention on Climate Change</w:t>
      </w:r>
      <w:r w:rsidR="00B66EB7">
        <w:rPr>
          <w:rFonts w:eastAsia="Calibri"/>
          <w:sz w:val="24"/>
          <w:szCs w:val="24"/>
        </w:rPr>
        <w:t xml:space="preserve">. For instance, COP27 resulted in an </w:t>
      </w:r>
      <w:r w:rsidR="00B66EB7" w:rsidRPr="00B66EB7">
        <w:rPr>
          <w:rFonts w:eastAsia="Calibri"/>
          <w:sz w:val="24"/>
          <w:szCs w:val="24"/>
        </w:rPr>
        <w:t xml:space="preserve">agreement to </w:t>
      </w:r>
      <w:r w:rsidR="00B66EB7">
        <w:rPr>
          <w:rFonts w:eastAsia="Calibri"/>
          <w:sz w:val="24"/>
          <w:szCs w:val="24"/>
        </w:rPr>
        <w:t>establish a dedicated fund for “</w:t>
      </w:r>
      <w:r w:rsidR="00B66EB7" w:rsidRPr="00B66EB7">
        <w:rPr>
          <w:rFonts w:eastAsia="Calibri"/>
          <w:sz w:val="24"/>
          <w:szCs w:val="24"/>
        </w:rPr>
        <w:t>loss and damage</w:t>
      </w:r>
      <w:r w:rsidR="00B66EB7">
        <w:rPr>
          <w:rFonts w:eastAsia="Calibri"/>
          <w:sz w:val="24"/>
          <w:szCs w:val="24"/>
        </w:rPr>
        <w:t>”</w:t>
      </w:r>
      <w:r w:rsidR="00B66EB7" w:rsidRPr="00B66EB7">
        <w:rPr>
          <w:rFonts w:eastAsia="Calibri"/>
          <w:sz w:val="24"/>
          <w:szCs w:val="24"/>
        </w:rPr>
        <w:t xml:space="preserve"> for vulnerable countries hit hard by floods, </w:t>
      </w:r>
      <w:proofErr w:type="gramStart"/>
      <w:r w:rsidR="00B66EB7" w:rsidRPr="00B66EB7">
        <w:rPr>
          <w:rFonts w:eastAsia="Calibri"/>
          <w:sz w:val="24"/>
          <w:szCs w:val="24"/>
        </w:rPr>
        <w:t>droughts</w:t>
      </w:r>
      <w:proofErr w:type="gramEnd"/>
      <w:r w:rsidR="00B66EB7" w:rsidRPr="00B66EB7">
        <w:rPr>
          <w:rFonts w:eastAsia="Calibri"/>
          <w:sz w:val="24"/>
          <w:szCs w:val="24"/>
        </w:rPr>
        <w:t xml:space="preserve"> and other climate disasters</w:t>
      </w:r>
      <w:r w:rsidR="00B66EB7">
        <w:rPr>
          <w:rFonts w:eastAsia="Calibri"/>
          <w:sz w:val="24"/>
          <w:szCs w:val="24"/>
        </w:rPr>
        <w:t>.</w:t>
      </w:r>
      <w:r w:rsidR="00B66EB7">
        <w:rPr>
          <w:rStyle w:val="FootnoteReference"/>
          <w:rFonts w:eastAsia="Calibri"/>
          <w:sz w:val="24"/>
          <w:szCs w:val="24"/>
        </w:rPr>
        <w:footnoteReference w:id="4"/>
      </w:r>
      <w:r w:rsidR="00B66EB7">
        <w:rPr>
          <w:rFonts w:eastAsia="Calibri"/>
          <w:sz w:val="24"/>
          <w:szCs w:val="24"/>
        </w:rPr>
        <w:t xml:space="preserve"> </w:t>
      </w:r>
      <w:r w:rsidR="0082617F">
        <w:rPr>
          <w:rFonts w:eastAsia="Calibri"/>
          <w:sz w:val="24"/>
          <w:szCs w:val="24"/>
        </w:rPr>
        <w:t xml:space="preserve"> </w:t>
      </w:r>
    </w:p>
    <w:p w14:paraId="00C7A853" w14:textId="77777777" w:rsidR="001C444E" w:rsidRPr="001C444E" w:rsidRDefault="001C444E" w:rsidP="001C444E">
      <w:pPr>
        <w:pStyle w:val="ListParagraph"/>
        <w:rPr>
          <w:rFonts w:eastAsia="Calibri"/>
          <w:sz w:val="24"/>
          <w:szCs w:val="24"/>
        </w:rPr>
      </w:pPr>
    </w:p>
    <w:p w14:paraId="013369D4" w14:textId="5E593A2B" w:rsidR="009C2BA2" w:rsidRPr="00703AE9" w:rsidRDefault="00F0718E" w:rsidP="007B2DA7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Therefore, b</w:t>
      </w:r>
      <w:r w:rsidR="00042199">
        <w:rPr>
          <w:rFonts w:eastAsia="Calibri"/>
          <w:sz w:val="24"/>
          <w:szCs w:val="24"/>
        </w:rPr>
        <w:t xml:space="preserve">oth “inside out” and “outside in” </w:t>
      </w:r>
      <w:r w:rsidR="0083788D">
        <w:rPr>
          <w:rFonts w:eastAsia="Calibri"/>
          <w:sz w:val="24"/>
          <w:szCs w:val="24"/>
        </w:rPr>
        <w:t>approaches will be critical for the effective realisation of the right to development</w:t>
      </w:r>
      <w:r w:rsidR="00613F8E">
        <w:rPr>
          <w:rFonts w:eastAsia="Calibri"/>
          <w:sz w:val="24"/>
          <w:szCs w:val="24"/>
        </w:rPr>
        <w:t>. T</w:t>
      </w:r>
      <w:r w:rsidR="00E33B69">
        <w:rPr>
          <w:rFonts w:eastAsia="Calibri"/>
          <w:sz w:val="24"/>
          <w:szCs w:val="24"/>
        </w:rPr>
        <w:t xml:space="preserve">he former will require integration of the right </w:t>
      </w:r>
      <w:r w:rsidR="00613F8E">
        <w:rPr>
          <w:rFonts w:eastAsia="Calibri"/>
          <w:sz w:val="24"/>
          <w:szCs w:val="24"/>
        </w:rPr>
        <w:t xml:space="preserve">to development </w:t>
      </w:r>
      <w:r w:rsidR="00E33B69">
        <w:rPr>
          <w:rFonts w:eastAsia="Calibri"/>
          <w:sz w:val="24"/>
          <w:szCs w:val="24"/>
        </w:rPr>
        <w:t xml:space="preserve">in other parallel </w:t>
      </w:r>
      <w:r w:rsidR="00CD0D86">
        <w:rPr>
          <w:rFonts w:eastAsia="Calibri"/>
          <w:sz w:val="24"/>
          <w:szCs w:val="24"/>
        </w:rPr>
        <w:t xml:space="preserve">treaty </w:t>
      </w:r>
      <w:r w:rsidR="00347963">
        <w:rPr>
          <w:rFonts w:eastAsia="Calibri"/>
          <w:sz w:val="24"/>
          <w:szCs w:val="24"/>
        </w:rPr>
        <w:t>negotiation processes</w:t>
      </w:r>
      <w:r w:rsidR="00593A92">
        <w:rPr>
          <w:rFonts w:eastAsia="Calibri"/>
          <w:sz w:val="24"/>
          <w:szCs w:val="24"/>
        </w:rPr>
        <w:t xml:space="preserve"> and policy agendas</w:t>
      </w:r>
      <w:r w:rsidR="00E33B69">
        <w:rPr>
          <w:rFonts w:eastAsia="Calibri"/>
          <w:sz w:val="24"/>
          <w:szCs w:val="24"/>
        </w:rPr>
        <w:t xml:space="preserve">, whereas the latter will entail the Draft Convention </w:t>
      </w:r>
      <w:r w:rsidR="00613F8E">
        <w:rPr>
          <w:rFonts w:eastAsia="Calibri"/>
          <w:sz w:val="24"/>
          <w:szCs w:val="24"/>
        </w:rPr>
        <w:t xml:space="preserve">making full use of entry points offered by other </w:t>
      </w:r>
      <w:r w:rsidR="00CD0D86">
        <w:rPr>
          <w:rFonts w:eastAsia="Calibri"/>
          <w:sz w:val="24"/>
          <w:szCs w:val="24"/>
        </w:rPr>
        <w:t>work-in progress instruments</w:t>
      </w:r>
      <w:r w:rsidR="0083788D">
        <w:rPr>
          <w:rFonts w:eastAsia="Calibri"/>
          <w:sz w:val="24"/>
          <w:szCs w:val="24"/>
        </w:rPr>
        <w:t xml:space="preserve">. </w:t>
      </w:r>
      <w:r w:rsidR="00E669F7">
        <w:rPr>
          <w:rFonts w:eastAsia="Calibri"/>
          <w:sz w:val="24"/>
          <w:szCs w:val="24"/>
        </w:rPr>
        <w:t>To illustrate</w:t>
      </w:r>
      <w:r w:rsidR="0082617F">
        <w:rPr>
          <w:rFonts w:eastAsia="Calibri"/>
          <w:sz w:val="24"/>
          <w:szCs w:val="24"/>
        </w:rPr>
        <w:t xml:space="preserve">, the Draft Convention </w:t>
      </w:r>
      <w:r w:rsidR="001A0200">
        <w:rPr>
          <w:rFonts w:eastAsia="Calibri"/>
          <w:sz w:val="24"/>
          <w:szCs w:val="24"/>
        </w:rPr>
        <w:t xml:space="preserve">should consider </w:t>
      </w:r>
      <w:r w:rsidR="00F45E3E">
        <w:rPr>
          <w:rFonts w:eastAsia="Calibri"/>
          <w:sz w:val="24"/>
          <w:szCs w:val="24"/>
        </w:rPr>
        <w:t>integrating the requirement of business enterprises conducting human rights due diligence</w:t>
      </w:r>
      <w:r w:rsidR="00587FAD">
        <w:rPr>
          <w:rFonts w:eastAsia="Calibri"/>
          <w:sz w:val="24"/>
          <w:szCs w:val="24"/>
        </w:rPr>
        <w:t xml:space="preserve"> – </w:t>
      </w:r>
      <w:r w:rsidR="00D6455C">
        <w:rPr>
          <w:rFonts w:eastAsia="Calibri"/>
          <w:sz w:val="24"/>
          <w:szCs w:val="24"/>
        </w:rPr>
        <w:t xml:space="preserve">the new common currency </w:t>
      </w:r>
      <w:r w:rsidR="00587FAD">
        <w:rPr>
          <w:rFonts w:eastAsia="Calibri"/>
          <w:sz w:val="24"/>
          <w:szCs w:val="24"/>
        </w:rPr>
        <w:t xml:space="preserve">for businesses to manage risks to people and the planet – </w:t>
      </w:r>
      <w:r w:rsidR="00F45E3E">
        <w:rPr>
          <w:rFonts w:eastAsia="Calibri"/>
          <w:sz w:val="24"/>
          <w:szCs w:val="24"/>
        </w:rPr>
        <w:t>to ensure that their operations do not</w:t>
      </w:r>
      <w:r w:rsidR="00694F76">
        <w:rPr>
          <w:rFonts w:eastAsia="Calibri"/>
          <w:sz w:val="24"/>
          <w:szCs w:val="24"/>
        </w:rPr>
        <w:t xml:space="preserve"> undermine</w:t>
      </w:r>
      <w:r w:rsidR="00F45E3E">
        <w:rPr>
          <w:rFonts w:eastAsia="Calibri"/>
          <w:sz w:val="24"/>
          <w:szCs w:val="24"/>
        </w:rPr>
        <w:t xml:space="preserve"> the right to development</w:t>
      </w:r>
      <w:r w:rsidR="0082617F">
        <w:rPr>
          <w:rFonts w:eastAsia="Calibri"/>
          <w:sz w:val="24"/>
          <w:szCs w:val="24"/>
        </w:rPr>
        <w:t xml:space="preserve">. </w:t>
      </w:r>
      <w:r w:rsidR="00042199">
        <w:rPr>
          <w:rFonts w:eastAsia="Calibri"/>
          <w:sz w:val="24"/>
          <w:szCs w:val="24"/>
        </w:rPr>
        <w:t xml:space="preserve"> </w:t>
      </w:r>
      <w:r w:rsidR="00703AE9">
        <w:rPr>
          <w:rFonts w:eastAsia="Calibri"/>
          <w:sz w:val="24"/>
          <w:szCs w:val="24"/>
        </w:rPr>
        <w:t xml:space="preserve"> </w:t>
      </w:r>
    </w:p>
    <w:p w14:paraId="786E1A64" w14:textId="77777777" w:rsidR="009C2BA2" w:rsidRPr="002464CC" w:rsidRDefault="009C2BA2" w:rsidP="009C2BA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b/>
          <w:bCs/>
          <w:sz w:val="24"/>
          <w:szCs w:val="24"/>
        </w:rPr>
      </w:pPr>
    </w:p>
    <w:p w14:paraId="0100DD1D" w14:textId="13D1F343" w:rsidR="009C2BA2" w:rsidRPr="002464CC" w:rsidRDefault="009C2BA2" w:rsidP="009C2BA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b/>
          <w:bCs/>
          <w:sz w:val="24"/>
          <w:szCs w:val="24"/>
        </w:rPr>
      </w:pPr>
      <w:r w:rsidRPr="002464CC">
        <w:rPr>
          <w:rFonts w:eastAsia="Calibri"/>
          <w:b/>
          <w:bCs/>
          <w:sz w:val="24"/>
          <w:szCs w:val="24"/>
        </w:rPr>
        <w:t xml:space="preserve">Specific suggestions </w:t>
      </w:r>
    </w:p>
    <w:p w14:paraId="2D5DD15B" w14:textId="77777777" w:rsidR="009C2BA2" w:rsidRPr="002464CC" w:rsidRDefault="009C2BA2" w:rsidP="009C2BA2">
      <w:pPr>
        <w:pStyle w:val="ListParagraph"/>
        <w:rPr>
          <w:rFonts w:eastAsia="Calibri"/>
          <w:sz w:val="24"/>
          <w:szCs w:val="24"/>
        </w:rPr>
      </w:pPr>
    </w:p>
    <w:p w14:paraId="312CB721" w14:textId="26D880FD" w:rsidR="00B7578E" w:rsidRDefault="000937B1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Preamble should acknowledge the critical role of businesses in realising the right to development </w:t>
      </w:r>
      <w:r w:rsidR="007F52C6">
        <w:rPr>
          <w:rFonts w:eastAsia="Calibri"/>
          <w:sz w:val="24"/>
          <w:szCs w:val="24"/>
        </w:rPr>
        <w:t xml:space="preserve">as well as risks to the right related to unsustainable or irresponsible </w:t>
      </w:r>
      <w:r w:rsidR="00BC3936">
        <w:rPr>
          <w:rFonts w:eastAsia="Calibri"/>
          <w:sz w:val="24"/>
          <w:szCs w:val="24"/>
        </w:rPr>
        <w:t xml:space="preserve">business </w:t>
      </w:r>
      <w:r w:rsidR="007F52C6">
        <w:rPr>
          <w:rFonts w:eastAsia="Calibri"/>
          <w:sz w:val="24"/>
          <w:szCs w:val="24"/>
        </w:rPr>
        <w:t xml:space="preserve">activities. </w:t>
      </w:r>
    </w:p>
    <w:p w14:paraId="6E292614" w14:textId="77777777" w:rsidR="00B7578E" w:rsidRDefault="00B7578E" w:rsidP="00B7578E">
      <w:pPr>
        <w:pStyle w:val="ListParagraph"/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360"/>
        <w:jc w:val="both"/>
        <w:rPr>
          <w:rFonts w:eastAsia="Calibri"/>
          <w:sz w:val="24"/>
          <w:szCs w:val="24"/>
        </w:rPr>
      </w:pPr>
    </w:p>
    <w:p w14:paraId="1465242B" w14:textId="77777777" w:rsidR="003D48E0" w:rsidRDefault="00BC3936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Preamble should also recognise the importance of </w:t>
      </w:r>
      <w:r w:rsidR="00D526D8">
        <w:rPr>
          <w:rFonts w:eastAsia="Calibri"/>
          <w:sz w:val="24"/>
          <w:szCs w:val="24"/>
        </w:rPr>
        <w:t xml:space="preserve">an affordable and equitable </w:t>
      </w:r>
      <w:r w:rsidR="00EF0526">
        <w:rPr>
          <w:rFonts w:eastAsia="Calibri"/>
          <w:sz w:val="24"/>
          <w:szCs w:val="24"/>
        </w:rPr>
        <w:t xml:space="preserve">access to </w:t>
      </w:r>
      <w:r>
        <w:rPr>
          <w:rFonts w:eastAsia="Calibri"/>
          <w:sz w:val="24"/>
          <w:szCs w:val="24"/>
        </w:rPr>
        <w:t>technologies</w:t>
      </w:r>
      <w:r w:rsidR="00EF0526">
        <w:rPr>
          <w:rFonts w:eastAsia="Calibri"/>
          <w:sz w:val="24"/>
          <w:szCs w:val="24"/>
        </w:rPr>
        <w:t xml:space="preserve"> to realise the right to development as well as how new technologies, if not properly regulated, might disrupt the enjoyment of this right. </w:t>
      </w:r>
    </w:p>
    <w:p w14:paraId="07293B46" w14:textId="77777777" w:rsidR="003D48E0" w:rsidRPr="003D48E0" w:rsidRDefault="003D48E0" w:rsidP="003D48E0">
      <w:pPr>
        <w:pStyle w:val="ListParagraph"/>
        <w:rPr>
          <w:rFonts w:eastAsia="Calibri"/>
          <w:sz w:val="24"/>
          <w:szCs w:val="24"/>
        </w:rPr>
      </w:pPr>
    </w:p>
    <w:p w14:paraId="19136CD9" w14:textId="044E227C" w:rsidR="00BA67FA" w:rsidRDefault="003D48E0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Since an effective remedy for breach of all human rights is critical, it will be desirable for Article </w:t>
      </w:r>
      <w:r w:rsidR="003470AF">
        <w:rPr>
          <w:rFonts w:eastAsia="Calibri"/>
          <w:sz w:val="24"/>
          <w:szCs w:val="24"/>
        </w:rPr>
        <w:t xml:space="preserve">1 </w:t>
      </w:r>
      <w:r>
        <w:rPr>
          <w:rFonts w:eastAsia="Calibri"/>
          <w:sz w:val="24"/>
          <w:szCs w:val="24"/>
        </w:rPr>
        <w:t>to include this element as one of the objectives of the Draft Convention.</w:t>
      </w:r>
      <w:r w:rsidR="003470AF">
        <w:rPr>
          <w:rFonts w:eastAsia="Calibri"/>
          <w:sz w:val="24"/>
          <w:szCs w:val="24"/>
        </w:rPr>
        <w:t xml:space="preserve"> Moreover, access to remedy elements in relation to the violation of the right to development should be strengthened</w:t>
      </w:r>
      <w:r w:rsidR="00460583">
        <w:rPr>
          <w:rFonts w:eastAsia="Calibri"/>
          <w:sz w:val="24"/>
          <w:szCs w:val="24"/>
        </w:rPr>
        <w:t xml:space="preserve">, by either adding a new article or including it in </w:t>
      </w:r>
      <w:r w:rsidR="003470AF">
        <w:rPr>
          <w:rFonts w:eastAsia="Calibri"/>
          <w:sz w:val="24"/>
          <w:szCs w:val="24"/>
        </w:rPr>
        <w:t>Article</w:t>
      </w:r>
      <w:r w:rsidR="00460583">
        <w:rPr>
          <w:rFonts w:eastAsia="Calibri"/>
          <w:sz w:val="24"/>
          <w:szCs w:val="24"/>
        </w:rPr>
        <w:t>s 11</w:t>
      </w:r>
      <w:r w:rsidR="008B08E9">
        <w:rPr>
          <w:rFonts w:eastAsia="Calibri"/>
          <w:sz w:val="24"/>
          <w:szCs w:val="24"/>
        </w:rPr>
        <w:t xml:space="preserve">, </w:t>
      </w:r>
      <w:r w:rsidR="003470AF">
        <w:rPr>
          <w:rFonts w:eastAsia="Calibri"/>
          <w:sz w:val="24"/>
          <w:szCs w:val="24"/>
        </w:rPr>
        <w:t>15</w:t>
      </w:r>
      <w:r w:rsidR="008B08E9">
        <w:rPr>
          <w:rFonts w:eastAsia="Calibri"/>
          <w:sz w:val="24"/>
          <w:szCs w:val="24"/>
        </w:rPr>
        <w:t xml:space="preserve"> and 27</w:t>
      </w:r>
      <w:r w:rsidR="003470AF">
        <w:rPr>
          <w:rFonts w:eastAsia="Calibri"/>
          <w:sz w:val="24"/>
          <w:szCs w:val="24"/>
        </w:rPr>
        <w:t xml:space="preserve">. </w:t>
      </w:r>
    </w:p>
    <w:p w14:paraId="1943864B" w14:textId="77777777" w:rsidR="00BA67FA" w:rsidRPr="00BA67FA" w:rsidRDefault="00BA67FA" w:rsidP="00BA67FA">
      <w:pPr>
        <w:pStyle w:val="ListParagraph"/>
        <w:rPr>
          <w:rFonts w:eastAsia="Calibri"/>
          <w:sz w:val="24"/>
          <w:szCs w:val="24"/>
        </w:rPr>
      </w:pPr>
    </w:p>
    <w:p w14:paraId="61841E11" w14:textId="1F63D41C" w:rsidR="001336CD" w:rsidRDefault="00FA2302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Intersectionality should be included in Article 3(b) as one of the principles relevant to all human rights. </w:t>
      </w:r>
      <w:r w:rsidR="00982281">
        <w:rPr>
          <w:rFonts w:eastAsia="Calibri"/>
          <w:sz w:val="24"/>
          <w:szCs w:val="24"/>
        </w:rPr>
        <w:t>Moreover,</w:t>
      </w:r>
      <w:r w:rsidR="00EA64C5">
        <w:rPr>
          <w:rFonts w:eastAsia="Calibri"/>
          <w:sz w:val="24"/>
          <w:szCs w:val="24"/>
        </w:rPr>
        <w:t xml:space="preserve"> the </w:t>
      </w:r>
      <w:r w:rsidR="008559CC">
        <w:rPr>
          <w:rFonts w:eastAsia="Calibri"/>
          <w:sz w:val="24"/>
          <w:szCs w:val="24"/>
        </w:rPr>
        <w:t>responsibility/</w:t>
      </w:r>
      <w:r w:rsidR="00EA64C5">
        <w:rPr>
          <w:rFonts w:eastAsia="Calibri"/>
          <w:sz w:val="24"/>
          <w:szCs w:val="24"/>
        </w:rPr>
        <w:t xml:space="preserve">duty of businesses to respect all human rights, including the right to development, should be included as a general principle in Article 3. </w:t>
      </w:r>
    </w:p>
    <w:p w14:paraId="248249D8" w14:textId="77777777" w:rsidR="001336CD" w:rsidRPr="001336CD" w:rsidRDefault="001336CD" w:rsidP="001336CD">
      <w:pPr>
        <w:pStyle w:val="ListParagraph"/>
        <w:rPr>
          <w:rFonts w:eastAsia="Calibri"/>
          <w:sz w:val="24"/>
          <w:szCs w:val="24"/>
        </w:rPr>
      </w:pPr>
    </w:p>
    <w:p w14:paraId="08ACAE2D" w14:textId="57ACF5EF" w:rsidR="00026ED8" w:rsidRDefault="00026ED8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following provision in Article 5(3) should be qualified </w:t>
      </w:r>
      <w:r w:rsidR="00354F1A">
        <w:rPr>
          <w:rFonts w:eastAsia="Calibri"/>
          <w:sz w:val="24"/>
          <w:szCs w:val="24"/>
        </w:rPr>
        <w:t>with reference to the need to respect planetary boundaries</w:t>
      </w:r>
      <w:r>
        <w:rPr>
          <w:rFonts w:eastAsia="Calibri"/>
          <w:sz w:val="24"/>
          <w:szCs w:val="24"/>
        </w:rPr>
        <w:t>: “</w:t>
      </w:r>
      <w:r w:rsidRPr="00026ED8">
        <w:rPr>
          <w:rFonts w:eastAsia="Calibri"/>
          <w:sz w:val="24"/>
          <w:szCs w:val="24"/>
        </w:rPr>
        <w:t>Nothing in the present Convention shall be interpreted as impairing the inherent right of all peoples to enjoy and utilize fully and freely their wealth and natural resources in a manner consistent with international law and the provisions of the present Convention.</w:t>
      </w:r>
      <w:r>
        <w:rPr>
          <w:rFonts w:eastAsia="Calibri"/>
          <w:sz w:val="24"/>
          <w:szCs w:val="24"/>
        </w:rPr>
        <w:t>”</w:t>
      </w:r>
    </w:p>
    <w:p w14:paraId="308D0619" w14:textId="77777777" w:rsidR="002013A0" w:rsidRPr="002013A0" w:rsidRDefault="002013A0" w:rsidP="002013A0">
      <w:pPr>
        <w:pStyle w:val="ListParagraph"/>
        <w:rPr>
          <w:rFonts w:eastAsia="Calibri"/>
          <w:sz w:val="24"/>
          <w:szCs w:val="24"/>
        </w:rPr>
      </w:pPr>
    </w:p>
    <w:p w14:paraId="673D2A4F" w14:textId="4F1EB1DA" w:rsidR="002013A0" w:rsidRDefault="00091150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2013A0">
        <w:rPr>
          <w:rFonts w:eastAsia="Calibri"/>
          <w:sz w:val="24"/>
          <w:szCs w:val="24"/>
        </w:rPr>
        <w:t xml:space="preserve">Article 7 </w:t>
      </w:r>
      <w:r w:rsidR="00716D32">
        <w:rPr>
          <w:rFonts w:eastAsia="Calibri"/>
          <w:sz w:val="24"/>
          <w:szCs w:val="24"/>
        </w:rPr>
        <w:t>should be revised to</w:t>
      </w:r>
      <w:r w:rsidR="00A27209">
        <w:rPr>
          <w:rFonts w:eastAsia="Calibri"/>
          <w:sz w:val="24"/>
          <w:szCs w:val="24"/>
        </w:rPr>
        <w:t xml:space="preserve"> separate the independent responsibility/duty of businesses to respect the right to development from the responsibility of everyone to respect human rights.</w:t>
      </w:r>
      <w:r w:rsidR="00202ED5">
        <w:rPr>
          <w:rFonts w:eastAsia="Calibri"/>
          <w:sz w:val="24"/>
          <w:szCs w:val="24"/>
        </w:rPr>
        <w:t xml:space="preserve"> Moreover, businesses should be required to conduct human rights due diligence to ensure that </w:t>
      </w:r>
      <w:r w:rsidR="00A95CE8">
        <w:rPr>
          <w:rFonts w:eastAsia="Calibri"/>
          <w:sz w:val="24"/>
          <w:szCs w:val="24"/>
        </w:rPr>
        <w:t xml:space="preserve">their activities do not abridge the right to development. </w:t>
      </w:r>
      <w:r w:rsidR="00A27209">
        <w:rPr>
          <w:rFonts w:eastAsia="Calibri"/>
          <w:sz w:val="24"/>
          <w:szCs w:val="24"/>
        </w:rPr>
        <w:t xml:space="preserve"> </w:t>
      </w:r>
    </w:p>
    <w:p w14:paraId="1C5907DC" w14:textId="77777777" w:rsidR="00A27209" w:rsidRPr="00A27209" w:rsidRDefault="00A27209" w:rsidP="00A27209">
      <w:pPr>
        <w:pStyle w:val="ListParagraph"/>
        <w:rPr>
          <w:rFonts w:eastAsia="Calibri"/>
          <w:sz w:val="24"/>
          <w:szCs w:val="24"/>
        </w:rPr>
      </w:pPr>
    </w:p>
    <w:p w14:paraId="1CE1C541" w14:textId="24D573E6" w:rsidR="00A27209" w:rsidRDefault="00A27209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As the three scenarios in Article 11 need to be satisfied in the alternative, the word “or” should be added </w:t>
      </w:r>
      <w:r w:rsidR="00440CBF">
        <w:rPr>
          <w:rFonts w:eastAsia="Calibri"/>
          <w:sz w:val="24"/>
          <w:szCs w:val="24"/>
        </w:rPr>
        <w:t xml:space="preserve">after clauses (a) and (b) </w:t>
      </w:r>
      <w:r>
        <w:rPr>
          <w:rFonts w:eastAsia="Calibri"/>
          <w:sz w:val="24"/>
          <w:szCs w:val="24"/>
        </w:rPr>
        <w:t xml:space="preserve">to avoid any confusion.   </w:t>
      </w:r>
    </w:p>
    <w:p w14:paraId="4F7805D2" w14:textId="77777777" w:rsidR="0025361E" w:rsidRPr="0025361E" w:rsidRDefault="0025361E" w:rsidP="0025361E">
      <w:pPr>
        <w:pStyle w:val="ListParagraph"/>
        <w:rPr>
          <w:rFonts w:eastAsia="Calibri"/>
          <w:sz w:val="24"/>
          <w:szCs w:val="24"/>
        </w:rPr>
      </w:pPr>
    </w:p>
    <w:p w14:paraId="553E3B5B" w14:textId="15E7AA40" w:rsidR="0025361E" w:rsidRDefault="0025361E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States’ duty to cooperate in Article 13 should include a duty to ensure policy coherence </w:t>
      </w:r>
      <w:r w:rsidR="00CF3BAA">
        <w:rPr>
          <w:rFonts w:eastAsia="Calibri"/>
          <w:sz w:val="24"/>
          <w:szCs w:val="24"/>
        </w:rPr>
        <w:t xml:space="preserve">between the right to development and other relevant frameworks (e.g., </w:t>
      </w:r>
      <w:r w:rsidR="00A01A80">
        <w:rPr>
          <w:rFonts w:eastAsia="Calibri"/>
          <w:sz w:val="24"/>
          <w:szCs w:val="24"/>
        </w:rPr>
        <w:t xml:space="preserve">dealing </w:t>
      </w:r>
      <w:r w:rsidR="00CF3BAA">
        <w:rPr>
          <w:rFonts w:eastAsia="Calibri"/>
          <w:sz w:val="24"/>
          <w:szCs w:val="24"/>
        </w:rPr>
        <w:t>trade and investment</w:t>
      </w:r>
      <w:r w:rsidR="00A01A80">
        <w:rPr>
          <w:rFonts w:eastAsia="Calibri"/>
          <w:sz w:val="24"/>
          <w:szCs w:val="24"/>
        </w:rPr>
        <w:t xml:space="preserve">, </w:t>
      </w:r>
      <w:r w:rsidR="00B577AF">
        <w:rPr>
          <w:rFonts w:eastAsia="Calibri"/>
          <w:sz w:val="24"/>
          <w:szCs w:val="24"/>
        </w:rPr>
        <w:t xml:space="preserve">development finance, climate change, </w:t>
      </w:r>
      <w:r w:rsidR="00A01A80">
        <w:rPr>
          <w:rFonts w:eastAsia="Calibri"/>
          <w:sz w:val="24"/>
          <w:szCs w:val="24"/>
        </w:rPr>
        <w:t xml:space="preserve">migration, </w:t>
      </w:r>
      <w:r w:rsidR="00B577AF">
        <w:rPr>
          <w:rFonts w:eastAsia="Calibri"/>
          <w:sz w:val="24"/>
          <w:szCs w:val="24"/>
        </w:rPr>
        <w:t xml:space="preserve">and </w:t>
      </w:r>
      <w:r w:rsidR="00A01A80">
        <w:rPr>
          <w:rFonts w:eastAsia="Calibri"/>
          <w:sz w:val="24"/>
          <w:szCs w:val="24"/>
        </w:rPr>
        <w:t>regulation of technology</w:t>
      </w:r>
      <w:r w:rsidR="00CF3BAA">
        <w:rPr>
          <w:rFonts w:eastAsia="Calibri"/>
          <w:sz w:val="24"/>
          <w:szCs w:val="24"/>
        </w:rPr>
        <w:t xml:space="preserve">) </w:t>
      </w:r>
      <w:r w:rsidR="000B3E0A">
        <w:rPr>
          <w:rFonts w:eastAsia="Calibri"/>
          <w:sz w:val="24"/>
          <w:szCs w:val="24"/>
        </w:rPr>
        <w:t xml:space="preserve">developed </w:t>
      </w:r>
      <w:r w:rsidR="00CF3BAA">
        <w:rPr>
          <w:rFonts w:eastAsia="Calibri"/>
          <w:sz w:val="24"/>
          <w:szCs w:val="24"/>
        </w:rPr>
        <w:t xml:space="preserve">at the regional and international levels. </w:t>
      </w:r>
    </w:p>
    <w:p w14:paraId="229BA500" w14:textId="77777777" w:rsidR="00C10D6E" w:rsidRPr="00C10D6E" w:rsidRDefault="00C10D6E" w:rsidP="00C10D6E">
      <w:pPr>
        <w:pStyle w:val="ListParagraph"/>
        <w:rPr>
          <w:rFonts w:eastAsia="Calibri"/>
          <w:sz w:val="24"/>
          <w:szCs w:val="24"/>
        </w:rPr>
      </w:pPr>
    </w:p>
    <w:p w14:paraId="74A16063" w14:textId="0D471A3E" w:rsidR="000D0DA7" w:rsidRDefault="000D0DA7" w:rsidP="000D0DA7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Article 16 should be reframed as achieving substantive gender equality without reference to any binary “men-women” typology. </w:t>
      </w:r>
      <w:r w:rsidR="000B3E0A">
        <w:rPr>
          <w:rFonts w:eastAsia="Calibri"/>
          <w:sz w:val="24"/>
          <w:szCs w:val="24"/>
        </w:rPr>
        <w:t xml:space="preserve">A special attention should be given to overcoming intersectional discrimination faced by individuals and groups, especially </w:t>
      </w:r>
      <w:r w:rsidR="00F449F0">
        <w:rPr>
          <w:rFonts w:eastAsia="Calibri"/>
          <w:sz w:val="24"/>
          <w:szCs w:val="24"/>
        </w:rPr>
        <w:t xml:space="preserve">those who are </w:t>
      </w:r>
      <w:r w:rsidR="000B3E0A">
        <w:rPr>
          <w:rFonts w:eastAsia="Calibri"/>
          <w:sz w:val="24"/>
          <w:szCs w:val="24"/>
        </w:rPr>
        <w:t xml:space="preserve">marginalised or vulnerable. </w:t>
      </w:r>
    </w:p>
    <w:p w14:paraId="38167B8F" w14:textId="518EF6DD" w:rsidR="000D0DA7" w:rsidRPr="000D0DA7" w:rsidRDefault="000D0DA7" w:rsidP="000D0DA7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 w:rsidRPr="000D0DA7">
        <w:rPr>
          <w:rFonts w:eastAsia="Calibri"/>
          <w:sz w:val="24"/>
          <w:szCs w:val="24"/>
        </w:rPr>
        <w:t xml:space="preserve">    </w:t>
      </w:r>
    </w:p>
    <w:p w14:paraId="461B5BC0" w14:textId="0095A67B" w:rsidR="00C10D6E" w:rsidRDefault="00C10D6E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Article 17 should include </w:t>
      </w:r>
      <w:r w:rsidR="00437DB2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ndigenous </w:t>
      </w:r>
      <w:r w:rsidR="00437DB2">
        <w:rPr>
          <w:rFonts w:eastAsia="Calibri"/>
          <w:sz w:val="24"/>
          <w:szCs w:val="24"/>
        </w:rPr>
        <w:t>P</w:t>
      </w:r>
      <w:r>
        <w:rPr>
          <w:rFonts w:eastAsia="Calibri"/>
          <w:sz w:val="24"/>
          <w:szCs w:val="24"/>
        </w:rPr>
        <w:t xml:space="preserve">eoples’ right to </w:t>
      </w:r>
      <w:r w:rsidR="002A65A2">
        <w:rPr>
          <w:rFonts w:eastAsia="Calibri"/>
          <w:sz w:val="24"/>
          <w:szCs w:val="24"/>
        </w:rPr>
        <w:t xml:space="preserve">self-determination. Moreover, </w:t>
      </w:r>
      <w:r w:rsidR="00437DB2">
        <w:rPr>
          <w:rFonts w:eastAsia="Calibri"/>
          <w:sz w:val="24"/>
          <w:szCs w:val="24"/>
        </w:rPr>
        <w:t xml:space="preserve">States </w:t>
      </w:r>
      <w:r w:rsidR="002A65A2">
        <w:rPr>
          <w:rFonts w:eastAsia="Calibri"/>
          <w:sz w:val="24"/>
          <w:szCs w:val="24"/>
        </w:rPr>
        <w:t xml:space="preserve">should meaningfully consult </w:t>
      </w:r>
      <w:r w:rsidR="00437DB2">
        <w:rPr>
          <w:rFonts w:eastAsia="Calibri"/>
          <w:sz w:val="24"/>
          <w:szCs w:val="24"/>
        </w:rPr>
        <w:t>I</w:t>
      </w:r>
      <w:r w:rsidR="002A65A2">
        <w:rPr>
          <w:rFonts w:eastAsia="Calibri"/>
          <w:sz w:val="24"/>
          <w:szCs w:val="24"/>
        </w:rPr>
        <w:t xml:space="preserve">ndigenous </w:t>
      </w:r>
      <w:r w:rsidR="00437DB2">
        <w:rPr>
          <w:rFonts w:eastAsia="Calibri"/>
          <w:sz w:val="24"/>
          <w:szCs w:val="24"/>
        </w:rPr>
        <w:t>P</w:t>
      </w:r>
      <w:r w:rsidR="002A65A2">
        <w:rPr>
          <w:rFonts w:eastAsia="Calibri"/>
          <w:sz w:val="24"/>
          <w:szCs w:val="24"/>
        </w:rPr>
        <w:t xml:space="preserve">eoples even </w:t>
      </w:r>
      <w:r w:rsidR="005A51BB">
        <w:rPr>
          <w:rFonts w:eastAsia="Calibri"/>
          <w:sz w:val="24"/>
          <w:szCs w:val="24"/>
        </w:rPr>
        <w:t>prior to</w:t>
      </w:r>
      <w:r w:rsidR="002A65A2">
        <w:rPr>
          <w:rFonts w:eastAsia="Calibri"/>
          <w:sz w:val="24"/>
          <w:szCs w:val="24"/>
        </w:rPr>
        <w:t xml:space="preserve"> adopting and implementing all development policies and programmes. </w:t>
      </w:r>
    </w:p>
    <w:p w14:paraId="4FEECF77" w14:textId="77777777" w:rsidR="00143982" w:rsidRPr="00143982" w:rsidRDefault="00143982" w:rsidP="00143982">
      <w:pPr>
        <w:pStyle w:val="ListParagraph"/>
        <w:rPr>
          <w:rFonts w:eastAsia="Calibri"/>
          <w:sz w:val="24"/>
          <w:szCs w:val="24"/>
        </w:rPr>
      </w:pPr>
    </w:p>
    <w:p w14:paraId="19FE3523" w14:textId="77777777" w:rsidR="00474E80" w:rsidRDefault="00143982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Article 20 </w:t>
      </w:r>
      <w:r w:rsidR="00655EC9">
        <w:rPr>
          <w:rFonts w:eastAsia="Calibri"/>
          <w:sz w:val="24"/>
          <w:szCs w:val="24"/>
        </w:rPr>
        <w:t xml:space="preserve">should </w:t>
      </w:r>
      <w:r>
        <w:rPr>
          <w:rFonts w:eastAsia="Calibri"/>
          <w:sz w:val="24"/>
          <w:szCs w:val="24"/>
        </w:rPr>
        <w:t>be strengthened</w:t>
      </w:r>
      <w:r w:rsidR="00655EC9">
        <w:rPr>
          <w:rFonts w:eastAsia="Calibri"/>
          <w:sz w:val="24"/>
          <w:szCs w:val="24"/>
        </w:rPr>
        <w:t xml:space="preserve"> by adding a requirement for </w:t>
      </w:r>
      <w:r w:rsidR="00437DB2">
        <w:rPr>
          <w:rFonts w:eastAsia="Calibri"/>
          <w:sz w:val="24"/>
          <w:szCs w:val="24"/>
        </w:rPr>
        <w:t xml:space="preserve">States </w:t>
      </w:r>
      <w:r w:rsidR="00655EC9">
        <w:rPr>
          <w:rFonts w:eastAsia="Calibri"/>
          <w:sz w:val="24"/>
          <w:szCs w:val="24"/>
        </w:rPr>
        <w:t>to consult all relevant stakeholders</w:t>
      </w:r>
      <w:r w:rsidR="00570BFC">
        <w:rPr>
          <w:rFonts w:eastAsia="Calibri"/>
          <w:sz w:val="24"/>
          <w:szCs w:val="24"/>
        </w:rPr>
        <w:t xml:space="preserve"> in a meaningful way in undertaking </w:t>
      </w:r>
      <w:r w:rsidR="00A5086F">
        <w:rPr>
          <w:rFonts w:eastAsia="Calibri"/>
          <w:sz w:val="24"/>
          <w:szCs w:val="24"/>
        </w:rPr>
        <w:t xml:space="preserve">regular </w:t>
      </w:r>
      <w:r w:rsidR="00570BFC">
        <w:rPr>
          <w:rFonts w:eastAsia="Calibri"/>
          <w:sz w:val="24"/>
          <w:szCs w:val="24"/>
        </w:rPr>
        <w:t>impact assessments</w:t>
      </w:r>
      <w:r w:rsidR="00894786">
        <w:rPr>
          <w:rFonts w:eastAsia="Calibri"/>
          <w:sz w:val="24"/>
          <w:szCs w:val="24"/>
        </w:rPr>
        <w:t xml:space="preserve"> of their law, policies, </w:t>
      </w:r>
      <w:proofErr w:type="gramStart"/>
      <w:r w:rsidR="00894786">
        <w:rPr>
          <w:rFonts w:eastAsia="Calibri"/>
          <w:sz w:val="24"/>
          <w:szCs w:val="24"/>
        </w:rPr>
        <w:t>programmes</w:t>
      </w:r>
      <w:proofErr w:type="gramEnd"/>
      <w:r w:rsidR="00894786">
        <w:rPr>
          <w:rFonts w:eastAsia="Calibri"/>
          <w:sz w:val="24"/>
          <w:szCs w:val="24"/>
        </w:rPr>
        <w:t xml:space="preserve"> and practices</w:t>
      </w:r>
      <w:r w:rsidR="00E874F3">
        <w:rPr>
          <w:rFonts w:eastAsia="Calibri"/>
          <w:sz w:val="24"/>
          <w:szCs w:val="24"/>
        </w:rPr>
        <w:t xml:space="preserve"> on the realisation of the right to development</w:t>
      </w:r>
      <w:r w:rsidR="00655EC9">
        <w:rPr>
          <w:rFonts w:eastAsia="Calibri"/>
          <w:sz w:val="24"/>
          <w:szCs w:val="24"/>
        </w:rPr>
        <w:t>.</w:t>
      </w:r>
      <w:r w:rsidR="004C243C">
        <w:rPr>
          <w:rFonts w:eastAsia="Calibri"/>
          <w:sz w:val="24"/>
          <w:szCs w:val="24"/>
        </w:rPr>
        <w:t xml:space="preserve"> Such an assessment should also include bilateral, </w:t>
      </w:r>
      <w:proofErr w:type="gramStart"/>
      <w:r w:rsidR="004C243C">
        <w:rPr>
          <w:rFonts w:eastAsia="Calibri"/>
          <w:sz w:val="24"/>
          <w:szCs w:val="24"/>
        </w:rPr>
        <w:t>regional</w:t>
      </w:r>
      <w:proofErr w:type="gramEnd"/>
      <w:r w:rsidR="004C243C">
        <w:rPr>
          <w:rFonts w:eastAsia="Calibri"/>
          <w:sz w:val="24"/>
          <w:szCs w:val="24"/>
        </w:rPr>
        <w:t xml:space="preserve"> and international agreements negotiated by States. </w:t>
      </w:r>
      <w:r w:rsidR="00655EC9">
        <w:rPr>
          <w:rFonts w:eastAsia="Calibri"/>
          <w:sz w:val="24"/>
          <w:szCs w:val="24"/>
        </w:rPr>
        <w:t xml:space="preserve"> </w:t>
      </w:r>
    </w:p>
    <w:p w14:paraId="4849391C" w14:textId="77777777" w:rsidR="00474E80" w:rsidRPr="00474E80" w:rsidRDefault="00474E80" w:rsidP="00474E80">
      <w:pPr>
        <w:pStyle w:val="ListParagraph"/>
        <w:rPr>
          <w:rFonts w:eastAsia="Calibri"/>
          <w:sz w:val="24"/>
          <w:szCs w:val="24"/>
        </w:rPr>
      </w:pPr>
    </w:p>
    <w:p w14:paraId="2F75A95B" w14:textId="03D74B6E" w:rsidR="00143982" w:rsidRDefault="00474E80" w:rsidP="009C2BA2">
      <w:pPr>
        <w:pStyle w:val="ListParagraph"/>
        <w:numPr>
          <w:ilvl w:val="0"/>
          <w:numId w:val="34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Finally, </w:t>
      </w:r>
      <w:r w:rsidR="0025229A">
        <w:rPr>
          <w:rFonts w:eastAsia="Calibri"/>
          <w:sz w:val="24"/>
          <w:szCs w:val="24"/>
        </w:rPr>
        <w:t xml:space="preserve">it seems that </w:t>
      </w:r>
      <w:r>
        <w:rPr>
          <w:rFonts w:eastAsia="Calibri"/>
          <w:sz w:val="24"/>
          <w:szCs w:val="24"/>
        </w:rPr>
        <w:t>the Draft Convention does not adequately capture the importance of the active</w:t>
      </w:r>
      <w:r w:rsidR="00541501">
        <w:rPr>
          <w:rFonts w:eastAsia="Calibri"/>
          <w:sz w:val="24"/>
          <w:szCs w:val="24"/>
        </w:rPr>
        <w:t>, free</w:t>
      </w:r>
      <w:r w:rsidR="003E755E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informed</w:t>
      </w:r>
      <w:r w:rsidR="00D34495">
        <w:rPr>
          <w:rFonts w:eastAsia="Calibri"/>
          <w:sz w:val="24"/>
          <w:szCs w:val="24"/>
        </w:rPr>
        <w:t>, bottom-up</w:t>
      </w:r>
      <w:r>
        <w:rPr>
          <w:rFonts w:eastAsia="Calibri"/>
          <w:sz w:val="24"/>
          <w:szCs w:val="24"/>
        </w:rPr>
        <w:t xml:space="preserve"> </w:t>
      </w:r>
      <w:r w:rsidR="003E755E">
        <w:rPr>
          <w:rFonts w:eastAsia="Calibri"/>
          <w:sz w:val="24"/>
          <w:szCs w:val="24"/>
        </w:rPr>
        <w:t xml:space="preserve">and meaningful </w:t>
      </w:r>
      <w:r>
        <w:rPr>
          <w:rFonts w:eastAsia="Calibri"/>
          <w:sz w:val="24"/>
          <w:szCs w:val="24"/>
        </w:rPr>
        <w:t xml:space="preserve">participation of </w:t>
      </w:r>
      <w:r w:rsidR="00541501">
        <w:rPr>
          <w:rFonts w:eastAsia="Calibri"/>
          <w:sz w:val="24"/>
          <w:szCs w:val="24"/>
        </w:rPr>
        <w:t>rightsholders and communities</w:t>
      </w:r>
      <w:r w:rsidR="008A51D0">
        <w:rPr>
          <w:rFonts w:eastAsia="Calibri"/>
          <w:sz w:val="24"/>
          <w:szCs w:val="24"/>
        </w:rPr>
        <w:t xml:space="preserve"> in all </w:t>
      </w:r>
      <w:r w:rsidR="00560098">
        <w:rPr>
          <w:rFonts w:eastAsia="Calibri"/>
          <w:sz w:val="24"/>
          <w:szCs w:val="24"/>
        </w:rPr>
        <w:t xml:space="preserve">decision-making processes or </w:t>
      </w:r>
      <w:r w:rsidR="00C34154">
        <w:rPr>
          <w:rFonts w:eastAsia="Calibri"/>
          <w:sz w:val="24"/>
          <w:szCs w:val="24"/>
        </w:rPr>
        <w:t xml:space="preserve">in </w:t>
      </w:r>
      <w:r w:rsidR="00560098">
        <w:rPr>
          <w:rFonts w:eastAsia="Calibri"/>
          <w:sz w:val="24"/>
          <w:szCs w:val="24"/>
        </w:rPr>
        <w:t xml:space="preserve">the formulation of </w:t>
      </w:r>
      <w:r w:rsidR="008A51D0">
        <w:rPr>
          <w:rFonts w:eastAsia="Calibri"/>
          <w:sz w:val="24"/>
          <w:szCs w:val="24"/>
        </w:rPr>
        <w:t xml:space="preserve">policies, laws, </w:t>
      </w:r>
      <w:proofErr w:type="gramStart"/>
      <w:r w:rsidR="008A51D0">
        <w:rPr>
          <w:rFonts w:eastAsia="Calibri"/>
          <w:sz w:val="24"/>
          <w:szCs w:val="24"/>
        </w:rPr>
        <w:t>programmes</w:t>
      </w:r>
      <w:proofErr w:type="gramEnd"/>
      <w:r w:rsidR="008A51D0">
        <w:rPr>
          <w:rFonts w:eastAsia="Calibri"/>
          <w:sz w:val="24"/>
          <w:szCs w:val="24"/>
        </w:rPr>
        <w:t xml:space="preserve"> and initiatives </w:t>
      </w:r>
      <w:r w:rsidR="001A71E3">
        <w:rPr>
          <w:rFonts w:eastAsia="Calibri"/>
          <w:sz w:val="24"/>
          <w:szCs w:val="24"/>
        </w:rPr>
        <w:t>concerning</w:t>
      </w:r>
      <w:r w:rsidR="008A51D0">
        <w:rPr>
          <w:rFonts w:eastAsia="Calibri"/>
          <w:sz w:val="24"/>
          <w:szCs w:val="24"/>
        </w:rPr>
        <w:t xml:space="preserve"> the right to development. A separate provision should </w:t>
      </w:r>
      <w:r w:rsidR="001A71E3">
        <w:rPr>
          <w:rFonts w:eastAsia="Calibri"/>
          <w:sz w:val="24"/>
          <w:szCs w:val="24"/>
        </w:rPr>
        <w:t xml:space="preserve">ideally </w:t>
      </w:r>
      <w:r w:rsidR="008A51D0">
        <w:rPr>
          <w:rFonts w:eastAsia="Calibri"/>
          <w:sz w:val="24"/>
          <w:szCs w:val="24"/>
        </w:rPr>
        <w:t xml:space="preserve">be added to obligate States, </w:t>
      </w:r>
      <w:proofErr w:type="gramStart"/>
      <w:r w:rsidR="008A51D0">
        <w:rPr>
          <w:rFonts w:eastAsia="Calibri"/>
          <w:sz w:val="24"/>
          <w:szCs w:val="24"/>
        </w:rPr>
        <w:t>businesses</w:t>
      </w:r>
      <w:proofErr w:type="gramEnd"/>
      <w:r w:rsidR="008A51D0">
        <w:rPr>
          <w:rFonts w:eastAsia="Calibri"/>
          <w:sz w:val="24"/>
          <w:szCs w:val="24"/>
        </w:rPr>
        <w:t xml:space="preserve"> and other relevant </w:t>
      </w:r>
      <w:proofErr w:type="spellStart"/>
      <w:r w:rsidR="008A51D0">
        <w:rPr>
          <w:rFonts w:eastAsia="Calibri"/>
          <w:sz w:val="24"/>
          <w:szCs w:val="24"/>
        </w:rPr>
        <w:t>actors</w:t>
      </w:r>
      <w:proofErr w:type="spellEnd"/>
      <w:r w:rsidR="008A51D0">
        <w:rPr>
          <w:rFonts w:eastAsia="Calibri"/>
          <w:sz w:val="24"/>
          <w:szCs w:val="24"/>
        </w:rPr>
        <w:t xml:space="preserve"> such as development finance institution to ensure participation.</w:t>
      </w:r>
      <w:r w:rsidR="00D34495">
        <w:rPr>
          <w:rFonts w:eastAsia="Calibri"/>
          <w:sz w:val="24"/>
          <w:szCs w:val="24"/>
        </w:rPr>
        <w:t xml:space="preserve"> In the absence of such participation of the </w:t>
      </w:r>
      <w:r w:rsidR="002D39C4">
        <w:rPr>
          <w:rFonts w:eastAsia="Calibri"/>
          <w:sz w:val="24"/>
          <w:szCs w:val="24"/>
        </w:rPr>
        <w:t xml:space="preserve">intended </w:t>
      </w:r>
      <w:r w:rsidR="00D34495">
        <w:rPr>
          <w:rFonts w:eastAsia="Calibri"/>
          <w:sz w:val="24"/>
          <w:szCs w:val="24"/>
        </w:rPr>
        <w:t>beneficiaries of the right to development,</w:t>
      </w:r>
      <w:r w:rsidR="002D39C4">
        <w:rPr>
          <w:rFonts w:eastAsia="Calibri"/>
          <w:sz w:val="24"/>
          <w:szCs w:val="24"/>
        </w:rPr>
        <w:t xml:space="preserve"> the resultant development is unlikely to be inclusive</w:t>
      </w:r>
      <w:r w:rsidR="008A2C89">
        <w:rPr>
          <w:rFonts w:eastAsia="Calibri"/>
          <w:sz w:val="24"/>
          <w:szCs w:val="24"/>
        </w:rPr>
        <w:t>, equitable</w:t>
      </w:r>
      <w:r w:rsidR="002D39C4">
        <w:rPr>
          <w:rFonts w:eastAsia="Calibri"/>
          <w:sz w:val="24"/>
          <w:szCs w:val="24"/>
        </w:rPr>
        <w:t xml:space="preserve"> and sustainable. </w:t>
      </w:r>
      <w:r w:rsidR="00D34495">
        <w:rPr>
          <w:rFonts w:eastAsia="Calibri"/>
          <w:sz w:val="24"/>
          <w:szCs w:val="24"/>
        </w:rPr>
        <w:t xml:space="preserve"> </w:t>
      </w:r>
    </w:p>
    <w:p w14:paraId="63A29D42" w14:textId="77777777" w:rsidR="00026ED8" w:rsidRPr="00026ED8" w:rsidRDefault="00026ED8" w:rsidP="00026ED8">
      <w:pPr>
        <w:pStyle w:val="ListParagraph"/>
        <w:rPr>
          <w:rFonts w:eastAsia="Calibri"/>
          <w:sz w:val="24"/>
          <w:szCs w:val="24"/>
        </w:rPr>
      </w:pPr>
    </w:p>
    <w:p w14:paraId="328EFB60" w14:textId="77777777" w:rsidR="009C2BA2" w:rsidRPr="002464CC" w:rsidRDefault="009C2BA2" w:rsidP="006553C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</w:p>
    <w:p w14:paraId="2988DD5A" w14:textId="77777777" w:rsidR="009C2BA2" w:rsidRPr="002464CC" w:rsidRDefault="009C2BA2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b/>
          <w:bCs/>
          <w:sz w:val="24"/>
          <w:szCs w:val="24"/>
        </w:rPr>
      </w:pPr>
    </w:p>
    <w:sectPr w:rsidR="009C2BA2" w:rsidRPr="002464CC" w:rsidSect="006564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96EB" w14:textId="77777777" w:rsidR="00E47D6F" w:rsidRDefault="00E47D6F">
      <w:r>
        <w:separator/>
      </w:r>
    </w:p>
  </w:endnote>
  <w:endnote w:type="continuationSeparator" w:id="0">
    <w:p w14:paraId="483504A3" w14:textId="77777777" w:rsidR="00E47D6F" w:rsidRDefault="00E4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529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C1AC8" w14:textId="073EFD22" w:rsidR="007D0A75" w:rsidRDefault="007D0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7946C" w14:textId="77777777" w:rsidR="000D44ED" w:rsidRDefault="00000000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144D" w14:textId="77777777" w:rsidR="008A2623" w:rsidRDefault="008A2623" w:rsidP="008B6B53">
    <w:pPr>
      <w:pStyle w:val="Footer"/>
      <w:rPr>
        <w:sz w:val="24"/>
        <w:szCs w:val="24"/>
      </w:rPr>
    </w:pPr>
    <w:r>
      <w:rPr>
        <w:noProof/>
        <w:sz w:val="24"/>
        <w:szCs w:val="24"/>
      </w:rPr>
      <w:t xml:space="preserve"> </w:t>
    </w:r>
  </w:p>
  <w:p w14:paraId="053EC9E8" w14:textId="77777777" w:rsidR="0013581B" w:rsidRDefault="008A2623" w:rsidP="00B73FD1">
    <w:pPr>
      <w:pStyle w:val="Footer"/>
      <w:rPr>
        <w:sz w:val="24"/>
        <w:szCs w:val="24"/>
      </w:rPr>
    </w:pPr>
    <w:r>
      <w:rPr>
        <w:noProof/>
        <w:sz w:val="24"/>
        <w:szCs w:val="24"/>
      </w:rPr>
      <w:t xml:space="preserve"> </w:t>
    </w:r>
  </w:p>
  <w:p w14:paraId="54D48D64" w14:textId="77777777" w:rsidR="00C17B65" w:rsidRPr="002873B2" w:rsidRDefault="00C17B65" w:rsidP="00B73FD1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3814" w14:textId="77777777" w:rsidR="00E47D6F" w:rsidRDefault="00E47D6F">
      <w:r>
        <w:separator/>
      </w:r>
    </w:p>
  </w:footnote>
  <w:footnote w:type="continuationSeparator" w:id="0">
    <w:p w14:paraId="0FC421B1" w14:textId="77777777" w:rsidR="00E47D6F" w:rsidRDefault="00E47D6F">
      <w:r>
        <w:continuationSeparator/>
      </w:r>
    </w:p>
  </w:footnote>
  <w:footnote w:id="1">
    <w:p w14:paraId="25AF8B96" w14:textId="3D502543" w:rsidR="001C444E" w:rsidRPr="001C444E" w:rsidRDefault="001C444E">
      <w:pPr>
        <w:pStyle w:val="FootnoteText"/>
        <w:rPr>
          <w:lang w:val="en-H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HK"/>
        </w:rPr>
        <w:t xml:space="preserve">See </w:t>
      </w:r>
      <w:hyperlink r:id="rId1" w:history="1">
        <w:r w:rsidRPr="006F0420">
          <w:rPr>
            <w:rStyle w:val="Hyperlink"/>
            <w:lang w:val="en-HK"/>
          </w:rPr>
          <w:t>https://www.ohchr.org/en/hr-bodies/hrc/wg-trans-corp/igwg-on-tnc</w:t>
        </w:r>
      </w:hyperlink>
      <w:r>
        <w:rPr>
          <w:lang w:val="en-HK"/>
        </w:rPr>
        <w:t xml:space="preserve"> </w:t>
      </w:r>
    </w:p>
  </w:footnote>
  <w:footnote w:id="2">
    <w:p w14:paraId="65C1BB9F" w14:textId="71FE9BA1" w:rsidR="00A065CA" w:rsidRPr="00A065CA" w:rsidRDefault="00A065CA">
      <w:pPr>
        <w:pStyle w:val="FootnoteText"/>
        <w:rPr>
          <w:lang w:val="en-H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HK"/>
        </w:rPr>
        <w:t xml:space="preserve">See </w:t>
      </w:r>
      <w:hyperlink r:id="rId2" w:history="1">
        <w:r w:rsidRPr="006F0420">
          <w:rPr>
            <w:rStyle w:val="Hyperlink"/>
            <w:lang w:val="en-HK"/>
          </w:rPr>
          <w:t>https://www.ohchr.org/en/hr-bodies/hrc/pms-cs/igwg-index1</w:t>
        </w:r>
      </w:hyperlink>
      <w:r>
        <w:rPr>
          <w:lang w:val="en-HK"/>
        </w:rPr>
        <w:t xml:space="preserve"> </w:t>
      </w:r>
    </w:p>
  </w:footnote>
  <w:footnote w:id="3">
    <w:p w14:paraId="0CF723E1" w14:textId="4B5DF853" w:rsidR="00AC2AC7" w:rsidRPr="00AC2AC7" w:rsidRDefault="00AC2AC7">
      <w:pPr>
        <w:pStyle w:val="FootnoteText"/>
        <w:rPr>
          <w:lang w:val="en-HK"/>
        </w:rPr>
      </w:pPr>
      <w:r>
        <w:rPr>
          <w:rStyle w:val="FootnoteReference"/>
        </w:rPr>
        <w:footnoteRef/>
      </w:r>
      <w:r>
        <w:t xml:space="preserve"> See </w:t>
      </w:r>
      <w:hyperlink r:id="rId3" w:history="1">
        <w:r w:rsidRPr="006F0420">
          <w:rPr>
            <w:rStyle w:val="Hyperlink"/>
          </w:rPr>
          <w:t>https://www.unep.org/about-un-environment/inc-plastic-pollution</w:t>
        </w:r>
      </w:hyperlink>
      <w:r>
        <w:t xml:space="preserve"> </w:t>
      </w:r>
    </w:p>
  </w:footnote>
  <w:footnote w:id="4">
    <w:p w14:paraId="76EE3CD9" w14:textId="5961BC72" w:rsidR="00B66EB7" w:rsidRPr="00B66EB7" w:rsidRDefault="00B66EB7">
      <w:pPr>
        <w:pStyle w:val="FootnoteText"/>
        <w:rPr>
          <w:lang w:val="en-H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HK"/>
        </w:rPr>
        <w:t xml:space="preserve">See </w:t>
      </w:r>
      <w:hyperlink r:id="rId4" w:history="1">
        <w:r w:rsidRPr="006F0420">
          <w:rPr>
            <w:rStyle w:val="Hyperlink"/>
            <w:lang w:val="en-HK"/>
          </w:rPr>
          <w:t>https://unfccc.int/process-and-meetings/conferences/sharm-el-sheikh-climate-change-conference-november-2022/five-key-takeaways-from-cop27</w:t>
        </w:r>
      </w:hyperlink>
      <w:r>
        <w:rPr>
          <w:lang w:val="en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CD08" w14:textId="77777777" w:rsidR="000D44ED" w:rsidRPr="00AD4CA9" w:rsidRDefault="00244860" w:rsidP="00656423">
    <w:pPr>
      <w:pStyle w:val="Header"/>
      <w:tabs>
        <w:tab w:val="clear" w:pos="4153"/>
        <w:tab w:val="clear" w:pos="8306"/>
        <w:tab w:val="right" w:pos="9214"/>
      </w:tabs>
      <w:spacing w:before="360" w:after="840"/>
      <w:jc w:val="right"/>
      <w:rPr>
        <w:sz w:val="14"/>
        <w:szCs w:val="14"/>
        <w:lang w:val="en-GB"/>
      </w:rPr>
    </w:pPr>
    <w:r>
      <w:rPr>
        <w:sz w:val="14"/>
        <w:szCs w:val="14"/>
        <w:lang w:val="en-GB"/>
      </w:rPr>
      <w:t xml:space="preserve">PAGE </w:t>
    </w:r>
    <w:r w:rsidR="00EB30F6">
      <w:rPr>
        <w:noProof/>
        <w:sz w:val="14"/>
        <w:szCs w:val="14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938A" w14:textId="77777777" w:rsidR="0003674D" w:rsidRPr="00925A9D" w:rsidRDefault="004448BF" w:rsidP="00E97A8F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7317139D" wp14:editId="57587475">
          <wp:extent cx="2838450" cy="1219200"/>
          <wp:effectExtent l="0" t="0" r="0" b="0"/>
          <wp:docPr id="2" name="Picture 2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1E23C" w14:textId="77777777" w:rsidR="0003674D" w:rsidRPr="002745FF" w:rsidRDefault="0003674D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4520EE1D" w14:textId="77777777" w:rsidR="0003674D" w:rsidRPr="002745FF" w:rsidRDefault="0003674D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 xml:space="preserve">www.ohchr.org • </w:t>
    </w:r>
    <w:proofErr w:type="gramStart"/>
    <w:r w:rsidRPr="002745FF">
      <w:rPr>
        <w:sz w:val="14"/>
        <w:szCs w:val="14"/>
        <w:lang w:val="fr-CH"/>
      </w:rPr>
      <w:t>TEL:</w:t>
    </w:r>
    <w:proofErr w:type="gramEnd"/>
    <w:r w:rsidRPr="002745FF">
      <w:rPr>
        <w:sz w:val="14"/>
        <w:szCs w:val="14"/>
        <w:lang w:val="fr-CH"/>
      </w:rPr>
      <w:t xml:space="preserve">  +41 22 917 9000 • FAX:  +41 22 917 9008 • E-MAIL:  registry@ohchr.org</w:t>
    </w:r>
  </w:p>
  <w:p w14:paraId="1B5BB1F8" w14:textId="77777777" w:rsidR="000D44ED" w:rsidRPr="00B73FD1" w:rsidRDefault="00000000" w:rsidP="0003674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0C571D87"/>
    <w:multiLevelType w:val="hybridMultilevel"/>
    <w:tmpl w:val="D534E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F08"/>
    <w:multiLevelType w:val="hybridMultilevel"/>
    <w:tmpl w:val="8B0CD2E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C5562"/>
    <w:multiLevelType w:val="hybridMultilevel"/>
    <w:tmpl w:val="06F42CDC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4897B2E"/>
    <w:multiLevelType w:val="hybridMultilevel"/>
    <w:tmpl w:val="B0648E68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844510"/>
    <w:multiLevelType w:val="hybridMultilevel"/>
    <w:tmpl w:val="6B5E8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1C4E148E"/>
    <w:multiLevelType w:val="hybridMultilevel"/>
    <w:tmpl w:val="490CD394"/>
    <w:lvl w:ilvl="0" w:tplc="F84C2B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9" w15:restartNumberingAfterBreak="0">
    <w:nsid w:val="4FA53A57"/>
    <w:multiLevelType w:val="hybridMultilevel"/>
    <w:tmpl w:val="51A6D4F4"/>
    <w:lvl w:ilvl="0" w:tplc="96D01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876119"/>
    <w:multiLevelType w:val="hybridMultilevel"/>
    <w:tmpl w:val="84AAFF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847AB7"/>
    <w:multiLevelType w:val="hybridMultilevel"/>
    <w:tmpl w:val="299EE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9" w15:restartNumberingAfterBreak="0">
    <w:nsid w:val="65787215"/>
    <w:multiLevelType w:val="hybridMultilevel"/>
    <w:tmpl w:val="33A0F71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C4F4E42"/>
    <w:multiLevelType w:val="hybridMultilevel"/>
    <w:tmpl w:val="F4BA1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1A776F"/>
    <w:multiLevelType w:val="hybridMultilevel"/>
    <w:tmpl w:val="A9B87B7C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865857">
    <w:abstractNumId w:val="21"/>
  </w:num>
  <w:num w:numId="2" w16cid:durableId="1548562027">
    <w:abstractNumId w:val="34"/>
  </w:num>
  <w:num w:numId="3" w16cid:durableId="1641686597">
    <w:abstractNumId w:val="23"/>
  </w:num>
  <w:num w:numId="4" w16cid:durableId="1277907797">
    <w:abstractNumId w:val="13"/>
  </w:num>
  <w:num w:numId="5" w16cid:durableId="929312501">
    <w:abstractNumId w:val="24"/>
  </w:num>
  <w:num w:numId="6" w16cid:durableId="1391611179">
    <w:abstractNumId w:val="15"/>
  </w:num>
  <w:num w:numId="7" w16cid:durableId="899168522">
    <w:abstractNumId w:val="2"/>
  </w:num>
  <w:num w:numId="8" w16cid:durableId="1431585940">
    <w:abstractNumId w:val="16"/>
  </w:num>
  <w:num w:numId="9" w16cid:durableId="1632053813">
    <w:abstractNumId w:val="3"/>
  </w:num>
  <w:num w:numId="10" w16cid:durableId="1986735798">
    <w:abstractNumId w:val="1"/>
  </w:num>
  <w:num w:numId="11" w16cid:durableId="864825711">
    <w:abstractNumId w:val="14"/>
  </w:num>
  <w:num w:numId="12" w16cid:durableId="1632901865">
    <w:abstractNumId w:val="30"/>
  </w:num>
  <w:num w:numId="13" w16cid:durableId="692993749">
    <w:abstractNumId w:val="33"/>
  </w:num>
  <w:num w:numId="14" w16cid:durableId="506991098">
    <w:abstractNumId w:val="20"/>
  </w:num>
  <w:num w:numId="15" w16cid:durableId="1064567391">
    <w:abstractNumId w:val="9"/>
  </w:num>
  <w:num w:numId="16" w16cid:durableId="49352901">
    <w:abstractNumId w:val="0"/>
  </w:num>
  <w:num w:numId="17" w16cid:durableId="1427192913">
    <w:abstractNumId w:val="26"/>
  </w:num>
  <w:num w:numId="18" w16cid:durableId="388194511">
    <w:abstractNumId w:val="11"/>
  </w:num>
  <w:num w:numId="19" w16cid:durableId="384109840">
    <w:abstractNumId w:val="18"/>
  </w:num>
  <w:num w:numId="20" w16cid:durableId="1775054610">
    <w:abstractNumId w:val="7"/>
  </w:num>
  <w:num w:numId="21" w16cid:durableId="948899848">
    <w:abstractNumId w:val="25"/>
  </w:num>
  <w:num w:numId="22" w16cid:durableId="1585451479">
    <w:abstractNumId w:val="22"/>
  </w:num>
  <w:num w:numId="23" w16cid:durableId="866917745">
    <w:abstractNumId w:val="17"/>
  </w:num>
  <w:num w:numId="24" w16cid:durableId="539518502">
    <w:abstractNumId w:val="19"/>
  </w:num>
  <w:num w:numId="25" w16cid:durableId="1703239917">
    <w:abstractNumId w:val="28"/>
  </w:num>
  <w:num w:numId="26" w16cid:durableId="2099906975">
    <w:abstractNumId w:val="12"/>
  </w:num>
  <w:num w:numId="27" w16cid:durableId="1679504178">
    <w:abstractNumId w:val="10"/>
  </w:num>
  <w:num w:numId="28" w16cid:durableId="350305306">
    <w:abstractNumId w:val="4"/>
  </w:num>
  <w:num w:numId="29" w16cid:durableId="1660302915">
    <w:abstractNumId w:val="29"/>
  </w:num>
  <w:num w:numId="30" w16cid:durableId="173233796">
    <w:abstractNumId w:val="27"/>
  </w:num>
  <w:num w:numId="31" w16cid:durableId="1944192597">
    <w:abstractNumId w:val="5"/>
  </w:num>
  <w:num w:numId="32" w16cid:durableId="848056918">
    <w:abstractNumId w:val="31"/>
  </w:num>
  <w:num w:numId="33" w16cid:durableId="805858056">
    <w:abstractNumId w:val="8"/>
  </w:num>
  <w:num w:numId="34" w16cid:durableId="955718233">
    <w:abstractNumId w:val="6"/>
  </w:num>
  <w:num w:numId="35" w16cid:durableId="9999654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188F"/>
    <w:rsid w:val="000138F6"/>
    <w:rsid w:val="000225FC"/>
    <w:rsid w:val="00023FD8"/>
    <w:rsid w:val="00026D1F"/>
    <w:rsid w:val="00026ED8"/>
    <w:rsid w:val="0003674D"/>
    <w:rsid w:val="00042199"/>
    <w:rsid w:val="00045382"/>
    <w:rsid w:val="0005390B"/>
    <w:rsid w:val="000571FC"/>
    <w:rsid w:val="000620C6"/>
    <w:rsid w:val="00063BFD"/>
    <w:rsid w:val="00077294"/>
    <w:rsid w:val="000875C6"/>
    <w:rsid w:val="00091150"/>
    <w:rsid w:val="00091BF0"/>
    <w:rsid w:val="000937B1"/>
    <w:rsid w:val="000A2B89"/>
    <w:rsid w:val="000A4303"/>
    <w:rsid w:val="000A671E"/>
    <w:rsid w:val="000A6EF1"/>
    <w:rsid w:val="000A6F03"/>
    <w:rsid w:val="000B12B7"/>
    <w:rsid w:val="000B3E0A"/>
    <w:rsid w:val="000D0DA7"/>
    <w:rsid w:val="000D210E"/>
    <w:rsid w:val="000D34F2"/>
    <w:rsid w:val="000E2860"/>
    <w:rsid w:val="000E2F5E"/>
    <w:rsid w:val="000E42EE"/>
    <w:rsid w:val="000E6405"/>
    <w:rsid w:val="000E788A"/>
    <w:rsid w:val="000F183C"/>
    <w:rsid w:val="000F2E46"/>
    <w:rsid w:val="00102D7F"/>
    <w:rsid w:val="00106F64"/>
    <w:rsid w:val="00115798"/>
    <w:rsid w:val="00117F5F"/>
    <w:rsid w:val="001205D6"/>
    <w:rsid w:val="001336CD"/>
    <w:rsid w:val="00143982"/>
    <w:rsid w:val="001456CB"/>
    <w:rsid w:val="001537CC"/>
    <w:rsid w:val="00153DB2"/>
    <w:rsid w:val="0015615C"/>
    <w:rsid w:val="00157277"/>
    <w:rsid w:val="001676BA"/>
    <w:rsid w:val="00171615"/>
    <w:rsid w:val="0017329F"/>
    <w:rsid w:val="0017555C"/>
    <w:rsid w:val="00183B60"/>
    <w:rsid w:val="00183D89"/>
    <w:rsid w:val="00193C30"/>
    <w:rsid w:val="00194332"/>
    <w:rsid w:val="001A0200"/>
    <w:rsid w:val="001A0F53"/>
    <w:rsid w:val="001A6DC7"/>
    <w:rsid w:val="001A71E3"/>
    <w:rsid w:val="001B7B09"/>
    <w:rsid w:val="001C29E3"/>
    <w:rsid w:val="001C4360"/>
    <w:rsid w:val="001C444E"/>
    <w:rsid w:val="001D3313"/>
    <w:rsid w:val="001E3384"/>
    <w:rsid w:val="001E7A19"/>
    <w:rsid w:val="002013A0"/>
    <w:rsid w:val="002028A9"/>
    <w:rsid w:val="00202ED5"/>
    <w:rsid w:val="0021296A"/>
    <w:rsid w:val="002129D5"/>
    <w:rsid w:val="00215DC2"/>
    <w:rsid w:val="00217476"/>
    <w:rsid w:val="00221893"/>
    <w:rsid w:val="00224386"/>
    <w:rsid w:val="00227E2F"/>
    <w:rsid w:val="00227EAD"/>
    <w:rsid w:val="00230775"/>
    <w:rsid w:val="00235A1A"/>
    <w:rsid w:val="002431DB"/>
    <w:rsid w:val="00244860"/>
    <w:rsid w:val="0024583B"/>
    <w:rsid w:val="002464CC"/>
    <w:rsid w:val="0025174E"/>
    <w:rsid w:val="0025229A"/>
    <w:rsid w:val="0025361E"/>
    <w:rsid w:val="00257195"/>
    <w:rsid w:val="00266D70"/>
    <w:rsid w:val="00275D0F"/>
    <w:rsid w:val="00280331"/>
    <w:rsid w:val="00282E14"/>
    <w:rsid w:val="0028624E"/>
    <w:rsid w:val="002863A2"/>
    <w:rsid w:val="002873B2"/>
    <w:rsid w:val="00293243"/>
    <w:rsid w:val="00293C7F"/>
    <w:rsid w:val="00294581"/>
    <w:rsid w:val="002969BF"/>
    <w:rsid w:val="002A08BA"/>
    <w:rsid w:val="002A5B4E"/>
    <w:rsid w:val="002A65A2"/>
    <w:rsid w:val="002B029B"/>
    <w:rsid w:val="002D39C4"/>
    <w:rsid w:val="002E65F4"/>
    <w:rsid w:val="00305B08"/>
    <w:rsid w:val="00335FB9"/>
    <w:rsid w:val="00336930"/>
    <w:rsid w:val="003470AF"/>
    <w:rsid w:val="00347963"/>
    <w:rsid w:val="00354F1A"/>
    <w:rsid w:val="00356299"/>
    <w:rsid w:val="003577DB"/>
    <w:rsid w:val="00373529"/>
    <w:rsid w:val="00380489"/>
    <w:rsid w:val="00385F89"/>
    <w:rsid w:val="003956EF"/>
    <w:rsid w:val="00396E4C"/>
    <w:rsid w:val="003A3957"/>
    <w:rsid w:val="003A4B0F"/>
    <w:rsid w:val="003B2315"/>
    <w:rsid w:val="003C37C3"/>
    <w:rsid w:val="003D0C10"/>
    <w:rsid w:val="003D3D66"/>
    <w:rsid w:val="003D48E0"/>
    <w:rsid w:val="003E552B"/>
    <w:rsid w:val="003E755E"/>
    <w:rsid w:val="003F6FAC"/>
    <w:rsid w:val="00401FD2"/>
    <w:rsid w:val="00402219"/>
    <w:rsid w:val="00405803"/>
    <w:rsid w:val="00410560"/>
    <w:rsid w:val="00411C0A"/>
    <w:rsid w:val="004153DE"/>
    <w:rsid w:val="00415EFC"/>
    <w:rsid w:val="004177E5"/>
    <w:rsid w:val="00430B60"/>
    <w:rsid w:val="00437DB2"/>
    <w:rsid w:val="00440385"/>
    <w:rsid w:val="00440CBF"/>
    <w:rsid w:val="00440E30"/>
    <w:rsid w:val="00440ED0"/>
    <w:rsid w:val="004418AF"/>
    <w:rsid w:val="00443DF5"/>
    <w:rsid w:val="004448BF"/>
    <w:rsid w:val="00447412"/>
    <w:rsid w:val="00455C6D"/>
    <w:rsid w:val="00456419"/>
    <w:rsid w:val="004573C5"/>
    <w:rsid w:val="00460258"/>
    <w:rsid w:val="00460583"/>
    <w:rsid w:val="004706FB"/>
    <w:rsid w:val="00474E80"/>
    <w:rsid w:val="00484783"/>
    <w:rsid w:val="004A1978"/>
    <w:rsid w:val="004A5D9B"/>
    <w:rsid w:val="004B4C3E"/>
    <w:rsid w:val="004B4CAC"/>
    <w:rsid w:val="004B709A"/>
    <w:rsid w:val="004C0099"/>
    <w:rsid w:val="004C044F"/>
    <w:rsid w:val="004C243C"/>
    <w:rsid w:val="004D0F5B"/>
    <w:rsid w:val="004D21C9"/>
    <w:rsid w:val="004D3D30"/>
    <w:rsid w:val="004D5717"/>
    <w:rsid w:val="004D5D19"/>
    <w:rsid w:val="004D5E66"/>
    <w:rsid w:val="004E0AB6"/>
    <w:rsid w:val="004E112C"/>
    <w:rsid w:val="004E49EC"/>
    <w:rsid w:val="004E4D86"/>
    <w:rsid w:val="004F4DB0"/>
    <w:rsid w:val="005141AC"/>
    <w:rsid w:val="005167F0"/>
    <w:rsid w:val="00520DCB"/>
    <w:rsid w:val="00530EF5"/>
    <w:rsid w:val="005335ED"/>
    <w:rsid w:val="00535992"/>
    <w:rsid w:val="00541501"/>
    <w:rsid w:val="005417E4"/>
    <w:rsid w:val="005455F8"/>
    <w:rsid w:val="0055573E"/>
    <w:rsid w:val="00560098"/>
    <w:rsid w:val="00562D63"/>
    <w:rsid w:val="0057077C"/>
    <w:rsid w:val="00570A1B"/>
    <w:rsid w:val="00570BFC"/>
    <w:rsid w:val="00570E41"/>
    <w:rsid w:val="00575A59"/>
    <w:rsid w:val="00576638"/>
    <w:rsid w:val="005849E6"/>
    <w:rsid w:val="00585F8E"/>
    <w:rsid w:val="005871D9"/>
    <w:rsid w:val="00587BF5"/>
    <w:rsid w:val="00587FAD"/>
    <w:rsid w:val="00590218"/>
    <w:rsid w:val="00593A92"/>
    <w:rsid w:val="00594153"/>
    <w:rsid w:val="005957ED"/>
    <w:rsid w:val="005A06D2"/>
    <w:rsid w:val="005A35C4"/>
    <w:rsid w:val="005A3C3E"/>
    <w:rsid w:val="005A4ECA"/>
    <w:rsid w:val="005A51BB"/>
    <w:rsid w:val="005D04BF"/>
    <w:rsid w:val="005E7C37"/>
    <w:rsid w:val="005F283E"/>
    <w:rsid w:val="0060068B"/>
    <w:rsid w:val="00601CE1"/>
    <w:rsid w:val="0060785C"/>
    <w:rsid w:val="006113C0"/>
    <w:rsid w:val="00612356"/>
    <w:rsid w:val="00613F8E"/>
    <w:rsid w:val="0062194C"/>
    <w:rsid w:val="00622E1F"/>
    <w:rsid w:val="00627A52"/>
    <w:rsid w:val="0063240F"/>
    <w:rsid w:val="00635102"/>
    <w:rsid w:val="00636BD7"/>
    <w:rsid w:val="006375A5"/>
    <w:rsid w:val="006412EA"/>
    <w:rsid w:val="00645695"/>
    <w:rsid w:val="00647874"/>
    <w:rsid w:val="00650CD4"/>
    <w:rsid w:val="006553C2"/>
    <w:rsid w:val="00655EC9"/>
    <w:rsid w:val="00656423"/>
    <w:rsid w:val="006605E5"/>
    <w:rsid w:val="00660EDA"/>
    <w:rsid w:val="006617A4"/>
    <w:rsid w:val="00667227"/>
    <w:rsid w:val="00673A05"/>
    <w:rsid w:val="006749F6"/>
    <w:rsid w:val="006778F7"/>
    <w:rsid w:val="00680DDA"/>
    <w:rsid w:val="00682D26"/>
    <w:rsid w:val="00682DDB"/>
    <w:rsid w:val="006834E4"/>
    <w:rsid w:val="00687E4F"/>
    <w:rsid w:val="00694F76"/>
    <w:rsid w:val="00695D3E"/>
    <w:rsid w:val="0069771D"/>
    <w:rsid w:val="006A0289"/>
    <w:rsid w:val="006A7352"/>
    <w:rsid w:val="006B149F"/>
    <w:rsid w:val="006B5A71"/>
    <w:rsid w:val="006C7858"/>
    <w:rsid w:val="006E6CC3"/>
    <w:rsid w:val="006F790C"/>
    <w:rsid w:val="00703AE9"/>
    <w:rsid w:val="007114F8"/>
    <w:rsid w:val="00712363"/>
    <w:rsid w:val="007124D5"/>
    <w:rsid w:val="00712EFD"/>
    <w:rsid w:val="00716D30"/>
    <w:rsid w:val="00716D32"/>
    <w:rsid w:val="007210F6"/>
    <w:rsid w:val="00721251"/>
    <w:rsid w:val="00723438"/>
    <w:rsid w:val="00733660"/>
    <w:rsid w:val="00741EBC"/>
    <w:rsid w:val="007432E5"/>
    <w:rsid w:val="007450E8"/>
    <w:rsid w:val="007567B8"/>
    <w:rsid w:val="0075742C"/>
    <w:rsid w:val="007625BA"/>
    <w:rsid w:val="0076440D"/>
    <w:rsid w:val="00772DA0"/>
    <w:rsid w:val="00776BDB"/>
    <w:rsid w:val="00781D2C"/>
    <w:rsid w:val="00786C82"/>
    <w:rsid w:val="00790C76"/>
    <w:rsid w:val="00790CBE"/>
    <w:rsid w:val="0079503A"/>
    <w:rsid w:val="00795469"/>
    <w:rsid w:val="00796729"/>
    <w:rsid w:val="00796D49"/>
    <w:rsid w:val="00797214"/>
    <w:rsid w:val="007A3F07"/>
    <w:rsid w:val="007A4975"/>
    <w:rsid w:val="007B01A6"/>
    <w:rsid w:val="007B5929"/>
    <w:rsid w:val="007C0B7A"/>
    <w:rsid w:val="007C4483"/>
    <w:rsid w:val="007C4A8E"/>
    <w:rsid w:val="007C5369"/>
    <w:rsid w:val="007D0A75"/>
    <w:rsid w:val="007D1657"/>
    <w:rsid w:val="007D1D24"/>
    <w:rsid w:val="007D26BB"/>
    <w:rsid w:val="007D47FE"/>
    <w:rsid w:val="007E39E1"/>
    <w:rsid w:val="007F0B0A"/>
    <w:rsid w:val="007F52C6"/>
    <w:rsid w:val="007F5CEF"/>
    <w:rsid w:val="007F7DA3"/>
    <w:rsid w:val="00803CE1"/>
    <w:rsid w:val="00803F15"/>
    <w:rsid w:val="00814FE7"/>
    <w:rsid w:val="0081788D"/>
    <w:rsid w:val="00817EA1"/>
    <w:rsid w:val="00817EC5"/>
    <w:rsid w:val="0082617F"/>
    <w:rsid w:val="0083788D"/>
    <w:rsid w:val="00842120"/>
    <w:rsid w:val="00842220"/>
    <w:rsid w:val="008427AA"/>
    <w:rsid w:val="00844ED3"/>
    <w:rsid w:val="00846B4A"/>
    <w:rsid w:val="008553DE"/>
    <w:rsid w:val="008559CC"/>
    <w:rsid w:val="008568EA"/>
    <w:rsid w:val="008617B3"/>
    <w:rsid w:val="008656FA"/>
    <w:rsid w:val="00871843"/>
    <w:rsid w:val="00872573"/>
    <w:rsid w:val="00874280"/>
    <w:rsid w:val="00876161"/>
    <w:rsid w:val="008774E3"/>
    <w:rsid w:val="00894786"/>
    <w:rsid w:val="008A2623"/>
    <w:rsid w:val="008A2957"/>
    <w:rsid w:val="008A2C89"/>
    <w:rsid w:val="008A40F7"/>
    <w:rsid w:val="008A51D0"/>
    <w:rsid w:val="008B08E9"/>
    <w:rsid w:val="008B33E8"/>
    <w:rsid w:val="008B4DD7"/>
    <w:rsid w:val="008B4F3E"/>
    <w:rsid w:val="008B6B53"/>
    <w:rsid w:val="008C2924"/>
    <w:rsid w:val="008C60C0"/>
    <w:rsid w:val="008D1A3C"/>
    <w:rsid w:val="008D3B8A"/>
    <w:rsid w:val="008E46C1"/>
    <w:rsid w:val="008E5678"/>
    <w:rsid w:val="008F3473"/>
    <w:rsid w:val="008F3A2F"/>
    <w:rsid w:val="00900BC8"/>
    <w:rsid w:val="009066BC"/>
    <w:rsid w:val="00916E30"/>
    <w:rsid w:val="009210C2"/>
    <w:rsid w:val="009240B2"/>
    <w:rsid w:val="0092436C"/>
    <w:rsid w:val="00925A9D"/>
    <w:rsid w:val="009337F5"/>
    <w:rsid w:val="009358CD"/>
    <w:rsid w:val="00944040"/>
    <w:rsid w:val="00944E25"/>
    <w:rsid w:val="00945265"/>
    <w:rsid w:val="00946908"/>
    <w:rsid w:val="009469B5"/>
    <w:rsid w:val="00946B6F"/>
    <w:rsid w:val="00951601"/>
    <w:rsid w:val="0096417A"/>
    <w:rsid w:val="00971147"/>
    <w:rsid w:val="00973C7F"/>
    <w:rsid w:val="00977C96"/>
    <w:rsid w:val="009813A1"/>
    <w:rsid w:val="00982281"/>
    <w:rsid w:val="00982FCF"/>
    <w:rsid w:val="00983FB8"/>
    <w:rsid w:val="00984AF2"/>
    <w:rsid w:val="0098565E"/>
    <w:rsid w:val="00986237"/>
    <w:rsid w:val="00997618"/>
    <w:rsid w:val="009A2849"/>
    <w:rsid w:val="009A3A4F"/>
    <w:rsid w:val="009B3769"/>
    <w:rsid w:val="009B459A"/>
    <w:rsid w:val="009C2BA2"/>
    <w:rsid w:val="009C6562"/>
    <w:rsid w:val="009D76A9"/>
    <w:rsid w:val="009E00AF"/>
    <w:rsid w:val="009F0F8E"/>
    <w:rsid w:val="009F18EC"/>
    <w:rsid w:val="009F2043"/>
    <w:rsid w:val="00A01741"/>
    <w:rsid w:val="00A01A80"/>
    <w:rsid w:val="00A03E4B"/>
    <w:rsid w:val="00A065CA"/>
    <w:rsid w:val="00A153DB"/>
    <w:rsid w:val="00A210E8"/>
    <w:rsid w:val="00A21EF1"/>
    <w:rsid w:val="00A2313D"/>
    <w:rsid w:val="00A23646"/>
    <w:rsid w:val="00A27209"/>
    <w:rsid w:val="00A34DA7"/>
    <w:rsid w:val="00A364CF"/>
    <w:rsid w:val="00A3761B"/>
    <w:rsid w:val="00A40490"/>
    <w:rsid w:val="00A439B9"/>
    <w:rsid w:val="00A5086F"/>
    <w:rsid w:val="00A51EB5"/>
    <w:rsid w:val="00A54482"/>
    <w:rsid w:val="00A559ED"/>
    <w:rsid w:val="00A564C7"/>
    <w:rsid w:val="00A5711E"/>
    <w:rsid w:val="00A6108C"/>
    <w:rsid w:val="00A613B8"/>
    <w:rsid w:val="00A61E26"/>
    <w:rsid w:val="00A63977"/>
    <w:rsid w:val="00A6645E"/>
    <w:rsid w:val="00A72789"/>
    <w:rsid w:val="00A86B19"/>
    <w:rsid w:val="00A86E08"/>
    <w:rsid w:val="00A9048E"/>
    <w:rsid w:val="00A95CE8"/>
    <w:rsid w:val="00A961AC"/>
    <w:rsid w:val="00AA3895"/>
    <w:rsid w:val="00AB1CF4"/>
    <w:rsid w:val="00AB787C"/>
    <w:rsid w:val="00AC2AC7"/>
    <w:rsid w:val="00AC50E4"/>
    <w:rsid w:val="00AC771B"/>
    <w:rsid w:val="00AD1796"/>
    <w:rsid w:val="00AD4421"/>
    <w:rsid w:val="00AD4CA9"/>
    <w:rsid w:val="00AE2231"/>
    <w:rsid w:val="00AE4A87"/>
    <w:rsid w:val="00AE69A2"/>
    <w:rsid w:val="00AE796C"/>
    <w:rsid w:val="00AF291B"/>
    <w:rsid w:val="00AF3626"/>
    <w:rsid w:val="00AF73D0"/>
    <w:rsid w:val="00B04529"/>
    <w:rsid w:val="00B10E44"/>
    <w:rsid w:val="00B13589"/>
    <w:rsid w:val="00B13D06"/>
    <w:rsid w:val="00B14752"/>
    <w:rsid w:val="00B158D8"/>
    <w:rsid w:val="00B234F6"/>
    <w:rsid w:val="00B246B4"/>
    <w:rsid w:val="00B2618C"/>
    <w:rsid w:val="00B31236"/>
    <w:rsid w:val="00B40A55"/>
    <w:rsid w:val="00B42B30"/>
    <w:rsid w:val="00B43D96"/>
    <w:rsid w:val="00B458F6"/>
    <w:rsid w:val="00B52BCA"/>
    <w:rsid w:val="00B54DD5"/>
    <w:rsid w:val="00B577AF"/>
    <w:rsid w:val="00B61545"/>
    <w:rsid w:val="00B6636E"/>
    <w:rsid w:val="00B66EB7"/>
    <w:rsid w:val="00B70810"/>
    <w:rsid w:val="00B73FA8"/>
    <w:rsid w:val="00B73FD1"/>
    <w:rsid w:val="00B7425B"/>
    <w:rsid w:val="00B74973"/>
    <w:rsid w:val="00B7578E"/>
    <w:rsid w:val="00B84F46"/>
    <w:rsid w:val="00BA4DF9"/>
    <w:rsid w:val="00BA67FA"/>
    <w:rsid w:val="00BA6E02"/>
    <w:rsid w:val="00BB2462"/>
    <w:rsid w:val="00BC2471"/>
    <w:rsid w:val="00BC3936"/>
    <w:rsid w:val="00BD2C78"/>
    <w:rsid w:val="00BD6119"/>
    <w:rsid w:val="00BE482C"/>
    <w:rsid w:val="00BF69D2"/>
    <w:rsid w:val="00C00A1D"/>
    <w:rsid w:val="00C07B5F"/>
    <w:rsid w:val="00C10D6E"/>
    <w:rsid w:val="00C12BED"/>
    <w:rsid w:val="00C162CD"/>
    <w:rsid w:val="00C17B65"/>
    <w:rsid w:val="00C234D8"/>
    <w:rsid w:val="00C23DDD"/>
    <w:rsid w:val="00C26DE6"/>
    <w:rsid w:val="00C34154"/>
    <w:rsid w:val="00C35851"/>
    <w:rsid w:val="00C4132D"/>
    <w:rsid w:val="00C5224D"/>
    <w:rsid w:val="00C541B3"/>
    <w:rsid w:val="00C6141D"/>
    <w:rsid w:val="00C64254"/>
    <w:rsid w:val="00C707EA"/>
    <w:rsid w:val="00C73CD7"/>
    <w:rsid w:val="00C74811"/>
    <w:rsid w:val="00C772EF"/>
    <w:rsid w:val="00C805F6"/>
    <w:rsid w:val="00C82CCE"/>
    <w:rsid w:val="00C927FF"/>
    <w:rsid w:val="00CA4C88"/>
    <w:rsid w:val="00CA65D2"/>
    <w:rsid w:val="00CB1C6E"/>
    <w:rsid w:val="00CC4022"/>
    <w:rsid w:val="00CC5BEF"/>
    <w:rsid w:val="00CC795D"/>
    <w:rsid w:val="00CD0D86"/>
    <w:rsid w:val="00CD5DC4"/>
    <w:rsid w:val="00CE6A0E"/>
    <w:rsid w:val="00CF087D"/>
    <w:rsid w:val="00CF3BAA"/>
    <w:rsid w:val="00CF4DD1"/>
    <w:rsid w:val="00CF759D"/>
    <w:rsid w:val="00D00DDC"/>
    <w:rsid w:val="00D02F61"/>
    <w:rsid w:val="00D1125E"/>
    <w:rsid w:val="00D115F7"/>
    <w:rsid w:val="00D1750C"/>
    <w:rsid w:val="00D230B7"/>
    <w:rsid w:val="00D32E5B"/>
    <w:rsid w:val="00D34495"/>
    <w:rsid w:val="00D3608E"/>
    <w:rsid w:val="00D36635"/>
    <w:rsid w:val="00D4635B"/>
    <w:rsid w:val="00D5082F"/>
    <w:rsid w:val="00D526D8"/>
    <w:rsid w:val="00D573E8"/>
    <w:rsid w:val="00D6455C"/>
    <w:rsid w:val="00D67524"/>
    <w:rsid w:val="00D70178"/>
    <w:rsid w:val="00D73B7E"/>
    <w:rsid w:val="00D83BB4"/>
    <w:rsid w:val="00D84C7E"/>
    <w:rsid w:val="00D85BF6"/>
    <w:rsid w:val="00D963DD"/>
    <w:rsid w:val="00D968C8"/>
    <w:rsid w:val="00DA10AB"/>
    <w:rsid w:val="00DA37BE"/>
    <w:rsid w:val="00DA5FC2"/>
    <w:rsid w:val="00DB415F"/>
    <w:rsid w:val="00DB5055"/>
    <w:rsid w:val="00DB5616"/>
    <w:rsid w:val="00DC0CA6"/>
    <w:rsid w:val="00DD4909"/>
    <w:rsid w:val="00DE5C84"/>
    <w:rsid w:val="00DF6FA6"/>
    <w:rsid w:val="00E00CC2"/>
    <w:rsid w:val="00E10D40"/>
    <w:rsid w:val="00E15347"/>
    <w:rsid w:val="00E15CF0"/>
    <w:rsid w:val="00E22392"/>
    <w:rsid w:val="00E30296"/>
    <w:rsid w:val="00E30F3A"/>
    <w:rsid w:val="00E32B0A"/>
    <w:rsid w:val="00E33B69"/>
    <w:rsid w:val="00E37840"/>
    <w:rsid w:val="00E4367D"/>
    <w:rsid w:val="00E47D6F"/>
    <w:rsid w:val="00E56372"/>
    <w:rsid w:val="00E60057"/>
    <w:rsid w:val="00E669F7"/>
    <w:rsid w:val="00E679E8"/>
    <w:rsid w:val="00E73F13"/>
    <w:rsid w:val="00E84288"/>
    <w:rsid w:val="00E874F3"/>
    <w:rsid w:val="00E9402C"/>
    <w:rsid w:val="00E97A8F"/>
    <w:rsid w:val="00EA64C5"/>
    <w:rsid w:val="00EA6B3E"/>
    <w:rsid w:val="00EB30F6"/>
    <w:rsid w:val="00EB4838"/>
    <w:rsid w:val="00EB4CDE"/>
    <w:rsid w:val="00EC123F"/>
    <w:rsid w:val="00EC3E83"/>
    <w:rsid w:val="00EE0A7C"/>
    <w:rsid w:val="00EE4735"/>
    <w:rsid w:val="00EE5BA8"/>
    <w:rsid w:val="00EE6765"/>
    <w:rsid w:val="00EF0526"/>
    <w:rsid w:val="00EF0B0D"/>
    <w:rsid w:val="00F006B5"/>
    <w:rsid w:val="00F01E57"/>
    <w:rsid w:val="00F068F3"/>
    <w:rsid w:val="00F0718E"/>
    <w:rsid w:val="00F07C8F"/>
    <w:rsid w:val="00F126D4"/>
    <w:rsid w:val="00F14740"/>
    <w:rsid w:val="00F161EC"/>
    <w:rsid w:val="00F449F0"/>
    <w:rsid w:val="00F44EA7"/>
    <w:rsid w:val="00F45E3E"/>
    <w:rsid w:val="00F47B64"/>
    <w:rsid w:val="00F611C6"/>
    <w:rsid w:val="00F62027"/>
    <w:rsid w:val="00F67CFE"/>
    <w:rsid w:val="00F709DC"/>
    <w:rsid w:val="00F80A14"/>
    <w:rsid w:val="00F80D28"/>
    <w:rsid w:val="00F83670"/>
    <w:rsid w:val="00F927D4"/>
    <w:rsid w:val="00FA2302"/>
    <w:rsid w:val="00FA31FA"/>
    <w:rsid w:val="00FA61F7"/>
    <w:rsid w:val="00FB1650"/>
    <w:rsid w:val="00FB32FB"/>
    <w:rsid w:val="00FB365F"/>
    <w:rsid w:val="00FB41B6"/>
    <w:rsid w:val="00FB4FE4"/>
    <w:rsid w:val="00FC0B84"/>
    <w:rsid w:val="00FC1DDB"/>
    <w:rsid w:val="00FC29CB"/>
    <w:rsid w:val="00FC79AB"/>
    <w:rsid w:val="00FD41D3"/>
    <w:rsid w:val="00FD659F"/>
    <w:rsid w:val="00FE6E4C"/>
    <w:rsid w:val="00FF3CEE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033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styleId="NormalWeb">
    <w:name w:val="Normal (Web)"/>
    <w:basedOn w:val="Normal"/>
    <w:uiPriority w:val="99"/>
    <w:unhideWhenUsed/>
    <w:rsid w:val="006553C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53C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F4DD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1C444E"/>
  </w:style>
  <w:style w:type="character" w:customStyle="1" w:styleId="FootnoteTextChar">
    <w:name w:val="Footnote Text Char"/>
    <w:basedOn w:val="DefaultParagraphFont"/>
    <w:link w:val="FootnoteText"/>
    <w:semiHidden/>
    <w:rsid w:val="001C4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ep.org/about-un-environment/inc-plastic-pollution" TargetMode="External"/><Relationship Id="rId2" Type="http://schemas.openxmlformats.org/officeDocument/2006/relationships/hyperlink" Target="https://www.ohchr.org/en/hr-bodies/hrc/pms-cs/igwg-index1" TargetMode="External"/><Relationship Id="rId1" Type="http://schemas.openxmlformats.org/officeDocument/2006/relationships/hyperlink" Target="https://www.ohchr.org/en/hr-bodies/hrc/wg-trans-corp/igwg-on-tnc" TargetMode="External"/><Relationship Id="rId4" Type="http://schemas.openxmlformats.org/officeDocument/2006/relationships/hyperlink" Target="https://unfccc.int/process-and-meetings/conferences/sharm-el-sheikh-climate-change-conference-november-2022/five-key-takeaways-from-cop2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2" ma:contentTypeDescription="Create a new document." ma:contentTypeScope="" ma:versionID="b03a9ca0f58b7180e5670647e9f3ac12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248b4766c80033b2846011ec563a1e4a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92cb1-67bb-4ce5-82db-0b25b399d117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F0C2-D18C-49F1-A649-962337CD8FFD}"/>
</file>

<file path=customXml/itemProps2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61197-64E8-4CDB-94D4-B18B6C19301B}">
  <ds:schemaRefs>
    <ds:schemaRef ds:uri="http://schemas.microsoft.com/office/2006/metadata/properties"/>
    <ds:schemaRef ds:uri="http://schemas.microsoft.com/office/infopath/2007/PartnerControls"/>
    <ds:schemaRef ds:uri="89040124-3724-453e-9e0f-d53a96d17322"/>
  </ds:schemaRefs>
</ds:datastoreItem>
</file>

<file path=customXml/itemProps4.xml><?xml version="1.0" encoding="utf-8"?>
<ds:datastoreItem xmlns:ds="http://schemas.openxmlformats.org/officeDocument/2006/customXml" ds:itemID="{40728C65-0B5E-4DB2-B336-F98B69D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2023-05-12T11:16:00Z</dcterms:created>
  <dcterms:modified xsi:type="dcterms:W3CDTF">2023-05-12T11:19:00Z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0x010100D3257166D5221D45AC4BE86DE2E261D0</vt:lpwstr>
  </property>
</Properties>
</file>