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C632" w14:textId="443FCB77" w:rsidR="00C31385" w:rsidRDefault="00C31385" w:rsidP="00C31385">
      <w:pPr>
        <w:pStyle w:val="Heading1"/>
        <w:spacing w:before="0"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UNITED NATIONS </w:t>
      </w:r>
      <w:r w:rsidRPr="00C31385">
        <w:rPr>
          <w:rFonts w:ascii="Times New Roman" w:hAnsi="Times New Roman" w:cs="Times New Roman"/>
          <w:b/>
          <w:sz w:val="22"/>
          <w:szCs w:val="22"/>
        </w:rPr>
        <w:t>EXPERT MECHANISM ON THE RIGHTS OF INDIGENOUS PEOPLES</w:t>
      </w:r>
    </w:p>
    <w:p w14:paraId="5E6D75EF" w14:textId="28524CA2" w:rsidR="0085217A" w:rsidRDefault="0085217A" w:rsidP="0085217A"/>
    <w:p w14:paraId="7852B186" w14:textId="77777777" w:rsidR="0085217A" w:rsidRPr="0085217A" w:rsidRDefault="0085217A" w:rsidP="0085217A"/>
    <w:p w14:paraId="43512417" w14:textId="1AE26571" w:rsidR="00C31385" w:rsidRPr="00C31385" w:rsidRDefault="00C31385" w:rsidP="00C31385">
      <w:pPr>
        <w:jc w:val="center"/>
        <w:rPr>
          <w:b/>
        </w:rPr>
      </w:pPr>
    </w:p>
    <w:p w14:paraId="2C39F88F" w14:textId="349054AB" w:rsidR="005D17DC" w:rsidRDefault="00C31385" w:rsidP="00C31385">
      <w:pPr>
        <w:jc w:val="center"/>
        <w:rPr>
          <w:b/>
          <w:color w:val="000000" w:themeColor="text1"/>
        </w:rPr>
      </w:pPr>
      <w:r w:rsidRPr="00C31385">
        <w:rPr>
          <w:b/>
        </w:rPr>
        <w:t xml:space="preserve">Written submission on the </w:t>
      </w:r>
      <w:r w:rsidR="000447EA" w:rsidRPr="00C31385">
        <w:rPr>
          <w:b/>
          <w:color w:val="000000" w:themeColor="text1"/>
        </w:rPr>
        <w:t>Draft Convention on the Right to Development</w:t>
      </w:r>
    </w:p>
    <w:p w14:paraId="200CE396" w14:textId="2983C590" w:rsidR="00C31385" w:rsidRDefault="00C31385" w:rsidP="00C31385">
      <w:pPr>
        <w:jc w:val="center"/>
        <w:rPr>
          <w:b/>
          <w:color w:val="000000" w:themeColor="text1"/>
        </w:rPr>
      </w:pPr>
    </w:p>
    <w:p w14:paraId="3F3EF782" w14:textId="6DAA1A07" w:rsidR="00C31385" w:rsidRDefault="00C31385" w:rsidP="00C31385">
      <w:pPr>
        <w:jc w:val="center"/>
        <w:rPr>
          <w:b/>
          <w:color w:val="000000" w:themeColor="text1"/>
        </w:rPr>
      </w:pPr>
    </w:p>
    <w:p w14:paraId="31B57CA6" w14:textId="7E5580A1" w:rsidR="00C31385" w:rsidRDefault="00C31385" w:rsidP="00C31385">
      <w:pPr>
        <w:jc w:val="center"/>
        <w:rPr>
          <w:b/>
          <w:color w:val="000000" w:themeColor="text1"/>
        </w:rPr>
      </w:pPr>
      <w:r>
        <w:rPr>
          <w:b/>
          <w:color w:val="000000" w:themeColor="text1"/>
        </w:rPr>
        <w:t>17 May 2023</w:t>
      </w:r>
    </w:p>
    <w:p w14:paraId="43D50DE4" w14:textId="77777777" w:rsidR="0085217A" w:rsidRPr="00C31385" w:rsidRDefault="0085217A" w:rsidP="00C31385">
      <w:pPr>
        <w:jc w:val="center"/>
        <w:rPr>
          <w:b/>
        </w:rPr>
      </w:pPr>
    </w:p>
    <w:p w14:paraId="655DC1FF" w14:textId="77777777" w:rsidR="00AD4094" w:rsidRPr="00C31385" w:rsidRDefault="00AD4094" w:rsidP="00C31385">
      <w:pPr>
        <w:spacing w:line="360" w:lineRule="auto"/>
        <w:jc w:val="center"/>
        <w:rPr>
          <w:b/>
        </w:rPr>
      </w:pPr>
    </w:p>
    <w:p w14:paraId="622B640E" w14:textId="58E84441" w:rsidR="00AD4094" w:rsidRPr="00AD4094" w:rsidRDefault="00AD4094" w:rsidP="00A51EFC">
      <w:pPr>
        <w:spacing w:line="360" w:lineRule="auto"/>
        <w:ind w:firstLine="360"/>
        <w:rPr>
          <w:b/>
          <w:bCs/>
        </w:rPr>
      </w:pPr>
      <w:r w:rsidRPr="00AD4094">
        <w:rPr>
          <w:b/>
          <w:bCs/>
        </w:rPr>
        <w:t>Introduction</w:t>
      </w:r>
    </w:p>
    <w:p w14:paraId="593B5335" w14:textId="428D0845" w:rsidR="00AD4094" w:rsidRDefault="005D17DC" w:rsidP="005B74D1">
      <w:pPr>
        <w:pStyle w:val="ListParagraph"/>
        <w:numPr>
          <w:ilvl w:val="0"/>
          <w:numId w:val="14"/>
        </w:numPr>
        <w:spacing w:line="360" w:lineRule="auto"/>
        <w:jc w:val="both"/>
        <w:rPr>
          <w:rFonts w:cstheme="minorHAnsi"/>
        </w:rPr>
      </w:pPr>
      <w:r w:rsidRPr="005B74D1">
        <w:rPr>
          <w:rFonts w:cstheme="minorHAnsi"/>
        </w:rPr>
        <w:t xml:space="preserve">In response to </w:t>
      </w:r>
      <w:r w:rsidR="00222CC6" w:rsidRPr="005B74D1">
        <w:rPr>
          <w:rFonts w:cstheme="minorHAnsi"/>
        </w:rPr>
        <w:t xml:space="preserve">the request </w:t>
      </w:r>
      <w:r w:rsidR="00AD4094" w:rsidRPr="005B74D1">
        <w:rPr>
          <w:rFonts w:cstheme="minorHAnsi"/>
        </w:rPr>
        <w:t>from</w:t>
      </w:r>
      <w:r w:rsidR="00222CC6" w:rsidRPr="005B74D1">
        <w:rPr>
          <w:rFonts w:cstheme="minorHAnsi"/>
        </w:rPr>
        <w:t xml:space="preserve"> the Chair-Rapporteur of the Intergovernmental Working Group on the Right to Development, t</w:t>
      </w:r>
      <w:r w:rsidR="002140C1" w:rsidRPr="005B74D1">
        <w:rPr>
          <w:rFonts w:cstheme="minorHAnsi"/>
        </w:rPr>
        <w:t xml:space="preserve">he intention of this </w:t>
      </w:r>
      <w:r w:rsidR="00FD2D2A" w:rsidRPr="005B74D1">
        <w:rPr>
          <w:rFonts w:cstheme="minorHAnsi"/>
        </w:rPr>
        <w:t xml:space="preserve">short </w:t>
      </w:r>
      <w:r w:rsidR="002140C1" w:rsidRPr="005B74D1">
        <w:rPr>
          <w:rFonts w:cstheme="minorHAnsi"/>
        </w:rPr>
        <w:t xml:space="preserve">note is to </w:t>
      </w:r>
      <w:r w:rsidR="00222CC6" w:rsidRPr="005B74D1">
        <w:rPr>
          <w:rFonts w:cstheme="minorHAnsi"/>
        </w:rPr>
        <w:t xml:space="preserve">provide comments </w:t>
      </w:r>
      <w:r w:rsidR="005B74D1">
        <w:rPr>
          <w:rFonts w:cstheme="minorHAnsi"/>
        </w:rPr>
        <w:t xml:space="preserve">on </w:t>
      </w:r>
      <w:r w:rsidR="005B74D1" w:rsidRPr="00AD4094">
        <w:rPr>
          <w:rFonts w:cstheme="minorHAnsi"/>
        </w:rPr>
        <w:t xml:space="preserve">how it impacts and/or recognises, if at all, the right of </w:t>
      </w:r>
      <w:r w:rsidR="00081C7D">
        <w:rPr>
          <w:rFonts w:cstheme="minorHAnsi"/>
        </w:rPr>
        <w:t>Indigenous Peoples</w:t>
      </w:r>
      <w:r w:rsidR="005B74D1" w:rsidRPr="00AD4094">
        <w:rPr>
          <w:rFonts w:cstheme="minorHAnsi"/>
        </w:rPr>
        <w:t xml:space="preserve"> to development</w:t>
      </w:r>
      <w:r w:rsidR="005B74D1">
        <w:rPr>
          <w:rFonts w:cstheme="minorHAnsi"/>
        </w:rPr>
        <w:t xml:space="preserve"> </w:t>
      </w:r>
      <w:r w:rsidR="00222CC6" w:rsidRPr="005B74D1">
        <w:rPr>
          <w:rFonts w:cstheme="minorHAnsi"/>
        </w:rPr>
        <w:t>and textual suggestions</w:t>
      </w:r>
      <w:r w:rsidR="008218E4" w:rsidRPr="005B74D1">
        <w:rPr>
          <w:rFonts w:cstheme="minorHAnsi"/>
        </w:rPr>
        <w:t xml:space="preserve"> </w:t>
      </w:r>
      <w:r w:rsidR="00222CC6" w:rsidRPr="005B74D1">
        <w:rPr>
          <w:rFonts w:cstheme="minorHAnsi"/>
        </w:rPr>
        <w:t xml:space="preserve">on the revised </w:t>
      </w:r>
      <w:r w:rsidR="002140C1" w:rsidRPr="005B74D1">
        <w:rPr>
          <w:rFonts w:cstheme="minorHAnsi"/>
        </w:rPr>
        <w:t>draft Convention on the Right to Development</w:t>
      </w:r>
      <w:r w:rsidR="005B74D1">
        <w:rPr>
          <w:rFonts w:cstheme="minorHAnsi"/>
        </w:rPr>
        <w:t>.</w:t>
      </w:r>
    </w:p>
    <w:p w14:paraId="6F3D4E51" w14:textId="77777777" w:rsidR="005B74D1" w:rsidRPr="005B74D1" w:rsidRDefault="005B74D1" w:rsidP="005B74D1">
      <w:pPr>
        <w:pStyle w:val="ListParagraph"/>
        <w:spacing w:line="360" w:lineRule="auto"/>
        <w:jc w:val="both"/>
        <w:rPr>
          <w:rFonts w:cstheme="minorHAnsi"/>
        </w:rPr>
      </w:pPr>
    </w:p>
    <w:p w14:paraId="48E8839D" w14:textId="77777777" w:rsidR="0085217A" w:rsidRDefault="002140C1" w:rsidP="0085217A">
      <w:pPr>
        <w:pStyle w:val="ListParagraph"/>
        <w:numPr>
          <w:ilvl w:val="0"/>
          <w:numId w:val="14"/>
        </w:numPr>
        <w:spacing w:line="360" w:lineRule="auto"/>
        <w:jc w:val="both"/>
        <w:rPr>
          <w:rFonts w:cstheme="minorHAnsi"/>
        </w:rPr>
      </w:pPr>
      <w:r w:rsidRPr="00916EC3">
        <w:rPr>
          <w:rFonts w:cstheme="minorHAnsi"/>
        </w:rPr>
        <w:t xml:space="preserve">The first part of this note will </w:t>
      </w:r>
      <w:r w:rsidR="00AD4094" w:rsidRPr="00916EC3">
        <w:rPr>
          <w:rFonts w:cstheme="minorHAnsi"/>
        </w:rPr>
        <w:t xml:space="preserve">review some relevant context to </w:t>
      </w:r>
      <w:r w:rsidR="00DE4389" w:rsidRPr="00916EC3">
        <w:rPr>
          <w:rFonts w:cstheme="minorHAnsi"/>
        </w:rPr>
        <w:t>the R</w:t>
      </w:r>
      <w:r w:rsidRPr="00916EC3">
        <w:rPr>
          <w:rFonts w:cstheme="minorHAnsi"/>
        </w:rPr>
        <w:t xml:space="preserve">ight to </w:t>
      </w:r>
      <w:r w:rsidR="00DE4389" w:rsidRPr="00916EC3">
        <w:rPr>
          <w:rFonts w:cstheme="minorHAnsi"/>
        </w:rPr>
        <w:t>D</w:t>
      </w:r>
      <w:r w:rsidRPr="00916EC3">
        <w:rPr>
          <w:rFonts w:cstheme="minorHAnsi"/>
        </w:rPr>
        <w:t>evelopm</w:t>
      </w:r>
      <w:r w:rsidR="008860D6" w:rsidRPr="00916EC3">
        <w:rPr>
          <w:rFonts w:cstheme="minorHAnsi"/>
        </w:rPr>
        <w:t xml:space="preserve">ent </w:t>
      </w:r>
      <w:r w:rsidR="00AD4094" w:rsidRPr="00916EC3">
        <w:rPr>
          <w:rFonts w:cstheme="minorHAnsi"/>
        </w:rPr>
        <w:t xml:space="preserve">within </w:t>
      </w:r>
      <w:r w:rsidR="00DE4389" w:rsidRPr="00916EC3">
        <w:rPr>
          <w:rFonts w:cstheme="minorHAnsi"/>
        </w:rPr>
        <w:t>existing human rights frameworks,</w:t>
      </w:r>
      <w:r w:rsidR="00552116">
        <w:rPr>
          <w:rFonts w:cstheme="minorHAnsi"/>
        </w:rPr>
        <w:t xml:space="preserve"> including how the </w:t>
      </w:r>
      <w:r w:rsidR="00773B41">
        <w:rPr>
          <w:rFonts w:cstheme="minorHAnsi"/>
        </w:rPr>
        <w:t>R</w:t>
      </w:r>
      <w:r w:rsidR="00552116">
        <w:rPr>
          <w:rFonts w:cstheme="minorHAnsi"/>
        </w:rPr>
        <w:t xml:space="preserve">ight to </w:t>
      </w:r>
      <w:r w:rsidR="00773B41">
        <w:rPr>
          <w:rFonts w:cstheme="minorHAnsi"/>
        </w:rPr>
        <w:t>D</w:t>
      </w:r>
      <w:r w:rsidR="00552116">
        <w:rPr>
          <w:rFonts w:cstheme="minorHAnsi"/>
        </w:rPr>
        <w:t xml:space="preserve">evelopment is recognised by the </w:t>
      </w:r>
      <w:r w:rsidRPr="00916EC3">
        <w:rPr>
          <w:rFonts w:cstheme="minorHAnsi"/>
        </w:rPr>
        <w:t>United Natio</w:t>
      </w:r>
      <w:r w:rsidR="008860D6" w:rsidRPr="00916EC3">
        <w:rPr>
          <w:rFonts w:cstheme="minorHAnsi"/>
        </w:rPr>
        <w:t xml:space="preserve">ns Declaration on the Rights of </w:t>
      </w:r>
      <w:r w:rsidR="00081C7D">
        <w:rPr>
          <w:rFonts w:cstheme="minorHAnsi"/>
        </w:rPr>
        <w:t>Indigenous Peoples</w:t>
      </w:r>
      <w:r w:rsidR="008860D6" w:rsidRPr="00916EC3">
        <w:rPr>
          <w:rFonts w:cstheme="minorHAnsi"/>
        </w:rPr>
        <w:t xml:space="preserve"> </w:t>
      </w:r>
      <w:r w:rsidR="00DE4389" w:rsidRPr="00916EC3">
        <w:rPr>
          <w:rFonts w:cstheme="minorHAnsi"/>
        </w:rPr>
        <w:t xml:space="preserve">(UNDRIP), </w:t>
      </w:r>
      <w:r w:rsidR="008860D6" w:rsidRPr="00916EC3">
        <w:rPr>
          <w:rFonts w:cstheme="minorHAnsi"/>
        </w:rPr>
        <w:t xml:space="preserve">before </w:t>
      </w:r>
      <w:r w:rsidR="00552116">
        <w:rPr>
          <w:rFonts w:cstheme="minorHAnsi"/>
        </w:rPr>
        <w:t>examining</w:t>
      </w:r>
      <w:r w:rsidR="004A2EF1">
        <w:rPr>
          <w:rFonts w:cstheme="minorHAnsi"/>
        </w:rPr>
        <w:t>,</w:t>
      </w:r>
      <w:r w:rsidR="008860D6" w:rsidRPr="00916EC3">
        <w:rPr>
          <w:rFonts w:cstheme="minorHAnsi"/>
        </w:rPr>
        <w:t xml:space="preserve"> </w:t>
      </w:r>
      <w:r w:rsidR="00916EC3" w:rsidRPr="00916EC3">
        <w:rPr>
          <w:rFonts w:cstheme="minorHAnsi"/>
        </w:rPr>
        <w:t>in Part Two</w:t>
      </w:r>
      <w:r w:rsidR="004A2EF1">
        <w:rPr>
          <w:rFonts w:cstheme="minorHAnsi"/>
        </w:rPr>
        <w:t>,</w:t>
      </w:r>
      <w:r w:rsidR="00D043F9">
        <w:rPr>
          <w:rFonts w:cstheme="minorHAnsi"/>
        </w:rPr>
        <w:t xml:space="preserve"> how</w:t>
      </w:r>
      <w:r w:rsidR="00916EC3" w:rsidRPr="00916EC3">
        <w:rPr>
          <w:rFonts w:cstheme="minorHAnsi"/>
        </w:rPr>
        <w:t xml:space="preserve"> </w:t>
      </w:r>
      <w:r w:rsidR="00552116">
        <w:rPr>
          <w:rFonts w:cstheme="minorHAnsi"/>
        </w:rPr>
        <w:t xml:space="preserve">the revised </w:t>
      </w:r>
      <w:r w:rsidR="00552116" w:rsidRPr="00916EC3">
        <w:rPr>
          <w:rFonts w:cstheme="minorHAnsi"/>
        </w:rPr>
        <w:t>draft Convention on the Right to Development</w:t>
      </w:r>
      <w:r w:rsidR="00D043F9">
        <w:rPr>
          <w:rFonts w:cstheme="minorHAnsi"/>
        </w:rPr>
        <w:t xml:space="preserve"> includes an Indigenous right to development</w:t>
      </w:r>
      <w:r w:rsidR="00552116">
        <w:rPr>
          <w:rFonts w:cstheme="minorHAnsi"/>
        </w:rPr>
        <w:t xml:space="preserve">, </w:t>
      </w:r>
      <w:r w:rsidR="008860D6" w:rsidRPr="00916EC3">
        <w:rPr>
          <w:rFonts w:cstheme="minorHAnsi"/>
        </w:rPr>
        <w:t>the gaps between the UN</w:t>
      </w:r>
      <w:r w:rsidR="004A2EF1">
        <w:rPr>
          <w:rFonts w:cstheme="minorHAnsi"/>
        </w:rPr>
        <w:t xml:space="preserve"> </w:t>
      </w:r>
      <w:r w:rsidR="008860D6" w:rsidRPr="00916EC3">
        <w:rPr>
          <w:rFonts w:cstheme="minorHAnsi"/>
        </w:rPr>
        <w:t>D</w:t>
      </w:r>
      <w:r w:rsidR="004A2EF1">
        <w:rPr>
          <w:rFonts w:cstheme="minorHAnsi"/>
        </w:rPr>
        <w:t xml:space="preserve">eclaration on the </w:t>
      </w:r>
      <w:r w:rsidR="008860D6" w:rsidRPr="00916EC3">
        <w:rPr>
          <w:rFonts w:cstheme="minorHAnsi"/>
        </w:rPr>
        <w:t>R</w:t>
      </w:r>
      <w:r w:rsidR="004A2EF1">
        <w:rPr>
          <w:rFonts w:cstheme="minorHAnsi"/>
        </w:rPr>
        <w:t xml:space="preserve">ights of </w:t>
      </w:r>
      <w:r w:rsidR="00081C7D">
        <w:rPr>
          <w:rFonts w:cstheme="minorHAnsi"/>
        </w:rPr>
        <w:t>Indigenous Peoples</w:t>
      </w:r>
      <w:r w:rsidR="008860D6" w:rsidRPr="00916EC3">
        <w:rPr>
          <w:rFonts w:cstheme="minorHAnsi"/>
        </w:rPr>
        <w:t xml:space="preserve"> and the </w:t>
      </w:r>
      <w:r w:rsidR="004A2EF1">
        <w:rPr>
          <w:rFonts w:cstheme="minorHAnsi"/>
        </w:rPr>
        <w:t xml:space="preserve">revised </w:t>
      </w:r>
      <w:r w:rsidR="008860D6" w:rsidRPr="00916EC3">
        <w:rPr>
          <w:rFonts w:cstheme="minorHAnsi"/>
        </w:rPr>
        <w:t>draft Convention on the Right to Development</w:t>
      </w:r>
      <w:r w:rsidR="009478A2" w:rsidRPr="00916EC3">
        <w:rPr>
          <w:rFonts w:cstheme="minorHAnsi"/>
        </w:rPr>
        <w:t xml:space="preserve">, </w:t>
      </w:r>
      <w:r w:rsidR="00D043F9">
        <w:rPr>
          <w:rFonts w:cstheme="minorHAnsi"/>
        </w:rPr>
        <w:t>followed by</w:t>
      </w:r>
      <w:r w:rsidR="00916EC3" w:rsidRPr="00916EC3">
        <w:rPr>
          <w:rFonts w:cstheme="minorHAnsi"/>
        </w:rPr>
        <w:t xml:space="preserve"> some recommen</w:t>
      </w:r>
      <w:r w:rsidR="00916EC3">
        <w:rPr>
          <w:rFonts w:cstheme="minorHAnsi"/>
        </w:rPr>
        <w:t>d</w:t>
      </w:r>
      <w:r w:rsidR="00916EC3" w:rsidRPr="00916EC3">
        <w:rPr>
          <w:rFonts w:cstheme="minorHAnsi"/>
        </w:rPr>
        <w:t xml:space="preserve">ations in Part Three. </w:t>
      </w:r>
    </w:p>
    <w:p w14:paraId="1B0DEA51" w14:textId="77777777" w:rsidR="0085217A" w:rsidRDefault="0085217A" w:rsidP="0085217A">
      <w:pPr>
        <w:pStyle w:val="ListParagraph"/>
      </w:pPr>
    </w:p>
    <w:p w14:paraId="540F3535" w14:textId="0E50DFF1" w:rsidR="00916EC3" w:rsidRPr="0085217A" w:rsidRDefault="0085217A" w:rsidP="0085217A">
      <w:pPr>
        <w:pStyle w:val="ListParagraph"/>
        <w:numPr>
          <w:ilvl w:val="0"/>
          <w:numId w:val="14"/>
        </w:numPr>
        <w:spacing w:line="360" w:lineRule="auto"/>
        <w:jc w:val="both"/>
        <w:rPr>
          <w:rFonts w:cstheme="minorHAnsi"/>
        </w:rPr>
      </w:pPr>
      <w:r>
        <w:t>As an overall comment, i</w:t>
      </w:r>
      <w:r>
        <w:t>n the exercise of development by others, clear language</w:t>
      </w:r>
      <w:r>
        <w:t xml:space="preserve"> should be included</w:t>
      </w:r>
      <w:r>
        <w:t xml:space="preserve"> regarding respect for and recognition of the interrelated rights of Indigenous peoples as well as equity and </w:t>
      </w:r>
      <w:r w:rsidRPr="0085217A">
        <w:t>sustainable and equitable development, meaning</w:t>
      </w:r>
      <w:r>
        <w:t xml:space="preserve"> that Indigenous peoples in the context of development overall, must gain equitably from such actions, etc.</w:t>
      </w:r>
    </w:p>
    <w:p w14:paraId="4FABE7CF" w14:textId="77777777" w:rsidR="0085217A" w:rsidRPr="0085217A" w:rsidRDefault="0085217A" w:rsidP="0085217A">
      <w:pPr>
        <w:spacing w:line="360" w:lineRule="auto"/>
        <w:jc w:val="both"/>
        <w:rPr>
          <w:rFonts w:cstheme="minorHAnsi"/>
        </w:rPr>
      </w:pPr>
    </w:p>
    <w:p w14:paraId="756B0AC3" w14:textId="691F7028" w:rsidR="00916EC3" w:rsidRDefault="00C61215" w:rsidP="0085217A">
      <w:pPr>
        <w:spacing w:line="360" w:lineRule="auto"/>
        <w:ind w:firstLine="360"/>
        <w:jc w:val="both"/>
        <w:rPr>
          <w:rFonts w:cstheme="minorHAnsi"/>
          <w:b/>
          <w:bCs/>
        </w:rPr>
      </w:pPr>
      <w:r w:rsidRPr="00C61215">
        <w:rPr>
          <w:rFonts w:cstheme="minorHAnsi"/>
          <w:b/>
          <w:bCs/>
        </w:rPr>
        <w:t>Part One</w:t>
      </w:r>
      <w:r w:rsidR="00D248D7">
        <w:rPr>
          <w:rFonts w:cstheme="minorHAnsi"/>
          <w:b/>
          <w:bCs/>
        </w:rPr>
        <w:t xml:space="preserve">: </w:t>
      </w:r>
      <w:r w:rsidR="00AD4094" w:rsidRPr="00AD4094">
        <w:rPr>
          <w:rFonts w:cstheme="minorHAnsi"/>
          <w:b/>
          <w:bCs/>
        </w:rPr>
        <w:t xml:space="preserve">Context to the </w:t>
      </w:r>
      <w:r w:rsidR="00D248D7">
        <w:rPr>
          <w:rFonts w:cstheme="minorHAnsi"/>
          <w:b/>
          <w:bCs/>
        </w:rPr>
        <w:t xml:space="preserve">revised </w:t>
      </w:r>
      <w:r w:rsidR="00AD4094" w:rsidRPr="00AD4094">
        <w:rPr>
          <w:rFonts w:cstheme="minorHAnsi"/>
          <w:b/>
          <w:bCs/>
        </w:rPr>
        <w:t>Draft Convention on the Right to Development</w:t>
      </w:r>
    </w:p>
    <w:p w14:paraId="761E9541" w14:textId="77777777" w:rsidR="0085217A" w:rsidRPr="00AD4094" w:rsidRDefault="0085217A" w:rsidP="0085217A">
      <w:pPr>
        <w:spacing w:line="360" w:lineRule="auto"/>
        <w:ind w:firstLine="360"/>
        <w:jc w:val="both"/>
        <w:rPr>
          <w:rFonts w:cstheme="minorHAnsi"/>
          <w:b/>
          <w:bCs/>
        </w:rPr>
      </w:pPr>
    </w:p>
    <w:p w14:paraId="00DE7349" w14:textId="66A1F5E0" w:rsidR="00AD4094" w:rsidRDefault="008377DB" w:rsidP="00A74CD3">
      <w:pPr>
        <w:pStyle w:val="ListParagraph"/>
        <w:numPr>
          <w:ilvl w:val="0"/>
          <w:numId w:val="14"/>
        </w:numPr>
        <w:spacing w:line="360" w:lineRule="auto"/>
        <w:jc w:val="both"/>
      </w:pPr>
      <w:r w:rsidRPr="00DE4389">
        <w:t xml:space="preserve">The </w:t>
      </w:r>
      <w:r w:rsidR="006336D0">
        <w:t xml:space="preserve">revised </w:t>
      </w:r>
      <w:r w:rsidR="00436BD2">
        <w:t xml:space="preserve">draft </w:t>
      </w:r>
      <w:r w:rsidRPr="00DE4389">
        <w:t>Convention draws heavily on the Universal Declaration of Human Rights,</w:t>
      </w:r>
      <w:r w:rsidR="0077037D">
        <w:t xml:space="preserve"> the provisions of the UN Charter</w:t>
      </w:r>
      <w:r w:rsidR="00D91ABB">
        <w:t>,</w:t>
      </w:r>
      <w:r w:rsidR="0077037D">
        <w:t xml:space="preserve"> </w:t>
      </w:r>
      <w:r w:rsidR="005D17DC">
        <w:t xml:space="preserve">the </w:t>
      </w:r>
      <w:r w:rsidR="0097306C">
        <w:t>I</w:t>
      </w:r>
      <w:r w:rsidR="00AD4094">
        <w:t xml:space="preserve">nternational </w:t>
      </w:r>
      <w:r w:rsidR="005D17DC">
        <w:t>C</w:t>
      </w:r>
      <w:r w:rsidR="00AD4094">
        <w:t xml:space="preserve">onvention on </w:t>
      </w:r>
      <w:r w:rsidR="005D17DC">
        <w:t>C</w:t>
      </w:r>
      <w:r w:rsidR="00AD4094">
        <w:t xml:space="preserve">ivil and </w:t>
      </w:r>
      <w:r w:rsidR="005D17DC">
        <w:t>P</w:t>
      </w:r>
      <w:r w:rsidR="00AD4094">
        <w:t xml:space="preserve">olitical </w:t>
      </w:r>
      <w:r w:rsidR="005D17DC">
        <w:t>R</w:t>
      </w:r>
      <w:r w:rsidR="00AD4094">
        <w:t>ights</w:t>
      </w:r>
      <w:r w:rsidR="0084235F">
        <w:t xml:space="preserve"> (ICCPR)</w:t>
      </w:r>
      <w:r w:rsidR="0097306C">
        <w:t>, the</w:t>
      </w:r>
      <w:r w:rsidR="005D17DC">
        <w:t xml:space="preserve"> I</w:t>
      </w:r>
      <w:r w:rsidR="00AD4094">
        <w:t xml:space="preserve">nternational </w:t>
      </w:r>
      <w:r w:rsidR="005D17DC">
        <w:t>C</w:t>
      </w:r>
      <w:r w:rsidR="00AD4094">
        <w:t xml:space="preserve">ovenant on </w:t>
      </w:r>
      <w:r w:rsidR="005D17DC">
        <w:t>E</w:t>
      </w:r>
      <w:r w:rsidR="00AD4094">
        <w:t xml:space="preserve">conomic </w:t>
      </w:r>
      <w:r w:rsidR="005D17DC">
        <w:t>S</w:t>
      </w:r>
      <w:r w:rsidR="00AD4094">
        <w:t xml:space="preserve">ocial and </w:t>
      </w:r>
      <w:r w:rsidR="005D17DC">
        <w:t>C</w:t>
      </w:r>
      <w:r w:rsidR="00AD4094">
        <w:t xml:space="preserve">ultural </w:t>
      </w:r>
      <w:r w:rsidR="005D17DC">
        <w:t>R</w:t>
      </w:r>
      <w:r w:rsidR="00AD4094">
        <w:t>ights</w:t>
      </w:r>
      <w:r w:rsidR="0084235F">
        <w:t xml:space="preserve"> (ICESCR)</w:t>
      </w:r>
      <w:r w:rsidR="005D17DC">
        <w:t>,</w:t>
      </w:r>
      <w:r w:rsidRPr="00DE4389">
        <w:t xml:space="preserve"> and the 1986 UN Declaration on the Right to Development</w:t>
      </w:r>
      <w:r w:rsidR="00515B66">
        <w:t>.</w:t>
      </w:r>
      <w:r w:rsidR="00DE4389">
        <w:t xml:space="preserve"> </w:t>
      </w:r>
      <w:r w:rsidR="00EE3326">
        <w:t xml:space="preserve">Although the neither the ICCPR nor the ICESCR refers to a right to development, </w:t>
      </w:r>
      <w:r w:rsidR="00AA51F1">
        <w:t xml:space="preserve">many of the fundamental principles contribute to its understanding. </w:t>
      </w:r>
    </w:p>
    <w:p w14:paraId="62401948" w14:textId="77777777" w:rsidR="006336D0" w:rsidRDefault="006336D0" w:rsidP="006336D0">
      <w:pPr>
        <w:pStyle w:val="ListParagraph"/>
        <w:spacing w:line="360" w:lineRule="auto"/>
        <w:jc w:val="both"/>
      </w:pPr>
    </w:p>
    <w:p w14:paraId="41A3C04F" w14:textId="1FB67831" w:rsidR="008256E7" w:rsidRDefault="00D248D7" w:rsidP="00FD2D2A">
      <w:pPr>
        <w:pStyle w:val="ListParagraph"/>
        <w:numPr>
          <w:ilvl w:val="0"/>
          <w:numId w:val="14"/>
        </w:numPr>
        <w:spacing w:line="360" w:lineRule="auto"/>
        <w:jc w:val="both"/>
        <w:rPr>
          <w:rFonts w:cstheme="minorHAnsi"/>
        </w:rPr>
      </w:pPr>
      <w:r>
        <w:rPr>
          <w:rFonts w:cstheme="minorHAnsi"/>
        </w:rPr>
        <w:t>A</w:t>
      </w:r>
      <w:r w:rsidR="00332276" w:rsidRPr="00D248D7">
        <w:rPr>
          <w:rFonts w:cstheme="minorHAnsi"/>
        </w:rPr>
        <w:t>cademics</w:t>
      </w:r>
      <w:r w:rsidR="00332276" w:rsidRPr="00AD4094">
        <w:rPr>
          <w:rFonts w:cstheme="minorHAnsi"/>
        </w:rPr>
        <w:t xml:space="preserve"> have </w:t>
      </w:r>
      <w:r w:rsidR="008256E7">
        <w:rPr>
          <w:rFonts w:cstheme="minorHAnsi"/>
        </w:rPr>
        <w:t xml:space="preserve">noted that the </w:t>
      </w:r>
      <w:r w:rsidR="00773B41">
        <w:rPr>
          <w:rFonts w:cstheme="minorHAnsi"/>
        </w:rPr>
        <w:t>R</w:t>
      </w:r>
      <w:r w:rsidR="008256E7">
        <w:rPr>
          <w:rFonts w:cstheme="minorHAnsi"/>
        </w:rPr>
        <w:t xml:space="preserve">ight to </w:t>
      </w:r>
      <w:r w:rsidR="00773B41">
        <w:rPr>
          <w:rFonts w:cstheme="minorHAnsi"/>
        </w:rPr>
        <w:t>D</w:t>
      </w:r>
      <w:r w:rsidR="008256E7">
        <w:rPr>
          <w:rFonts w:cstheme="minorHAnsi"/>
        </w:rPr>
        <w:t xml:space="preserve">evelopment should address the economic imbalance between the developed and developing states and integrate human rights and </w:t>
      </w:r>
      <w:r w:rsidR="008256E7">
        <w:rPr>
          <w:rFonts w:cstheme="minorHAnsi"/>
        </w:rPr>
        <w:lastRenderedPageBreak/>
        <w:t>economic development issues.</w:t>
      </w:r>
      <w:r w:rsidR="008256E7">
        <w:rPr>
          <w:rStyle w:val="FootnoteReference"/>
          <w:rFonts w:cstheme="minorHAnsi"/>
        </w:rPr>
        <w:footnoteReference w:id="1"/>
      </w:r>
      <w:r w:rsidR="008256E7">
        <w:rPr>
          <w:rFonts w:cstheme="minorHAnsi"/>
        </w:rPr>
        <w:t xml:space="preserve"> However, Yash Ghai has claimed that any significance a right development may achieve merely ‘diverts the attention from the pressing issues of human dignity and freedom masking the true nature of human rights and provide</w:t>
      </w:r>
      <w:r w:rsidR="00FD2D2A">
        <w:rPr>
          <w:rFonts w:cstheme="minorHAnsi"/>
        </w:rPr>
        <w:t>s</w:t>
      </w:r>
      <w:r w:rsidR="008256E7">
        <w:rPr>
          <w:rFonts w:cstheme="minorHAnsi"/>
        </w:rPr>
        <w:t xml:space="preserve"> increasing resources and support for state manipulation of civil society and groups’</w:t>
      </w:r>
      <w:r w:rsidR="00FC7AF3">
        <w:rPr>
          <w:rStyle w:val="FootnoteReference"/>
          <w:rFonts w:cstheme="minorHAnsi"/>
        </w:rPr>
        <w:footnoteReference w:id="2"/>
      </w:r>
      <w:r w:rsidR="008256E7">
        <w:rPr>
          <w:rFonts w:cstheme="minorHAnsi"/>
        </w:rPr>
        <w:t xml:space="preserve">. This would </w:t>
      </w:r>
      <w:r w:rsidR="002C3C07">
        <w:rPr>
          <w:rFonts w:cstheme="minorHAnsi"/>
        </w:rPr>
        <w:t xml:space="preserve">extend to </w:t>
      </w:r>
      <w:r w:rsidR="008256E7">
        <w:rPr>
          <w:rFonts w:cstheme="minorHAnsi"/>
        </w:rPr>
        <w:t xml:space="preserve">include </w:t>
      </w:r>
      <w:r w:rsidR="00081C7D">
        <w:rPr>
          <w:rFonts w:cstheme="minorHAnsi"/>
        </w:rPr>
        <w:t>Indigenous Peoples</w:t>
      </w:r>
      <w:r w:rsidR="008256E7">
        <w:rPr>
          <w:rFonts w:cstheme="minorHAnsi"/>
        </w:rPr>
        <w:t>.</w:t>
      </w:r>
    </w:p>
    <w:p w14:paraId="3E503BEE" w14:textId="77777777" w:rsidR="002757CB" w:rsidRPr="002757CB" w:rsidRDefault="002757CB" w:rsidP="002757CB">
      <w:pPr>
        <w:spacing w:line="360" w:lineRule="auto"/>
        <w:jc w:val="both"/>
        <w:rPr>
          <w:rFonts w:cstheme="minorHAnsi"/>
        </w:rPr>
      </w:pPr>
    </w:p>
    <w:p w14:paraId="1D7B1EFE" w14:textId="32EB51FF" w:rsidR="0016047C" w:rsidRDefault="002C3C07" w:rsidP="002C3C07">
      <w:pPr>
        <w:pStyle w:val="ListParagraph"/>
        <w:numPr>
          <w:ilvl w:val="0"/>
          <w:numId w:val="14"/>
        </w:numPr>
        <w:spacing w:line="360" w:lineRule="auto"/>
        <w:jc w:val="both"/>
        <w:rPr>
          <w:rFonts w:cstheme="minorHAnsi"/>
        </w:rPr>
      </w:pPr>
      <w:r>
        <w:rPr>
          <w:rFonts w:cstheme="minorHAnsi"/>
        </w:rPr>
        <w:t>T</w:t>
      </w:r>
      <w:r w:rsidR="00122E6E">
        <w:rPr>
          <w:rFonts w:cstheme="minorHAnsi"/>
        </w:rPr>
        <w:t>he</w:t>
      </w:r>
      <w:r w:rsidR="00332276" w:rsidRPr="00AD4094">
        <w:rPr>
          <w:rFonts w:cstheme="minorHAnsi"/>
        </w:rPr>
        <w:t xml:space="preserve"> </w:t>
      </w:r>
      <w:r w:rsidR="0016047C">
        <w:rPr>
          <w:rFonts w:cstheme="minorHAnsi"/>
        </w:rPr>
        <w:t xml:space="preserve">Declaration on the establishment of a </w:t>
      </w:r>
      <w:r w:rsidR="00332276" w:rsidRPr="00AD4094">
        <w:rPr>
          <w:rFonts w:cstheme="minorHAnsi"/>
        </w:rPr>
        <w:t>New International Economic Order</w:t>
      </w:r>
      <w:r w:rsidR="00E5123C" w:rsidRPr="00AD4094">
        <w:rPr>
          <w:rFonts w:cstheme="minorHAnsi"/>
        </w:rPr>
        <w:t xml:space="preserve"> (NIEO)</w:t>
      </w:r>
      <w:r w:rsidR="00E85638">
        <w:rPr>
          <w:rStyle w:val="FootnoteReference"/>
          <w:rFonts w:cstheme="minorHAnsi"/>
        </w:rPr>
        <w:footnoteReference w:id="3"/>
      </w:r>
      <w:r w:rsidR="00956EB9" w:rsidRPr="00AD4094">
        <w:rPr>
          <w:rFonts w:cstheme="minorHAnsi"/>
        </w:rPr>
        <w:t xml:space="preserve"> </w:t>
      </w:r>
      <w:r w:rsidR="00122E6E">
        <w:rPr>
          <w:rFonts w:cstheme="minorHAnsi"/>
        </w:rPr>
        <w:t>is regarded as assisting to shape the right to development.</w:t>
      </w:r>
      <w:r w:rsidR="00E85638">
        <w:rPr>
          <w:rStyle w:val="FootnoteReference"/>
          <w:rFonts w:cstheme="minorHAnsi"/>
        </w:rPr>
        <w:footnoteReference w:id="4"/>
      </w:r>
      <w:r w:rsidR="00122E6E">
        <w:rPr>
          <w:rFonts w:cstheme="minorHAnsi"/>
        </w:rPr>
        <w:t xml:space="preserve"> </w:t>
      </w:r>
      <w:r>
        <w:rPr>
          <w:rFonts w:cstheme="minorHAnsi"/>
        </w:rPr>
        <w:t>Although met with some resistance, t</w:t>
      </w:r>
      <w:r w:rsidR="005156D5" w:rsidRPr="002C3C07">
        <w:rPr>
          <w:rFonts w:cstheme="minorHAnsi"/>
        </w:rPr>
        <w:t>h</w:t>
      </w:r>
      <w:r w:rsidR="00C61215" w:rsidRPr="002C3C07">
        <w:rPr>
          <w:rFonts w:cstheme="minorHAnsi"/>
        </w:rPr>
        <w:t xml:space="preserve">e </w:t>
      </w:r>
      <w:r w:rsidR="005156D5" w:rsidRPr="002C3C07">
        <w:rPr>
          <w:rFonts w:cstheme="minorHAnsi"/>
        </w:rPr>
        <w:t xml:space="preserve">Declaration </w:t>
      </w:r>
      <w:r w:rsidR="00E256E7" w:rsidRPr="002C3C07">
        <w:rPr>
          <w:rFonts w:cstheme="minorHAnsi"/>
        </w:rPr>
        <w:t>expresses a desire for a need to establish a New International Economic Order based on equity, sovereignty equality and co-operation</w:t>
      </w:r>
      <w:r w:rsidR="00916EC3" w:rsidRPr="002C3C07">
        <w:rPr>
          <w:rFonts w:cstheme="minorHAnsi"/>
        </w:rPr>
        <w:t>,</w:t>
      </w:r>
      <w:r w:rsidR="00E256E7" w:rsidRPr="002C3C07">
        <w:rPr>
          <w:rFonts w:cstheme="minorHAnsi"/>
        </w:rPr>
        <w:t xml:space="preserve"> to correct inequalities and reduce the gap between developed and developing countries. </w:t>
      </w:r>
    </w:p>
    <w:p w14:paraId="1760A9D4" w14:textId="77777777" w:rsidR="0016047C" w:rsidRPr="0016047C" w:rsidRDefault="0016047C" w:rsidP="0016047C">
      <w:pPr>
        <w:pStyle w:val="ListParagraph"/>
        <w:rPr>
          <w:rFonts w:cstheme="minorHAnsi"/>
        </w:rPr>
      </w:pPr>
    </w:p>
    <w:p w14:paraId="1696E88C" w14:textId="1275AE98" w:rsidR="00D248D7" w:rsidRPr="00C85102" w:rsidRDefault="00E256E7" w:rsidP="00C85102">
      <w:pPr>
        <w:pStyle w:val="ListParagraph"/>
        <w:numPr>
          <w:ilvl w:val="0"/>
          <w:numId w:val="14"/>
        </w:numPr>
        <w:spacing w:line="360" w:lineRule="auto"/>
        <w:jc w:val="both"/>
        <w:rPr>
          <w:rFonts w:cstheme="minorHAnsi"/>
        </w:rPr>
      </w:pPr>
      <w:r w:rsidRPr="002C3C07">
        <w:rPr>
          <w:rFonts w:cstheme="minorHAnsi"/>
        </w:rPr>
        <w:t>Th</w:t>
      </w:r>
      <w:r w:rsidR="005C6FD1">
        <w:rPr>
          <w:rFonts w:cstheme="minorHAnsi"/>
        </w:rPr>
        <w:t>e</w:t>
      </w:r>
      <w:r w:rsidRPr="002C3C07">
        <w:rPr>
          <w:rFonts w:cstheme="minorHAnsi"/>
        </w:rPr>
        <w:t xml:space="preserve"> </w:t>
      </w:r>
      <w:r w:rsidR="002048F0" w:rsidRPr="002C3C07">
        <w:rPr>
          <w:rFonts w:cstheme="minorHAnsi"/>
        </w:rPr>
        <w:t xml:space="preserve">reference </w:t>
      </w:r>
      <w:r w:rsidRPr="002C3C07">
        <w:rPr>
          <w:rFonts w:cstheme="minorHAnsi"/>
        </w:rPr>
        <w:t xml:space="preserve">to </w:t>
      </w:r>
      <w:r w:rsidR="00E5123C" w:rsidRPr="002C3C07">
        <w:rPr>
          <w:rFonts w:cstheme="minorHAnsi"/>
        </w:rPr>
        <w:t>postcolonial international economic and social order is based on Western hegemony, imperialism and ne</w:t>
      </w:r>
      <w:r w:rsidR="00DE5C6E" w:rsidRPr="002C3C07">
        <w:rPr>
          <w:rFonts w:cstheme="minorHAnsi"/>
        </w:rPr>
        <w:t>o</w:t>
      </w:r>
      <w:r w:rsidR="00E5123C" w:rsidRPr="002C3C07">
        <w:rPr>
          <w:rFonts w:cstheme="minorHAnsi"/>
        </w:rPr>
        <w:t>-colonialism</w:t>
      </w:r>
      <w:r w:rsidR="00957466">
        <w:rPr>
          <w:rFonts w:cstheme="minorHAnsi"/>
        </w:rPr>
        <w:t xml:space="preserve">. This foundation </w:t>
      </w:r>
      <w:r w:rsidR="00696A3A" w:rsidRPr="002C3C07">
        <w:rPr>
          <w:rFonts w:cstheme="minorHAnsi"/>
        </w:rPr>
        <w:t xml:space="preserve">is important as international economic law scholars have often viewed </w:t>
      </w:r>
      <w:r w:rsidR="007B3B1F">
        <w:rPr>
          <w:rFonts w:cstheme="minorHAnsi"/>
        </w:rPr>
        <w:t>I</w:t>
      </w:r>
      <w:r w:rsidR="00696A3A" w:rsidRPr="002C3C07">
        <w:rPr>
          <w:rFonts w:cstheme="minorHAnsi"/>
        </w:rPr>
        <w:t>ndigenous rights as sitting outside the realm of international economic law.</w:t>
      </w:r>
      <w:r w:rsidR="004F79A3">
        <w:rPr>
          <w:rStyle w:val="FootnoteReference"/>
          <w:rFonts w:cstheme="minorHAnsi"/>
        </w:rPr>
        <w:footnoteReference w:id="5"/>
      </w:r>
      <w:r w:rsidR="00696A3A" w:rsidRPr="002C3C07">
        <w:rPr>
          <w:rFonts w:cstheme="minorHAnsi"/>
        </w:rPr>
        <w:t xml:space="preserve"> </w:t>
      </w:r>
      <w:r w:rsidR="00696A3A" w:rsidRPr="00C85102">
        <w:rPr>
          <w:rFonts w:cstheme="minorHAnsi"/>
        </w:rPr>
        <w:t>The principles of the NIE</w:t>
      </w:r>
      <w:r w:rsidR="0076079E" w:rsidRPr="00C85102">
        <w:rPr>
          <w:rFonts w:cstheme="minorHAnsi"/>
        </w:rPr>
        <w:t>O</w:t>
      </w:r>
      <w:r w:rsidR="00696A3A" w:rsidRPr="00C85102">
        <w:rPr>
          <w:rFonts w:cstheme="minorHAnsi"/>
        </w:rPr>
        <w:t xml:space="preserve"> itself neglect</w:t>
      </w:r>
      <w:r w:rsidR="0076079E" w:rsidRPr="00C85102">
        <w:rPr>
          <w:rFonts w:cstheme="minorHAnsi"/>
        </w:rPr>
        <w:t>s</w:t>
      </w:r>
      <w:r w:rsidR="00696A3A" w:rsidRPr="00C85102">
        <w:rPr>
          <w:rFonts w:cstheme="minorHAnsi"/>
        </w:rPr>
        <w:t xml:space="preserve"> </w:t>
      </w:r>
      <w:r w:rsidR="00081C7D">
        <w:rPr>
          <w:rFonts w:cstheme="minorHAnsi"/>
        </w:rPr>
        <w:t>Indigenous Peoples’</w:t>
      </w:r>
      <w:r w:rsidR="00696A3A" w:rsidRPr="00C85102">
        <w:rPr>
          <w:rFonts w:cstheme="minorHAnsi"/>
        </w:rPr>
        <w:t xml:space="preserve"> rights</w:t>
      </w:r>
      <w:r w:rsidR="0076079E" w:rsidRPr="00C85102">
        <w:rPr>
          <w:rFonts w:cstheme="minorHAnsi"/>
        </w:rPr>
        <w:t xml:space="preserve"> and </w:t>
      </w:r>
      <w:r w:rsidR="00696A3A" w:rsidRPr="00C85102">
        <w:rPr>
          <w:rFonts w:cstheme="minorHAnsi"/>
        </w:rPr>
        <w:t xml:space="preserve">instead </w:t>
      </w:r>
      <w:r w:rsidR="0076079E" w:rsidRPr="00C85102">
        <w:rPr>
          <w:rFonts w:cstheme="minorHAnsi"/>
        </w:rPr>
        <w:t xml:space="preserve">is </w:t>
      </w:r>
      <w:r w:rsidR="00696A3A" w:rsidRPr="00C85102">
        <w:rPr>
          <w:rFonts w:cstheme="minorHAnsi"/>
        </w:rPr>
        <w:t>concerned with State sovereignty and equality.</w:t>
      </w:r>
      <w:r w:rsidR="00696A3A">
        <w:rPr>
          <w:rStyle w:val="FootnoteReference"/>
          <w:rFonts w:cstheme="minorHAnsi"/>
        </w:rPr>
        <w:footnoteReference w:id="6"/>
      </w:r>
      <w:r w:rsidR="00696A3A" w:rsidRPr="00C85102">
        <w:rPr>
          <w:rFonts w:cstheme="minorHAnsi"/>
        </w:rPr>
        <w:t xml:space="preserve"> </w:t>
      </w:r>
      <w:r w:rsidR="00D248D7" w:rsidRPr="00C85102">
        <w:rPr>
          <w:rFonts w:cstheme="minorHAnsi"/>
        </w:rPr>
        <w:t xml:space="preserve">Reference to </w:t>
      </w:r>
      <w:r w:rsidR="00081C7D">
        <w:rPr>
          <w:rFonts w:cstheme="minorHAnsi"/>
        </w:rPr>
        <w:t>Indigenous Peoples</w:t>
      </w:r>
      <w:r w:rsidR="00D248D7" w:rsidRPr="00C85102">
        <w:rPr>
          <w:rFonts w:cstheme="minorHAnsi"/>
        </w:rPr>
        <w:t xml:space="preserve"> is limited to the </w:t>
      </w:r>
      <w:r w:rsidR="004063EE" w:rsidRPr="00C85102">
        <w:rPr>
          <w:rFonts w:cstheme="minorHAnsi"/>
        </w:rPr>
        <w:t xml:space="preserve">creation of </w:t>
      </w:r>
      <w:r w:rsidR="009125E4">
        <w:rPr>
          <w:rFonts w:cstheme="minorHAnsi"/>
        </w:rPr>
        <w:t>I</w:t>
      </w:r>
      <w:r w:rsidR="00D248D7" w:rsidRPr="00C85102">
        <w:rPr>
          <w:rFonts w:cstheme="minorHAnsi"/>
        </w:rPr>
        <w:t>ndigenous technologies that will benefit developing countries in accordance to their economies.</w:t>
      </w:r>
      <w:r w:rsidR="00D248D7">
        <w:rPr>
          <w:rStyle w:val="FootnoteReference"/>
          <w:rFonts w:cstheme="minorHAnsi"/>
        </w:rPr>
        <w:footnoteReference w:id="7"/>
      </w:r>
      <w:r w:rsidR="00D248D7" w:rsidRPr="00C85102">
        <w:rPr>
          <w:rFonts w:cstheme="minorHAnsi"/>
        </w:rPr>
        <w:t xml:space="preserve"> This is problematic </w:t>
      </w:r>
      <w:r w:rsidR="004063EE" w:rsidRPr="00C85102">
        <w:rPr>
          <w:rFonts w:cstheme="minorHAnsi"/>
        </w:rPr>
        <w:t xml:space="preserve">as the right to Indigenous technologies lie with </w:t>
      </w:r>
      <w:r w:rsidR="00081C7D">
        <w:rPr>
          <w:rFonts w:cstheme="minorHAnsi"/>
        </w:rPr>
        <w:t>Indigenous Peoples</w:t>
      </w:r>
      <w:r w:rsidR="004063EE" w:rsidRPr="00C85102">
        <w:rPr>
          <w:rFonts w:cstheme="minorHAnsi"/>
        </w:rPr>
        <w:t xml:space="preserve"> not the developing </w:t>
      </w:r>
      <w:r w:rsidR="007B3B1F">
        <w:rPr>
          <w:rFonts w:cstheme="minorHAnsi"/>
        </w:rPr>
        <w:t xml:space="preserve">or respective </w:t>
      </w:r>
      <w:r w:rsidR="004063EE" w:rsidRPr="00C85102">
        <w:rPr>
          <w:rFonts w:cstheme="minorHAnsi"/>
        </w:rPr>
        <w:t>country.</w:t>
      </w:r>
    </w:p>
    <w:p w14:paraId="1DF8F1CA" w14:textId="77777777" w:rsidR="0016047C" w:rsidRPr="0016047C" w:rsidRDefault="0016047C" w:rsidP="0016047C">
      <w:pPr>
        <w:pStyle w:val="ListParagraph"/>
        <w:rPr>
          <w:rFonts w:cstheme="minorHAnsi"/>
        </w:rPr>
      </w:pPr>
    </w:p>
    <w:p w14:paraId="7382E877" w14:textId="47096577" w:rsidR="00696A3A" w:rsidRDefault="00696A3A" w:rsidP="0016047C">
      <w:pPr>
        <w:pStyle w:val="ListParagraph"/>
        <w:numPr>
          <w:ilvl w:val="0"/>
          <w:numId w:val="14"/>
        </w:numPr>
        <w:spacing w:line="360" w:lineRule="auto"/>
        <w:jc w:val="both"/>
        <w:rPr>
          <w:rFonts w:cstheme="minorHAnsi"/>
        </w:rPr>
      </w:pPr>
      <w:r w:rsidRPr="0016047C">
        <w:rPr>
          <w:rFonts w:cstheme="minorHAnsi"/>
        </w:rPr>
        <w:t xml:space="preserve">This point does not stand as a criticism of the Right to Development, but as a </w:t>
      </w:r>
      <w:r w:rsidR="00457150">
        <w:rPr>
          <w:rFonts w:cstheme="minorHAnsi"/>
        </w:rPr>
        <w:t xml:space="preserve">reflection to the </w:t>
      </w:r>
      <w:r w:rsidR="004F79A3" w:rsidRPr="0016047C">
        <w:rPr>
          <w:rFonts w:cstheme="minorHAnsi"/>
        </w:rPr>
        <w:t>UN</w:t>
      </w:r>
      <w:r w:rsidR="00145BC2">
        <w:rPr>
          <w:rFonts w:cstheme="minorHAnsi"/>
        </w:rPr>
        <w:t xml:space="preserve"> </w:t>
      </w:r>
      <w:r w:rsidR="004F79A3" w:rsidRPr="0016047C">
        <w:rPr>
          <w:rFonts w:cstheme="minorHAnsi"/>
        </w:rPr>
        <w:t>E</w:t>
      </w:r>
      <w:r w:rsidR="00145BC2">
        <w:rPr>
          <w:rFonts w:cstheme="minorHAnsi"/>
        </w:rPr>
        <w:t xml:space="preserve">xpert </w:t>
      </w:r>
      <w:r w:rsidR="004F79A3" w:rsidRPr="0016047C">
        <w:rPr>
          <w:rFonts w:cstheme="minorHAnsi"/>
        </w:rPr>
        <w:t>M</w:t>
      </w:r>
      <w:r w:rsidR="00145BC2">
        <w:rPr>
          <w:rFonts w:cstheme="minorHAnsi"/>
        </w:rPr>
        <w:t xml:space="preserve">echanism on the </w:t>
      </w:r>
      <w:r w:rsidR="004F79A3" w:rsidRPr="0016047C">
        <w:rPr>
          <w:rFonts w:cstheme="minorHAnsi"/>
        </w:rPr>
        <w:t>R</w:t>
      </w:r>
      <w:r w:rsidR="00145BC2">
        <w:rPr>
          <w:rFonts w:cstheme="minorHAnsi"/>
        </w:rPr>
        <w:t xml:space="preserve">ight to </w:t>
      </w:r>
      <w:r w:rsidR="004F79A3" w:rsidRPr="0016047C">
        <w:rPr>
          <w:rFonts w:cstheme="minorHAnsi"/>
        </w:rPr>
        <w:t>D</w:t>
      </w:r>
      <w:r w:rsidR="00145BC2">
        <w:rPr>
          <w:rFonts w:cstheme="minorHAnsi"/>
        </w:rPr>
        <w:t>evelopment</w:t>
      </w:r>
      <w:r w:rsidR="004F79A3" w:rsidRPr="0016047C">
        <w:rPr>
          <w:rFonts w:cstheme="minorHAnsi"/>
        </w:rPr>
        <w:t xml:space="preserve"> </w:t>
      </w:r>
      <w:r w:rsidR="00457150">
        <w:rPr>
          <w:rFonts w:cstheme="minorHAnsi"/>
        </w:rPr>
        <w:t xml:space="preserve">that the </w:t>
      </w:r>
      <w:r w:rsidRPr="0016047C">
        <w:rPr>
          <w:rFonts w:cstheme="minorHAnsi"/>
        </w:rPr>
        <w:t xml:space="preserve">foundations are inherently biased against </w:t>
      </w:r>
      <w:r w:rsidR="00081C7D">
        <w:rPr>
          <w:rFonts w:cstheme="minorHAnsi"/>
        </w:rPr>
        <w:t>Indigenous Peoples</w:t>
      </w:r>
      <w:r w:rsidR="004F79A3" w:rsidRPr="0016047C">
        <w:rPr>
          <w:rFonts w:cstheme="minorHAnsi"/>
        </w:rPr>
        <w:t>.</w:t>
      </w:r>
    </w:p>
    <w:p w14:paraId="0DF593A4" w14:textId="77777777" w:rsidR="00404589" w:rsidRPr="00404589" w:rsidRDefault="00404589" w:rsidP="00404589">
      <w:pPr>
        <w:pStyle w:val="ListParagraph"/>
        <w:rPr>
          <w:rFonts w:cstheme="minorHAnsi"/>
        </w:rPr>
      </w:pPr>
    </w:p>
    <w:p w14:paraId="64C715EB" w14:textId="4D64E83B" w:rsidR="0016047C" w:rsidRPr="00404589" w:rsidRDefault="00A85835" w:rsidP="00404589">
      <w:pPr>
        <w:pStyle w:val="ListParagraph"/>
        <w:numPr>
          <w:ilvl w:val="0"/>
          <w:numId w:val="14"/>
        </w:numPr>
        <w:spacing w:line="360" w:lineRule="auto"/>
        <w:jc w:val="both"/>
        <w:rPr>
          <w:rFonts w:cstheme="minorHAnsi"/>
        </w:rPr>
      </w:pPr>
      <w:r w:rsidRPr="00404589">
        <w:rPr>
          <w:rFonts w:cstheme="minorHAnsi"/>
        </w:rPr>
        <w:t xml:space="preserve">In 1979, </w:t>
      </w:r>
      <w:r w:rsidR="00404589">
        <w:t xml:space="preserve">the General Assembly recognized the right to development in its resolution 34/46 of 23 November 1979 under the title “Alternative approaches and ways and means within the United Nations system for improvising the effective enjoyment of human rights and fundamental freedoms”. Together with the </w:t>
      </w:r>
      <w:r w:rsidR="00404589" w:rsidRPr="00404589">
        <w:rPr>
          <w:rFonts w:cstheme="minorHAnsi"/>
        </w:rPr>
        <w:t xml:space="preserve"> </w:t>
      </w:r>
      <w:r w:rsidRPr="00404589">
        <w:rPr>
          <w:rFonts w:cstheme="minorHAnsi"/>
        </w:rPr>
        <w:t>UN Secretary-General</w:t>
      </w:r>
      <w:r w:rsidR="00EE636D" w:rsidRPr="00404589">
        <w:rPr>
          <w:rFonts w:cstheme="minorHAnsi"/>
        </w:rPr>
        <w:t>’s report</w:t>
      </w:r>
      <w:r w:rsidRPr="00404589">
        <w:rPr>
          <w:rFonts w:cstheme="minorHAnsi"/>
        </w:rPr>
        <w:t xml:space="preserve"> </w:t>
      </w:r>
      <w:r w:rsidR="00EE636D" w:rsidRPr="00404589">
        <w:rPr>
          <w:rFonts w:cstheme="minorHAnsi"/>
        </w:rPr>
        <w:t xml:space="preserve">laid the </w:t>
      </w:r>
      <w:r w:rsidR="009125E4" w:rsidRPr="00404589">
        <w:rPr>
          <w:rFonts w:cstheme="minorHAnsi"/>
        </w:rPr>
        <w:t xml:space="preserve">basis </w:t>
      </w:r>
      <w:r w:rsidR="00EE636D" w:rsidRPr="00404589">
        <w:rPr>
          <w:rFonts w:cstheme="minorHAnsi"/>
        </w:rPr>
        <w:t>for the subsequent development of the Declaration on the Right to Development</w:t>
      </w:r>
      <w:r w:rsidR="00355945" w:rsidRPr="00404589">
        <w:rPr>
          <w:rFonts w:cstheme="minorHAnsi"/>
        </w:rPr>
        <w:t>. The Report</w:t>
      </w:r>
      <w:r w:rsidR="00EE636D" w:rsidRPr="00404589">
        <w:rPr>
          <w:rFonts w:cstheme="minorHAnsi"/>
        </w:rPr>
        <w:t xml:space="preserve"> </w:t>
      </w:r>
      <w:r w:rsidRPr="00404589">
        <w:rPr>
          <w:rFonts w:cstheme="minorHAnsi"/>
        </w:rPr>
        <w:t xml:space="preserve">concluded that the </w:t>
      </w:r>
      <w:r w:rsidR="00355945" w:rsidRPr="00404589">
        <w:rPr>
          <w:rFonts w:cstheme="minorHAnsi"/>
        </w:rPr>
        <w:t>R</w:t>
      </w:r>
      <w:r w:rsidRPr="00404589">
        <w:rPr>
          <w:rFonts w:cstheme="minorHAnsi"/>
        </w:rPr>
        <w:t xml:space="preserve">ight to </w:t>
      </w:r>
      <w:r w:rsidR="00355945" w:rsidRPr="00404589">
        <w:rPr>
          <w:rFonts w:cstheme="minorHAnsi"/>
        </w:rPr>
        <w:t>D</w:t>
      </w:r>
      <w:r w:rsidRPr="00404589">
        <w:rPr>
          <w:rFonts w:cstheme="minorHAnsi"/>
        </w:rPr>
        <w:t xml:space="preserve">evelopment </w:t>
      </w:r>
      <w:r w:rsidR="0016047C" w:rsidRPr="00404589">
        <w:rPr>
          <w:rFonts w:cstheme="minorHAnsi"/>
        </w:rPr>
        <w:t>a</w:t>
      </w:r>
      <w:r w:rsidRPr="00404589">
        <w:rPr>
          <w:rFonts w:cstheme="minorHAnsi"/>
        </w:rPr>
        <w:t xml:space="preserve">s a human right can be inferred from the existing norms and principles of international law recognised under numerous hard and soft law frameworks. </w:t>
      </w:r>
      <w:r w:rsidR="0016047C" w:rsidRPr="00404589">
        <w:rPr>
          <w:rFonts w:cstheme="minorHAnsi"/>
        </w:rPr>
        <w:t>T</w:t>
      </w:r>
      <w:r w:rsidR="00C36076" w:rsidRPr="00404589">
        <w:rPr>
          <w:rFonts w:cstheme="minorHAnsi"/>
        </w:rPr>
        <w:t>he Right to Development</w:t>
      </w:r>
      <w:r w:rsidR="008377DB" w:rsidRPr="00404589">
        <w:rPr>
          <w:rFonts w:cstheme="minorHAnsi"/>
        </w:rPr>
        <w:t xml:space="preserve"> was formally recognised by the U</w:t>
      </w:r>
      <w:r w:rsidR="00332276" w:rsidRPr="00404589">
        <w:rPr>
          <w:rFonts w:cstheme="minorHAnsi"/>
        </w:rPr>
        <w:t>N in its 1986 Declaration on the Right to Development</w:t>
      </w:r>
      <w:r w:rsidR="0016047C" w:rsidRPr="00404589">
        <w:rPr>
          <w:rFonts w:cstheme="minorHAnsi"/>
        </w:rPr>
        <w:t xml:space="preserve"> and </w:t>
      </w:r>
      <w:r w:rsidR="0016047C" w:rsidRPr="00404589">
        <w:rPr>
          <w:rFonts w:cstheme="minorHAnsi"/>
          <w:lang w:val="en-GB"/>
        </w:rPr>
        <w:t>adopted by the UN General Assembly resolution 41/128 of 4 December 1986.</w:t>
      </w:r>
    </w:p>
    <w:p w14:paraId="58DA3201" w14:textId="77777777" w:rsidR="0016047C" w:rsidRPr="00EE636D" w:rsidRDefault="0016047C" w:rsidP="00EE636D">
      <w:pPr>
        <w:spacing w:line="360" w:lineRule="auto"/>
        <w:jc w:val="both"/>
        <w:rPr>
          <w:rFonts w:cstheme="minorHAnsi"/>
        </w:rPr>
      </w:pPr>
    </w:p>
    <w:p w14:paraId="65B480E6" w14:textId="1541FEE3" w:rsidR="00BC01CD" w:rsidRDefault="00DC3BBF" w:rsidP="00BC01CD">
      <w:pPr>
        <w:pStyle w:val="ListParagraph"/>
        <w:numPr>
          <w:ilvl w:val="0"/>
          <w:numId w:val="14"/>
        </w:numPr>
        <w:spacing w:line="360" w:lineRule="auto"/>
        <w:jc w:val="both"/>
        <w:rPr>
          <w:rFonts w:cstheme="minorHAnsi"/>
        </w:rPr>
      </w:pPr>
      <w:r w:rsidRPr="00461581">
        <w:rPr>
          <w:rFonts w:cstheme="minorHAnsi"/>
        </w:rPr>
        <w:t xml:space="preserve">While the 1986 Declaration was adopted with the overwhelming support of States, questions as to its </w:t>
      </w:r>
      <w:r w:rsidR="00B4371C" w:rsidRPr="00461581">
        <w:rPr>
          <w:rFonts w:cstheme="minorHAnsi"/>
        </w:rPr>
        <w:t>justiciability</w:t>
      </w:r>
      <w:r w:rsidR="00404589">
        <w:rPr>
          <w:rFonts w:cstheme="minorHAnsi"/>
        </w:rPr>
        <w:t xml:space="preserve"> </w:t>
      </w:r>
      <w:r w:rsidR="00C26075">
        <w:rPr>
          <w:rFonts w:cstheme="minorHAnsi"/>
        </w:rPr>
        <w:t xml:space="preserve">arose, </w:t>
      </w:r>
      <w:r w:rsidR="00EC0656">
        <w:rPr>
          <w:rFonts w:cstheme="minorHAnsi"/>
        </w:rPr>
        <w:t xml:space="preserve">as the Declaration </w:t>
      </w:r>
      <w:r w:rsidR="00C26075">
        <w:rPr>
          <w:rFonts w:cstheme="minorHAnsi"/>
        </w:rPr>
        <w:t>wa</w:t>
      </w:r>
      <w:r w:rsidR="00EC0656">
        <w:rPr>
          <w:rFonts w:cstheme="minorHAnsi"/>
        </w:rPr>
        <w:t xml:space="preserve">s </w:t>
      </w:r>
      <w:r w:rsidR="00C26075">
        <w:rPr>
          <w:rFonts w:cstheme="minorHAnsi"/>
        </w:rPr>
        <w:t xml:space="preserve">viewed </w:t>
      </w:r>
      <w:r w:rsidR="00BC01CD">
        <w:rPr>
          <w:rFonts w:cstheme="minorHAnsi"/>
        </w:rPr>
        <w:t xml:space="preserve">as </w:t>
      </w:r>
      <w:r w:rsidR="00EC0656">
        <w:rPr>
          <w:rFonts w:cstheme="minorHAnsi"/>
        </w:rPr>
        <w:t xml:space="preserve">a broad framework yet to crystalise into substantive law </w:t>
      </w:r>
      <w:r w:rsidR="0037279A">
        <w:rPr>
          <w:rFonts w:cstheme="minorHAnsi"/>
        </w:rPr>
        <w:t>with</w:t>
      </w:r>
      <w:r w:rsidR="00EC0656">
        <w:rPr>
          <w:rFonts w:cstheme="minorHAnsi"/>
        </w:rPr>
        <w:t xml:space="preserve"> </w:t>
      </w:r>
      <w:r w:rsidR="00404589">
        <w:rPr>
          <w:rFonts w:cstheme="minorHAnsi"/>
        </w:rPr>
        <w:t>concrete obligations</w:t>
      </w:r>
      <w:r w:rsidR="00EC0656">
        <w:rPr>
          <w:rFonts w:cstheme="minorHAnsi"/>
        </w:rPr>
        <w:t>.</w:t>
      </w:r>
      <w:r w:rsidR="00BD1DDA">
        <w:rPr>
          <w:rStyle w:val="FootnoteReference"/>
          <w:rFonts w:cstheme="minorHAnsi"/>
        </w:rPr>
        <w:footnoteReference w:id="8"/>
      </w:r>
      <w:r w:rsidR="00BC01CD">
        <w:rPr>
          <w:rFonts w:cstheme="minorHAnsi"/>
        </w:rPr>
        <w:t xml:space="preserve"> In addition the </w:t>
      </w:r>
      <w:r w:rsidR="00B4371C" w:rsidRPr="00BC01CD">
        <w:rPr>
          <w:rFonts w:cstheme="minorHAnsi"/>
        </w:rPr>
        <w:t xml:space="preserve">status </w:t>
      </w:r>
      <w:r w:rsidR="00F772A6" w:rsidRPr="00BC01CD">
        <w:rPr>
          <w:rFonts w:cstheme="minorHAnsi"/>
        </w:rPr>
        <w:t xml:space="preserve">of a right to development </w:t>
      </w:r>
      <w:r w:rsidR="00B4371C" w:rsidRPr="00BC01CD">
        <w:rPr>
          <w:rFonts w:cstheme="minorHAnsi"/>
        </w:rPr>
        <w:t xml:space="preserve">as a human right </w:t>
      </w:r>
      <w:r w:rsidR="008B5583" w:rsidRPr="00BC01CD">
        <w:rPr>
          <w:rFonts w:cstheme="minorHAnsi"/>
        </w:rPr>
        <w:t>w</w:t>
      </w:r>
      <w:r w:rsidR="00BC01CD">
        <w:rPr>
          <w:rFonts w:cstheme="minorHAnsi"/>
        </w:rPr>
        <w:t>as</w:t>
      </w:r>
      <w:r w:rsidR="00B4371C" w:rsidRPr="00BC01CD">
        <w:rPr>
          <w:rFonts w:cstheme="minorHAnsi"/>
        </w:rPr>
        <w:t xml:space="preserve"> historically contentious.</w:t>
      </w:r>
      <w:r w:rsidR="00BD1DDA" w:rsidRPr="00BD1DDA">
        <w:rPr>
          <w:rStyle w:val="FootnoteReference"/>
          <w:rFonts w:cstheme="minorHAnsi"/>
        </w:rPr>
        <w:t xml:space="preserve"> </w:t>
      </w:r>
      <w:r w:rsidR="00BD1DDA">
        <w:rPr>
          <w:rStyle w:val="FootnoteReference"/>
          <w:rFonts w:cstheme="minorHAnsi"/>
        </w:rPr>
        <w:footnoteReference w:id="9"/>
      </w:r>
      <w:r w:rsidR="00BD1DDA">
        <w:rPr>
          <w:rFonts w:cstheme="minorHAnsi"/>
        </w:rPr>
        <w:t xml:space="preserve"> </w:t>
      </w:r>
      <w:r w:rsidR="00B4371C" w:rsidRPr="00BC01CD">
        <w:rPr>
          <w:rFonts w:cstheme="minorHAnsi"/>
        </w:rPr>
        <w:t xml:space="preserve"> </w:t>
      </w:r>
    </w:p>
    <w:p w14:paraId="58C1E759" w14:textId="77777777" w:rsidR="00BC01CD" w:rsidRPr="00BC01CD" w:rsidRDefault="00BC01CD" w:rsidP="00BC01CD">
      <w:pPr>
        <w:pStyle w:val="ListParagraph"/>
        <w:rPr>
          <w:rFonts w:cstheme="minorHAnsi"/>
        </w:rPr>
      </w:pPr>
    </w:p>
    <w:p w14:paraId="35589854" w14:textId="77777777" w:rsidR="00BD1DDA" w:rsidRDefault="00B4371C" w:rsidP="00BC01CD">
      <w:pPr>
        <w:pStyle w:val="ListParagraph"/>
        <w:numPr>
          <w:ilvl w:val="0"/>
          <w:numId w:val="14"/>
        </w:numPr>
        <w:spacing w:line="360" w:lineRule="auto"/>
        <w:jc w:val="both"/>
        <w:rPr>
          <w:rFonts w:cstheme="minorHAnsi"/>
        </w:rPr>
      </w:pPr>
      <w:r w:rsidRPr="00BC01CD">
        <w:rPr>
          <w:rFonts w:cstheme="minorHAnsi"/>
        </w:rPr>
        <w:t>Today, debate continues as to the normative contents and resulting State obligations</w:t>
      </w:r>
      <w:r w:rsidR="00D043FE" w:rsidRPr="00BC01CD">
        <w:rPr>
          <w:rFonts w:cstheme="minorHAnsi"/>
        </w:rPr>
        <w:t xml:space="preserve">, with the text </w:t>
      </w:r>
      <w:r w:rsidR="00355945" w:rsidRPr="00BC01CD">
        <w:rPr>
          <w:rFonts w:cstheme="minorHAnsi"/>
        </w:rPr>
        <w:t>criticised</w:t>
      </w:r>
      <w:r w:rsidR="00D043FE" w:rsidRPr="00BC01CD">
        <w:rPr>
          <w:rFonts w:cstheme="minorHAnsi"/>
        </w:rPr>
        <w:t xml:space="preserve"> as ‘vague and inconsistent’.</w:t>
      </w:r>
      <w:r w:rsidR="00EC0656">
        <w:rPr>
          <w:rStyle w:val="FootnoteReference"/>
          <w:rFonts w:cstheme="minorHAnsi"/>
        </w:rPr>
        <w:footnoteReference w:id="10"/>
      </w:r>
      <w:r w:rsidR="00D043FE" w:rsidRPr="00BC01CD">
        <w:rPr>
          <w:rFonts w:cstheme="minorHAnsi"/>
        </w:rPr>
        <w:t xml:space="preserve"> In particular</w:t>
      </w:r>
      <w:r w:rsidR="009E0F1F" w:rsidRPr="00BC01CD">
        <w:rPr>
          <w:rFonts w:cstheme="minorHAnsi"/>
        </w:rPr>
        <w:t>,</w:t>
      </w:r>
      <w:r w:rsidR="00D043FE" w:rsidRPr="00BC01CD">
        <w:rPr>
          <w:rFonts w:cstheme="minorHAnsi"/>
        </w:rPr>
        <w:t xml:space="preserve"> we note gaps carried through to the present</w:t>
      </w:r>
      <w:r w:rsidR="00751BBC" w:rsidRPr="00BC01CD">
        <w:rPr>
          <w:rFonts w:cstheme="minorHAnsi"/>
        </w:rPr>
        <w:t xml:space="preserve"> revised</w:t>
      </w:r>
      <w:r w:rsidR="00D043FE" w:rsidRPr="00BC01CD">
        <w:rPr>
          <w:rFonts w:cstheme="minorHAnsi"/>
        </w:rPr>
        <w:t xml:space="preserve"> draft </w:t>
      </w:r>
      <w:r w:rsidR="00325EF0" w:rsidRPr="00BC01CD">
        <w:rPr>
          <w:rFonts w:cstheme="minorHAnsi"/>
        </w:rPr>
        <w:t>for instance</w:t>
      </w:r>
      <w:r w:rsidR="00D043FE" w:rsidRPr="00BC01CD">
        <w:rPr>
          <w:rFonts w:cstheme="minorHAnsi"/>
        </w:rPr>
        <w:t>:</w:t>
      </w:r>
      <w:r w:rsidR="00BD1DDA">
        <w:rPr>
          <w:rFonts w:cstheme="minorHAnsi"/>
        </w:rPr>
        <w:t xml:space="preserve"> </w:t>
      </w:r>
    </w:p>
    <w:p w14:paraId="22D89B9E" w14:textId="77777777" w:rsidR="00BD1DDA" w:rsidRPr="00BD1DDA" w:rsidRDefault="00BD1DDA" w:rsidP="00BD1DDA">
      <w:pPr>
        <w:pStyle w:val="ListParagraph"/>
        <w:rPr>
          <w:rFonts w:cstheme="minorHAnsi"/>
        </w:rPr>
      </w:pPr>
    </w:p>
    <w:p w14:paraId="110B0ADD" w14:textId="595F0FAE" w:rsidR="00D043FE" w:rsidRPr="0085217A" w:rsidRDefault="00D043FE" w:rsidP="0085217A">
      <w:pPr>
        <w:pStyle w:val="ListParagraph"/>
        <w:numPr>
          <w:ilvl w:val="0"/>
          <w:numId w:val="15"/>
        </w:numPr>
        <w:spacing w:line="360" w:lineRule="auto"/>
        <w:jc w:val="both"/>
        <w:rPr>
          <w:rFonts w:cstheme="minorHAnsi"/>
        </w:rPr>
      </w:pPr>
      <w:r w:rsidRPr="00560B46">
        <w:t xml:space="preserve">the general application of the right to </w:t>
      </w:r>
      <w:r w:rsidR="00DC36EC" w:rsidRPr="00560B46">
        <w:t xml:space="preserve">development “Every human person and all peoples have the inalienable right to development …” </w:t>
      </w:r>
      <w:r w:rsidR="006369DE" w:rsidRPr="00560B46">
        <w:t>(</w:t>
      </w:r>
      <w:r w:rsidR="00DC36EC" w:rsidRPr="00560B46">
        <w:t xml:space="preserve">in article </w:t>
      </w:r>
      <w:r w:rsidR="006369DE" w:rsidRPr="00560B46">
        <w:t xml:space="preserve">1 and </w:t>
      </w:r>
      <w:r w:rsidR="00DC36EC" w:rsidRPr="00560B46">
        <w:t>4 (1)</w:t>
      </w:r>
      <w:r w:rsidR="006369DE" w:rsidRPr="00560B46">
        <w:t>)</w:t>
      </w:r>
      <w:r w:rsidRPr="00560B46">
        <w:t>;</w:t>
      </w:r>
    </w:p>
    <w:p w14:paraId="6656A84C" w14:textId="3AF86A8A" w:rsidR="004879D8" w:rsidRPr="00560B46" w:rsidRDefault="009E0F1F" w:rsidP="004879D8">
      <w:pPr>
        <w:pStyle w:val="ListParagraph"/>
        <w:numPr>
          <w:ilvl w:val="0"/>
          <w:numId w:val="15"/>
        </w:numPr>
        <w:spacing w:line="360" w:lineRule="auto"/>
        <w:jc w:val="both"/>
      </w:pPr>
      <w:r w:rsidRPr="00560B46">
        <w:t>Popular participation (‘active, free and meaningful participation)</w:t>
      </w:r>
      <w:r w:rsidR="006369DE" w:rsidRPr="00560B46">
        <w:t xml:space="preserve"> (article 8(2) and 4 (2))</w:t>
      </w:r>
      <w:r w:rsidRPr="00560B46">
        <w:t>;</w:t>
      </w:r>
      <w:r w:rsidR="004879D8">
        <w:t xml:space="preserve"> Several Articles of the Declaration note that ‘active, free and meaningful participation’ is an integral part of the right, however, the question is whether the ‘participation requirement confers a collective decision-making power on the </w:t>
      </w:r>
      <w:r w:rsidR="004879D8">
        <w:lastRenderedPageBreak/>
        <w:t>people concerned or a mere consultation is sufficient, which the Declaration does not answer’.</w:t>
      </w:r>
      <w:r w:rsidR="004879D8">
        <w:rPr>
          <w:rStyle w:val="FootnoteReference"/>
        </w:rPr>
        <w:footnoteReference w:id="11"/>
      </w:r>
    </w:p>
    <w:p w14:paraId="284F2C75" w14:textId="13378EB0" w:rsidR="00D043FE" w:rsidRPr="00560B46" w:rsidRDefault="00A52EAE" w:rsidP="00AD4094">
      <w:pPr>
        <w:pStyle w:val="ListParagraph"/>
        <w:numPr>
          <w:ilvl w:val="0"/>
          <w:numId w:val="15"/>
        </w:numPr>
        <w:spacing w:line="360" w:lineRule="auto"/>
        <w:jc w:val="both"/>
      </w:pPr>
      <w:r w:rsidRPr="00560B46">
        <w:t>E</w:t>
      </w:r>
      <w:r w:rsidR="009E0F1F" w:rsidRPr="00560B46">
        <w:t>mphasis on ‘equality of opportunity for all…’</w:t>
      </w:r>
      <w:r w:rsidRPr="00560B46">
        <w:t xml:space="preserve"> </w:t>
      </w:r>
      <w:r w:rsidR="006369DE" w:rsidRPr="00560B46">
        <w:t>(art 8 (1) and 12 (2))</w:t>
      </w:r>
      <w:r w:rsidR="004879D8">
        <w:t xml:space="preserve">.  This expresses a fair distribution of the benefits of development in equal access to all public services, this could not be achieved without the participation of vulnerable and marginalized groups, such as </w:t>
      </w:r>
      <w:r w:rsidR="00081C7D">
        <w:t>Indigenous Peoples</w:t>
      </w:r>
      <w:r w:rsidR="004879D8">
        <w:t>, in development and the ‘[eradication of] all social injustices’.</w:t>
      </w:r>
      <w:r w:rsidR="004879D8">
        <w:rPr>
          <w:rStyle w:val="FootnoteReference"/>
        </w:rPr>
        <w:footnoteReference w:id="12"/>
      </w:r>
    </w:p>
    <w:p w14:paraId="0FFA2EAC" w14:textId="7FB266BB" w:rsidR="00945329" w:rsidRPr="00560B46" w:rsidRDefault="00945329" w:rsidP="00AD4094">
      <w:pPr>
        <w:pStyle w:val="ListParagraph"/>
        <w:numPr>
          <w:ilvl w:val="0"/>
          <w:numId w:val="15"/>
        </w:numPr>
        <w:spacing w:line="360" w:lineRule="auto"/>
        <w:jc w:val="both"/>
      </w:pPr>
      <w:r w:rsidRPr="00560B46">
        <w:t xml:space="preserve">The nature of </w:t>
      </w:r>
      <w:r w:rsidR="00C85102" w:rsidRPr="00560B46">
        <w:t>national</w:t>
      </w:r>
      <w:r w:rsidRPr="00560B46">
        <w:t xml:space="preserve"> level and international community obligations</w:t>
      </w:r>
      <w:r w:rsidR="007C00C5" w:rsidRPr="00560B46">
        <w:t xml:space="preserve"> (art 10)</w:t>
      </w:r>
      <w:r w:rsidRPr="00560B46">
        <w:t>.</w:t>
      </w:r>
      <w:r w:rsidR="004879D8">
        <w:t xml:space="preserve"> This appears to be more of a moral responsibility rather than a legal obligation.</w:t>
      </w:r>
      <w:r w:rsidR="004879D8">
        <w:rPr>
          <w:rStyle w:val="FootnoteReference"/>
        </w:rPr>
        <w:footnoteReference w:id="13"/>
      </w:r>
    </w:p>
    <w:p w14:paraId="3C12193C" w14:textId="77777777" w:rsidR="006D4B61" w:rsidRDefault="006D4B61" w:rsidP="006D4B61">
      <w:pPr>
        <w:pStyle w:val="ListParagraph"/>
        <w:spacing w:line="360" w:lineRule="auto"/>
        <w:jc w:val="both"/>
        <w:rPr>
          <w:rFonts w:cstheme="minorHAnsi"/>
        </w:rPr>
      </w:pPr>
    </w:p>
    <w:p w14:paraId="085821FF" w14:textId="391F7DEC" w:rsidR="00F53C73" w:rsidRDefault="00F53C73" w:rsidP="00893FA9">
      <w:pPr>
        <w:pStyle w:val="ListParagraph"/>
        <w:numPr>
          <w:ilvl w:val="0"/>
          <w:numId w:val="14"/>
        </w:numPr>
        <w:spacing w:line="360" w:lineRule="auto"/>
        <w:jc w:val="both"/>
        <w:rPr>
          <w:rFonts w:cstheme="minorHAnsi"/>
        </w:rPr>
      </w:pPr>
      <w:r w:rsidRPr="00706812">
        <w:rPr>
          <w:rFonts w:cstheme="minorHAnsi"/>
        </w:rPr>
        <w:t>T</w:t>
      </w:r>
      <w:r w:rsidR="00B4371C" w:rsidRPr="00706812">
        <w:rPr>
          <w:rFonts w:cstheme="minorHAnsi"/>
        </w:rPr>
        <w:t>h</w:t>
      </w:r>
      <w:r w:rsidR="00945329" w:rsidRPr="00706812">
        <w:rPr>
          <w:rFonts w:cstheme="minorHAnsi"/>
        </w:rPr>
        <w:t>e</w:t>
      </w:r>
      <w:r w:rsidR="00B4371C" w:rsidRPr="00706812">
        <w:rPr>
          <w:rFonts w:cstheme="minorHAnsi"/>
        </w:rPr>
        <w:t xml:space="preserve"> </w:t>
      </w:r>
      <w:r w:rsidR="008B5583" w:rsidRPr="00706812">
        <w:rPr>
          <w:rFonts w:cstheme="minorHAnsi"/>
        </w:rPr>
        <w:t xml:space="preserve">uncertainty </w:t>
      </w:r>
      <w:r w:rsidR="00945329" w:rsidRPr="00706812">
        <w:rPr>
          <w:rFonts w:cstheme="minorHAnsi"/>
        </w:rPr>
        <w:t xml:space="preserve">of the 1986 </w:t>
      </w:r>
      <w:r w:rsidR="005A30CC" w:rsidRPr="00706812">
        <w:rPr>
          <w:rFonts w:cstheme="minorHAnsi"/>
        </w:rPr>
        <w:t>Declaration</w:t>
      </w:r>
      <w:r w:rsidR="00945329" w:rsidRPr="00706812">
        <w:rPr>
          <w:rFonts w:cstheme="minorHAnsi"/>
        </w:rPr>
        <w:t xml:space="preserve"> </w:t>
      </w:r>
      <w:r w:rsidR="00706FC8">
        <w:rPr>
          <w:rFonts w:cstheme="minorHAnsi"/>
        </w:rPr>
        <w:t xml:space="preserve">together with the omission of an Indigenous right to development </w:t>
      </w:r>
      <w:r w:rsidR="00B4371C" w:rsidRPr="00706812">
        <w:rPr>
          <w:rFonts w:cstheme="minorHAnsi"/>
        </w:rPr>
        <w:t xml:space="preserve">requires </w:t>
      </w:r>
      <w:r w:rsidR="00945329" w:rsidRPr="00706812">
        <w:rPr>
          <w:rFonts w:cstheme="minorHAnsi"/>
        </w:rPr>
        <w:t xml:space="preserve">that the present </w:t>
      </w:r>
      <w:r w:rsidR="00706812" w:rsidRPr="00706812">
        <w:rPr>
          <w:rFonts w:cstheme="minorHAnsi"/>
        </w:rPr>
        <w:t xml:space="preserve">revised </w:t>
      </w:r>
      <w:r w:rsidR="00945329" w:rsidRPr="00706812">
        <w:rPr>
          <w:rFonts w:cstheme="minorHAnsi"/>
        </w:rPr>
        <w:t xml:space="preserve">draft Convention articulate </w:t>
      </w:r>
      <w:r w:rsidR="00081C7D">
        <w:rPr>
          <w:rFonts w:cstheme="minorHAnsi"/>
        </w:rPr>
        <w:t>Indigenous Peoples</w:t>
      </w:r>
      <w:r w:rsidR="00B4371C" w:rsidRPr="00706812">
        <w:rPr>
          <w:rFonts w:cstheme="minorHAnsi"/>
        </w:rPr>
        <w:t xml:space="preserve">’ </w:t>
      </w:r>
      <w:r w:rsidR="008B5583" w:rsidRPr="00706812">
        <w:rPr>
          <w:rFonts w:cstheme="minorHAnsi"/>
        </w:rPr>
        <w:t>R</w:t>
      </w:r>
      <w:r w:rsidR="00B4371C" w:rsidRPr="00706812">
        <w:rPr>
          <w:rFonts w:cstheme="minorHAnsi"/>
        </w:rPr>
        <w:t xml:space="preserve">ight to </w:t>
      </w:r>
      <w:r w:rsidR="008B5583" w:rsidRPr="00706812">
        <w:rPr>
          <w:rFonts w:cstheme="minorHAnsi"/>
        </w:rPr>
        <w:t>D</w:t>
      </w:r>
      <w:r w:rsidR="00B4371C" w:rsidRPr="00706812">
        <w:rPr>
          <w:rFonts w:cstheme="minorHAnsi"/>
        </w:rPr>
        <w:t xml:space="preserve">evelopment </w:t>
      </w:r>
      <w:r w:rsidR="00706812">
        <w:rPr>
          <w:rFonts w:cstheme="minorHAnsi"/>
        </w:rPr>
        <w:t>in manner tha</w:t>
      </w:r>
      <w:r w:rsidR="00355945">
        <w:rPr>
          <w:rFonts w:cstheme="minorHAnsi"/>
        </w:rPr>
        <w:t>t</w:t>
      </w:r>
      <w:r w:rsidR="00706812">
        <w:rPr>
          <w:rFonts w:cstheme="minorHAnsi"/>
        </w:rPr>
        <w:t xml:space="preserve"> complements the UN Declaration on the Rights of </w:t>
      </w:r>
      <w:r w:rsidR="00081C7D">
        <w:rPr>
          <w:rFonts w:cstheme="minorHAnsi"/>
        </w:rPr>
        <w:t>Indigenous Peoples</w:t>
      </w:r>
      <w:r w:rsidR="00706812">
        <w:rPr>
          <w:rFonts w:cstheme="minorHAnsi"/>
        </w:rPr>
        <w:t xml:space="preserve"> </w:t>
      </w:r>
      <w:r w:rsidR="00B4371C" w:rsidRPr="00706812">
        <w:rPr>
          <w:rFonts w:cstheme="minorHAnsi"/>
        </w:rPr>
        <w:t xml:space="preserve">with </w:t>
      </w:r>
      <w:r w:rsidR="00706812">
        <w:rPr>
          <w:rFonts w:cstheme="minorHAnsi"/>
        </w:rPr>
        <w:t xml:space="preserve">an </w:t>
      </w:r>
      <w:r w:rsidR="00B4371C" w:rsidRPr="00706812">
        <w:rPr>
          <w:rFonts w:cstheme="minorHAnsi"/>
        </w:rPr>
        <w:t>emphasis</w:t>
      </w:r>
      <w:r w:rsidR="00945329" w:rsidRPr="00706812">
        <w:rPr>
          <w:rFonts w:cstheme="minorHAnsi"/>
        </w:rPr>
        <w:t xml:space="preserve"> </w:t>
      </w:r>
      <w:r w:rsidR="00706812">
        <w:rPr>
          <w:rFonts w:cstheme="minorHAnsi"/>
        </w:rPr>
        <w:t xml:space="preserve">on the unique relationship </w:t>
      </w:r>
      <w:r w:rsidR="00081C7D">
        <w:rPr>
          <w:rFonts w:cstheme="minorHAnsi"/>
        </w:rPr>
        <w:t>Indigenous Peoples</w:t>
      </w:r>
      <w:r w:rsidR="00706812">
        <w:rPr>
          <w:rFonts w:cstheme="minorHAnsi"/>
        </w:rPr>
        <w:t xml:space="preserve"> have with their environment, the philosophy that guides </w:t>
      </w:r>
      <w:r w:rsidR="00081C7D">
        <w:rPr>
          <w:rFonts w:cstheme="minorHAnsi"/>
        </w:rPr>
        <w:t>Indigenous Peoples</w:t>
      </w:r>
      <w:r w:rsidR="00706812">
        <w:rPr>
          <w:rFonts w:cstheme="minorHAnsi"/>
        </w:rPr>
        <w:t xml:space="preserve">, </w:t>
      </w:r>
      <w:r w:rsidR="00460C11">
        <w:rPr>
          <w:rFonts w:cstheme="minorHAnsi"/>
        </w:rPr>
        <w:t xml:space="preserve">their intrinsic rights to their lands, territories and resources, </w:t>
      </w:r>
      <w:r w:rsidR="00945329" w:rsidRPr="00706812">
        <w:rPr>
          <w:rFonts w:cstheme="minorHAnsi"/>
        </w:rPr>
        <w:t>the releva</w:t>
      </w:r>
      <w:r w:rsidR="005F5EF2" w:rsidRPr="00706812">
        <w:rPr>
          <w:rFonts w:cstheme="minorHAnsi"/>
        </w:rPr>
        <w:t>n</w:t>
      </w:r>
      <w:r w:rsidR="00945329" w:rsidRPr="00706812">
        <w:rPr>
          <w:rFonts w:cstheme="minorHAnsi"/>
        </w:rPr>
        <w:t>t actors and their legal obligations</w:t>
      </w:r>
      <w:r w:rsidR="00B4371C" w:rsidRPr="00706812">
        <w:rPr>
          <w:rFonts w:cstheme="minorHAnsi"/>
        </w:rPr>
        <w:t>.</w:t>
      </w:r>
      <w:r w:rsidR="005F5EF2" w:rsidRPr="00706812">
        <w:rPr>
          <w:rFonts w:cstheme="minorHAnsi"/>
        </w:rPr>
        <w:t xml:space="preserve"> </w:t>
      </w:r>
      <w:r w:rsidR="00355945">
        <w:rPr>
          <w:rFonts w:cstheme="minorHAnsi"/>
        </w:rPr>
        <w:t>However in noting this, o</w:t>
      </w:r>
      <w:r w:rsidR="005F5EF2" w:rsidRPr="00706812">
        <w:rPr>
          <w:rFonts w:cstheme="minorHAnsi"/>
        </w:rPr>
        <w:t xml:space="preserve">ne significant advancement of the </w:t>
      </w:r>
      <w:r w:rsidR="00706812" w:rsidRPr="00706812">
        <w:rPr>
          <w:rFonts w:cstheme="minorHAnsi"/>
        </w:rPr>
        <w:t xml:space="preserve">revised </w:t>
      </w:r>
      <w:r w:rsidR="005F5EF2" w:rsidRPr="00706812">
        <w:rPr>
          <w:rFonts w:cstheme="minorHAnsi"/>
        </w:rPr>
        <w:t xml:space="preserve">draft Convention that we cannot overlook is the explicit acknowledgment of </w:t>
      </w:r>
      <w:r w:rsidR="00081C7D">
        <w:rPr>
          <w:rFonts w:cstheme="minorHAnsi"/>
        </w:rPr>
        <w:t>Indigenous Peoples</w:t>
      </w:r>
      <w:r w:rsidR="005F5EF2" w:rsidRPr="00706812">
        <w:rPr>
          <w:rFonts w:cstheme="minorHAnsi"/>
        </w:rPr>
        <w:t xml:space="preserve">’ rights. </w:t>
      </w:r>
    </w:p>
    <w:p w14:paraId="7193DB32" w14:textId="77777777" w:rsidR="00752E71" w:rsidRPr="00752E71" w:rsidRDefault="00752E71" w:rsidP="00752E71">
      <w:pPr>
        <w:spacing w:line="360" w:lineRule="auto"/>
        <w:jc w:val="both"/>
        <w:rPr>
          <w:rFonts w:cstheme="minorHAnsi"/>
        </w:rPr>
      </w:pPr>
    </w:p>
    <w:p w14:paraId="41ACC013" w14:textId="7EF2C328" w:rsidR="00706812" w:rsidRPr="00404589" w:rsidRDefault="00706812" w:rsidP="00A51EFC">
      <w:pPr>
        <w:pStyle w:val="Heading2"/>
        <w:spacing w:before="0" w:line="360" w:lineRule="auto"/>
        <w:ind w:firstLine="360"/>
        <w:rPr>
          <w:rFonts w:ascii="Times New Roman" w:hAnsi="Times New Roman" w:cs="Times New Roman"/>
          <w:b/>
          <w:bCs/>
          <w:color w:val="000000" w:themeColor="text1"/>
          <w:sz w:val="24"/>
          <w:szCs w:val="24"/>
        </w:rPr>
      </w:pPr>
      <w:r w:rsidRPr="00404589">
        <w:rPr>
          <w:rFonts w:ascii="Times New Roman" w:hAnsi="Times New Roman" w:cs="Times New Roman"/>
          <w:b/>
          <w:bCs/>
          <w:color w:val="000000" w:themeColor="text1"/>
          <w:sz w:val="24"/>
          <w:szCs w:val="24"/>
        </w:rPr>
        <w:t xml:space="preserve">United Nations Declaration on the Rights of </w:t>
      </w:r>
      <w:r w:rsidR="00081C7D">
        <w:rPr>
          <w:rFonts w:ascii="Times New Roman" w:hAnsi="Times New Roman" w:cs="Times New Roman"/>
          <w:b/>
          <w:bCs/>
          <w:color w:val="000000" w:themeColor="text1"/>
          <w:sz w:val="24"/>
          <w:szCs w:val="24"/>
        </w:rPr>
        <w:t>Indigenous Peoples</w:t>
      </w:r>
    </w:p>
    <w:p w14:paraId="210E6E5E" w14:textId="77777777" w:rsidR="00706812" w:rsidRDefault="00706812" w:rsidP="00706812">
      <w:pPr>
        <w:pStyle w:val="ListParagraph"/>
        <w:spacing w:line="360" w:lineRule="auto"/>
        <w:jc w:val="both"/>
        <w:rPr>
          <w:rFonts w:cstheme="minorHAnsi"/>
        </w:rPr>
      </w:pPr>
    </w:p>
    <w:p w14:paraId="54B20228" w14:textId="047A9849" w:rsidR="00641E1E" w:rsidRDefault="00641E1E" w:rsidP="00706812">
      <w:pPr>
        <w:pStyle w:val="ListParagraph"/>
        <w:numPr>
          <w:ilvl w:val="0"/>
          <w:numId w:val="14"/>
        </w:numPr>
        <w:spacing w:line="360" w:lineRule="auto"/>
        <w:jc w:val="both"/>
        <w:rPr>
          <w:rFonts w:cstheme="minorHAnsi"/>
        </w:rPr>
      </w:pPr>
      <w:r w:rsidRPr="00706812">
        <w:rPr>
          <w:rFonts w:cstheme="minorHAnsi"/>
        </w:rPr>
        <w:t xml:space="preserve">The right of </w:t>
      </w:r>
      <w:r w:rsidR="00081C7D">
        <w:rPr>
          <w:rFonts w:cstheme="minorHAnsi"/>
        </w:rPr>
        <w:t>Indigenous Peoples</w:t>
      </w:r>
      <w:r w:rsidRPr="00706812">
        <w:rPr>
          <w:rFonts w:cstheme="minorHAnsi"/>
        </w:rPr>
        <w:t xml:space="preserve"> to development is captured extensively within the preamble of the United Nations Declaration on the Rights of </w:t>
      </w:r>
      <w:r w:rsidR="00081C7D">
        <w:rPr>
          <w:rFonts w:cstheme="minorHAnsi"/>
        </w:rPr>
        <w:t>Indigenous Peoples</w:t>
      </w:r>
      <w:r w:rsidRPr="00706812">
        <w:rPr>
          <w:rFonts w:cstheme="minorHAnsi"/>
        </w:rPr>
        <w:t xml:space="preserve"> (UNDRIP) as well as within the substantive articles, reflecting the importance of this right.</w:t>
      </w:r>
    </w:p>
    <w:p w14:paraId="4A54EB63" w14:textId="77777777" w:rsidR="00752E71" w:rsidRDefault="00752E71" w:rsidP="00752E71">
      <w:pPr>
        <w:pStyle w:val="ListParagraph"/>
        <w:spacing w:line="360" w:lineRule="auto"/>
        <w:jc w:val="both"/>
        <w:rPr>
          <w:rFonts w:cstheme="minorHAnsi"/>
        </w:rPr>
      </w:pPr>
    </w:p>
    <w:p w14:paraId="49634E77" w14:textId="79EA5765" w:rsidR="007C4FF5" w:rsidRDefault="00641E1E" w:rsidP="00AD4094">
      <w:pPr>
        <w:pStyle w:val="ListParagraph"/>
        <w:numPr>
          <w:ilvl w:val="0"/>
          <w:numId w:val="14"/>
        </w:numPr>
        <w:spacing w:line="360" w:lineRule="auto"/>
        <w:jc w:val="both"/>
        <w:rPr>
          <w:rFonts w:cstheme="minorHAnsi"/>
        </w:rPr>
      </w:pPr>
      <w:r w:rsidRPr="00752E71">
        <w:rPr>
          <w:rFonts w:cstheme="minorHAnsi"/>
        </w:rPr>
        <w:lastRenderedPageBreak/>
        <w:t xml:space="preserve">Within the preamble, this recognition of the </w:t>
      </w:r>
      <w:r w:rsidR="00355945">
        <w:rPr>
          <w:rFonts w:cstheme="minorHAnsi"/>
        </w:rPr>
        <w:t>R</w:t>
      </w:r>
      <w:r w:rsidRPr="00752E71">
        <w:rPr>
          <w:rFonts w:cstheme="minorHAnsi"/>
        </w:rPr>
        <w:t xml:space="preserve">ight to </w:t>
      </w:r>
      <w:r w:rsidR="00355945">
        <w:rPr>
          <w:rFonts w:cstheme="minorHAnsi"/>
        </w:rPr>
        <w:t>D</w:t>
      </w:r>
      <w:r w:rsidRPr="00752E71">
        <w:rPr>
          <w:rFonts w:cstheme="minorHAnsi"/>
        </w:rPr>
        <w:t>evelopment is not only contextual</w:t>
      </w:r>
      <w:r w:rsidR="009C40D9">
        <w:rPr>
          <w:rFonts w:cstheme="minorHAnsi"/>
        </w:rPr>
        <w:t>,</w:t>
      </w:r>
      <w:r w:rsidR="006D2893">
        <w:rPr>
          <w:rFonts w:cstheme="minorHAnsi"/>
        </w:rPr>
        <w:t xml:space="preserve"> </w:t>
      </w:r>
      <w:r w:rsidR="005577D7" w:rsidRPr="00752E71">
        <w:rPr>
          <w:rFonts w:cstheme="minorHAnsi"/>
        </w:rPr>
        <w:t>but substantive. For instance</w:t>
      </w:r>
      <w:r w:rsidR="008B5583" w:rsidRPr="00752E71">
        <w:rPr>
          <w:rFonts w:cstheme="minorHAnsi"/>
        </w:rPr>
        <w:t>,</w:t>
      </w:r>
      <w:r w:rsidR="005577D7" w:rsidRPr="00752E71">
        <w:rPr>
          <w:rFonts w:cstheme="minorHAnsi"/>
        </w:rPr>
        <w:t xml:space="preserve"> the preamble notes that </w:t>
      </w:r>
      <w:r w:rsidRPr="00752E71">
        <w:rPr>
          <w:rFonts w:cstheme="minorHAnsi"/>
        </w:rPr>
        <w:t>due to the historic injustices</w:t>
      </w:r>
      <w:r w:rsidR="009478A2" w:rsidRPr="00752E71">
        <w:rPr>
          <w:rFonts w:cstheme="minorHAnsi"/>
        </w:rPr>
        <w:t>,</w:t>
      </w:r>
      <w:r w:rsidRPr="00752E71">
        <w:rPr>
          <w:rFonts w:cstheme="minorHAnsi"/>
        </w:rPr>
        <w:t xml:space="preserve"> </w:t>
      </w:r>
      <w:r w:rsidR="009478A2" w:rsidRPr="00752E71">
        <w:rPr>
          <w:rFonts w:cstheme="minorHAnsi"/>
        </w:rPr>
        <w:t>such as</w:t>
      </w:r>
      <w:r w:rsidRPr="00752E71">
        <w:rPr>
          <w:rFonts w:cstheme="minorHAnsi"/>
        </w:rPr>
        <w:t xml:space="preserve">, colonization and dispossession of their lands, territories and resources, </w:t>
      </w:r>
      <w:r w:rsidR="00752E71">
        <w:rPr>
          <w:rFonts w:cstheme="minorHAnsi"/>
        </w:rPr>
        <w:t xml:space="preserve">this </w:t>
      </w:r>
      <w:r w:rsidRPr="00752E71">
        <w:rPr>
          <w:rFonts w:cstheme="minorHAnsi"/>
        </w:rPr>
        <w:t xml:space="preserve">has prevented the exercise of a right to development in accordance with their own needs and interests, </w:t>
      </w:r>
      <w:r w:rsidR="009478A2" w:rsidRPr="00752E71">
        <w:rPr>
          <w:rFonts w:cstheme="minorHAnsi"/>
        </w:rPr>
        <w:t xml:space="preserve">and </w:t>
      </w:r>
      <w:r w:rsidRPr="00752E71">
        <w:rPr>
          <w:rFonts w:cstheme="minorHAnsi"/>
        </w:rPr>
        <w:t xml:space="preserve">there is a resulting need for </w:t>
      </w:r>
      <w:r w:rsidR="00081C7D">
        <w:rPr>
          <w:rFonts w:cstheme="minorHAnsi"/>
        </w:rPr>
        <w:t>Indigenous Peoples</w:t>
      </w:r>
      <w:r w:rsidRPr="00752E71">
        <w:rPr>
          <w:rFonts w:cstheme="minorHAnsi"/>
        </w:rPr>
        <w:t xml:space="preserve"> to promote their development in accordance with their aspiration and needs. In addition</w:t>
      </w:r>
      <w:r w:rsidR="008B5583" w:rsidRPr="00752E71">
        <w:rPr>
          <w:rFonts w:cstheme="minorHAnsi"/>
        </w:rPr>
        <w:t>,</w:t>
      </w:r>
      <w:r w:rsidRPr="00752E71">
        <w:rPr>
          <w:rFonts w:cstheme="minorHAnsi"/>
        </w:rPr>
        <w:t xml:space="preserve"> the preamble recognises that the respect for Indigenous knowledge contributes to equitable development </w:t>
      </w:r>
      <w:r w:rsidR="007C4FF5" w:rsidRPr="00752E71">
        <w:rPr>
          <w:rFonts w:cstheme="minorHAnsi"/>
        </w:rPr>
        <w:t xml:space="preserve">and importantly that the UN Charter affirms the fundamental importance of a right to self-determination by which </w:t>
      </w:r>
      <w:r w:rsidR="00081C7D">
        <w:rPr>
          <w:rFonts w:cstheme="minorHAnsi"/>
        </w:rPr>
        <w:t>Indigenous Peoples</w:t>
      </w:r>
      <w:r w:rsidR="007C4FF5" w:rsidRPr="00752E71">
        <w:rPr>
          <w:rFonts w:cstheme="minorHAnsi"/>
        </w:rPr>
        <w:t xml:space="preserve"> freely determine and pursue their own economic, social and cultural development.</w:t>
      </w:r>
    </w:p>
    <w:p w14:paraId="4FA8AF81" w14:textId="77777777" w:rsidR="00752E71" w:rsidRPr="00752E71" w:rsidRDefault="00752E71" w:rsidP="00752E71">
      <w:pPr>
        <w:pStyle w:val="ListParagraph"/>
        <w:rPr>
          <w:rFonts w:cstheme="minorHAnsi"/>
        </w:rPr>
      </w:pPr>
    </w:p>
    <w:p w14:paraId="16850898" w14:textId="4276B0ED" w:rsidR="00D5426F" w:rsidRPr="00752E71" w:rsidRDefault="007C4FF5" w:rsidP="00AD4094">
      <w:pPr>
        <w:pStyle w:val="ListParagraph"/>
        <w:numPr>
          <w:ilvl w:val="0"/>
          <w:numId w:val="14"/>
        </w:numPr>
        <w:spacing w:line="360" w:lineRule="auto"/>
        <w:jc w:val="both"/>
        <w:rPr>
          <w:rFonts w:cstheme="minorHAnsi"/>
        </w:rPr>
      </w:pPr>
      <w:r w:rsidRPr="00752E71">
        <w:rPr>
          <w:rFonts w:cstheme="minorHAnsi"/>
        </w:rPr>
        <w:t xml:space="preserve">Within the substantive articles the key right of self-determination captures the right of </w:t>
      </w:r>
      <w:r w:rsidR="00081C7D">
        <w:rPr>
          <w:rFonts w:cstheme="minorHAnsi"/>
        </w:rPr>
        <w:t>Indigenous Peoples</w:t>
      </w:r>
      <w:r w:rsidRPr="00752E71">
        <w:rPr>
          <w:rFonts w:cstheme="minorHAnsi"/>
        </w:rPr>
        <w:t xml:space="preserve"> to freely ‘determine their political status and freely pursue their economic, social and cultural development.’ Additional articles within the UNDRIP </w:t>
      </w:r>
      <w:r w:rsidR="00582DD8" w:rsidRPr="00752E71">
        <w:rPr>
          <w:rFonts w:cstheme="minorHAnsi"/>
        </w:rPr>
        <w:t>apply this to</w:t>
      </w:r>
      <w:r w:rsidR="009C40D9">
        <w:rPr>
          <w:rFonts w:cstheme="minorHAnsi"/>
        </w:rPr>
        <w:t>:</w:t>
      </w:r>
    </w:p>
    <w:p w14:paraId="0E64F8C8" w14:textId="41BA4AFF" w:rsidR="00D5426F" w:rsidRDefault="00582DD8" w:rsidP="00752E71">
      <w:pPr>
        <w:pStyle w:val="ListParagraph"/>
        <w:numPr>
          <w:ilvl w:val="0"/>
          <w:numId w:val="19"/>
        </w:numPr>
        <w:spacing w:line="360" w:lineRule="auto"/>
        <w:jc w:val="both"/>
        <w:rPr>
          <w:rFonts w:cstheme="minorHAnsi"/>
        </w:rPr>
      </w:pPr>
      <w:r w:rsidRPr="00752E71">
        <w:rPr>
          <w:rFonts w:cstheme="minorHAnsi"/>
        </w:rPr>
        <w:t xml:space="preserve">‘maintain, protect and develop the past, present and future manifestations of their cultures, such as archaeological and historical sites, artefacts, designs, ceremonies, technologies and visual and performing arts and literature’ (art 11); </w:t>
      </w:r>
    </w:p>
    <w:p w14:paraId="2D70D56F" w14:textId="20156E7A" w:rsidR="00D5426F" w:rsidRDefault="00B652D9" w:rsidP="00752E71">
      <w:pPr>
        <w:pStyle w:val="ListParagraph"/>
        <w:numPr>
          <w:ilvl w:val="0"/>
          <w:numId w:val="19"/>
        </w:numPr>
        <w:spacing w:line="360" w:lineRule="auto"/>
        <w:jc w:val="both"/>
        <w:rPr>
          <w:rFonts w:cstheme="minorHAnsi"/>
        </w:rPr>
      </w:pPr>
      <w:r>
        <w:rPr>
          <w:rFonts w:cstheme="minorHAnsi"/>
        </w:rPr>
        <w:t>‘</w:t>
      </w:r>
      <w:r w:rsidR="00582DD8" w:rsidRPr="00752E71">
        <w:rPr>
          <w:rFonts w:cstheme="minorHAnsi"/>
        </w:rPr>
        <w:t>the right to manifest, practice,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r>
        <w:rPr>
          <w:rFonts w:cstheme="minorHAnsi"/>
        </w:rPr>
        <w:t>’</w:t>
      </w:r>
      <w:r w:rsidR="00582DD8" w:rsidRPr="00752E71">
        <w:rPr>
          <w:rFonts w:cstheme="minorHAnsi"/>
        </w:rPr>
        <w:t xml:space="preserve"> (art 12); </w:t>
      </w:r>
    </w:p>
    <w:p w14:paraId="37C4EB90" w14:textId="49A53A8E" w:rsidR="00D5426F" w:rsidRDefault="00B652D9" w:rsidP="00752E71">
      <w:pPr>
        <w:pStyle w:val="ListParagraph"/>
        <w:numPr>
          <w:ilvl w:val="0"/>
          <w:numId w:val="19"/>
        </w:numPr>
        <w:spacing w:line="360" w:lineRule="auto"/>
        <w:jc w:val="both"/>
        <w:rPr>
          <w:rFonts w:cstheme="minorHAnsi"/>
        </w:rPr>
      </w:pPr>
      <w:r>
        <w:rPr>
          <w:rFonts w:cstheme="minorHAnsi"/>
        </w:rPr>
        <w:t>‘</w:t>
      </w:r>
      <w:r w:rsidR="00582DD8" w:rsidRPr="00752E71">
        <w:rPr>
          <w:rFonts w:cstheme="minorHAnsi"/>
        </w:rPr>
        <w:t>the right to revitalize, use, develop and transmit to future generations their histories, languages, oral traditions, philosophies, writing systems and literatures, and to designate and retain their own names for communities, places and persons</w:t>
      </w:r>
      <w:r>
        <w:rPr>
          <w:rFonts w:cstheme="minorHAnsi"/>
        </w:rPr>
        <w:t>’</w:t>
      </w:r>
      <w:r w:rsidR="00582DD8" w:rsidRPr="00752E71">
        <w:rPr>
          <w:rFonts w:cstheme="minorHAnsi"/>
        </w:rPr>
        <w:t xml:space="preserve"> (art 13); </w:t>
      </w:r>
    </w:p>
    <w:p w14:paraId="1471326B" w14:textId="5FC00CE8" w:rsidR="00D5426F" w:rsidRDefault="004E31AD" w:rsidP="00752E71">
      <w:pPr>
        <w:pStyle w:val="ListParagraph"/>
        <w:numPr>
          <w:ilvl w:val="0"/>
          <w:numId w:val="19"/>
        </w:numPr>
        <w:spacing w:line="360" w:lineRule="auto"/>
        <w:jc w:val="both"/>
        <w:rPr>
          <w:rFonts w:cstheme="minorHAnsi"/>
        </w:rPr>
      </w:pPr>
      <w:r>
        <w:rPr>
          <w:rFonts w:cstheme="minorHAnsi"/>
        </w:rPr>
        <w:t>‘</w:t>
      </w:r>
      <w:r w:rsidR="00582DD8" w:rsidRPr="00752E71">
        <w:rPr>
          <w:rFonts w:cstheme="minorHAnsi"/>
        </w:rPr>
        <w:t xml:space="preserve">the right to participate in decision-making in matters which would affect their rights, through representatives chosen by themselves in accordance with their own procedures, as well as to maintain and develop their own indigenous decision-making institutions </w:t>
      </w:r>
      <w:r>
        <w:rPr>
          <w:rFonts w:cstheme="minorHAnsi"/>
        </w:rPr>
        <w:t>‘</w:t>
      </w:r>
      <w:r w:rsidR="00582DD8" w:rsidRPr="00752E71">
        <w:rPr>
          <w:rFonts w:cstheme="minorHAnsi"/>
        </w:rPr>
        <w:t xml:space="preserve">(art 18); </w:t>
      </w:r>
    </w:p>
    <w:p w14:paraId="27397F1D" w14:textId="4DF78DD3" w:rsidR="00D5426F" w:rsidRDefault="00B652D9" w:rsidP="00752E71">
      <w:pPr>
        <w:pStyle w:val="ListParagraph"/>
        <w:numPr>
          <w:ilvl w:val="0"/>
          <w:numId w:val="19"/>
        </w:numPr>
        <w:spacing w:line="360" w:lineRule="auto"/>
        <w:jc w:val="both"/>
        <w:rPr>
          <w:rFonts w:cstheme="minorHAnsi"/>
        </w:rPr>
      </w:pPr>
      <w:r>
        <w:rPr>
          <w:rFonts w:cstheme="minorHAnsi"/>
        </w:rPr>
        <w:t>‘</w:t>
      </w:r>
      <w:r w:rsidR="00582DD8" w:rsidRPr="00752E71">
        <w:rPr>
          <w:rFonts w:cstheme="minorHAnsi"/>
        </w:rPr>
        <w:t xml:space="preserve">the right to maintain and develop their political, economic and social systems or institutions, to be secure in the enjoyment of their own means of subsistence and </w:t>
      </w:r>
      <w:r w:rsidR="00582DD8" w:rsidRPr="00752E71">
        <w:rPr>
          <w:rFonts w:cstheme="minorHAnsi"/>
        </w:rPr>
        <w:lastRenderedPageBreak/>
        <w:t>development, and to engage freely in all their traditional and other economic activities</w:t>
      </w:r>
      <w:r>
        <w:rPr>
          <w:rFonts w:cstheme="minorHAnsi"/>
        </w:rPr>
        <w:t>’</w:t>
      </w:r>
      <w:r w:rsidR="00582DD8" w:rsidRPr="00752E71">
        <w:rPr>
          <w:rFonts w:cstheme="minorHAnsi"/>
        </w:rPr>
        <w:t xml:space="preserve"> (art 20); </w:t>
      </w:r>
    </w:p>
    <w:p w14:paraId="7D88B73A" w14:textId="4812A8F9" w:rsidR="00D5426F" w:rsidRDefault="00B652D9" w:rsidP="00752E71">
      <w:pPr>
        <w:pStyle w:val="ListParagraph"/>
        <w:numPr>
          <w:ilvl w:val="0"/>
          <w:numId w:val="19"/>
        </w:numPr>
        <w:spacing w:line="360" w:lineRule="auto"/>
        <w:jc w:val="both"/>
        <w:rPr>
          <w:rFonts w:cstheme="minorHAnsi"/>
        </w:rPr>
      </w:pPr>
      <w:r>
        <w:rPr>
          <w:rFonts w:cstheme="minorHAnsi"/>
        </w:rPr>
        <w:t>‘</w:t>
      </w:r>
      <w:r w:rsidR="00582DD8" w:rsidRPr="00752E71">
        <w:rPr>
          <w:rFonts w:cstheme="minorHAnsi"/>
        </w:rPr>
        <w:t xml:space="preserve">the right to determine and develop priorities and strategies for exercising their right to development. In particular, </w:t>
      </w:r>
      <w:r w:rsidR="00081C7D">
        <w:rPr>
          <w:rFonts w:cstheme="minorHAnsi"/>
        </w:rPr>
        <w:t>Indigenous Peoples</w:t>
      </w:r>
      <w:r w:rsidR="00582DD8" w:rsidRPr="00752E71">
        <w:rPr>
          <w:rFonts w:cstheme="minorHAnsi"/>
        </w:rPr>
        <w:t xml:space="preserve"> have the right to be actively involved in developing and determining health, housing and other economic and social programmes affecting them and, as far as possible, to administer such programmes through their own institutions</w:t>
      </w:r>
      <w:r>
        <w:rPr>
          <w:rFonts w:cstheme="minorHAnsi"/>
        </w:rPr>
        <w:t>’</w:t>
      </w:r>
      <w:r w:rsidR="00582DD8" w:rsidRPr="00752E71">
        <w:rPr>
          <w:rFonts w:cstheme="minorHAnsi"/>
        </w:rPr>
        <w:t xml:space="preserve"> (art 23);  </w:t>
      </w:r>
    </w:p>
    <w:p w14:paraId="2F27D3D7" w14:textId="15A7C4EA" w:rsidR="00D5426F" w:rsidRDefault="00B652D9" w:rsidP="00752E71">
      <w:pPr>
        <w:pStyle w:val="ListParagraph"/>
        <w:numPr>
          <w:ilvl w:val="0"/>
          <w:numId w:val="19"/>
        </w:numPr>
        <w:spacing w:line="360" w:lineRule="auto"/>
        <w:jc w:val="both"/>
        <w:rPr>
          <w:rFonts w:cstheme="minorHAnsi"/>
        </w:rPr>
      </w:pPr>
      <w:r>
        <w:rPr>
          <w:rFonts w:cstheme="minorHAnsi"/>
        </w:rPr>
        <w:t>‘</w:t>
      </w:r>
      <w:r w:rsidR="00582DD8" w:rsidRPr="00752E71">
        <w:rPr>
          <w:rFonts w:cstheme="minorHAnsi"/>
        </w:rPr>
        <w:t>the right to own, use, develop and control the lands, territories and resources that they possess by reason of traditional ownership or other traditional occupation or use, as well as those which they have otherwise acquired</w:t>
      </w:r>
      <w:r>
        <w:rPr>
          <w:rFonts w:cstheme="minorHAnsi"/>
        </w:rPr>
        <w:t>’</w:t>
      </w:r>
      <w:r w:rsidR="00582DD8" w:rsidRPr="00752E71">
        <w:rPr>
          <w:rFonts w:cstheme="minorHAnsi"/>
        </w:rPr>
        <w:t xml:space="preserve"> (art 26 (2)); </w:t>
      </w:r>
    </w:p>
    <w:p w14:paraId="0422249A" w14:textId="0F3458A3" w:rsidR="00D5426F" w:rsidRDefault="00B652D9" w:rsidP="00752E71">
      <w:pPr>
        <w:pStyle w:val="ListParagraph"/>
        <w:numPr>
          <w:ilvl w:val="0"/>
          <w:numId w:val="19"/>
        </w:numPr>
        <w:spacing w:line="360" w:lineRule="auto"/>
        <w:jc w:val="both"/>
        <w:rPr>
          <w:rFonts w:cstheme="minorHAnsi"/>
        </w:rPr>
      </w:pPr>
      <w:r>
        <w:rPr>
          <w:rFonts w:cstheme="minorHAnsi"/>
        </w:rPr>
        <w:t>‘</w:t>
      </w:r>
      <w:r w:rsidR="00BF6584" w:rsidRPr="00752E71">
        <w:rPr>
          <w:rFonts w:cstheme="minorHAnsi"/>
        </w:rPr>
        <w:t>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Pr>
          <w:rFonts w:cstheme="minorHAnsi"/>
        </w:rPr>
        <w:t>’</w:t>
      </w:r>
      <w:r w:rsidR="00BF6584" w:rsidRPr="00752E71">
        <w:rPr>
          <w:rFonts w:cstheme="minorHAnsi"/>
        </w:rPr>
        <w:t xml:space="preserve"> (art 31); </w:t>
      </w:r>
    </w:p>
    <w:p w14:paraId="26F6C583" w14:textId="22A30623" w:rsidR="00D5426F" w:rsidRPr="00B652D9" w:rsidRDefault="00B652D9" w:rsidP="00B652D9">
      <w:pPr>
        <w:pStyle w:val="ListParagraph"/>
        <w:numPr>
          <w:ilvl w:val="0"/>
          <w:numId w:val="19"/>
        </w:numPr>
        <w:spacing w:line="360" w:lineRule="auto"/>
        <w:jc w:val="both"/>
        <w:rPr>
          <w:rFonts w:cstheme="minorHAnsi"/>
        </w:rPr>
      </w:pPr>
      <w:r>
        <w:rPr>
          <w:rFonts w:cstheme="minorHAnsi"/>
        </w:rPr>
        <w:t>‘</w:t>
      </w:r>
      <w:r w:rsidR="00BF6584" w:rsidRPr="00752E71">
        <w:rPr>
          <w:rFonts w:cstheme="minorHAnsi"/>
        </w:rPr>
        <w:t>the right to determine and develop priorities and strategies for the development or use of their lands or territories and other resources</w:t>
      </w:r>
      <w:r>
        <w:rPr>
          <w:rFonts w:cstheme="minorHAnsi"/>
        </w:rPr>
        <w:t>’</w:t>
      </w:r>
      <w:r w:rsidR="00BF6584" w:rsidRPr="00752E71">
        <w:rPr>
          <w:rFonts w:cstheme="minorHAnsi"/>
        </w:rPr>
        <w:t xml:space="preserve"> (art 32)</w:t>
      </w:r>
      <w:r>
        <w:rPr>
          <w:rFonts w:cstheme="minorHAnsi"/>
        </w:rPr>
        <w:t xml:space="preserve"> and </w:t>
      </w:r>
      <w:r w:rsidR="00E41F5F" w:rsidRPr="00B652D9">
        <w:rPr>
          <w:rFonts w:cstheme="minorHAnsi"/>
        </w:rPr>
        <w:t xml:space="preserve">States shall consult and cooperate in good faith with the </w:t>
      </w:r>
      <w:r w:rsidR="00081C7D">
        <w:rPr>
          <w:rFonts w:cstheme="minorHAnsi"/>
        </w:rPr>
        <w:t>Indigenous Peoples</w:t>
      </w:r>
      <w:r w:rsidR="00E41F5F" w:rsidRPr="00B652D9">
        <w:rPr>
          <w:rFonts w:cstheme="minorHAnsi"/>
        </w:rPr>
        <w:t xml:space="preserve">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r w:rsidR="004E31AD">
        <w:rPr>
          <w:rFonts w:cstheme="minorHAnsi"/>
        </w:rPr>
        <w:t>’</w:t>
      </w:r>
      <w:r w:rsidR="00E41F5F" w:rsidRPr="00B652D9">
        <w:rPr>
          <w:rFonts w:cstheme="minorHAnsi"/>
        </w:rPr>
        <w:t xml:space="preserve"> (art 32 (2)); </w:t>
      </w:r>
    </w:p>
    <w:p w14:paraId="6397766E" w14:textId="669F9240" w:rsidR="00D5426F" w:rsidRDefault="00B652D9" w:rsidP="00752E71">
      <w:pPr>
        <w:pStyle w:val="ListParagraph"/>
        <w:numPr>
          <w:ilvl w:val="0"/>
          <w:numId w:val="19"/>
        </w:numPr>
        <w:spacing w:line="360" w:lineRule="auto"/>
        <w:jc w:val="both"/>
        <w:rPr>
          <w:rFonts w:cstheme="minorHAnsi"/>
        </w:rPr>
      </w:pPr>
      <w:r>
        <w:rPr>
          <w:rFonts w:cstheme="minorHAnsi"/>
        </w:rPr>
        <w:t>‘</w:t>
      </w:r>
      <w:r w:rsidR="00A25229" w:rsidRPr="00752E71">
        <w:rPr>
          <w:rFonts w:cstheme="minorHAnsi"/>
        </w:rPr>
        <w:t>the right to promote, develop and maintain their institutional structures and their distinctive customs, spirituality, traditions, procedures, practices and, in the cases where they exist, juridical systems or customs, in accordance with international human rights standards</w:t>
      </w:r>
      <w:r>
        <w:rPr>
          <w:rFonts w:cstheme="minorHAnsi"/>
        </w:rPr>
        <w:t>’</w:t>
      </w:r>
      <w:r w:rsidR="00A25229" w:rsidRPr="00752E71">
        <w:rPr>
          <w:rFonts w:cstheme="minorHAnsi"/>
        </w:rPr>
        <w:t xml:space="preserve"> (art 34); </w:t>
      </w:r>
      <w:r>
        <w:rPr>
          <w:rFonts w:cstheme="minorHAnsi"/>
        </w:rPr>
        <w:t>and</w:t>
      </w:r>
    </w:p>
    <w:p w14:paraId="3211B968" w14:textId="77777777" w:rsidR="0085217A" w:rsidRDefault="00B652D9" w:rsidP="0085217A">
      <w:pPr>
        <w:pStyle w:val="ListParagraph"/>
        <w:numPr>
          <w:ilvl w:val="0"/>
          <w:numId w:val="19"/>
        </w:numPr>
        <w:spacing w:line="360" w:lineRule="auto"/>
        <w:jc w:val="both"/>
        <w:rPr>
          <w:rFonts w:cstheme="minorHAnsi"/>
        </w:rPr>
      </w:pPr>
      <w:r>
        <w:rPr>
          <w:rFonts w:cstheme="minorHAnsi"/>
        </w:rPr>
        <w:t>‘</w:t>
      </w:r>
      <w:r w:rsidR="00A25229" w:rsidRPr="00752E71">
        <w:rPr>
          <w:rFonts w:cstheme="minorHAnsi"/>
        </w:rPr>
        <w:t>in particular those divided by international borders, have the right to maintain and develop contacts, relations and cooperation, including activities for spiritual, cultural, political, economic and social purposes, with their own members as well as other peoples across borders</w:t>
      </w:r>
      <w:r>
        <w:rPr>
          <w:rFonts w:cstheme="minorHAnsi"/>
        </w:rPr>
        <w:t>’</w:t>
      </w:r>
      <w:r w:rsidR="00A25229" w:rsidRPr="00752E71">
        <w:rPr>
          <w:rFonts w:cstheme="minorHAnsi"/>
        </w:rPr>
        <w:t xml:space="preserve"> (art 36).</w:t>
      </w:r>
    </w:p>
    <w:p w14:paraId="182A882E" w14:textId="77777777" w:rsidR="0085217A" w:rsidRDefault="0085217A" w:rsidP="0085217A">
      <w:pPr>
        <w:pStyle w:val="ListParagraph"/>
        <w:spacing w:line="360" w:lineRule="auto"/>
        <w:ind w:left="1080"/>
        <w:jc w:val="both"/>
        <w:rPr>
          <w:rFonts w:cstheme="minorHAnsi"/>
        </w:rPr>
      </w:pPr>
    </w:p>
    <w:p w14:paraId="412ACCEA" w14:textId="6D029C13" w:rsidR="0085217A" w:rsidRPr="0085217A" w:rsidRDefault="0085217A" w:rsidP="0085217A">
      <w:pPr>
        <w:pStyle w:val="ListParagraph"/>
        <w:spacing w:line="360" w:lineRule="auto"/>
        <w:ind w:left="1080"/>
        <w:jc w:val="both"/>
        <w:rPr>
          <w:rFonts w:cstheme="minorHAnsi"/>
        </w:rPr>
      </w:pPr>
      <w:r w:rsidRPr="0085217A">
        <w:rPr>
          <w:rFonts w:cstheme="minorHAnsi"/>
        </w:rPr>
        <w:t>Subsequently, the right to development is extensive and a key right for Indigenous Peoples recognised in conjunction with a host of activities including a specific right to development as provided in article 23. This contextual recognition of an Indigenous Right to Development is  central to an understanding of what the right entails and how it may be exercised</w:t>
      </w:r>
    </w:p>
    <w:p w14:paraId="2111C70A" w14:textId="77777777" w:rsidR="00752E71" w:rsidRPr="00752E71" w:rsidRDefault="00752E71" w:rsidP="00752E71">
      <w:pPr>
        <w:pStyle w:val="ListParagraph"/>
        <w:spacing w:line="360" w:lineRule="auto"/>
        <w:jc w:val="both"/>
        <w:rPr>
          <w:rFonts w:cstheme="minorHAnsi"/>
        </w:rPr>
      </w:pPr>
    </w:p>
    <w:p w14:paraId="3C2784C0" w14:textId="132226A7" w:rsidR="005706EB" w:rsidRPr="00552116" w:rsidRDefault="00552116" w:rsidP="006B45BC">
      <w:pPr>
        <w:spacing w:line="360" w:lineRule="auto"/>
        <w:ind w:left="360"/>
        <w:jc w:val="both"/>
        <w:rPr>
          <w:rFonts w:cstheme="minorHAnsi"/>
        </w:rPr>
      </w:pPr>
      <w:r w:rsidRPr="00552116">
        <w:rPr>
          <w:rFonts w:cstheme="minorHAnsi"/>
          <w:b/>
          <w:bCs/>
        </w:rPr>
        <w:lastRenderedPageBreak/>
        <w:t xml:space="preserve">Part Two: </w:t>
      </w:r>
      <w:r w:rsidR="00113ABF" w:rsidRPr="00552116">
        <w:rPr>
          <w:rFonts w:cstheme="minorHAnsi"/>
          <w:b/>
          <w:bCs/>
          <w:color w:val="000000" w:themeColor="text1"/>
        </w:rPr>
        <w:t>T</w:t>
      </w:r>
      <w:r w:rsidR="005706EB" w:rsidRPr="00552116">
        <w:rPr>
          <w:rFonts w:cstheme="minorHAnsi"/>
          <w:b/>
          <w:bCs/>
          <w:color w:val="000000" w:themeColor="text1"/>
        </w:rPr>
        <w:t xml:space="preserve">he </w:t>
      </w:r>
      <w:r w:rsidR="00BA3E78" w:rsidRPr="00552116">
        <w:rPr>
          <w:rFonts w:cstheme="minorHAnsi"/>
          <w:b/>
          <w:bCs/>
          <w:color w:val="000000" w:themeColor="text1"/>
        </w:rPr>
        <w:t xml:space="preserve">revised draft </w:t>
      </w:r>
      <w:r w:rsidR="00113ABF" w:rsidRPr="00552116">
        <w:rPr>
          <w:rFonts w:cstheme="minorHAnsi"/>
          <w:b/>
          <w:bCs/>
          <w:color w:val="000000" w:themeColor="text1"/>
        </w:rPr>
        <w:t>Convention on the Right to Development</w:t>
      </w:r>
      <w:r w:rsidR="006B45BC">
        <w:rPr>
          <w:rFonts w:cstheme="minorHAnsi"/>
          <w:b/>
          <w:bCs/>
          <w:color w:val="000000" w:themeColor="text1"/>
        </w:rPr>
        <w:t xml:space="preserve"> and an Indigenous right to development</w:t>
      </w:r>
    </w:p>
    <w:p w14:paraId="46F51F8E" w14:textId="77777777" w:rsidR="00F53C73" w:rsidRDefault="00F53C73" w:rsidP="00AD4094">
      <w:pPr>
        <w:spacing w:line="360" w:lineRule="auto"/>
        <w:jc w:val="both"/>
        <w:rPr>
          <w:rFonts w:cstheme="minorHAnsi"/>
        </w:rPr>
      </w:pPr>
    </w:p>
    <w:p w14:paraId="136A95BA" w14:textId="0EC0C8F5" w:rsidR="00435CAC" w:rsidRDefault="00435CAC" w:rsidP="00A344DC">
      <w:pPr>
        <w:pStyle w:val="ListParagraph"/>
        <w:numPr>
          <w:ilvl w:val="0"/>
          <w:numId w:val="14"/>
        </w:numPr>
        <w:spacing w:line="360" w:lineRule="auto"/>
        <w:jc w:val="both"/>
        <w:rPr>
          <w:rFonts w:cstheme="minorHAnsi"/>
        </w:rPr>
      </w:pPr>
      <w:r w:rsidRPr="00A344DC">
        <w:rPr>
          <w:rFonts w:cstheme="minorHAnsi"/>
        </w:rPr>
        <w:t xml:space="preserve">The </w:t>
      </w:r>
      <w:r w:rsidR="0053543C" w:rsidRPr="00A344DC">
        <w:rPr>
          <w:rFonts w:cstheme="minorHAnsi"/>
        </w:rPr>
        <w:t xml:space="preserve">revised </w:t>
      </w:r>
      <w:r w:rsidRPr="00A344DC">
        <w:rPr>
          <w:rFonts w:cstheme="minorHAnsi"/>
        </w:rPr>
        <w:t xml:space="preserve">draft Convention on the Right to Development was released in </w:t>
      </w:r>
      <w:r w:rsidR="0053543C" w:rsidRPr="00A344DC">
        <w:rPr>
          <w:rFonts w:cstheme="minorHAnsi"/>
        </w:rPr>
        <w:t xml:space="preserve">April, 2022 </w:t>
      </w:r>
      <w:r w:rsidRPr="00A344DC">
        <w:rPr>
          <w:rFonts w:cstheme="minorHAnsi"/>
        </w:rPr>
        <w:t>and contains 3</w:t>
      </w:r>
      <w:r w:rsidR="0053543C" w:rsidRPr="00A344DC">
        <w:rPr>
          <w:rFonts w:cstheme="minorHAnsi"/>
        </w:rPr>
        <w:t>8</w:t>
      </w:r>
      <w:r w:rsidRPr="00A344DC">
        <w:rPr>
          <w:rFonts w:cstheme="minorHAnsi"/>
        </w:rPr>
        <w:t xml:space="preserve"> articles in five parts.</w:t>
      </w:r>
      <w:r w:rsidRPr="00113ABF">
        <w:rPr>
          <w:rStyle w:val="FootnoteReference"/>
          <w:rFonts w:cstheme="minorHAnsi"/>
        </w:rPr>
        <w:footnoteReference w:id="14"/>
      </w:r>
      <w:r w:rsidRPr="00A344DC">
        <w:rPr>
          <w:rFonts w:cstheme="minorHAnsi"/>
        </w:rPr>
        <w:t xml:space="preserve"> The Draft draws on the previous 1986 UN Declaration on the Right to Development and the UDHR seeking to consolidate the interdependence between human rights and development by providing a</w:t>
      </w:r>
      <w:r w:rsidR="006D2893">
        <w:rPr>
          <w:rFonts w:cstheme="minorHAnsi"/>
        </w:rPr>
        <w:t>,</w:t>
      </w:r>
      <w:r w:rsidRPr="00A344DC">
        <w:rPr>
          <w:rFonts w:cstheme="minorHAnsi"/>
        </w:rPr>
        <w:t xml:space="preserve"> potentially</w:t>
      </w:r>
      <w:r w:rsidR="006D2893">
        <w:rPr>
          <w:rFonts w:cstheme="minorHAnsi"/>
        </w:rPr>
        <w:t>,</w:t>
      </w:r>
      <w:r w:rsidRPr="00A344DC">
        <w:rPr>
          <w:rFonts w:cstheme="minorHAnsi"/>
        </w:rPr>
        <w:t xml:space="preserve"> binding framework as well as addressing the gaps from the previous Convention.</w:t>
      </w:r>
      <w:r w:rsidRPr="00113ABF">
        <w:rPr>
          <w:rStyle w:val="FootnoteReference"/>
          <w:rFonts w:cstheme="minorHAnsi"/>
        </w:rPr>
        <w:footnoteReference w:id="15"/>
      </w:r>
      <w:r w:rsidRPr="00A344DC">
        <w:rPr>
          <w:rFonts w:cstheme="minorHAnsi"/>
        </w:rPr>
        <w:t xml:space="preserve"> The previous UN Declaration on the Right to Development was silent on an Indigenous right to development and this </w:t>
      </w:r>
      <w:r w:rsidR="0053543C" w:rsidRPr="00A344DC">
        <w:rPr>
          <w:rFonts w:cstheme="minorHAnsi"/>
        </w:rPr>
        <w:t xml:space="preserve">revised </w:t>
      </w:r>
      <w:r w:rsidRPr="00A344DC">
        <w:rPr>
          <w:rFonts w:cstheme="minorHAnsi"/>
        </w:rPr>
        <w:t>draft Convention provides an opportunity to ameliorate this lacuna.</w:t>
      </w:r>
    </w:p>
    <w:p w14:paraId="4D1F631F" w14:textId="77777777" w:rsidR="00A344DC" w:rsidRDefault="00A344DC" w:rsidP="00A344DC">
      <w:pPr>
        <w:pStyle w:val="ListParagraph"/>
        <w:spacing w:line="360" w:lineRule="auto"/>
        <w:jc w:val="both"/>
        <w:rPr>
          <w:rFonts w:cstheme="minorHAnsi"/>
        </w:rPr>
      </w:pPr>
    </w:p>
    <w:p w14:paraId="51D52A70" w14:textId="5157F4B7" w:rsidR="00F34E5C" w:rsidRDefault="00517357" w:rsidP="00F34E5C">
      <w:pPr>
        <w:pStyle w:val="ListParagraph"/>
        <w:numPr>
          <w:ilvl w:val="0"/>
          <w:numId w:val="14"/>
        </w:numPr>
        <w:spacing w:line="360" w:lineRule="auto"/>
        <w:jc w:val="both"/>
        <w:rPr>
          <w:rFonts w:cstheme="minorHAnsi"/>
        </w:rPr>
      </w:pPr>
      <w:r w:rsidRPr="00A344DC">
        <w:rPr>
          <w:rFonts w:cstheme="minorHAnsi"/>
        </w:rPr>
        <w:t>Refreshingly</w:t>
      </w:r>
      <w:r w:rsidR="00CC1817">
        <w:rPr>
          <w:rFonts w:cstheme="minorHAnsi"/>
        </w:rPr>
        <w:t>,</w:t>
      </w:r>
      <w:r w:rsidRPr="00A344DC">
        <w:rPr>
          <w:rFonts w:cstheme="minorHAnsi"/>
        </w:rPr>
        <w:t xml:space="preserve"> the reference to </w:t>
      </w:r>
      <w:r w:rsidR="00081C7D">
        <w:rPr>
          <w:rFonts w:cstheme="minorHAnsi"/>
        </w:rPr>
        <w:t>Indigenous Peoples</w:t>
      </w:r>
      <w:r w:rsidRPr="00A344DC">
        <w:rPr>
          <w:rFonts w:cstheme="minorHAnsi"/>
        </w:rPr>
        <w:t xml:space="preserve"> is included in both the </w:t>
      </w:r>
      <w:r w:rsidR="006A4AC7" w:rsidRPr="00A344DC">
        <w:rPr>
          <w:rFonts w:cstheme="minorHAnsi"/>
        </w:rPr>
        <w:t xml:space="preserve">preamble of the current </w:t>
      </w:r>
      <w:r w:rsidR="00F34E5C">
        <w:rPr>
          <w:rFonts w:cstheme="minorHAnsi"/>
        </w:rPr>
        <w:t xml:space="preserve">revised </w:t>
      </w:r>
      <w:r w:rsidRPr="00A344DC">
        <w:rPr>
          <w:rFonts w:cstheme="minorHAnsi"/>
        </w:rPr>
        <w:t xml:space="preserve">draft </w:t>
      </w:r>
      <w:r w:rsidR="006A4AC7" w:rsidRPr="00A344DC">
        <w:rPr>
          <w:rFonts w:cstheme="minorHAnsi"/>
        </w:rPr>
        <w:t xml:space="preserve">Convention </w:t>
      </w:r>
      <w:r w:rsidRPr="00A344DC">
        <w:rPr>
          <w:rFonts w:cstheme="minorHAnsi"/>
        </w:rPr>
        <w:t xml:space="preserve">and also the substantive articles. The preamble </w:t>
      </w:r>
      <w:r w:rsidR="00D80C5F">
        <w:rPr>
          <w:rFonts w:cstheme="minorHAnsi"/>
        </w:rPr>
        <w:t>references</w:t>
      </w:r>
      <w:r w:rsidR="00F34E5C">
        <w:rPr>
          <w:rFonts w:cstheme="minorHAnsi"/>
        </w:rPr>
        <w:t xml:space="preserve"> </w:t>
      </w:r>
      <w:r w:rsidR="00D80C5F">
        <w:rPr>
          <w:rFonts w:cstheme="minorHAnsi"/>
        </w:rPr>
        <w:t>the</w:t>
      </w:r>
      <w:r w:rsidR="006D2893">
        <w:rPr>
          <w:rFonts w:cstheme="minorHAnsi"/>
        </w:rPr>
        <w:t xml:space="preserve"> </w:t>
      </w:r>
      <w:r w:rsidR="00D80C5F">
        <w:rPr>
          <w:rFonts w:cstheme="minorHAnsi"/>
        </w:rPr>
        <w:t xml:space="preserve">rights of </w:t>
      </w:r>
      <w:r w:rsidR="00081C7D">
        <w:rPr>
          <w:rFonts w:cstheme="minorHAnsi"/>
        </w:rPr>
        <w:t>Indigenous Peoples</w:t>
      </w:r>
      <w:r w:rsidR="00D80C5F">
        <w:rPr>
          <w:rFonts w:cstheme="minorHAnsi"/>
        </w:rPr>
        <w:t xml:space="preserve"> as contained in specific international instruments and practices</w:t>
      </w:r>
      <w:r w:rsidR="006A4AC7" w:rsidRPr="00A344DC">
        <w:rPr>
          <w:rFonts w:cstheme="minorHAnsi"/>
        </w:rPr>
        <w:t>:</w:t>
      </w:r>
    </w:p>
    <w:p w14:paraId="79C9DD55" w14:textId="77777777" w:rsidR="00F34E5C" w:rsidRPr="00F34E5C" w:rsidRDefault="00F34E5C" w:rsidP="00F34E5C">
      <w:pPr>
        <w:pStyle w:val="ListParagraph"/>
        <w:rPr>
          <w:rFonts w:cstheme="minorHAnsi"/>
        </w:rPr>
      </w:pPr>
    </w:p>
    <w:p w14:paraId="053C6C9E" w14:textId="4D9BAE97" w:rsidR="006A4AC7" w:rsidRDefault="00F34E5C" w:rsidP="00F34E5C">
      <w:pPr>
        <w:pStyle w:val="ListParagraph"/>
        <w:numPr>
          <w:ilvl w:val="0"/>
          <w:numId w:val="23"/>
        </w:numPr>
        <w:spacing w:line="360" w:lineRule="auto"/>
        <w:jc w:val="both"/>
        <w:rPr>
          <w:rFonts w:cstheme="minorHAnsi"/>
        </w:rPr>
      </w:pPr>
      <w:r w:rsidRPr="00F34E5C">
        <w:rPr>
          <w:rFonts w:cstheme="minorHAnsi"/>
          <w:i/>
          <w:iCs/>
        </w:rPr>
        <w:t>Recalling</w:t>
      </w:r>
      <w:r w:rsidRPr="00F34E5C">
        <w:rPr>
          <w:rFonts w:cstheme="minorHAnsi"/>
        </w:rPr>
        <w:t xml:space="preserve"> </w:t>
      </w:r>
      <w:r w:rsidR="006A4AC7" w:rsidRPr="00F34E5C">
        <w:rPr>
          <w:rFonts w:cstheme="minorHAnsi"/>
        </w:rPr>
        <w:t xml:space="preserve">the provisions of all human rights treaties, as well as other international instruments, including the United Nations Declaration on the Rights of </w:t>
      </w:r>
      <w:r w:rsidR="00081C7D">
        <w:rPr>
          <w:rFonts w:cstheme="minorHAnsi"/>
        </w:rPr>
        <w:t>Indigenous Peoples</w:t>
      </w:r>
      <w:r w:rsidR="006A4AC7" w:rsidRPr="00F34E5C">
        <w:rPr>
          <w:rFonts w:cstheme="minorHAnsi"/>
        </w:rPr>
        <w:t xml:space="preserve"> and the United Nations Declaration on the Rights of Peasants and Other People Working in Rural Areas,</w:t>
      </w:r>
    </w:p>
    <w:p w14:paraId="050FD876" w14:textId="69BEE685" w:rsidR="006A4AC7" w:rsidRDefault="006A4AC7" w:rsidP="00F34E5C">
      <w:pPr>
        <w:pStyle w:val="ListParagraph"/>
        <w:numPr>
          <w:ilvl w:val="0"/>
          <w:numId w:val="23"/>
        </w:numPr>
        <w:spacing w:line="360" w:lineRule="auto"/>
        <w:jc w:val="both"/>
        <w:rPr>
          <w:rFonts w:cstheme="minorHAnsi"/>
        </w:rPr>
      </w:pPr>
      <w:r w:rsidRPr="00F34E5C">
        <w:rPr>
          <w:rFonts w:cstheme="minorHAnsi"/>
          <w:i/>
          <w:iCs/>
        </w:rPr>
        <w:t xml:space="preserve">Recalling </w:t>
      </w:r>
      <w:r w:rsidRPr="00F34E5C">
        <w:rPr>
          <w:rFonts w:cstheme="minorHAnsi"/>
        </w:rPr>
        <w:t xml:space="preserve">the reaffirmation of the right to development in several international declarations, resolutions and agendas, including … the United Nations Declaration on the Rights of </w:t>
      </w:r>
      <w:r w:rsidR="00081C7D">
        <w:rPr>
          <w:rFonts w:cstheme="minorHAnsi"/>
        </w:rPr>
        <w:t>Indigenous Peoples</w:t>
      </w:r>
    </w:p>
    <w:p w14:paraId="319F3B78" w14:textId="64CC2928" w:rsidR="006A4AC7" w:rsidRPr="00F34E5C" w:rsidRDefault="006A4AC7" w:rsidP="00F34E5C">
      <w:pPr>
        <w:pStyle w:val="ListParagraph"/>
        <w:numPr>
          <w:ilvl w:val="0"/>
          <w:numId w:val="23"/>
        </w:numPr>
        <w:spacing w:line="360" w:lineRule="auto"/>
        <w:jc w:val="both"/>
        <w:rPr>
          <w:rFonts w:cstheme="minorHAnsi"/>
        </w:rPr>
      </w:pPr>
      <w:r w:rsidRPr="00F34E5C">
        <w:rPr>
          <w:rFonts w:cstheme="minorHAnsi"/>
          <w:i/>
          <w:iCs/>
        </w:rPr>
        <w:t xml:space="preserve">Taking note </w:t>
      </w:r>
      <w:r w:rsidRPr="00F34E5C">
        <w:rPr>
          <w:rFonts w:cstheme="minorHAnsi"/>
        </w:rPr>
        <w:t xml:space="preserve">of the regional human rights instruments and the subsequent practices relating thereto that specifically recognize and reaffirm the right to development, including the African Charter on Human and Peoples’ Rights, the Inter-American </w:t>
      </w:r>
      <w:r w:rsidRPr="00F34E5C">
        <w:rPr>
          <w:rFonts w:cstheme="minorHAnsi"/>
        </w:rPr>
        <w:lastRenderedPageBreak/>
        <w:t xml:space="preserve">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w:t>
      </w:r>
      <w:r w:rsidR="00081C7D">
        <w:rPr>
          <w:rFonts w:cstheme="minorHAnsi"/>
        </w:rPr>
        <w:t>Indigenous Peoples</w:t>
      </w:r>
      <w:r w:rsidRPr="00F34E5C">
        <w:rPr>
          <w:rFonts w:cstheme="minorHAnsi"/>
        </w:rPr>
        <w:t>, and the Abu Dhabi Declaration on the Right to Development</w:t>
      </w:r>
      <w:r w:rsidR="00A344DC" w:rsidRPr="00F34E5C">
        <w:rPr>
          <w:rFonts w:cstheme="minorHAnsi"/>
        </w:rPr>
        <w:t>.</w:t>
      </w:r>
    </w:p>
    <w:p w14:paraId="1F319EA9" w14:textId="77777777" w:rsidR="00A344DC" w:rsidRPr="00113ABF" w:rsidRDefault="00A344DC" w:rsidP="00A344DC">
      <w:pPr>
        <w:spacing w:line="360" w:lineRule="auto"/>
        <w:ind w:left="720"/>
        <w:jc w:val="both"/>
        <w:rPr>
          <w:rFonts w:cstheme="minorHAnsi"/>
        </w:rPr>
      </w:pPr>
    </w:p>
    <w:p w14:paraId="2FAE91A4" w14:textId="5063EC24" w:rsidR="00D96DBC" w:rsidRDefault="006A4AC7" w:rsidP="00A344DC">
      <w:pPr>
        <w:pStyle w:val="ListParagraph"/>
        <w:numPr>
          <w:ilvl w:val="0"/>
          <w:numId w:val="14"/>
        </w:numPr>
        <w:spacing w:line="360" w:lineRule="auto"/>
        <w:jc w:val="both"/>
        <w:rPr>
          <w:rFonts w:cstheme="minorHAnsi"/>
        </w:rPr>
      </w:pPr>
      <w:r w:rsidRPr="00A344DC">
        <w:rPr>
          <w:rFonts w:cstheme="minorHAnsi"/>
        </w:rPr>
        <w:t xml:space="preserve">More specifically </w:t>
      </w:r>
      <w:r w:rsidR="00F30016">
        <w:rPr>
          <w:rFonts w:cstheme="minorHAnsi"/>
        </w:rPr>
        <w:t xml:space="preserve">the </w:t>
      </w:r>
      <w:r w:rsidRPr="00A344DC">
        <w:rPr>
          <w:rFonts w:cstheme="minorHAnsi"/>
        </w:rPr>
        <w:t>substantive article 17</w:t>
      </w:r>
      <w:r w:rsidR="005D781B" w:rsidRPr="00A344DC">
        <w:rPr>
          <w:rFonts w:cstheme="minorHAnsi"/>
        </w:rPr>
        <w:t xml:space="preserve"> provides:</w:t>
      </w:r>
    </w:p>
    <w:p w14:paraId="11D899DD" w14:textId="77777777" w:rsidR="006B38B9" w:rsidRPr="00A344DC" w:rsidRDefault="006B38B9" w:rsidP="006B38B9">
      <w:pPr>
        <w:pStyle w:val="ListParagraph"/>
        <w:spacing w:line="360" w:lineRule="auto"/>
        <w:jc w:val="both"/>
        <w:rPr>
          <w:rFonts w:cstheme="minorHAnsi"/>
        </w:rPr>
      </w:pPr>
    </w:p>
    <w:p w14:paraId="65EB155F" w14:textId="372C624A" w:rsidR="006A4AC7" w:rsidRPr="00F34E5C" w:rsidRDefault="00081C7D" w:rsidP="00AD4094">
      <w:pPr>
        <w:pStyle w:val="Default"/>
        <w:numPr>
          <w:ilvl w:val="0"/>
          <w:numId w:val="11"/>
        </w:numPr>
        <w:spacing w:line="360" w:lineRule="auto"/>
        <w:jc w:val="both"/>
      </w:pPr>
      <w:r>
        <w:t>Indigenous Peoples</w:t>
      </w:r>
      <w:r w:rsidR="006A4AC7" w:rsidRPr="00F34E5C">
        <w:t xml:space="preserve"> have the right to freely pursue their development in all spheres, in accordance with their own needs and interests. They have the right to determine and develop priorities and strategies for exercising their right to development. </w:t>
      </w:r>
    </w:p>
    <w:p w14:paraId="01ABB22A" w14:textId="77777777" w:rsidR="00D96DBC" w:rsidRPr="00F34E5C" w:rsidRDefault="00D96DBC" w:rsidP="00AD4094">
      <w:pPr>
        <w:pStyle w:val="Default"/>
        <w:spacing w:line="360" w:lineRule="auto"/>
        <w:ind w:left="1080"/>
        <w:jc w:val="both"/>
      </w:pPr>
    </w:p>
    <w:p w14:paraId="069FCCDC" w14:textId="55A3771B" w:rsidR="006A4AC7" w:rsidRPr="00F34E5C" w:rsidRDefault="006A4AC7" w:rsidP="00AD4094">
      <w:pPr>
        <w:pStyle w:val="Default"/>
        <w:numPr>
          <w:ilvl w:val="0"/>
          <w:numId w:val="11"/>
        </w:numPr>
        <w:spacing w:line="360" w:lineRule="auto"/>
        <w:jc w:val="both"/>
      </w:pPr>
      <w:r w:rsidRPr="00F34E5C">
        <w:t xml:space="preserve">In accordance with international law,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 </w:t>
      </w:r>
    </w:p>
    <w:p w14:paraId="0ADCD9FD" w14:textId="77777777" w:rsidR="00D96DBC" w:rsidRPr="00F34E5C" w:rsidRDefault="00D96DBC" w:rsidP="00AD4094">
      <w:pPr>
        <w:pStyle w:val="Default"/>
        <w:spacing w:line="360" w:lineRule="auto"/>
        <w:jc w:val="both"/>
      </w:pPr>
    </w:p>
    <w:p w14:paraId="6F1C8C4E" w14:textId="34FB4963" w:rsidR="00D96DBC" w:rsidRPr="00D96DBC" w:rsidRDefault="006A4AC7" w:rsidP="00AD4094">
      <w:pPr>
        <w:pStyle w:val="ListParagraph"/>
        <w:numPr>
          <w:ilvl w:val="0"/>
          <w:numId w:val="11"/>
        </w:numPr>
        <w:spacing w:line="360" w:lineRule="auto"/>
        <w:jc w:val="both"/>
        <w:rPr>
          <w:rFonts w:cstheme="minorHAnsi"/>
        </w:rPr>
      </w:pPr>
      <w:r w:rsidRPr="00F34E5C">
        <w:t xml:space="preserve">States Parties shall consult and cooperate in good faith with the </w:t>
      </w:r>
      <w:r w:rsidR="00081C7D">
        <w:t>Indigenous Peoples</w:t>
      </w:r>
      <w:r w:rsidRPr="00F34E5C">
        <w:t xml:space="preserve"> concerned through their own representative institutions in order to obtain their free </w:t>
      </w:r>
      <w:r w:rsidRPr="00D96DBC">
        <w:rPr>
          <w:rFonts w:cstheme="minorHAnsi"/>
        </w:rPr>
        <w:t>and informed consent prior to the approval of any project affecting their lands or territories and other resources, particularly in connection with the development, utilization or exploitation of mineral, water or other resources.</w:t>
      </w:r>
      <w:r w:rsidR="005D781B" w:rsidRPr="00D96DBC">
        <w:rPr>
          <w:rFonts w:cstheme="minorHAnsi"/>
        </w:rPr>
        <w:t xml:space="preserve"> </w:t>
      </w:r>
    </w:p>
    <w:p w14:paraId="194F864B" w14:textId="77777777" w:rsidR="006B38B9" w:rsidRDefault="006B38B9" w:rsidP="00A344DC">
      <w:pPr>
        <w:spacing w:line="360" w:lineRule="auto"/>
        <w:ind w:left="720"/>
        <w:jc w:val="both"/>
        <w:rPr>
          <w:rFonts w:cstheme="minorHAnsi"/>
        </w:rPr>
      </w:pPr>
    </w:p>
    <w:p w14:paraId="32E2CE7A" w14:textId="2AC66CFA" w:rsidR="00104268" w:rsidRDefault="005D781B" w:rsidP="00A344DC">
      <w:pPr>
        <w:spacing w:line="360" w:lineRule="auto"/>
        <w:ind w:left="720"/>
        <w:jc w:val="both"/>
        <w:rPr>
          <w:rFonts w:cstheme="minorHAnsi"/>
        </w:rPr>
      </w:pPr>
      <w:r w:rsidRPr="00113ABF">
        <w:rPr>
          <w:rFonts w:cstheme="minorHAnsi"/>
        </w:rPr>
        <w:t xml:space="preserve">Although promising and an improvement on the previous </w:t>
      </w:r>
      <w:r w:rsidR="00170668" w:rsidRPr="00113ABF">
        <w:rPr>
          <w:rFonts w:cstheme="minorHAnsi"/>
        </w:rPr>
        <w:t xml:space="preserve">UN Declaration on the Right to Development, issues still </w:t>
      </w:r>
      <w:r w:rsidR="00170668" w:rsidRPr="000253C9">
        <w:rPr>
          <w:rFonts w:cstheme="minorHAnsi"/>
        </w:rPr>
        <w:t>remain.</w:t>
      </w:r>
    </w:p>
    <w:p w14:paraId="659357C4" w14:textId="77777777" w:rsidR="00A344DC" w:rsidRPr="00113ABF" w:rsidRDefault="00A344DC" w:rsidP="00A344DC">
      <w:pPr>
        <w:spacing w:line="360" w:lineRule="auto"/>
        <w:jc w:val="both"/>
        <w:rPr>
          <w:rFonts w:cstheme="minorHAnsi"/>
        </w:rPr>
      </w:pPr>
    </w:p>
    <w:p w14:paraId="7AE33B3C" w14:textId="25E6EEB1" w:rsidR="005706EB" w:rsidRPr="00F34E5C" w:rsidRDefault="00113ABF" w:rsidP="00A51EFC">
      <w:pPr>
        <w:pStyle w:val="Heading1"/>
        <w:spacing w:before="0" w:line="360" w:lineRule="auto"/>
        <w:ind w:firstLine="360"/>
        <w:rPr>
          <w:rFonts w:ascii="Times New Roman" w:hAnsi="Times New Roman" w:cs="Times New Roman"/>
          <w:b/>
          <w:bCs/>
          <w:color w:val="000000" w:themeColor="text1"/>
          <w:sz w:val="24"/>
          <w:szCs w:val="24"/>
        </w:rPr>
      </w:pPr>
      <w:r w:rsidRPr="00F34E5C">
        <w:rPr>
          <w:rFonts w:ascii="Times New Roman" w:hAnsi="Times New Roman" w:cs="Times New Roman"/>
          <w:b/>
          <w:bCs/>
          <w:color w:val="000000" w:themeColor="text1"/>
          <w:sz w:val="24"/>
          <w:szCs w:val="24"/>
        </w:rPr>
        <w:t xml:space="preserve">UN Expert Mechanism on the Rights of </w:t>
      </w:r>
      <w:r w:rsidR="00081C7D">
        <w:rPr>
          <w:rFonts w:ascii="Times New Roman" w:hAnsi="Times New Roman" w:cs="Times New Roman"/>
          <w:b/>
          <w:bCs/>
          <w:color w:val="000000" w:themeColor="text1"/>
          <w:sz w:val="24"/>
          <w:szCs w:val="24"/>
        </w:rPr>
        <w:t>Indigenous Peoples</w:t>
      </w:r>
      <w:r w:rsidRPr="00F34E5C">
        <w:rPr>
          <w:rFonts w:ascii="Times New Roman" w:hAnsi="Times New Roman" w:cs="Times New Roman"/>
          <w:b/>
          <w:bCs/>
          <w:color w:val="000000" w:themeColor="text1"/>
          <w:sz w:val="24"/>
          <w:szCs w:val="24"/>
        </w:rPr>
        <w:t xml:space="preserve"> (</w:t>
      </w:r>
      <w:r w:rsidR="005706EB" w:rsidRPr="00F34E5C">
        <w:rPr>
          <w:rFonts w:ascii="Times New Roman" w:hAnsi="Times New Roman" w:cs="Times New Roman"/>
          <w:b/>
          <w:bCs/>
          <w:color w:val="000000" w:themeColor="text1"/>
          <w:sz w:val="24"/>
          <w:szCs w:val="24"/>
        </w:rPr>
        <w:t>EMRIP</w:t>
      </w:r>
      <w:r w:rsidRPr="00F34E5C">
        <w:rPr>
          <w:rFonts w:ascii="Times New Roman" w:hAnsi="Times New Roman" w:cs="Times New Roman"/>
          <w:b/>
          <w:bCs/>
          <w:color w:val="000000" w:themeColor="text1"/>
          <w:sz w:val="24"/>
          <w:szCs w:val="24"/>
        </w:rPr>
        <w:t>)</w:t>
      </w:r>
    </w:p>
    <w:p w14:paraId="6D216C6D" w14:textId="77777777" w:rsidR="00A344DC" w:rsidRPr="00F34E5C" w:rsidRDefault="00A344DC" w:rsidP="00AD4094">
      <w:pPr>
        <w:pStyle w:val="CommentText"/>
        <w:spacing w:line="360" w:lineRule="auto"/>
        <w:jc w:val="both"/>
        <w:rPr>
          <w:sz w:val="24"/>
          <w:szCs w:val="24"/>
        </w:rPr>
      </w:pPr>
    </w:p>
    <w:p w14:paraId="650A54EA" w14:textId="1DCA4CC0" w:rsidR="00CC1817" w:rsidRPr="00F34E5C" w:rsidRDefault="00170668" w:rsidP="00CC1817">
      <w:pPr>
        <w:pStyle w:val="CommentText"/>
        <w:numPr>
          <w:ilvl w:val="0"/>
          <w:numId w:val="14"/>
        </w:numPr>
        <w:spacing w:line="360" w:lineRule="auto"/>
        <w:jc w:val="both"/>
        <w:rPr>
          <w:sz w:val="24"/>
          <w:szCs w:val="24"/>
        </w:rPr>
      </w:pPr>
      <w:r w:rsidRPr="00F34E5C">
        <w:rPr>
          <w:sz w:val="24"/>
          <w:szCs w:val="24"/>
        </w:rPr>
        <w:t xml:space="preserve">The Chair and members of the UN Expert Mechanism on the Rights of </w:t>
      </w:r>
      <w:r w:rsidR="00081C7D">
        <w:rPr>
          <w:sz w:val="24"/>
          <w:szCs w:val="24"/>
        </w:rPr>
        <w:t>Indigenous Peoples</w:t>
      </w:r>
      <w:r w:rsidRPr="00F34E5C">
        <w:rPr>
          <w:sz w:val="24"/>
          <w:szCs w:val="24"/>
        </w:rPr>
        <w:t xml:space="preserve"> contributed to the recent UN Expert Mechanism on the Right To Development </w:t>
      </w:r>
      <w:r w:rsidR="00113ABF" w:rsidRPr="00F34E5C">
        <w:rPr>
          <w:sz w:val="24"/>
          <w:szCs w:val="24"/>
        </w:rPr>
        <w:t xml:space="preserve">(UN EMRTD) </w:t>
      </w:r>
      <w:r w:rsidRPr="00F34E5C">
        <w:rPr>
          <w:sz w:val="24"/>
          <w:szCs w:val="24"/>
        </w:rPr>
        <w:t xml:space="preserve">session held in 2022. </w:t>
      </w:r>
      <w:r w:rsidR="00113ABF" w:rsidRPr="00F34E5C">
        <w:rPr>
          <w:sz w:val="24"/>
          <w:szCs w:val="24"/>
        </w:rPr>
        <w:t xml:space="preserve">During this session EMRIP was alerted and invited to comment on the </w:t>
      </w:r>
      <w:r w:rsidR="00A52EAE" w:rsidRPr="00F34E5C">
        <w:rPr>
          <w:sz w:val="24"/>
          <w:szCs w:val="24"/>
        </w:rPr>
        <w:t xml:space="preserve">draft </w:t>
      </w:r>
      <w:r w:rsidR="00113ABF" w:rsidRPr="00F34E5C">
        <w:rPr>
          <w:sz w:val="24"/>
          <w:szCs w:val="24"/>
        </w:rPr>
        <w:t xml:space="preserve">UN </w:t>
      </w:r>
      <w:r w:rsidR="00F34E5C">
        <w:rPr>
          <w:sz w:val="24"/>
          <w:szCs w:val="24"/>
        </w:rPr>
        <w:t xml:space="preserve">Convention </w:t>
      </w:r>
      <w:r w:rsidR="00113ABF" w:rsidRPr="00F34E5C">
        <w:rPr>
          <w:sz w:val="24"/>
          <w:szCs w:val="24"/>
        </w:rPr>
        <w:t>on the Right to Development.</w:t>
      </w:r>
    </w:p>
    <w:p w14:paraId="57AD294C" w14:textId="77777777" w:rsidR="00CC1817" w:rsidRPr="00F34E5C" w:rsidRDefault="00CC1817" w:rsidP="00CC1817">
      <w:pPr>
        <w:pStyle w:val="CommentText"/>
        <w:spacing w:line="360" w:lineRule="auto"/>
        <w:ind w:left="360"/>
        <w:jc w:val="both"/>
        <w:rPr>
          <w:sz w:val="24"/>
          <w:szCs w:val="24"/>
        </w:rPr>
      </w:pPr>
    </w:p>
    <w:p w14:paraId="4964654A" w14:textId="15120033" w:rsidR="00170668" w:rsidRPr="00F34E5C" w:rsidRDefault="00170668" w:rsidP="00AD4094">
      <w:pPr>
        <w:pStyle w:val="CommentText"/>
        <w:numPr>
          <w:ilvl w:val="0"/>
          <w:numId w:val="14"/>
        </w:numPr>
        <w:spacing w:line="360" w:lineRule="auto"/>
        <w:jc w:val="both"/>
        <w:rPr>
          <w:sz w:val="24"/>
          <w:szCs w:val="24"/>
        </w:rPr>
      </w:pPr>
      <w:r w:rsidRPr="00F34E5C">
        <w:rPr>
          <w:sz w:val="24"/>
          <w:szCs w:val="24"/>
        </w:rPr>
        <w:lastRenderedPageBreak/>
        <w:t>To continue th</w:t>
      </w:r>
      <w:r w:rsidR="00113ABF" w:rsidRPr="00F34E5C">
        <w:rPr>
          <w:sz w:val="24"/>
          <w:szCs w:val="24"/>
        </w:rPr>
        <w:t>e</w:t>
      </w:r>
      <w:r w:rsidRPr="00F34E5C">
        <w:rPr>
          <w:sz w:val="24"/>
          <w:szCs w:val="24"/>
        </w:rPr>
        <w:t xml:space="preserve"> positive relationship </w:t>
      </w:r>
      <w:r w:rsidR="00113ABF" w:rsidRPr="00F34E5C">
        <w:rPr>
          <w:sz w:val="24"/>
          <w:szCs w:val="24"/>
        </w:rPr>
        <w:t xml:space="preserve">between </w:t>
      </w:r>
      <w:r w:rsidRPr="00F34E5C">
        <w:rPr>
          <w:sz w:val="24"/>
          <w:szCs w:val="24"/>
        </w:rPr>
        <w:t xml:space="preserve">the </w:t>
      </w:r>
      <w:r w:rsidR="00113ABF" w:rsidRPr="00F34E5C">
        <w:rPr>
          <w:sz w:val="24"/>
          <w:szCs w:val="24"/>
        </w:rPr>
        <w:t xml:space="preserve">UN Expert Mechanism on the Right To Development and </w:t>
      </w:r>
      <w:r w:rsidRPr="00F34E5C">
        <w:rPr>
          <w:sz w:val="24"/>
          <w:szCs w:val="24"/>
        </w:rPr>
        <w:t>EMRIP</w:t>
      </w:r>
      <w:r w:rsidR="00113ABF" w:rsidRPr="00F34E5C">
        <w:rPr>
          <w:sz w:val="24"/>
          <w:szCs w:val="24"/>
        </w:rPr>
        <w:t xml:space="preserve">, </w:t>
      </w:r>
      <w:r w:rsidRPr="00F34E5C">
        <w:rPr>
          <w:sz w:val="24"/>
          <w:szCs w:val="24"/>
        </w:rPr>
        <w:t xml:space="preserve">an invitation </w:t>
      </w:r>
      <w:r w:rsidR="00113ABF" w:rsidRPr="00F34E5C">
        <w:rPr>
          <w:sz w:val="24"/>
          <w:szCs w:val="24"/>
        </w:rPr>
        <w:t>to</w:t>
      </w:r>
      <w:r w:rsidRPr="00F34E5C">
        <w:rPr>
          <w:sz w:val="24"/>
          <w:szCs w:val="24"/>
        </w:rPr>
        <w:t xml:space="preserve"> the UN EMRTD to </w:t>
      </w:r>
      <w:r w:rsidR="002A4D14">
        <w:rPr>
          <w:sz w:val="24"/>
          <w:szCs w:val="24"/>
        </w:rPr>
        <w:t xml:space="preserve">attend and participate in </w:t>
      </w:r>
      <w:r w:rsidR="00A52EAE" w:rsidRPr="00F34E5C">
        <w:rPr>
          <w:sz w:val="24"/>
          <w:szCs w:val="24"/>
        </w:rPr>
        <w:t>the</w:t>
      </w:r>
      <w:r w:rsidRPr="00F34E5C">
        <w:rPr>
          <w:sz w:val="24"/>
          <w:szCs w:val="24"/>
        </w:rPr>
        <w:t xml:space="preserve"> July</w:t>
      </w:r>
      <w:r w:rsidR="002A4D14">
        <w:rPr>
          <w:sz w:val="24"/>
          <w:szCs w:val="24"/>
        </w:rPr>
        <w:t>, 2023,</w:t>
      </w:r>
      <w:r w:rsidRPr="00F34E5C">
        <w:rPr>
          <w:sz w:val="24"/>
          <w:szCs w:val="24"/>
        </w:rPr>
        <w:t xml:space="preserve"> </w:t>
      </w:r>
      <w:r w:rsidR="002A4D14">
        <w:rPr>
          <w:sz w:val="24"/>
          <w:szCs w:val="24"/>
        </w:rPr>
        <w:t xml:space="preserve">EMRIP </w:t>
      </w:r>
      <w:r w:rsidRPr="00F34E5C">
        <w:rPr>
          <w:sz w:val="24"/>
          <w:szCs w:val="24"/>
        </w:rPr>
        <w:t xml:space="preserve">session </w:t>
      </w:r>
      <w:r w:rsidR="00113ABF" w:rsidRPr="00F34E5C">
        <w:rPr>
          <w:sz w:val="24"/>
          <w:szCs w:val="24"/>
        </w:rPr>
        <w:t>has been extended</w:t>
      </w:r>
      <w:r w:rsidRPr="00F34E5C">
        <w:rPr>
          <w:sz w:val="24"/>
          <w:szCs w:val="24"/>
        </w:rPr>
        <w:t xml:space="preserve">. In addition </w:t>
      </w:r>
      <w:r w:rsidR="00113ABF" w:rsidRPr="00F34E5C">
        <w:rPr>
          <w:sz w:val="24"/>
          <w:szCs w:val="24"/>
        </w:rPr>
        <w:t xml:space="preserve">a joint activity between both mechanisms </w:t>
      </w:r>
      <w:r w:rsidR="003C5B57">
        <w:rPr>
          <w:sz w:val="24"/>
          <w:szCs w:val="24"/>
        </w:rPr>
        <w:t xml:space="preserve">during </w:t>
      </w:r>
      <w:r w:rsidR="00113ABF" w:rsidRPr="00F34E5C">
        <w:rPr>
          <w:sz w:val="24"/>
          <w:szCs w:val="24"/>
        </w:rPr>
        <w:t xml:space="preserve"> the July session, within the area of a right to development </w:t>
      </w:r>
      <w:r w:rsidR="00A52EAE" w:rsidRPr="00F34E5C">
        <w:rPr>
          <w:sz w:val="24"/>
          <w:szCs w:val="24"/>
        </w:rPr>
        <w:t xml:space="preserve">is proposed as </w:t>
      </w:r>
      <w:r w:rsidR="00113ABF" w:rsidRPr="00F34E5C">
        <w:rPr>
          <w:sz w:val="24"/>
          <w:szCs w:val="24"/>
        </w:rPr>
        <w:t>an effort to share and learn how both mechanisms can work together.</w:t>
      </w:r>
    </w:p>
    <w:p w14:paraId="69929D76" w14:textId="77777777" w:rsidR="00CC1817" w:rsidRPr="00F34E5C" w:rsidRDefault="00CC1817" w:rsidP="00CC1817">
      <w:pPr>
        <w:pStyle w:val="CommentText"/>
        <w:spacing w:line="360" w:lineRule="auto"/>
        <w:ind w:left="720"/>
        <w:jc w:val="both"/>
        <w:rPr>
          <w:sz w:val="24"/>
          <w:szCs w:val="24"/>
        </w:rPr>
      </w:pPr>
    </w:p>
    <w:p w14:paraId="24C72BE8" w14:textId="57B20B74" w:rsidR="001D66AD" w:rsidRPr="002A4D14" w:rsidRDefault="006B38B9" w:rsidP="00AD4094">
      <w:pPr>
        <w:pStyle w:val="CommentText"/>
        <w:numPr>
          <w:ilvl w:val="0"/>
          <w:numId w:val="14"/>
        </w:numPr>
        <w:spacing w:line="360" w:lineRule="auto"/>
        <w:jc w:val="both"/>
        <w:rPr>
          <w:rFonts w:cstheme="minorHAnsi"/>
          <w:sz w:val="24"/>
          <w:szCs w:val="24"/>
        </w:rPr>
      </w:pPr>
      <w:r w:rsidRPr="002A4D14">
        <w:rPr>
          <w:rFonts w:cstheme="minorHAnsi"/>
          <w:sz w:val="24"/>
          <w:szCs w:val="24"/>
        </w:rPr>
        <w:t>T</w:t>
      </w:r>
      <w:r w:rsidR="00170668" w:rsidRPr="002A4D14">
        <w:rPr>
          <w:rFonts w:cstheme="minorHAnsi"/>
          <w:sz w:val="24"/>
          <w:szCs w:val="24"/>
        </w:rPr>
        <w:t>he main issue</w:t>
      </w:r>
      <w:r w:rsidR="00113ABF" w:rsidRPr="002A4D14">
        <w:rPr>
          <w:rFonts w:cstheme="minorHAnsi"/>
          <w:sz w:val="24"/>
          <w:szCs w:val="24"/>
        </w:rPr>
        <w:t xml:space="preserve"> for EMRIP turns on a meaningful and clear </w:t>
      </w:r>
      <w:r w:rsidR="00170668" w:rsidRPr="002A4D14">
        <w:rPr>
          <w:rFonts w:cstheme="minorHAnsi"/>
          <w:sz w:val="24"/>
          <w:szCs w:val="24"/>
        </w:rPr>
        <w:t xml:space="preserve">recognition of an Indigenous right to development </w:t>
      </w:r>
      <w:r w:rsidR="00113ABF" w:rsidRPr="002A4D14">
        <w:rPr>
          <w:rFonts w:cstheme="minorHAnsi"/>
          <w:sz w:val="24"/>
          <w:szCs w:val="24"/>
        </w:rPr>
        <w:t xml:space="preserve">as provided for in international instruments including the UNDRIP. The current inclusion in </w:t>
      </w:r>
      <w:r w:rsidR="00170668" w:rsidRPr="002A4D14">
        <w:rPr>
          <w:rFonts w:cstheme="minorHAnsi"/>
          <w:sz w:val="24"/>
          <w:szCs w:val="24"/>
        </w:rPr>
        <w:t>art</w:t>
      </w:r>
      <w:r w:rsidR="00CC1817" w:rsidRPr="002A4D14">
        <w:rPr>
          <w:rFonts w:cstheme="minorHAnsi"/>
          <w:sz w:val="24"/>
          <w:szCs w:val="24"/>
        </w:rPr>
        <w:t>icle</w:t>
      </w:r>
      <w:r w:rsidR="00170668" w:rsidRPr="002A4D14">
        <w:rPr>
          <w:rFonts w:cstheme="minorHAnsi"/>
          <w:sz w:val="24"/>
          <w:szCs w:val="24"/>
        </w:rPr>
        <w:t xml:space="preserve"> 17</w:t>
      </w:r>
      <w:r w:rsidR="00113ABF" w:rsidRPr="002A4D14">
        <w:rPr>
          <w:rFonts w:cstheme="minorHAnsi"/>
          <w:sz w:val="24"/>
          <w:szCs w:val="24"/>
        </w:rPr>
        <w:t>, although welcomed,</w:t>
      </w:r>
      <w:r w:rsidR="00170668" w:rsidRPr="002A4D14">
        <w:rPr>
          <w:rFonts w:cstheme="minorHAnsi"/>
          <w:sz w:val="24"/>
          <w:szCs w:val="24"/>
        </w:rPr>
        <w:t xml:space="preserve"> falls short</w:t>
      </w:r>
      <w:r w:rsidR="00113ABF" w:rsidRPr="002A4D14">
        <w:rPr>
          <w:rFonts w:cstheme="minorHAnsi"/>
          <w:sz w:val="24"/>
          <w:szCs w:val="24"/>
        </w:rPr>
        <w:t>.</w:t>
      </w:r>
      <w:r w:rsidR="00170668" w:rsidRPr="002A4D14">
        <w:rPr>
          <w:rFonts w:cstheme="minorHAnsi"/>
          <w:sz w:val="24"/>
          <w:szCs w:val="24"/>
        </w:rPr>
        <w:t xml:space="preserve"> </w:t>
      </w:r>
    </w:p>
    <w:p w14:paraId="64D4FDE7" w14:textId="77777777" w:rsidR="001D66AD" w:rsidRPr="002A4D14" w:rsidRDefault="001D66AD" w:rsidP="00AD4094">
      <w:pPr>
        <w:pStyle w:val="CommentText"/>
        <w:spacing w:line="360" w:lineRule="auto"/>
        <w:jc w:val="both"/>
        <w:rPr>
          <w:rFonts w:cstheme="minorHAnsi"/>
          <w:sz w:val="24"/>
          <w:szCs w:val="24"/>
        </w:rPr>
      </w:pPr>
    </w:p>
    <w:p w14:paraId="526FE713" w14:textId="39FE7952" w:rsidR="00D96DBC" w:rsidRPr="002A4D14" w:rsidRDefault="00F86FF9" w:rsidP="00A51EFC">
      <w:pPr>
        <w:pStyle w:val="CommentText"/>
        <w:spacing w:line="360" w:lineRule="auto"/>
        <w:ind w:left="360"/>
        <w:jc w:val="both"/>
        <w:rPr>
          <w:rFonts w:cstheme="minorHAnsi"/>
          <w:b/>
          <w:bCs/>
          <w:color w:val="000000" w:themeColor="text1"/>
          <w:sz w:val="24"/>
          <w:szCs w:val="24"/>
        </w:rPr>
      </w:pPr>
      <w:r w:rsidRPr="002A4D14">
        <w:rPr>
          <w:rFonts w:cstheme="minorHAnsi"/>
          <w:b/>
          <w:bCs/>
          <w:color w:val="000000" w:themeColor="text1"/>
          <w:sz w:val="24"/>
          <w:szCs w:val="24"/>
        </w:rPr>
        <w:t xml:space="preserve">Why the current </w:t>
      </w:r>
      <w:r w:rsidR="00A51EFC" w:rsidRPr="002A4D14">
        <w:rPr>
          <w:rFonts w:cstheme="minorHAnsi"/>
          <w:b/>
          <w:bCs/>
          <w:color w:val="000000" w:themeColor="text1"/>
          <w:sz w:val="24"/>
          <w:szCs w:val="24"/>
        </w:rPr>
        <w:t xml:space="preserve">revised </w:t>
      </w:r>
      <w:r w:rsidR="006C2017" w:rsidRPr="002A4D14">
        <w:rPr>
          <w:rFonts w:cstheme="minorHAnsi"/>
          <w:b/>
          <w:bCs/>
          <w:color w:val="000000" w:themeColor="text1"/>
          <w:sz w:val="24"/>
          <w:szCs w:val="24"/>
        </w:rPr>
        <w:t xml:space="preserve">Draft Convention </w:t>
      </w:r>
      <w:r w:rsidRPr="002A4D14">
        <w:rPr>
          <w:rFonts w:cstheme="minorHAnsi"/>
          <w:b/>
          <w:bCs/>
          <w:color w:val="000000" w:themeColor="text1"/>
          <w:sz w:val="24"/>
          <w:szCs w:val="24"/>
        </w:rPr>
        <w:t xml:space="preserve">requires </w:t>
      </w:r>
      <w:r w:rsidR="009D01B4" w:rsidRPr="002A4D14">
        <w:rPr>
          <w:rFonts w:cstheme="minorHAnsi"/>
          <w:b/>
          <w:bCs/>
          <w:color w:val="000000" w:themeColor="text1"/>
          <w:sz w:val="24"/>
          <w:szCs w:val="24"/>
        </w:rPr>
        <w:t>greater recognition of an Indigenous right to development</w:t>
      </w:r>
    </w:p>
    <w:p w14:paraId="13B041E0" w14:textId="77777777" w:rsidR="00552116" w:rsidRPr="002A4D14" w:rsidRDefault="00552116" w:rsidP="00AD4094">
      <w:pPr>
        <w:pStyle w:val="CommentText"/>
        <w:spacing w:line="360" w:lineRule="auto"/>
        <w:jc w:val="both"/>
        <w:rPr>
          <w:rFonts w:cstheme="minorHAnsi"/>
          <w:b/>
          <w:bCs/>
          <w:color w:val="000000" w:themeColor="text1"/>
          <w:sz w:val="24"/>
          <w:szCs w:val="24"/>
        </w:rPr>
      </w:pPr>
    </w:p>
    <w:p w14:paraId="6C158BB2" w14:textId="34087AE3" w:rsidR="00E414DD" w:rsidRPr="002A4D14" w:rsidRDefault="00081C7D" w:rsidP="00E414DD">
      <w:pPr>
        <w:pStyle w:val="CommentText"/>
        <w:numPr>
          <w:ilvl w:val="0"/>
          <w:numId w:val="14"/>
        </w:numPr>
        <w:spacing w:line="360" w:lineRule="auto"/>
        <w:jc w:val="both"/>
        <w:rPr>
          <w:rFonts w:cstheme="minorHAnsi"/>
          <w:sz w:val="24"/>
          <w:szCs w:val="24"/>
        </w:rPr>
      </w:pPr>
      <w:r>
        <w:rPr>
          <w:sz w:val="24"/>
          <w:szCs w:val="24"/>
        </w:rPr>
        <w:t>Indigenous Peoples</w:t>
      </w:r>
      <w:r w:rsidR="00E414DD" w:rsidRPr="002A4D14">
        <w:rPr>
          <w:sz w:val="24"/>
          <w:szCs w:val="24"/>
        </w:rPr>
        <w:t xml:space="preserve"> often endure </w:t>
      </w:r>
      <w:r w:rsidR="001667BD" w:rsidRPr="002A4D14">
        <w:rPr>
          <w:sz w:val="24"/>
          <w:szCs w:val="24"/>
        </w:rPr>
        <w:t>the</w:t>
      </w:r>
      <w:r w:rsidR="0085217A">
        <w:rPr>
          <w:sz w:val="24"/>
          <w:szCs w:val="24"/>
        </w:rPr>
        <w:t xml:space="preserve"> control and</w:t>
      </w:r>
      <w:r w:rsidR="001667BD" w:rsidRPr="002A4D14">
        <w:rPr>
          <w:sz w:val="24"/>
          <w:szCs w:val="24"/>
        </w:rPr>
        <w:t xml:space="preserve"> </w:t>
      </w:r>
      <w:r w:rsidR="00E414DD" w:rsidRPr="002A4D14">
        <w:rPr>
          <w:sz w:val="24"/>
          <w:szCs w:val="24"/>
        </w:rPr>
        <w:t xml:space="preserve">uncompensated </w:t>
      </w:r>
      <w:r w:rsidR="004B2742" w:rsidRPr="002A4D14">
        <w:rPr>
          <w:sz w:val="24"/>
          <w:szCs w:val="24"/>
        </w:rPr>
        <w:t xml:space="preserve">intrusion </w:t>
      </w:r>
      <w:r w:rsidR="0085217A">
        <w:rPr>
          <w:sz w:val="24"/>
          <w:szCs w:val="24"/>
        </w:rPr>
        <w:t xml:space="preserve">and encroachment </w:t>
      </w:r>
      <w:r w:rsidR="00E414DD" w:rsidRPr="002A4D14">
        <w:rPr>
          <w:sz w:val="24"/>
          <w:szCs w:val="24"/>
        </w:rPr>
        <w:t>of their ancestral land</w:t>
      </w:r>
      <w:r w:rsidR="001667BD" w:rsidRPr="002A4D14">
        <w:rPr>
          <w:sz w:val="24"/>
          <w:szCs w:val="24"/>
        </w:rPr>
        <w:t>s</w:t>
      </w:r>
      <w:r w:rsidR="00E414DD" w:rsidRPr="002A4D14">
        <w:rPr>
          <w:sz w:val="24"/>
          <w:szCs w:val="24"/>
        </w:rPr>
        <w:t xml:space="preserve"> by corporate companies who undertake resource extraction activities. </w:t>
      </w:r>
      <w:r>
        <w:rPr>
          <w:sz w:val="24"/>
          <w:szCs w:val="24"/>
        </w:rPr>
        <w:t>Indigenous Peoples</w:t>
      </w:r>
      <w:r w:rsidR="00E414DD" w:rsidRPr="002A4D14">
        <w:rPr>
          <w:sz w:val="24"/>
          <w:szCs w:val="24"/>
        </w:rPr>
        <w:t xml:space="preserve"> suffer from the greed and corruption that can accompany power in the form of authoritarian governments, insatiable corporations, and unscrupulous individuals.</w:t>
      </w:r>
      <w:r w:rsidR="00E414DD" w:rsidRPr="002A4D14">
        <w:rPr>
          <w:rStyle w:val="FootnoteReference"/>
          <w:sz w:val="24"/>
          <w:szCs w:val="24"/>
        </w:rPr>
        <w:footnoteReference w:id="16"/>
      </w:r>
      <w:r w:rsidR="00E414DD" w:rsidRPr="002A4D14">
        <w:rPr>
          <w:sz w:val="24"/>
          <w:szCs w:val="24"/>
        </w:rPr>
        <w:t xml:space="preserve"> This extends to deprivation of land, wealth, and opportunity, reinforcing the need for not only a recognised Indigenous right to development but the additional contextual rights to ensure that </w:t>
      </w:r>
      <w:r>
        <w:rPr>
          <w:sz w:val="24"/>
          <w:szCs w:val="24"/>
        </w:rPr>
        <w:t>Indigenous Peoples</w:t>
      </w:r>
      <w:r w:rsidR="00E414DD" w:rsidRPr="002A4D14">
        <w:rPr>
          <w:sz w:val="24"/>
          <w:szCs w:val="24"/>
        </w:rPr>
        <w:t xml:space="preserve"> right to development occurs on a level playing field and </w:t>
      </w:r>
      <w:r w:rsidR="009674AB" w:rsidRPr="002A4D14">
        <w:rPr>
          <w:sz w:val="24"/>
          <w:szCs w:val="24"/>
        </w:rPr>
        <w:t xml:space="preserve">is </w:t>
      </w:r>
      <w:r w:rsidR="00E414DD" w:rsidRPr="002A4D14">
        <w:rPr>
          <w:sz w:val="24"/>
          <w:szCs w:val="24"/>
        </w:rPr>
        <w:t>not subjected to the power from oppressive governments.</w:t>
      </w:r>
    </w:p>
    <w:p w14:paraId="728966E8" w14:textId="77777777" w:rsidR="004B2742" w:rsidRPr="002A4D14" w:rsidRDefault="004B2742" w:rsidP="004B2742">
      <w:pPr>
        <w:pStyle w:val="CommentText"/>
        <w:spacing w:line="360" w:lineRule="auto"/>
        <w:ind w:left="720"/>
        <w:jc w:val="both"/>
        <w:rPr>
          <w:rFonts w:cstheme="minorHAnsi"/>
          <w:sz w:val="24"/>
          <w:szCs w:val="24"/>
        </w:rPr>
      </w:pPr>
    </w:p>
    <w:p w14:paraId="20C94366" w14:textId="4BCCEC78" w:rsidR="004B2742" w:rsidRPr="002A4D14" w:rsidRDefault="004B2742" w:rsidP="004B2742">
      <w:pPr>
        <w:pStyle w:val="CommentText"/>
        <w:numPr>
          <w:ilvl w:val="0"/>
          <w:numId w:val="14"/>
        </w:numPr>
        <w:spacing w:line="360" w:lineRule="auto"/>
        <w:jc w:val="both"/>
        <w:rPr>
          <w:rFonts w:cstheme="minorHAnsi"/>
          <w:sz w:val="24"/>
          <w:szCs w:val="24"/>
        </w:rPr>
      </w:pPr>
      <w:r w:rsidRPr="002A4D14">
        <w:rPr>
          <w:sz w:val="24"/>
          <w:szCs w:val="24"/>
        </w:rPr>
        <w:t xml:space="preserve">If </w:t>
      </w:r>
      <w:r w:rsidR="00081C7D">
        <w:rPr>
          <w:sz w:val="24"/>
          <w:szCs w:val="24"/>
        </w:rPr>
        <w:t>Indigenous Peoples</w:t>
      </w:r>
      <w:r w:rsidRPr="002A4D14">
        <w:rPr>
          <w:sz w:val="24"/>
          <w:szCs w:val="24"/>
        </w:rPr>
        <w:t xml:space="preserve"> are not included when a right to development is exercised, often illegitimately, </w:t>
      </w:r>
      <w:r w:rsidR="00081C7D">
        <w:rPr>
          <w:sz w:val="24"/>
          <w:szCs w:val="24"/>
        </w:rPr>
        <w:t>Indigenous Peoples</w:t>
      </w:r>
      <w:r w:rsidRPr="002A4D14">
        <w:rPr>
          <w:sz w:val="24"/>
          <w:szCs w:val="24"/>
        </w:rPr>
        <w:t xml:space="preserve"> are impacted in ways that increase inequality. For instance, alienation from their lands for a resource extraction concession, development projects, or even the creation of protected areas for environmental conservation occurs without any compensation or economic alternatives, further exacerbating the inequality divide.</w:t>
      </w:r>
    </w:p>
    <w:p w14:paraId="76E68FBD" w14:textId="77777777" w:rsidR="00E414DD" w:rsidRPr="002A4D14" w:rsidRDefault="00E414DD" w:rsidP="004B2742">
      <w:pPr>
        <w:pStyle w:val="CommentText"/>
        <w:spacing w:line="360" w:lineRule="auto"/>
        <w:jc w:val="both"/>
        <w:rPr>
          <w:rFonts w:cstheme="minorHAnsi"/>
          <w:sz w:val="24"/>
          <w:szCs w:val="24"/>
        </w:rPr>
      </w:pPr>
    </w:p>
    <w:p w14:paraId="5E9BCAB3" w14:textId="4C35EF9B" w:rsidR="00175A16" w:rsidRPr="0085217A" w:rsidRDefault="006C2017" w:rsidP="006B38B9">
      <w:pPr>
        <w:pStyle w:val="CommentText"/>
        <w:numPr>
          <w:ilvl w:val="0"/>
          <w:numId w:val="14"/>
        </w:numPr>
        <w:spacing w:line="360" w:lineRule="auto"/>
        <w:jc w:val="both"/>
        <w:rPr>
          <w:rFonts w:cstheme="minorHAnsi"/>
          <w:sz w:val="24"/>
          <w:szCs w:val="24"/>
        </w:rPr>
      </w:pPr>
      <w:r w:rsidRPr="002A4D14">
        <w:rPr>
          <w:rFonts w:cstheme="minorHAnsi"/>
          <w:sz w:val="24"/>
          <w:szCs w:val="24"/>
        </w:rPr>
        <w:t xml:space="preserve">Article 17 is the only </w:t>
      </w:r>
      <w:r w:rsidR="0053543C" w:rsidRPr="002A4D14">
        <w:rPr>
          <w:rFonts w:cstheme="minorHAnsi"/>
          <w:sz w:val="24"/>
          <w:szCs w:val="24"/>
        </w:rPr>
        <w:t xml:space="preserve">article that </w:t>
      </w:r>
      <w:r w:rsidRPr="002A4D14">
        <w:rPr>
          <w:rFonts w:cstheme="minorHAnsi"/>
          <w:sz w:val="24"/>
          <w:szCs w:val="24"/>
        </w:rPr>
        <w:t>explicit</w:t>
      </w:r>
      <w:r w:rsidR="0053543C" w:rsidRPr="002A4D14">
        <w:rPr>
          <w:rFonts w:cstheme="minorHAnsi"/>
          <w:sz w:val="24"/>
          <w:szCs w:val="24"/>
        </w:rPr>
        <w:t>ly</w:t>
      </w:r>
      <w:r w:rsidRPr="002A4D14">
        <w:rPr>
          <w:rFonts w:cstheme="minorHAnsi"/>
          <w:sz w:val="24"/>
          <w:szCs w:val="24"/>
        </w:rPr>
        <w:t xml:space="preserve"> recogni</w:t>
      </w:r>
      <w:r w:rsidR="0053543C" w:rsidRPr="002A4D14">
        <w:rPr>
          <w:rFonts w:cstheme="minorHAnsi"/>
          <w:sz w:val="24"/>
          <w:szCs w:val="24"/>
        </w:rPr>
        <w:t>ses</w:t>
      </w:r>
      <w:r w:rsidRPr="002A4D14">
        <w:rPr>
          <w:rFonts w:cstheme="minorHAnsi"/>
          <w:sz w:val="24"/>
          <w:szCs w:val="24"/>
        </w:rPr>
        <w:t xml:space="preserve"> </w:t>
      </w:r>
      <w:r w:rsidR="00A52EAE" w:rsidRPr="002A4D14">
        <w:rPr>
          <w:rFonts w:cstheme="minorHAnsi"/>
          <w:sz w:val="24"/>
          <w:szCs w:val="24"/>
        </w:rPr>
        <w:t xml:space="preserve">an </w:t>
      </w:r>
      <w:r w:rsidRPr="002A4D14">
        <w:rPr>
          <w:rFonts w:cstheme="minorHAnsi"/>
          <w:sz w:val="24"/>
          <w:szCs w:val="24"/>
        </w:rPr>
        <w:t xml:space="preserve">Indigenous People’s right to development within the </w:t>
      </w:r>
      <w:r w:rsidR="0053543C" w:rsidRPr="002A4D14">
        <w:rPr>
          <w:rFonts w:cstheme="minorHAnsi"/>
          <w:sz w:val="24"/>
          <w:szCs w:val="24"/>
        </w:rPr>
        <w:t xml:space="preserve">revised </w:t>
      </w:r>
      <w:r w:rsidRPr="002A4D14">
        <w:rPr>
          <w:rFonts w:cstheme="minorHAnsi"/>
          <w:sz w:val="24"/>
          <w:szCs w:val="24"/>
        </w:rPr>
        <w:t>Draft Convention.</w:t>
      </w:r>
      <w:r w:rsidR="00D2029E" w:rsidRPr="002A4D14">
        <w:rPr>
          <w:rFonts w:cstheme="minorHAnsi"/>
          <w:sz w:val="24"/>
          <w:szCs w:val="24"/>
        </w:rPr>
        <w:t xml:space="preserve"> We consider that to an extent, this </w:t>
      </w:r>
      <w:r w:rsidR="00D2029E" w:rsidRPr="002A4D14">
        <w:rPr>
          <w:rFonts w:cstheme="minorHAnsi"/>
          <w:sz w:val="24"/>
          <w:szCs w:val="24"/>
        </w:rPr>
        <w:lastRenderedPageBreak/>
        <w:t>misses the point, as indigenous rights cut across all facets of the Right to Development.</w:t>
      </w:r>
      <w:r w:rsidRPr="002A4D14">
        <w:rPr>
          <w:rFonts w:cstheme="minorHAnsi"/>
          <w:sz w:val="24"/>
          <w:szCs w:val="24"/>
        </w:rPr>
        <w:t xml:space="preserve"> </w:t>
      </w:r>
      <w:r w:rsidR="00D2029E" w:rsidRPr="002A4D14">
        <w:rPr>
          <w:rFonts w:cstheme="minorHAnsi"/>
          <w:sz w:val="24"/>
          <w:szCs w:val="24"/>
        </w:rPr>
        <w:t>Moreover, o</w:t>
      </w:r>
      <w:r w:rsidRPr="002A4D14">
        <w:rPr>
          <w:rFonts w:cstheme="minorHAnsi"/>
          <w:sz w:val="24"/>
          <w:szCs w:val="24"/>
        </w:rPr>
        <w:t>n its own</w:t>
      </w:r>
      <w:r w:rsidR="00A429B5" w:rsidRPr="002A4D14">
        <w:rPr>
          <w:rFonts w:cstheme="minorHAnsi"/>
          <w:sz w:val="24"/>
          <w:szCs w:val="24"/>
        </w:rPr>
        <w:t>,</w:t>
      </w:r>
      <w:r w:rsidRPr="002A4D14">
        <w:rPr>
          <w:rFonts w:cstheme="minorHAnsi"/>
          <w:sz w:val="24"/>
          <w:szCs w:val="24"/>
        </w:rPr>
        <w:t xml:space="preserve"> article 17 does not go far enough.</w:t>
      </w:r>
      <w:r w:rsidR="00A429B5" w:rsidRPr="002A4D14">
        <w:rPr>
          <w:rFonts w:cstheme="minorHAnsi"/>
          <w:sz w:val="24"/>
          <w:szCs w:val="24"/>
        </w:rPr>
        <w:t xml:space="preserve"> </w:t>
      </w:r>
      <w:r w:rsidR="0085217A" w:rsidRPr="0085217A">
        <w:rPr>
          <w:sz w:val="24"/>
          <w:szCs w:val="24"/>
        </w:rPr>
        <w:t>Such a provision has to explicitly address, underscore the interrelated, interdependent, interconnected and indivisible rights of Indigenous peoples as affirmed in the UN Declaration on the Rights of Indigenous Peoples.</w:t>
      </w:r>
    </w:p>
    <w:p w14:paraId="4C5ECB1C" w14:textId="77777777" w:rsidR="00F86FF9" w:rsidRPr="002A4D14" w:rsidRDefault="00F86FF9" w:rsidP="00F86FF9">
      <w:pPr>
        <w:pStyle w:val="CommentText"/>
        <w:spacing w:line="360" w:lineRule="auto"/>
        <w:ind w:left="720"/>
        <w:jc w:val="both"/>
        <w:rPr>
          <w:rFonts w:cstheme="minorHAnsi"/>
          <w:sz w:val="24"/>
          <w:szCs w:val="24"/>
        </w:rPr>
      </w:pPr>
    </w:p>
    <w:p w14:paraId="37A3AAA8" w14:textId="77777777" w:rsidR="004E589A" w:rsidRPr="002A4D14" w:rsidRDefault="0053543C" w:rsidP="00AD4094">
      <w:pPr>
        <w:pStyle w:val="CommentText"/>
        <w:numPr>
          <w:ilvl w:val="0"/>
          <w:numId w:val="14"/>
        </w:numPr>
        <w:spacing w:line="360" w:lineRule="auto"/>
        <w:jc w:val="both"/>
        <w:rPr>
          <w:rFonts w:cstheme="minorHAnsi"/>
          <w:sz w:val="24"/>
          <w:szCs w:val="24"/>
        </w:rPr>
      </w:pPr>
      <w:r w:rsidRPr="002A4D14">
        <w:rPr>
          <w:rFonts w:cstheme="minorHAnsi"/>
          <w:sz w:val="24"/>
          <w:szCs w:val="24"/>
        </w:rPr>
        <w:t>T</w:t>
      </w:r>
      <w:r w:rsidR="009D5581" w:rsidRPr="002A4D14">
        <w:rPr>
          <w:rFonts w:cstheme="minorHAnsi"/>
          <w:sz w:val="24"/>
          <w:szCs w:val="24"/>
        </w:rPr>
        <w:t>he Right to Development grew out of the global push for decolonisation. However, the focus was on the development of states themselves, not how different groups within states should have rights</w:t>
      </w:r>
      <w:r w:rsidRPr="002A4D14">
        <w:rPr>
          <w:rFonts w:cstheme="minorHAnsi"/>
          <w:sz w:val="24"/>
          <w:szCs w:val="24"/>
        </w:rPr>
        <w:t xml:space="preserve"> of development</w:t>
      </w:r>
      <w:r w:rsidR="009D5581" w:rsidRPr="002A4D14">
        <w:rPr>
          <w:rFonts w:cstheme="minorHAnsi"/>
          <w:sz w:val="24"/>
          <w:szCs w:val="24"/>
        </w:rPr>
        <w:t xml:space="preserve"> over their resources. Moreover, development</w:t>
      </w:r>
      <w:r w:rsidR="00EA272D" w:rsidRPr="002A4D14">
        <w:rPr>
          <w:rFonts w:cstheme="minorHAnsi"/>
          <w:sz w:val="24"/>
          <w:szCs w:val="24"/>
        </w:rPr>
        <w:t xml:space="preserve"> was</w:t>
      </w:r>
      <w:r w:rsidR="009D5581" w:rsidRPr="002A4D14">
        <w:rPr>
          <w:rFonts w:cstheme="minorHAnsi"/>
          <w:sz w:val="24"/>
          <w:szCs w:val="24"/>
        </w:rPr>
        <w:t xml:space="preserve"> equated with economic success. </w:t>
      </w:r>
    </w:p>
    <w:p w14:paraId="5D421B8E" w14:textId="77777777" w:rsidR="00F86FF9" w:rsidRPr="002A4D14" w:rsidRDefault="00F86FF9" w:rsidP="00F86FF9">
      <w:pPr>
        <w:pStyle w:val="CommentText"/>
        <w:spacing w:line="360" w:lineRule="auto"/>
        <w:jc w:val="both"/>
        <w:rPr>
          <w:rFonts w:cstheme="minorHAnsi"/>
          <w:sz w:val="24"/>
          <w:szCs w:val="24"/>
        </w:rPr>
      </w:pPr>
    </w:p>
    <w:p w14:paraId="401422BB" w14:textId="18E71BB1" w:rsidR="006B10EE" w:rsidRPr="002A4D14" w:rsidRDefault="00EA272D" w:rsidP="00AD4094">
      <w:pPr>
        <w:pStyle w:val="CommentText"/>
        <w:numPr>
          <w:ilvl w:val="0"/>
          <w:numId w:val="14"/>
        </w:numPr>
        <w:spacing w:line="360" w:lineRule="auto"/>
        <w:jc w:val="both"/>
        <w:rPr>
          <w:rFonts w:cstheme="minorHAnsi"/>
          <w:sz w:val="24"/>
          <w:szCs w:val="24"/>
        </w:rPr>
      </w:pPr>
      <w:r w:rsidRPr="002A4D14">
        <w:rPr>
          <w:rFonts w:cstheme="minorHAnsi"/>
          <w:sz w:val="24"/>
          <w:szCs w:val="24"/>
        </w:rPr>
        <w:t xml:space="preserve">Although </w:t>
      </w:r>
      <w:r w:rsidR="006B10EE" w:rsidRPr="002A4D14">
        <w:rPr>
          <w:rFonts w:cstheme="minorHAnsi"/>
          <w:sz w:val="24"/>
          <w:szCs w:val="24"/>
        </w:rPr>
        <w:t xml:space="preserve">there may </w:t>
      </w:r>
      <w:r w:rsidR="003252E2" w:rsidRPr="002A4D14">
        <w:rPr>
          <w:rFonts w:cstheme="minorHAnsi"/>
          <w:sz w:val="24"/>
          <w:szCs w:val="24"/>
        </w:rPr>
        <w:t xml:space="preserve">now </w:t>
      </w:r>
      <w:r w:rsidR="006B10EE" w:rsidRPr="002A4D14">
        <w:rPr>
          <w:rFonts w:cstheme="minorHAnsi"/>
          <w:sz w:val="24"/>
          <w:szCs w:val="24"/>
        </w:rPr>
        <w:t>be a</w:t>
      </w:r>
      <w:r w:rsidRPr="002A4D14">
        <w:rPr>
          <w:rFonts w:cstheme="minorHAnsi"/>
          <w:sz w:val="24"/>
          <w:szCs w:val="24"/>
        </w:rPr>
        <w:t xml:space="preserve"> step away from a western centric ideals, economic objectives are often </w:t>
      </w:r>
      <w:r w:rsidR="009D5581" w:rsidRPr="002A4D14">
        <w:rPr>
          <w:rFonts w:cstheme="minorHAnsi"/>
          <w:sz w:val="24"/>
          <w:szCs w:val="24"/>
        </w:rPr>
        <w:t xml:space="preserve">diametrically opposed to many indigenous </w:t>
      </w:r>
      <w:r w:rsidR="006B10EE" w:rsidRPr="002A4D14">
        <w:rPr>
          <w:rFonts w:cstheme="minorHAnsi"/>
          <w:sz w:val="24"/>
          <w:szCs w:val="24"/>
        </w:rPr>
        <w:t xml:space="preserve">collective </w:t>
      </w:r>
      <w:r w:rsidR="009D5581" w:rsidRPr="002A4D14">
        <w:rPr>
          <w:rFonts w:cstheme="minorHAnsi"/>
          <w:sz w:val="24"/>
          <w:szCs w:val="24"/>
        </w:rPr>
        <w:t xml:space="preserve">structures that </w:t>
      </w:r>
      <w:r w:rsidR="00FC5DA5">
        <w:rPr>
          <w:rFonts w:cstheme="minorHAnsi"/>
          <w:sz w:val="24"/>
          <w:szCs w:val="24"/>
        </w:rPr>
        <w:t xml:space="preserve">often </w:t>
      </w:r>
      <w:r w:rsidR="009D5581" w:rsidRPr="002A4D14">
        <w:rPr>
          <w:rFonts w:cstheme="minorHAnsi"/>
          <w:sz w:val="24"/>
          <w:szCs w:val="24"/>
        </w:rPr>
        <w:t>prioritise a reciprocal relationship with the environment</w:t>
      </w:r>
      <w:r w:rsidR="00FC5DA5">
        <w:rPr>
          <w:rFonts w:cstheme="minorHAnsi"/>
          <w:sz w:val="24"/>
          <w:szCs w:val="24"/>
        </w:rPr>
        <w:t xml:space="preserve"> to financial wealth</w:t>
      </w:r>
      <w:r w:rsidR="003252E2" w:rsidRPr="002A4D14">
        <w:rPr>
          <w:rFonts w:cstheme="minorHAnsi"/>
          <w:sz w:val="24"/>
          <w:szCs w:val="24"/>
        </w:rPr>
        <w:t xml:space="preserve">. This </w:t>
      </w:r>
      <w:r w:rsidR="0082356B">
        <w:rPr>
          <w:rFonts w:cstheme="minorHAnsi"/>
          <w:sz w:val="24"/>
          <w:szCs w:val="24"/>
        </w:rPr>
        <w:t xml:space="preserve">reciprocal </w:t>
      </w:r>
      <w:r w:rsidR="003252E2" w:rsidRPr="002A4D14">
        <w:rPr>
          <w:rFonts w:cstheme="minorHAnsi"/>
          <w:sz w:val="24"/>
          <w:szCs w:val="24"/>
        </w:rPr>
        <w:t>relationship is</w:t>
      </w:r>
      <w:r w:rsidR="006B10EE" w:rsidRPr="002A4D14">
        <w:rPr>
          <w:rFonts w:cstheme="minorHAnsi"/>
          <w:sz w:val="24"/>
          <w:szCs w:val="24"/>
        </w:rPr>
        <w:t xml:space="preserve"> underpinned </w:t>
      </w:r>
      <w:r w:rsidR="000C35DE" w:rsidRPr="002A4D14">
        <w:rPr>
          <w:rFonts w:cstheme="minorHAnsi"/>
          <w:sz w:val="24"/>
          <w:szCs w:val="24"/>
        </w:rPr>
        <w:t>by</w:t>
      </w:r>
      <w:r w:rsidR="006B10EE" w:rsidRPr="002A4D14">
        <w:rPr>
          <w:rFonts w:cstheme="minorHAnsi"/>
          <w:sz w:val="24"/>
          <w:szCs w:val="24"/>
        </w:rPr>
        <w:t xml:space="preserve"> a different set of values that are not </w:t>
      </w:r>
      <w:r w:rsidR="000C35DE" w:rsidRPr="002A4D14">
        <w:rPr>
          <w:rFonts w:cstheme="minorHAnsi"/>
          <w:sz w:val="24"/>
          <w:szCs w:val="24"/>
        </w:rPr>
        <w:t xml:space="preserve">necessarily </w:t>
      </w:r>
      <w:r w:rsidR="006B10EE" w:rsidRPr="002A4D14">
        <w:rPr>
          <w:rFonts w:cstheme="minorHAnsi"/>
          <w:sz w:val="24"/>
          <w:szCs w:val="24"/>
        </w:rPr>
        <w:t>economically driven</w:t>
      </w:r>
      <w:r w:rsidR="009D5581" w:rsidRPr="002A4D14">
        <w:rPr>
          <w:rFonts w:cstheme="minorHAnsi"/>
          <w:sz w:val="24"/>
          <w:szCs w:val="24"/>
        </w:rPr>
        <w:t xml:space="preserve">. Therefore, the </w:t>
      </w:r>
      <w:r w:rsidR="006423B7" w:rsidRPr="002A4D14">
        <w:rPr>
          <w:rFonts w:cstheme="minorHAnsi"/>
          <w:sz w:val="24"/>
          <w:szCs w:val="24"/>
        </w:rPr>
        <w:t xml:space="preserve">revised </w:t>
      </w:r>
      <w:r w:rsidR="009D5581" w:rsidRPr="002A4D14">
        <w:rPr>
          <w:rFonts w:cstheme="minorHAnsi"/>
          <w:sz w:val="24"/>
          <w:szCs w:val="24"/>
        </w:rPr>
        <w:t xml:space="preserve">draft Convention’s substance must </w:t>
      </w:r>
      <w:r w:rsidR="006B10EE" w:rsidRPr="002A4D14">
        <w:rPr>
          <w:rFonts w:cstheme="minorHAnsi"/>
          <w:sz w:val="24"/>
          <w:szCs w:val="24"/>
        </w:rPr>
        <w:t xml:space="preserve">not only </w:t>
      </w:r>
      <w:r w:rsidR="009D5581" w:rsidRPr="002A4D14">
        <w:rPr>
          <w:rFonts w:cstheme="minorHAnsi"/>
          <w:sz w:val="24"/>
          <w:szCs w:val="24"/>
        </w:rPr>
        <w:t xml:space="preserve">actively seek to </w:t>
      </w:r>
      <w:r w:rsidR="006B10EE" w:rsidRPr="002A4D14">
        <w:rPr>
          <w:rFonts w:cstheme="minorHAnsi"/>
          <w:sz w:val="24"/>
          <w:szCs w:val="24"/>
        </w:rPr>
        <w:t xml:space="preserve">ensure that the values that guide an Indigenous right to development is included </w:t>
      </w:r>
      <w:r w:rsidR="003252E2" w:rsidRPr="002A4D14">
        <w:rPr>
          <w:rFonts w:cstheme="minorHAnsi"/>
          <w:sz w:val="24"/>
          <w:szCs w:val="24"/>
        </w:rPr>
        <w:t xml:space="preserve">but this inclusion is </w:t>
      </w:r>
      <w:r w:rsidR="000C35DE" w:rsidRPr="002A4D14">
        <w:rPr>
          <w:rFonts w:cstheme="minorHAnsi"/>
          <w:sz w:val="24"/>
          <w:szCs w:val="24"/>
        </w:rPr>
        <w:t xml:space="preserve">not </w:t>
      </w:r>
      <w:r w:rsidR="006B10EE" w:rsidRPr="002A4D14">
        <w:rPr>
          <w:rFonts w:cstheme="minorHAnsi"/>
          <w:sz w:val="24"/>
          <w:szCs w:val="24"/>
        </w:rPr>
        <w:t>thwarted by the need for economic success as a measure for the right to development</w:t>
      </w:r>
      <w:r w:rsidRPr="002A4D14">
        <w:rPr>
          <w:rFonts w:cstheme="minorHAnsi"/>
          <w:sz w:val="24"/>
          <w:szCs w:val="24"/>
        </w:rPr>
        <w:t>.</w:t>
      </w:r>
      <w:r w:rsidR="006B10EE" w:rsidRPr="002A4D14">
        <w:rPr>
          <w:rFonts w:cstheme="minorHAnsi"/>
          <w:sz w:val="24"/>
          <w:szCs w:val="24"/>
        </w:rPr>
        <w:t xml:space="preserve"> </w:t>
      </w:r>
      <w:r w:rsidR="00DF2FAF" w:rsidRPr="002A4D14">
        <w:rPr>
          <w:rFonts w:cstheme="minorHAnsi"/>
          <w:sz w:val="24"/>
          <w:szCs w:val="24"/>
        </w:rPr>
        <w:t xml:space="preserve"> </w:t>
      </w:r>
    </w:p>
    <w:p w14:paraId="1C69380E" w14:textId="77777777" w:rsidR="006B38B9" w:rsidRPr="002A4D14" w:rsidRDefault="006B38B9" w:rsidP="006B38B9">
      <w:pPr>
        <w:pStyle w:val="CommentText"/>
        <w:spacing w:line="360" w:lineRule="auto"/>
        <w:ind w:left="720"/>
        <w:jc w:val="both"/>
        <w:rPr>
          <w:rFonts w:cstheme="minorHAnsi"/>
          <w:sz w:val="24"/>
          <w:szCs w:val="24"/>
        </w:rPr>
      </w:pPr>
    </w:p>
    <w:p w14:paraId="0C9CCAC2" w14:textId="429B1C34" w:rsidR="0012456C" w:rsidRPr="002A4D14" w:rsidRDefault="008726C2" w:rsidP="00D514C0">
      <w:pPr>
        <w:pStyle w:val="CommentText"/>
        <w:numPr>
          <w:ilvl w:val="0"/>
          <w:numId w:val="14"/>
        </w:numPr>
        <w:spacing w:line="360" w:lineRule="auto"/>
        <w:jc w:val="both"/>
        <w:rPr>
          <w:rFonts w:cstheme="minorHAnsi"/>
          <w:sz w:val="24"/>
          <w:szCs w:val="24"/>
        </w:rPr>
      </w:pPr>
      <w:r w:rsidRPr="002A4D14">
        <w:rPr>
          <w:rFonts w:cstheme="minorHAnsi"/>
          <w:sz w:val="24"/>
          <w:szCs w:val="24"/>
        </w:rPr>
        <w:t>Although not explicit</w:t>
      </w:r>
      <w:r w:rsidR="00C41079" w:rsidRPr="002A4D14">
        <w:rPr>
          <w:rFonts w:cstheme="minorHAnsi"/>
          <w:sz w:val="24"/>
          <w:szCs w:val="24"/>
        </w:rPr>
        <w:t>,</w:t>
      </w:r>
      <w:r w:rsidRPr="002A4D14">
        <w:rPr>
          <w:rFonts w:cstheme="minorHAnsi"/>
          <w:sz w:val="24"/>
          <w:szCs w:val="24"/>
        </w:rPr>
        <w:t xml:space="preserve"> t</w:t>
      </w:r>
      <w:r w:rsidR="006B10EE" w:rsidRPr="002A4D14">
        <w:rPr>
          <w:rFonts w:cstheme="minorHAnsi"/>
          <w:sz w:val="24"/>
          <w:szCs w:val="24"/>
        </w:rPr>
        <w:t xml:space="preserve">o some extent this is </w:t>
      </w:r>
      <w:r w:rsidR="00DF2FAF" w:rsidRPr="002A4D14">
        <w:rPr>
          <w:rFonts w:cstheme="minorHAnsi"/>
          <w:sz w:val="24"/>
          <w:szCs w:val="24"/>
        </w:rPr>
        <w:t>acknowledged in article 17</w:t>
      </w:r>
      <w:r w:rsidR="006B10EE" w:rsidRPr="002A4D14">
        <w:rPr>
          <w:rFonts w:cstheme="minorHAnsi"/>
          <w:sz w:val="24"/>
          <w:szCs w:val="24"/>
        </w:rPr>
        <w:t xml:space="preserve"> </w:t>
      </w:r>
      <w:r w:rsidR="00DF2FAF" w:rsidRPr="002A4D14">
        <w:rPr>
          <w:rFonts w:cstheme="minorHAnsi"/>
          <w:sz w:val="24"/>
          <w:szCs w:val="24"/>
        </w:rPr>
        <w:t xml:space="preserve">(1), </w:t>
      </w:r>
      <w:r w:rsidR="006B10EE" w:rsidRPr="002A4D14">
        <w:rPr>
          <w:rFonts w:cstheme="minorHAnsi"/>
          <w:sz w:val="24"/>
          <w:szCs w:val="24"/>
        </w:rPr>
        <w:t xml:space="preserve">with </w:t>
      </w:r>
      <w:r w:rsidR="000C35DE" w:rsidRPr="002A4D14">
        <w:rPr>
          <w:rFonts w:cstheme="minorHAnsi"/>
          <w:sz w:val="24"/>
          <w:szCs w:val="24"/>
        </w:rPr>
        <w:t>‘</w:t>
      </w:r>
      <w:r w:rsidR="006B10EE" w:rsidRPr="002A4D14">
        <w:rPr>
          <w:rFonts w:cstheme="minorHAnsi"/>
          <w:sz w:val="24"/>
          <w:szCs w:val="24"/>
        </w:rPr>
        <w:t xml:space="preserve">a </w:t>
      </w:r>
      <w:r w:rsidR="00DF2FAF" w:rsidRPr="002A4D14">
        <w:rPr>
          <w:rFonts w:cstheme="minorHAnsi"/>
          <w:sz w:val="24"/>
          <w:szCs w:val="24"/>
        </w:rPr>
        <w:t>right to develop own priorities and strategies in pursuing development</w:t>
      </w:r>
      <w:r w:rsidR="000C35DE" w:rsidRPr="002A4D14">
        <w:rPr>
          <w:rFonts w:cstheme="minorHAnsi"/>
          <w:sz w:val="24"/>
          <w:szCs w:val="24"/>
        </w:rPr>
        <w:t>’</w:t>
      </w:r>
      <w:r w:rsidR="00DF2FAF" w:rsidRPr="002A4D14">
        <w:rPr>
          <w:rFonts w:cstheme="minorHAnsi"/>
          <w:sz w:val="24"/>
          <w:szCs w:val="24"/>
        </w:rPr>
        <w:t>. However, we are concerned that</w:t>
      </w:r>
      <w:r w:rsidR="0082356B" w:rsidRPr="002A4D14">
        <w:rPr>
          <w:rFonts w:cstheme="minorHAnsi"/>
          <w:sz w:val="24"/>
          <w:szCs w:val="24"/>
        </w:rPr>
        <w:t xml:space="preserve"> developing new priorities and strategies</w:t>
      </w:r>
      <w:r w:rsidR="00DF2FAF" w:rsidRPr="002A4D14">
        <w:rPr>
          <w:rFonts w:cstheme="minorHAnsi"/>
          <w:sz w:val="24"/>
          <w:szCs w:val="24"/>
        </w:rPr>
        <w:t xml:space="preserve"> should not be interpreted </w:t>
      </w:r>
      <w:r w:rsidR="0082356B">
        <w:rPr>
          <w:rFonts w:cstheme="minorHAnsi"/>
          <w:sz w:val="24"/>
          <w:szCs w:val="24"/>
        </w:rPr>
        <w:t xml:space="preserve">as </w:t>
      </w:r>
      <w:r w:rsidR="00DF2FAF" w:rsidRPr="002A4D14">
        <w:rPr>
          <w:rFonts w:cstheme="minorHAnsi"/>
          <w:sz w:val="24"/>
          <w:szCs w:val="24"/>
        </w:rPr>
        <w:t xml:space="preserve">the only way that </w:t>
      </w:r>
      <w:r w:rsidR="00081C7D">
        <w:rPr>
          <w:rFonts w:cstheme="minorHAnsi"/>
          <w:sz w:val="24"/>
          <w:szCs w:val="24"/>
        </w:rPr>
        <w:t>Indigenous Peoples</w:t>
      </w:r>
      <w:r w:rsidR="00DF2FAF" w:rsidRPr="002A4D14">
        <w:rPr>
          <w:rFonts w:cstheme="minorHAnsi"/>
          <w:sz w:val="24"/>
          <w:szCs w:val="24"/>
        </w:rPr>
        <w:t xml:space="preserve"> </w:t>
      </w:r>
      <w:r w:rsidR="00C41079" w:rsidRPr="002A4D14">
        <w:rPr>
          <w:rFonts w:cstheme="minorHAnsi"/>
          <w:sz w:val="24"/>
          <w:szCs w:val="24"/>
        </w:rPr>
        <w:t>can exercise their Right to Development</w:t>
      </w:r>
      <w:r w:rsidR="0082356B">
        <w:rPr>
          <w:rFonts w:cstheme="minorHAnsi"/>
          <w:sz w:val="24"/>
          <w:szCs w:val="24"/>
        </w:rPr>
        <w:t>;</w:t>
      </w:r>
      <w:r w:rsidR="00C41079" w:rsidRPr="002A4D14">
        <w:rPr>
          <w:rFonts w:cstheme="minorHAnsi"/>
          <w:sz w:val="24"/>
          <w:szCs w:val="24"/>
        </w:rPr>
        <w:t xml:space="preserve"> </w:t>
      </w:r>
      <w:r w:rsidR="00DF2FAF" w:rsidRPr="002A4D14">
        <w:rPr>
          <w:rFonts w:cstheme="minorHAnsi"/>
          <w:sz w:val="24"/>
          <w:szCs w:val="24"/>
        </w:rPr>
        <w:t xml:space="preserve">nor is it the only way </w:t>
      </w:r>
      <w:r w:rsidR="00081C7D">
        <w:rPr>
          <w:rFonts w:cstheme="minorHAnsi"/>
          <w:sz w:val="24"/>
          <w:szCs w:val="24"/>
        </w:rPr>
        <w:t>Indigenous Peoples</w:t>
      </w:r>
      <w:r w:rsidR="00DF2FAF" w:rsidRPr="002A4D14">
        <w:rPr>
          <w:rFonts w:cstheme="minorHAnsi"/>
          <w:sz w:val="24"/>
          <w:szCs w:val="24"/>
        </w:rPr>
        <w:t xml:space="preserve"> may seek to exercise their right</w:t>
      </w:r>
      <w:r w:rsidRPr="002A4D14">
        <w:rPr>
          <w:rFonts w:cstheme="minorHAnsi"/>
          <w:sz w:val="24"/>
          <w:szCs w:val="24"/>
        </w:rPr>
        <w:t xml:space="preserve"> to development</w:t>
      </w:r>
      <w:r w:rsidR="00DF2FAF" w:rsidRPr="002A4D14">
        <w:rPr>
          <w:rFonts w:cstheme="minorHAnsi"/>
          <w:sz w:val="24"/>
          <w:szCs w:val="24"/>
        </w:rPr>
        <w:t xml:space="preserve">. Many </w:t>
      </w:r>
      <w:r w:rsidR="00081C7D">
        <w:rPr>
          <w:rFonts w:cstheme="minorHAnsi"/>
          <w:sz w:val="24"/>
          <w:szCs w:val="24"/>
        </w:rPr>
        <w:t>Indigenous Peoples</w:t>
      </w:r>
      <w:r w:rsidR="00DF2FAF" w:rsidRPr="002A4D14">
        <w:rPr>
          <w:rFonts w:cstheme="minorHAnsi"/>
          <w:sz w:val="24"/>
          <w:szCs w:val="24"/>
        </w:rPr>
        <w:t xml:space="preserve"> already have </w:t>
      </w:r>
      <w:r w:rsidR="0012456C" w:rsidRPr="002A4D14">
        <w:rPr>
          <w:rFonts w:cstheme="minorHAnsi"/>
          <w:sz w:val="24"/>
          <w:szCs w:val="24"/>
        </w:rPr>
        <w:t xml:space="preserve">priorities and strategies that help them develop in a way that aligns with their needs and interests, which the </w:t>
      </w:r>
      <w:r w:rsidR="00F96923" w:rsidRPr="002A4D14">
        <w:rPr>
          <w:rFonts w:cstheme="minorHAnsi"/>
          <w:sz w:val="24"/>
          <w:szCs w:val="24"/>
        </w:rPr>
        <w:t xml:space="preserve">revised draft </w:t>
      </w:r>
      <w:r w:rsidR="0012456C" w:rsidRPr="002A4D14">
        <w:rPr>
          <w:rFonts w:cstheme="minorHAnsi"/>
          <w:sz w:val="24"/>
          <w:szCs w:val="24"/>
        </w:rPr>
        <w:t>Convention must seek to uplift.</w:t>
      </w:r>
    </w:p>
    <w:p w14:paraId="7F91C5B6" w14:textId="77777777" w:rsidR="006B38B9" w:rsidRPr="002A4D14" w:rsidRDefault="006B38B9" w:rsidP="006B38B9">
      <w:pPr>
        <w:pStyle w:val="ListParagraph"/>
        <w:rPr>
          <w:rFonts w:cstheme="minorHAnsi"/>
        </w:rPr>
      </w:pPr>
    </w:p>
    <w:p w14:paraId="4555EE17" w14:textId="56855ECF" w:rsidR="00DF2FAF" w:rsidRPr="002A4D14" w:rsidRDefault="00DF2FAF" w:rsidP="00AD4094">
      <w:pPr>
        <w:pStyle w:val="CommentText"/>
        <w:numPr>
          <w:ilvl w:val="0"/>
          <w:numId w:val="14"/>
        </w:numPr>
        <w:spacing w:line="360" w:lineRule="auto"/>
        <w:jc w:val="both"/>
        <w:rPr>
          <w:rFonts w:cstheme="minorHAnsi"/>
          <w:sz w:val="24"/>
          <w:szCs w:val="24"/>
        </w:rPr>
      </w:pPr>
      <w:r w:rsidRPr="002A4D14">
        <w:rPr>
          <w:rFonts w:cstheme="minorHAnsi"/>
          <w:sz w:val="24"/>
          <w:szCs w:val="24"/>
        </w:rPr>
        <w:t>The</w:t>
      </w:r>
      <w:r w:rsidR="00F214AF" w:rsidRPr="002A4D14">
        <w:rPr>
          <w:rFonts w:cstheme="minorHAnsi"/>
          <w:sz w:val="24"/>
          <w:szCs w:val="24"/>
        </w:rPr>
        <w:t xml:space="preserve"> inclusion of the obligation to both ‘consult and cooperate’ </w:t>
      </w:r>
      <w:r w:rsidR="0000136A" w:rsidRPr="002A4D14">
        <w:rPr>
          <w:rFonts w:cstheme="minorHAnsi"/>
          <w:sz w:val="24"/>
          <w:szCs w:val="24"/>
        </w:rPr>
        <w:t>and</w:t>
      </w:r>
      <w:r w:rsidR="00C41079" w:rsidRPr="002A4D14">
        <w:rPr>
          <w:rFonts w:cstheme="minorHAnsi"/>
          <w:sz w:val="24"/>
          <w:szCs w:val="24"/>
        </w:rPr>
        <w:t xml:space="preserve"> ascertain</w:t>
      </w:r>
      <w:r w:rsidR="0000136A" w:rsidRPr="002A4D14">
        <w:rPr>
          <w:rFonts w:cstheme="minorHAnsi"/>
          <w:sz w:val="24"/>
          <w:szCs w:val="24"/>
        </w:rPr>
        <w:t xml:space="preserve"> ‘free, prior and </w:t>
      </w:r>
      <w:r w:rsidR="00D514C0" w:rsidRPr="002A4D14">
        <w:rPr>
          <w:rFonts w:cstheme="minorHAnsi"/>
          <w:sz w:val="24"/>
          <w:szCs w:val="24"/>
        </w:rPr>
        <w:t xml:space="preserve">informed </w:t>
      </w:r>
      <w:r w:rsidR="0000136A" w:rsidRPr="002A4D14">
        <w:rPr>
          <w:rFonts w:cstheme="minorHAnsi"/>
          <w:sz w:val="24"/>
          <w:szCs w:val="24"/>
        </w:rPr>
        <w:t xml:space="preserve">consent’ </w:t>
      </w:r>
      <w:r w:rsidR="00F214AF" w:rsidRPr="002A4D14">
        <w:rPr>
          <w:rFonts w:cstheme="minorHAnsi"/>
          <w:sz w:val="24"/>
          <w:szCs w:val="24"/>
        </w:rPr>
        <w:t xml:space="preserve">is commendable, as this implies that the relationship </w:t>
      </w:r>
      <w:r w:rsidR="00C41079" w:rsidRPr="002A4D14">
        <w:rPr>
          <w:rFonts w:cstheme="minorHAnsi"/>
          <w:sz w:val="24"/>
          <w:szCs w:val="24"/>
        </w:rPr>
        <w:t>is continuing</w:t>
      </w:r>
      <w:r w:rsidR="00F214AF" w:rsidRPr="002A4D14">
        <w:rPr>
          <w:rFonts w:cstheme="minorHAnsi"/>
          <w:sz w:val="24"/>
          <w:szCs w:val="24"/>
        </w:rPr>
        <w:t xml:space="preserve"> beyond the initial consultation. But it is an unfortunate reality that all too often consultation is inadequate or does not occur at all. This article could be strengthened through stronger wording, emphasising </w:t>
      </w:r>
      <w:r w:rsidR="00F214AF" w:rsidRPr="002A4D14">
        <w:rPr>
          <w:rFonts w:cstheme="minorHAnsi"/>
          <w:i/>
          <w:iCs/>
          <w:sz w:val="24"/>
          <w:szCs w:val="24"/>
        </w:rPr>
        <w:t>proper</w:t>
      </w:r>
      <w:r w:rsidR="00F214AF" w:rsidRPr="002A4D14">
        <w:rPr>
          <w:sz w:val="24"/>
          <w:szCs w:val="24"/>
        </w:rPr>
        <w:t xml:space="preserve"> consultation and ensure that the relationship established is a continuing one. </w:t>
      </w:r>
    </w:p>
    <w:p w14:paraId="05D5EDE8" w14:textId="77777777" w:rsidR="006B38B9" w:rsidRPr="002A4D14" w:rsidRDefault="006B38B9" w:rsidP="006B38B9">
      <w:pPr>
        <w:pStyle w:val="ListParagraph"/>
        <w:rPr>
          <w:rFonts w:cstheme="minorHAnsi"/>
        </w:rPr>
      </w:pPr>
    </w:p>
    <w:p w14:paraId="0FD53D3B" w14:textId="0A14F7C6" w:rsidR="00F214AF" w:rsidRPr="002A4D14" w:rsidRDefault="00F214AF" w:rsidP="00AD4094">
      <w:pPr>
        <w:pStyle w:val="CommentText"/>
        <w:numPr>
          <w:ilvl w:val="0"/>
          <w:numId w:val="14"/>
        </w:numPr>
        <w:spacing w:line="360" w:lineRule="auto"/>
        <w:jc w:val="both"/>
        <w:rPr>
          <w:rFonts w:cstheme="minorHAnsi"/>
          <w:sz w:val="24"/>
          <w:szCs w:val="24"/>
        </w:rPr>
      </w:pPr>
      <w:r w:rsidRPr="002A4D14">
        <w:rPr>
          <w:sz w:val="24"/>
          <w:szCs w:val="24"/>
        </w:rPr>
        <w:lastRenderedPageBreak/>
        <w:t xml:space="preserve">The inclusion of ‘tribal peoples’ used in conjunction with </w:t>
      </w:r>
      <w:r w:rsidR="00081C7D">
        <w:rPr>
          <w:sz w:val="24"/>
          <w:szCs w:val="24"/>
        </w:rPr>
        <w:t>Indigenous Peoples</w:t>
      </w:r>
      <w:r w:rsidRPr="002A4D14">
        <w:rPr>
          <w:sz w:val="24"/>
          <w:szCs w:val="24"/>
        </w:rPr>
        <w:t xml:space="preserve"> in article 17</w:t>
      </w:r>
      <w:r w:rsidR="009D6AD5" w:rsidRPr="002A4D14">
        <w:rPr>
          <w:sz w:val="24"/>
          <w:szCs w:val="24"/>
        </w:rPr>
        <w:t xml:space="preserve"> </w:t>
      </w:r>
      <w:r w:rsidRPr="002A4D14">
        <w:rPr>
          <w:sz w:val="24"/>
          <w:szCs w:val="24"/>
        </w:rPr>
        <w:t xml:space="preserve">(2)  is unusual, implying that </w:t>
      </w:r>
      <w:r w:rsidR="009D6AD5" w:rsidRPr="002A4D14">
        <w:rPr>
          <w:sz w:val="24"/>
          <w:szCs w:val="24"/>
        </w:rPr>
        <w:t>first,</w:t>
      </w:r>
      <w:r w:rsidRPr="002A4D14">
        <w:rPr>
          <w:sz w:val="24"/>
          <w:szCs w:val="24"/>
        </w:rPr>
        <w:t xml:space="preserve"> tribal peoples are not </w:t>
      </w:r>
      <w:r w:rsidR="00081C7D">
        <w:rPr>
          <w:sz w:val="24"/>
          <w:szCs w:val="24"/>
        </w:rPr>
        <w:t>Indigenous Peoples</w:t>
      </w:r>
      <w:r w:rsidRPr="002A4D14">
        <w:rPr>
          <w:sz w:val="24"/>
          <w:szCs w:val="24"/>
        </w:rPr>
        <w:t xml:space="preserve"> and </w:t>
      </w:r>
      <w:r w:rsidR="009D6AD5" w:rsidRPr="002A4D14">
        <w:rPr>
          <w:sz w:val="24"/>
          <w:szCs w:val="24"/>
        </w:rPr>
        <w:t xml:space="preserve">second, </w:t>
      </w:r>
      <w:r w:rsidRPr="002A4D14">
        <w:rPr>
          <w:sz w:val="24"/>
          <w:szCs w:val="24"/>
        </w:rPr>
        <w:t xml:space="preserve">that </w:t>
      </w:r>
      <w:r w:rsidR="00CD3E00" w:rsidRPr="002A4D14">
        <w:rPr>
          <w:sz w:val="24"/>
          <w:szCs w:val="24"/>
        </w:rPr>
        <w:t xml:space="preserve">tribal peoples are not entitled to the same protections afforded to </w:t>
      </w:r>
      <w:r w:rsidR="00081C7D">
        <w:rPr>
          <w:sz w:val="24"/>
          <w:szCs w:val="24"/>
        </w:rPr>
        <w:t>Indigenous Peoples</w:t>
      </w:r>
      <w:r w:rsidR="00CD3E00" w:rsidRPr="002A4D14">
        <w:rPr>
          <w:sz w:val="24"/>
          <w:szCs w:val="24"/>
        </w:rPr>
        <w:t xml:space="preserve"> in the remainder of article 17.</w:t>
      </w:r>
    </w:p>
    <w:p w14:paraId="75D3C17E" w14:textId="77777777" w:rsidR="006B38B9" w:rsidRPr="002A4D14" w:rsidRDefault="006B38B9" w:rsidP="006B38B9">
      <w:pPr>
        <w:pStyle w:val="ListParagraph"/>
        <w:rPr>
          <w:rFonts w:cstheme="minorHAnsi"/>
        </w:rPr>
      </w:pPr>
    </w:p>
    <w:p w14:paraId="0AF51CB7" w14:textId="6CFE289B" w:rsidR="00CD3E00" w:rsidRPr="002A4D14" w:rsidRDefault="00CD3E00" w:rsidP="00AD4094">
      <w:pPr>
        <w:pStyle w:val="CommentText"/>
        <w:numPr>
          <w:ilvl w:val="0"/>
          <w:numId w:val="14"/>
        </w:numPr>
        <w:spacing w:line="360" w:lineRule="auto"/>
        <w:jc w:val="both"/>
        <w:rPr>
          <w:rFonts w:cstheme="minorHAnsi"/>
          <w:sz w:val="24"/>
          <w:szCs w:val="24"/>
        </w:rPr>
      </w:pPr>
      <w:r w:rsidRPr="002A4D14">
        <w:rPr>
          <w:sz w:val="24"/>
          <w:szCs w:val="24"/>
        </w:rPr>
        <w:t xml:space="preserve">The requirement to consult with Indigenous People’s representative institutions begs the question, what if </w:t>
      </w:r>
      <w:r w:rsidR="00081C7D">
        <w:rPr>
          <w:sz w:val="24"/>
          <w:szCs w:val="24"/>
        </w:rPr>
        <w:t>Indigenous Peoples</w:t>
      </w:r>
      <w:r w:rsidRPr="002A4D14">
        <w:rPr>
          <w:sz w:val="24"/>
          <w:szCs w:val="24"/>
        </w:rPr>
        <w:t xml:space="preserve"> do not have representative institutions</w:t>
      </w:r>
      <w:r w:rsidR="00C60C50" w:rsidRPr="002A4D14">
        <w:rPr>
          <w:sz w:val="24"/>
          <w:szCs w:val="24"/>
        </w:rPr>
        <w:t>?</w:t>
      </w:r>
      <w:r w:rsidRPr="002A4D14">
        <w:rPr>
          <w:sz w:val="24"/>
          <w:szCs w:val="24"/>
        </w:rPr>
        <w:t xml:space="preserve"> Consultation should certainly occur with the group who has the appropriate mandate to act on behalf of the </w:t>
      </w:r>
      <w:r w:rsidR="00081C7D">
        <w:rPr>
          <w:sz w:val="24"/>
          <w:szCs w:val="24"/>
        </w:rPr>
        <w:t>Indigenous Peoples</w:t>
      </w:r>
      <w:r w:rsidRPr="002A4D14">
        <w:rPr>
          <w:sz w:val="24"/>
          <w:szCs w:val="24"/>
        </w:rPr>
        <w:t xml:space="preserve"> concerned, but </w:t>
      </w:r>
      <w:r w:rsidR="00F330C2" w:rsidRPr="002A4D14">
        <w:rPr>
          <w:sz w:val="24"/>
          <w:szCs w:val="24"/>
        </w:rPr>
        <w:t xml:space="preserve">is not always an </w:t>
      </w:r>
      <w:r w:rsidRPr="002A4D14">
        <w:rPr>
          <w:sz w:val="24"/>
          <w:szCs w:val="24"/>
        </w:rPr>
        <w:t>institution per se. The Convention should not imply that consultation can only occur on the basis of two institutions talking to each other. For consultation to be adequate it must</w:t>
      </w:r>
      <w:r w:rsidR="002D4EE7" w:rsidRPr="002A4D14">
        <w:rPr>
          <w:sz w:val="24"/>
          <w:szCs w:val="24"/>
        </w:rPr>
        <w:t xml:space="preserve"> be locally specific, </w:t>
      </w:r>
      <w:r w:rsidR="002B3A5D" w:rsidRPr="002A4D14">
        <w:rPr>
          <w:sz w:val="24"/>
          <w:szCs w:val="24"/>
        </w:rPr>
        <w:t xml:space="preserve">Indigenous, </w:t>
      </w:r>
      <w:r w:rsidR="002D4EE7" w:rsidRPr="002A4D14">
        <w:rPr>
          <w:sz w:val="24"/>
          <w:szCs w:val="24"/>
        </w:rPr>
        <w:t>and genuinely engage with the Indigenous People to ensure free, prior and informed consent is obtained.</w:t>
      </w:r>
    </w:p>
    <w:p w14:paraId="3E7C714B" w14:textId="77777777" w:rsidR="006B38B9" w:rsidRPr="002A4D14" w:rsidRDefault="006B38B9" w:rsidP="006B38B9">
      <w:pPr>
        <w:pStyle w:val="ListParagraph"/>
        <w:rPr>
          <w:rFonts w:cstheme="minorHAnsi"/>
        </w:rPr>
      </w:pPr>
    </w:p>
    <w:p w14:paraId="6174EAB7" w14:textId="2E67FEBC" w:rsidR="008D3F34" w:rsidRPr="002A4D14" w:rsidRDefault="002D4EE7" w:rsidP="008A021A">
      <w:pPr>
        <w:pStyle w:val="CommentText"/>
        <w:numPr>
          <w:ilvl w:val="0"/>
          <w:numId w:val="14"/>
        </w:numPr>
        <w:spacing w:line="360" w:lineRule="auto"/>
        <w:jc w:val="both"/>
        <w:rPr>
          <w:rFonts w:cstheme="minorHAnsi"/>
          <w:sz w:val="24"/>
          <w:szCs w:val="24"/>
        </w:rPr>
      </w:pPr>
      <w:r w:rsidRPr="002A4D14">
        <w:rPr>
          <w:sz w:val="24"/>
          <w:szCs w:val="24"/>
        </w:rPr>
        <w:t xml:space="preserve">The emphasis on physical resources is treated with caution. While they are often of great significance to </w:t>
      </w:r>
      <w:r w:rsidR="00081C7D">
        <w:rPr>
          <w:sz w:val="24"/>
          <w:szCs w:val="24"/>
        </w:rPr>
        <w:t>Indigenous Peoples</w:t>
      </w:r>
      <w:r w:rsidRPr="002A4D14">
        <w:rPr>
          <w:sz w:val="24"/>
          <w:szCs w:val="24"/>
        </w:rPr>
        <w:t xml:space="preserve">, those listed should not appear to supersede the right to develop others. In particular, </w:t>
      </w:r>
      <w:r w:rsidR="00081C7D">
        <w:rPr>
          <w:sz w:val="24"/>
          <w:szCs w:val="24"/>
        </w:rPr>
        <w:t>Indigenous Peoples</w:t>
      </w:r>
      <w:r w:rsidRPr="002A4D14">
        <w:rPr>
          <w:sz w:val="24"/>
          <w:szCs w:val="24"/>
        </w:rPr>
        <w:t xml:space="preserve"> may wish to </w:t>
      </w:r>
      <w:r w:rsidR="00EA7033">
        <w:rPr>
          <w:sz w:val="24"/>
          <w:szCs w:val="24"/>
        </w:rPr>
        <w:t xml:space="preserve">maintain, control protect and </w:t>
      </w:r>
      <w:r w:rsidRPr="002A4D14">
        <w:rPr>
          <w:sz w:val="24"/>
          <w:szCs w:val="24"/>
        </w:rPr>
        <w:t>develop</w:t>
      </w:r>
      <w:r w:rsidR="00EA7033">
        <w:rPr>
          <w:sz w:val="24"/>
          <w:szCs w:val="24"/>
        </w:rPr>
        <w:t xml:space="preserve"> their cultural heritage</w:t>
      </w:r>
      <w:r w:rsidRPr="002A4D14">
        <w:rPr>
          <w:sz w:val="24"/>
          <w:szCs w:val="24"/>
        </w:rPr>
        <w:t xml:space="preserve"> </w:t>
      </w:r>
      <w:r w:rsidR="005A30CC" w:rsidRPr="002A4D14">
        <w:rPr>
          <w:sz w:val="24"/>
          <w:szCs w:val="24"/>
        </w:rPr>
        <w:t>traditional knowledge</w:t>
      </w:r>
      <w:r w:rsidR="00EA7033">
        <w:rPr>
          <w:sz w:val="24"/>
          <w:szCs w:val="24"/>
        </w:rPr>
        <w:t>, traditional cultural expressions</w:t>
      </w:r>
      <w:r w:rsidR="005A30CC" w:rsidRPr="002A4D14">
        <w:rPr>
          <w:sz w:val="24"/>
          <w:szCs w:val="24"/>
        </w:rPr>
        <w:t xml:space="preserve"> and customs or their constitutional structures</w:t>
      </w:r>
      <w:r w:rsidR="00EA7033">
        <w:rPr>
          <w:sz w:val="24"/>
          <w:szCs w:val="24"/>
        </w:rPr>
        <w:t>.</w:t>
      </w:r>
    </w:p>
    <w:p w14:paraId="7E95270D" w14:textId="77777777" w:rsidR="006B38B9" w:rsidRPr="002A4D14" w:rsidRDefault="006B38B9" w:rsidP="00265589">
      <w:pPr>
        <w:rPr>
          <w:rFonts w:cstheme="minorHAnsi"/>
        </w:rPr>
      </w:pPr>
    </w:p>
    <w:p w14:paraId="6763E6AB" w14:textId="3B1C89C3" w:rsidR="006B38B9" w:rsidRPr="002A4D14" w:rsidRDefault="003C61B0" w:rsidP="006B38B9">
      <w:pPr>
        <w:pStyle w:val="CommentText"/>
        <w:spacing w:line="360" w:lineRule="auto"/>
        <w:jc w:val="both"/>
        <w:rPr>
          <w:rFonts w:cstheme="minorHAnsi"/>
          <w:b/>
          <w:bCs/>
          <w:sz w:val="24"/>
          <w:szCs w:val="24"/>
        </w:rPr>
      </w:pPr>
      <w:r>
        <w:rPr>
          <w:rFonts w:cstheme="minorHAnsi"/>
          <w:b/>
          <w:bCs/>
          <w:sz w:val="24"/>
          <w:szCs w:val="24"/>
        </w:rPr>
        <w:t>Part Three:</w:t>
      </w:r>
      <w:r>
        <w:rPr>
          <w:rFonts w:cstheme="minorHAnsi"/>
          <w:b/>
          <w:bCs/>
          <w:sz w:val="24"/>
          <w:szCs w:val="24"/>
        </w:rPr>
        <w:tab/>
      </w:r>
      <w:r w:rsidR="006B38B9" w:rsidRPr="002A4D14">
        <w:rPr>
          <w:rFonts w:cstheme="minorHAnsi"/>
          <w:b/>
          <w:bCs/>
          <w:sz w:val="24"/>
          <w:szCs w:val="24"/>
        </w:rPr>
        <w:t>Recommendations</w:t>
      </w:r>
      <w:r w:rsidR="003F6E6C" w:rsidRPr="002A4D14">
        <w:rPr>
          <w:rFonts w:cstheme="minorHAnsi"/>
          <w:b/>
          <w:bCs/>
          <w:sz w:val="24"/>
          <w:szCs w:val="24"/>
        </w:rPr>
        <w:t>/Feedback</w:t>
      </w:r>
    </w:p>
    <w:p w14:paraId="2A92966C" w14:textId="5BF59CE8" w:rsidR="00B70BCE" w:rsidRPr="002A4D14" w:rsidRDefault="00B70BCE" w:rsidP="00AD4094">
      <w:pPr>
        <w:spacing w:line="360" w:lineRule="auto"/>
        <w:jc w:val="both"/>
        <w:rPr>
          <w:rFonts w:cstheme="minorHAnsi"/>
        </w:rPr>
      </w:pPr>
    </w:p>
    <w:p w14:paraId="54FFBDC2" w14:textId="7C77B56B" w:rsidR="003F6E6C" w:rsidRPr="002A4D14" w:rsidRDefault="003F6E6C" w:rsidP="003F6E6C">
      <w:pPr>
        <w:pStyle w:val="ListParagraph"/>
        <w:numPr>
          <w:ilvl w:val="0"/>
          <w:numId w:val="14"/>
        </w:numPr>
        <w:spacing w:line="360" w:lineRule="auto"/>
        <w:jc w:val="both"/>
        <w:rPr>
          <w:rFonts w:cstheme="minorHAnsi"/>
        </w:rPr>
      </w:pPr>
      <w:r w:rsidRPr="002A4D14">
        <w:rPr>
          <w:rFonts w:cstheme="minorHAnsi"/>
        </w:rPr>
        <w:t>The Expert Mechanism provides the following recommendations/feedback on the revised draft Convention on the Right to Development</w:t>
      </w:r>
    </w:p>
    <w:p w14:paraId="692E510B" w14:textId="77777777" w:rsidR="003F6E6C" w:rsidRPr="002A4D14" w:rsidRDefault="003F6E6C" w:rsidP="003F6E6C">
      <w:pPr>
        <w:pStyle w:val="ListParagraph"/>
        <w:spacing w:line="360" w:lineRule="auto"/>
        <w:jc w:val="both"/>
        <w:rPr>
          <w:rFonts w:cstheme="minorHAnsi"/>
        </w:rPr>
      </w:pPr>
    </w:p>
    <w:p w14:paraId="65ADED0A" w14:textId="77777777" w:rsidR="0053058C" w:rsidRDefault="0053058C" w:rsidP="0053058C">
      <w:pPr>
        <w:pStyle w:val="ListParagraph"/>
        <w:numPr>
          <w:ilvl w:val="0"/>
          <w:numId w:val="14"/>
        </w:numPr>
        <w:spacing w:line="360" w:lineRule="auto"/>
        <w:jc w:val="both"/>
        <w:rPr>
          <w:rFonts w:cstheme="minorHAnsi"/>
        </w:rPr>
      </w:pPr>
      <w:r>
        <w:rPr>
          <w:rFonts w:cstheme="minorHAnsi"/>
        </w:rPr>
        <w:t>The revised draft Convention on the Right to Development, as far as practicable, should complement and be consistent with an Indigenous peoples’ right to development as affirmed in the UN Declaration on the Rights to Indigenous Peoples.</w:t>
      </w:r>
    </w:p>
    <w:p w14:paraId="5C6B7BB0" w14:textId="77777777" w:rsidR="0053058C" w:rsidRPr="00846C2F" w:rsidRDefault="0053058C" w:rsidP="0053058C">
      <w:pPr>
        <w:spacing w:line="360" w:lineRule="auto"/>
        <w:jc w:val="both"/>
        <w:rPr>
          <w:rFonts w:cstheme="minorHAnsi"/>
        </w:rPr>
      </w:pPr>
    </w:p>
    <w:p w14:paraId="2274EDB9" w14:textId="14F33EF0" w:rsidR="0053058C" w:rsidRPr="00846C2F" w:rsidRDefault="0053058C" w:rsidP="0053058C">
      <w:pPr>
        <w:pStyle w:val="ListParagraph"/>
        <w:numPr>
          <w:ilvl w:val="0"/>
          <w:numId w:val="14"/>
        </w:numPr>
        <w:spacing w:line="360" w:lineRule="auto"/>
        <w:jc w:val="both"/>
        <w:rPr>
          <w:rFonts w:cstheme="minorHAnsi"/>
        </w:rPr>
      </w:pPr>
      <w:r w:rsidRPr="0053058C">
        <w:t xml:space="preserve">The fundamental norm of the United Nations Declaration on the Rights of Indigenous Peoples is the right to self-determination recognized in article 3: “Indigenous peoples have the right to self-determination. By virtue of that right they freely determine their political status and freely pursue their economic, social and cultural development.” </w:t>
      </w:r>
      <w:r>
        <w:rPr>
          <w:rFonts w:cstheme="minorHAnsi"/>
        </w:rPr>
        <w:t xml:space="preserve">Additional language should be included to ensure that </w:t>
      </w:r>
      <w:r>
        <w:t>Indigenous Peoples, in exercising their right to self-determination, as it relates to the Right to Development, have the right to self-determination, autonomy or self-government in matters relating to their internal and local affairs, as well as ways and means for financing their autonomous functions (art 4).</w:t>
      </w:r>
    </w:p>
    <w:p w14:paraId="19B7BBC1" w14:textId="77777777" w:rsidR="008D3F34" w:rsidRPr="008D3F34" w:rsidRDefault="008D3F34" w:rsidP="008D3F34">
      <w:pPr>
        <w:pStyle w:val="ListParagraph"/>
        <w:rPr>
          <w:rFonts w:cstheme="minorHAnsi"/>
        </w:rPr>
      </w:pPr>
    </w:p>
    <w:p w14:paraId="019C684E" w14:textId="77777777" w:rsidR="00265589" w:rsidRPr="00265589" w:rsidRDefault="00265589" w:rsidP="00265589">
      <w:pPr>
        <w:pStyle w:val="ListParagraph"/>
        <w:rPr>
          <w:rFonts w:cstheme="minorHAnsi"/>
        </w:rPr>
      </w:pPr>
    </w:p>
    <w:p w14:paraId="0B8B7F39" w14:textId="75578BFA" w:rsidR="00265589" w:rsidRPr="00265589" w:rsidRDefault="00034F75" w:rsidP="00846C2F">
      <w:pPr>
        <w:pStyle w:val="ListParagraph"/>
        <w:numPr>
          <w:ilvl w:val="0"/>
          <w:numId w:val="14"/>
        </w:numPr>
        <w:spacing w:line="360" w:lineRule="auto"/>
        <w:jc w:val="both"/>
        <w:rPr>
          <w:rFonts w:cstheme="minorHAnsi"/>
        </w:rPr>
      </w:pPr>
      <w:r>
        <w:rPr>
          <w:rFonts w:cstheme="minorHAnsi"/>
        </w:rPr>
        <w:t xml:space="preserve">Additional language should be included to ensure that the ability to </w:t>
      </w:r>
    </w:p>
    <w:p w14:paraId="32A9E8F6" w14:textId="77777777" w:rsidR="00265589" w:rsidRPr="00265589" w:rsidRDefault="00265589" w:rsidP="00265589">
      <w:pPr>
        <w:pStyle w:val="ListParagraph"/>
        <w:rPr>
          <w:rFonts w:cstheme="minorHAnsi"/>
        </w:rPr>
      </w:pPr>
    </w:p>
    <w:p w14:paraId="0F6E9071" w14:textId="77777777" w:rsidR="00265589" w:rsidRDefault="00265589" w:rsidP="00265589">
      <w:pPr>
        <w:pStyle w:val="ListParagraph"/>
        <w:numPr>
          <w:ilvl w:val="0"/>
          <w:numId w:val="21"/>
        </w:numPr>
        <w:spacing w:line="360" w:lineRule="auto"/>
        <w:jc w:val="both"/>
        <w:rPr>
          <w:rFonts w:cstheme="minorHAnsi"/>
        </w:rPr>
      </w:pPr>
      <w:r w:rsidRPr="00752E71">
        <w:rPr>
          <w:rFonts w:cstheme="minorHAnsi"/>
        </w:rPr>
        <w:t xml:space="preserve">‘maintain, protect and develop the past, present and future manifestations of their cultures, such as archaeological and historical sites, artefacts, designs, ceremonies, technologies and visual and performing arts and literature’ (art 11); </w:t>
      </w:r>
    </w:p>
    <w:p w14:paraId="1FA7F84C" w14:textId="3AA1DF65"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manifest, practice,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r>
        <w:rPr>
          <w:rFonts w:cstheme="minorHAnsi"/>
        </w:rPr>
        <w:t>’</w:t>
      </w:r>
      <w:r w:rsidRPr="00752E71">
        <w:rPr>
          <w:rFonts w:cstheme="minorHAnsi"/>
        </w:rPr>
        <w:t xml:space="preserve"> (art 12); </w:t>
      </w:r>
    </w:p>
    <w:p w14:paraId="09ED4CC3" w14:textId="6F03FCFB"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revitalize, use, develop and transmit to future generations their histories, languages, oral traditions, philosophies, writing systems and literatures, and to designate and retain their own names for communities, places and persons</w:t>
      </w:r>
      <w:r>
        <w:rPr>
          <w:rFonts w:cstheme="minorHAnsi"/>
        </w:rPr>
        <w:t>’</w:t>
      </w:r>
      <w:r w:rsidRPr="00752E71">
        <w:rPr>
          <w:rFonts w:cstheme="minorHAnsi"/>
        </w:rPr>
        <w:t xml:space="preserve"> (art 13); </w:t>
      </w:r>
    </w:p>
    <w:p w14:paraId="6FA67D73" w14:textId="720B0A2E" w:rsidR="00265589" w:rsidRDefault="00034F75" w:rsidP="00265589">
      <w:pPr>
        <w:pStyle w:val="ListParagraph"/>
        <w:numPr>
          <w:ilvl w:val="0"/>
          <w:numId w:val="21"/>
        </w:numPr>
        <w:spacing w:line="360" w:lineRule="auto"/>
        <w:jc w:val="both"/>
        <w:rPr>
          <w:rFonts w:cstheme="minorHAnsi"/>
        </w:rPr>
      </w:pPr>
      <w:r>
        <w:rPr>
          <w:rFonts w:cstheme="minorHAnsi"/>
        </w:rPr>
        <w:t>‘</w:t>
      </w:r>
      <w:r w:rsidR="00265589" w:rsidRPr="00752E71">
        <w:rPr>
          <w:rFonts w:cstheme="minorHAnsi"/>
        </w:rPr>
        <w:t xml:space="preserve">participate in decision-making in matters which would affect their rights, through representatives chosen by themselves in accordance with their own procedures, as well as to maintain and develop their own indigenous decision-making institutions (art 18); </w:t>
      </w:r>
    </w:p>
    <w:p w14:paraId="61278FD9" w14:textId="2C928318"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maintain and develop their political, economic and social systems or institutions, to be secure in the enjoyment of their own means of subsistence and development, and to engage freely in all their traditional and other economic activities</w:t>
      </w:r>
      <w:r>
        <w:rPr>
          <w:rFonts w:cstheme="minorHAnsi"/>
        </w:rPr>
        <w:t>’</w:t>
      </w:r>
      <w:r w:rsidRPr="00752E71">
        <w:rPr>
          <w:rFonts w:cstheme="minorHAnsi"/>
        </w:rPr>
        <w:t xml:space="preserve"> (art 20); </w:t>
      </w:r>
    </w:p>
    <w:p w14:paraId="45C66766" w14:textId="7B107C45"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 xml:space="preserve">determine and develop priorities and strategies for exercising their right to development. In particular, </w:t>
      </w:r>
      <w:r w:rsidR="00081C7D">
        <w:rPr>
          <w:rFonts w:cstheme="minorHAnsi"/>
        </w:rPr>
        <w:t>Indigenous Peoples</w:t>
      </w:r>
      <w:r w:rsidRPr="00752E71">
        <w:rPr>
          <w:rFonts w:cstheme="minorHAnsi"/>
        </w:rPr>
        <w:t xml:space="preserve"> have the right to be actively involved in developing and determining health, housing and other economic and social programmes affecting them and, as far as possible, to administer such programmes through their own institutions</w:t>
      </w:r>
      <w:r>
        <w:rPr>
          <w:rFonts w:cstheme="minorHAnsi"/>
        </w:rPr>
        <w:t>’</w:t>
      </w:r>
      <w:r w:rsidRPr="00752E71">
        <w:rPr>
          <w:rFonts w:cstheme="minorHAnsi"/>
        </w:rPr>
        <w:t xml:space="preserve"> (art 23);  </w:t>
      </w:r>
    </w:p>
    <w:p w14:paraId="67799FA6" w14:textId="450A242D"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own, use, develop and control the lands, territories and resources that they possess by reason of traditional ownership or other traditional occupation or use, as well as those which they have otherwise acquired</w:t>
      </w:r>
      <w:r>
        <w:rPr>
          <w:rFonts w:cstheme="minorHAnsi"/>
        </w:rPr>
        <w:t>’</w:t>
      </w:r>
      <w:r w:rsidRPr="00752E71">
        <w:rPr>
          <w:rFonts w:cstheme="minorHAnsi"/>
        </w:rPr>
        <w:t xml:space="preserve"> (art 26 (2)); </w:t>
      </w:r>
    </w:p>
    <w:p w14:paraId="3FEE9D37" w14:textId="311AB3D5"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 xml:space="preserve">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w:t>
      </w:r>
      <w:r w:rsidRPr="00752E71">
        <w:rPr>
          <w:rFonts w:cstheme="minorHAnsi"/>
        </w:rPr>
        <w:lastRenderedPageBreak/>
        <w:t>property over such cultural heritage, traditional knowledge, and traditional cultural expressions</w:t>
      </w:r>
      <w:r>
        <w:rPr>
          <w:rFonts w:cstheme="minorHAnsi"/>
        </w:rPr>
        <w:t>’</w:t>
      </w:r>
      <w:r w:rsidRPr="00752E71">
        <w:rPr>
          <w:rFonts w:cstheme="minorHAnsi"/>
        </w:rPr>
        <w:t xml:space="preserve"> (art 31); </w:t>
      </w:r>
    </w:p>
    <w:p w14:paraId="40120EC3" w14:textId="35E58340" w:rsidR="00265589" w:rsidRPr="00B652D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determine and develop priorities and strategies for the development or use of their lands or territories and other resources</w:t>
      </w:r>
      <w:r>
        <w:rPr>
          <w:rFonts w:cstheme="minorHAnsi"/>
        </w:rPr>
        <w:t>’</w:t>
      </w:r>
      <w:r w:rsidRPr="00752E71">
        <w:rPr>
          <w:rFonts w:cstheme="minorHAnsi"/>
        </w:rPr>
        <w:t xml:space="preserve"> (art 32)</w:t>
      </w:r>
      <w:r>
        <w:rPr>
          <w:rFonts w:cstheme="minorHAnsi"/>
        </w:rPr>
        <w:t xml:space="preserve"> and </w:t>
      </w:r>
      <w:r w:rsidRPr="00B652D9">
        <w:rPr>
          <w:rFonts w:cstheme="minorHAnsi"/>
        </w:rPr>
        <w:t xml:space="preserve">States shall consult and cooperate in good faith with the </w:t>
      </w:r>
      <w:r w:rsidR="00081C7D">
        <w:rPr>
          <w:rFonts w:cstheme="minorHAnsi"/>
        </w:rPr>
        <w:t>Indigenous Peoples</w:t>
      </w:r>
      <w:r w:rsidRPr="00B652D9">
        <w:rPr>
          <w:rFonts w:cstheme="minorHAnsi"/>
        </w:rPr>
        <w:t xml:space="preserve">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 (art 32 (2)); </w:t>
      </w:r>
    </w:p>
    <w:p w14:paraId="0FCD2922" w14:textId="6CC35F68"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promote, develop and maintain their institutional structures and their distinctive customs, spirituality, traditions, procedures, practices and, in the cases where they exist, juridical systems or customs, in accordance with international human rights standards</w:t>
      </w:r>
      <w:r>
        <w:rPr>
          <w:rFonts w:cstheme="minorHAnsi"/>
        </w:rPr>
        <w:t>’</w:t>
      </w:r>
      <w:r w:rsidRPr="00752E71">
        <w:rPr>
          <w:rFonts w:cstheme="minorHAnsi"/>
        </w:rPr>
        <w:t xml:space="preserve"> (art 34); </w:t>
      </w:r>
      <w:r>
        <w:rPr>
          <w:rFonts w:cstheme="minorHAnsi"/>
        </w:rPr>
        <w:t>and</w:t>
      </w:r>
    </w:p>
    <w:p w14:paraId="4CAFAC1B" w14:textId="1E300D39" w:rsidR="00265589" w:rsidRDefault="00265589" w:rsidP="00265589">
      <w:pPr>
        <w:pStyle w:val="ListParagraph"/>
        <w:numPr>
          <w:ilvl w:val="0"/>
          <w:numId w:val="21"/>
        </w:numPr>
        <w:spacing w:line="360" w:lineRule="auto"/>
        <w:jc w:val="both"/>
        <w:rPr>
          <w:rFonts w:cstheme="minorHAnsi"/>
        </w:rPr>
      </w:pPr>
      <w:r>
        <w:rPr>
          <w:rFonts w:cstheme="minorHAnsi"/>
        </w:rPr>
        <w:t>‘</w:t>
      </w:r>
      <w:r w:rsidRPr="00752E71">
        <w:rPr>
          <w:rFonts w:cstheme="minorHAnsi"/>
        </w:rPr>
        <w:t>those divided by international borders, have the right to maintain and develop contacts, relations and cooperation, including activities for spiritual, cultural, political, economic and social purposes, with their own members as well as other peoples across borders</w:t>
      </w:r>
      <w:r>
        <w:rPr>
          <w:rFonts w:cstheme="minorHAnsi"/>
        </w:rPr>
        <w:t>’</w:t>
      </w:r>
      <w:r w:rsidRPr="00752E71">
        <w:rPr>
          <w:rFonts w:cstheme="minorHAnsi"/>
        </w:rPr>
        <w:t xml:space="preserve"> (art 36).</w:t>
      </w:r>
    </w:p>
    <w:p w14:paraId="6B6CAB5C" w14:textId="77777777" w:rsidR="00034F75" w:rsidRPr="00034F75" w:rsidRDefault="00034F75" w:rsidP="00034F75">
      <w:pPr>
        <w:spacing w:line="360" w:lineRule="auto"/>
        <w:jc w:val="both"/>
        <w:rPr>
          <w:rFonts w:cstheme="minorHAnsi"/>
        </w:rPr>
      </w:pPr>
    </w:p>
    <w:p w14:paraId="488F6562" w14:textId="3F163C78" w:rsidR="00034F75" w:rsidRDefault="00034F75" w:rsidP="00034F75">
      <w:pPr>
        <w:pStyle w:val="ListParagraph"/>
        <w:numPr>
          <w:ilvl w:val="0"/>
          <w:numId w:val="14"/>
        </w:numPr>
        <w:spacing w:line="360" w:lineRule="auto"/>
        <w:jc w:val="both"/>
        <w:rPr>
          <w:rFonts w:cstheme="minorHAnsi"/>
        </w:rPr>
      </w:pPr>
      <w:r w:rsidRPr="00846C2F">
        <w:rPr>
          <w:rFonts w:cstheme="minorHAnsi"/>
        </w:rPr>
        <w:t>Any</w:t>
      </w:r>
      <w:r>
        <w:rPr>
          <w:rFonts w:cstheme="minorHAnsi"/>
        </w:rPr>
        <w:t xml:space="preserve"> reference to</w:t>
      </w:r>
      <w:r w:rsidRPr="00846C2F">
        <w:rPr>
          <w:rFonts w:cstheme="minorHAnsi"/>
        </w:rPr>
        <w:t xml:space="preserve"> legislative or administrative measures should be </w:t>
      </w:r>
      <w:r>
        <w:rPr>
          <w:rFonts w:cstheme="minorHAnsi"/>
        </w:rPr>
        <w:t xml:space="preserve">consistent </w:t>
      </w:r>
      <w:r w:rsidRPr="00846C2F">
        <w:rPr>
          <w:rFonts w:cstheme="minorHAnsi"/>
        </w:rPr>
        <w:t>with an Indigenous right to maintain and develop their political economic and social systems and to be able to engage freely with their traditional and other economic activities</w:t>
      </w:r>
      <w:r>
        <w:rPr>
          <w:rFonts w:cstheme="minorHAnsi"/>
        </w:rPr>
        <w:t xml:space="preserve"> (art 19)</w:t>
      </w:r>
      <w:r w:rsidRPr="00846C2F">
        <w:rPr>
          <w:rFonts w:cstheme="minorHAnsi"/>
        </w:rPr>
        <w:t>.</w:t>
      </w:r>
    </w:p>
    <w:p w14:paraId="46770502" w14:textId="77777777" w:rsidR="00341228" w:rsidRPr="00230C4E" w:rsidRDefault="00341228" w:rsidP="00BF6106">
      <w:pPr>
        <w:spacing w:line="360" w:lineRule="auto"/>
        <w:jc w:val="both"/>
        <w:rPr>
          <w:rFonts w:cstheme="minorHAnsi"/>
        </w:rPr>
      </w:pPr>
    </w:p>
    <w:p w14:paraId="02AB595D" w14:textId="44A0A648" w:rsidR="00034F75" w:rsidRDefault="00034F75" w:rsidP="00034F75">
      <w:pPr>
        <w:pStyle w:val="ListParagraph"/>
        <w:numPr>
          <w:ilvl w:val="0"/>
          <w:numId w:val="14"/>
        </w:numPr>
        <w:spacing w:line="360" w:lineRule="auto"/>
        <w:jc w:val="both"/>
        <w:rPr>
          <w:rFonts w:cstheme="minorHAnsi"/>
        </w:rPr>
      </w:pPr>
      <w:r>
        <w:rPr>
          <w:rFonts w:cstheme="minorHAnsi"/>
        </w:rPr>
        <w:t xml:space="preserve">The inclusion of this language could be as simple as a phrase that defers to the Declaration on the Rights of </w:t>
      </w:r>
      <w:r w:rsidR="00081C7D">
        <w:rPr>
          <w:rFonts w:cstheme="minorHAnsi"/>
        </w:rPr>
        <w:t>Indigenous Peoples</w:t>
      </w:r>
      <w:r w:rsidR="007166D0">
        <w:rPr>
          <w:rFonts w:cstheme="minorHAnsi"/>
        </w:rPr>
        <w:t>, for example, amending</w:t>
      </w:r>
      <w:r w:rsidR="001919B1">
        <w:rPr>
          <w:rFonts w:cstheme="minorHAnsi"/>
        </w:rPr>
        <w:t xml:space="preserve"> article 17 to </w:t>
      </w:r>
      <w:r w:rsidR="00BF6106">
        <w:rPr>
          <w:rFonts w:cstheme="minorHAnsi"/>
        </w:rPr>
        <w:t>include</w:t>
      </w:r>
      <w:r w:rsidR="001919B1">
        <w:rPr>
          <w:rFonts w:cstheme="minorHAnsi"/>
        </w:rPr>
        <w:t>:</w:t>
      </w:r>
    </w:p>
    <w:p w14:paraId="15BBD74B" w14:textId="77777777" w:rsidR="001919B1" w:rsidRDefault="001919B1" w:rsidP="001919B1">
      <w:pPr>
        <w:pStyle w:val="ListParagraph"/>
        <w:spacing w:line="360" w:lineRule="auto"/>
        <w:jc w:val="both"/>
        <w:rPr>
          <w:rFonts w:cstheme="minorHAnsi"/>
        </w:rPr>
      </w:pPr>
    </w:p>
    <w:p w14:paraId="5AB6A976" w14:textId="0494484B" w:rsidR="001919B1" w:rsidRDefault="001919B1" w:rsidP="00DC65B8">
      <w:pPr>
        <w:pStyle w:val="ListParagraph"/>
        <w:spacing w:line="360" w:lineRule="auto"/>
        <w:jc w:val="both"/>
      </w:pPr>
      <w:r>
        <w:rPr>
          <w:rFonts w:cstheme="minorHAnsi"/>
        </w:rPr>
        <w:t>“</w:t>
      </w:r>
      <w:r w:rsidR="00081C7D">
        <w:rPr>
          <w:rFonts w:cstheme="minorHAnsi"/>
        </w:rPr>
        <w:t>Indigenous Peoples</w:t>
      </w:r>
      <w:r>
        <w:rPr>
          <w:rFonts w:cstheme="minorHAnsi"/>
        </w:rPr>
        <w:t xml:space="preserve"> in </w:t>
      </w:r>
      <w:r w:rsidR="00DE4B14">
        <w:rPr>
          <w:rFonts w:cstheme="minorHAnsi"/>
        </w:rPr>
        <w:t xml:space="preserve">freely pursuing their development in all spheres and in </w:t>
      </w:r>
      <w:r>
        <w:rPr>
          <w:rFonts w:cstheme="minorHAnsi"/>
        </w:rPr>
        <w:t xml:space="preserve">exercising their right of self-determination have the right </w:t>
      </w:r>
      <w:r>
        <w:t>to determine and develop priorities and strategies for exercising their right to development</w:t>
      </w:r>
      <w:r w:rsidR="00DC65B8">
        <w:t>, a</w:t>
      </w:r>
      <w:r w:rsidR="00736923">
        <w:t>s consistent with the fundamental rights</w:t>
      </w:r>
      <w:r w:rsidR="00DC65B8">
        <w:t xml:space="preserve"> </w:t>
      </w:r>
      <w:r w:rsidR="00736923">
        <w:t xml:space="preserve">included in the UN Declaration on the Rights of </w:t>
      </w:r>
      <w:r w:rsidR="00081C7D">
        <w:t>Indigenous Peoples</w:t>
      </w:r>
      <w:r w:rsidR="00736923">
        <w:t>.”</w:t>
      </w:r>
    </w:p>
    <w:p w14:paraId="06A5767B" w14:textId="3194C039" w:rsidR="001E4257" w:rsidRDefault="001E4257" w:rsidP="001919B1">
      <w:pPr>
        <w:pStyle w:val="ListParagraph"/>
        <w:spacing w:line="360" w:lineRule="auto"/>
        <w:jc w:val="both"/>
      </w:pPr>
    </w:p>
    <w:p w14:paraId="329F2572" w14:textId="56A6CB66" w:rsidR="001E4257" w:rsidRDefault="001E4257" w:rsidP="001E4257">
      <w:pPr>
        <w:pStyle w:val="ListParagraph"/>
        <w:numPr>
          <w:ilvl w:val="0"/>
          <w:numId w:val="14"/>
        </w:numPr>
        <w:spacing w:line="360" w:lineRule="auto"/>
        <w:jc w:val="both"/>
      </w:pPr>
      <w:r>
        <w:lastRenderedPageBreak/>
        <w:t>The preamble should include a</w:t>
      </w:r>
      <w:r w:rsidR="008B0E91">
        <w:t xml:space="preserve"> specific</w:t>
      </w:r>
      <w:r>
        <w:t xml:space="preserve"> reference to an indigenous right to development</w:t>
      </w:r>
      <w:r w:rsidR="008B0E91">
        <w:t xml:space="preserve">, that acknowledges </w:t>
      </w:r>
      <w:r w:rsidR="00081C7D">
        <w:t>Indigenous Peoples</w:t>
      </w:r>
      <w:r w:rsidR="008B0E91">
        <w:t xml:space="preserve"> as the actors. Such a reference would</w:t>
      </w:r>
      <w:r>
        <w:t xml:space="preserve"> highlight </w:t>
      </w:r>
      <w:r w:rsidR="008B0E91">
        <w:t>the</w:t>
      </w:r>
      <w:r>
        <w:t xml:space="preserve"> significance </w:t>
      </w:r>
      <w:r w:rsidR="008B0E91">
        <w:t xml:space="preserve">of an indigenous right to development </w:t>
      </w:r>
      <w:r>
        <w:t xml:space="preserve">and compensate for how </w:t>
      </w:r>
      <w:r w:rsidR="00081C7D">
        <w:t>Indigenous Peoples</w:t>
      </w:r>
      <w:r>
        <w:t xml:space="preserve"> have been disproportionately afforded the right throughout its evolution.</w:t>
      </w:r>
    </w:p>
    <w:p w14:paraId="436709EF" w14:textId="77777777" w:rsidR="001E4257" w:rsidRDefault="001E4257" w:rsidP="001919B1">
      <w:pPr>
        <w:pStyle w:val="ListParagraph"/>
        <w:spacing w:line="360" w:lineRule="auto"/>
        <w:jc w:val="both"/>
      </w:pPr>
    </w:p>
    <w:p w14:paraId="2A1E6DF2" w14:textId="77777777" w:rsidR="001919B1" w:rsidRPr="001919B1" w:rsidRDefault="001919B1" w:rsidP="001919B1">
      <w:pPr>
        <w:pStyle w:val="ListParagraph"/>
        <w:spacing w:line="360" w:lineRule="auto"/>
        <w:jc w:val="both"/>
        <w:rPr>
          <w:rFonts w:cstheme="minorHAnsi"/>
        </w:rPr>
      </w:pPr>
    </w:p>
    <w:p w14:paraId="5A827B07" w14:textId="77777777" w:rsidR="001919B1" w:rsidRDefault="001919B1" w:rsidP="006B38B9">
      <w:pPr>
        <w:pStyle w:val="CommentText"/>
        <w:spacing w:line="360" w:lineRule="auto"/>
        <w:jc w:val="both"/>
        <w:rPr>
          <w:rFonts w:cstheme="minorHAnsi"/>
          <w:sz w:val="22"/>
          <w:szCs w:val="22"/>
        </w:rPr>
      </w:pPr>
    </w:p>
    <w:p w14:paraId="7A200341" w14:textId="77777777" w:rsidR="006B38B9" w:rsidRDefault="006B38B9" w:rsidP="006B38B9">
      <w:pPr>
        <w:pStyle w:val="CommentText"/>
        <w:spacing w:line="360" w:lineRule="auto"/>
        <w:jc w:val="both"/>
      </w:pPr>
    </w:p>
    <w:p w14:paraId="4F75513E" w14:textId="77777777" w:rsidR="00E414DD" w:rsidRDefault="00E414DD" w:rsidP="006B38B9">
      <w:pPr>
        <w:pStyle w:val="CommentText"/>
        <w:spacing w:line="360" w:lineRule="auto"/>
        <w:jc w:val="both"/>
      </w:pPr>
    </w:p>
    <w:p w14:paraId="161DD8EF" w14:textId="77777777" w:rsidR="006B38B9" w:rsidRDefault="006B38B9" w:rsidP="006B38B9">
      <w:pPr>
        <w:pStyle w:val="CommentText"/>
        <w:spacing w:line="360" w:lineRule="auto"/>
        <w:jc w:val="both"/>
      </w:pPr>
    </w:p>
    <w:p w14:paraId="3CC6CCB0" w14:textId="77777777" w:rsidR="006B38B9" w:rsidRDefault="006B38B9" w:rsidP="006B38B9">
      <w:pPr>
        <w:pStyle w:val="CommentText"/>
        <w:spacing w:line="360" w:lineRule="auto"/>
        <w:jc w:val="both"/>
      </w:pPr>
    </w:p>
    <w:p w14:paraId="7C981931" w14:textId="77777777" w:rsidR="006B38B9" w:rsidRDefault="006B38B9" w:rsidP="006B38B9">
      <w:pPr>
        <w:pStyle w:val="CommentText"/>
        <w:spacing w:line="360" w:lineRule="auto"/>
        <w:jc w:val="both"/>
      </w:pPr>
    </w:p>
    <w:p w14:paraId="002F33F0" w14:textId="77777777" w:rsidR="006B38B9" w:rsidRPr="00113ABF" w:rsidRDefault="006B38B9" w:rsidP="00AD4094">
      <w:pPr>
        <w:spacing w:line="360" w:lineRule="auto"/>
        <w:jc w:val="both"/>
        <w:rPr>
          <w:rFonts w:cstheme="minorHAnsi"/>
        </w:rPr>
      </w:pPr>
    </w:p>
    <w:sectPr w:rsidR="006B38B9" w:rsidRPr="00113AB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681E" w14:textId="77777777" w:rsidR="004D7943" w:rsidRDefault="004D7943" w:rsidP="00A50B43">
      <w:r>
        <w:separator/>
      </w:r>
    </w:p>
  </w:endnote>
  <w:endnote w:type="continuationSeparator" w:id="0">
    <w:p w14:paraId="7A8DD1D6" w14:textId="77777777" w:rsidR="004D7943" w:rsidRDefault="004D7943" w:rsidP="00A5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411515"/>
      <w:docPartObj>
        <w:docPartGallery w:val="Page Numbers (Bottom of Page)"/>
        <w:docPartUnique/>
      </w:docPartObj>
    </w:sdtPr>
    <w:sdtEndPr>
      <w:rPr>
        <w:rStyle w:val="PageNumber"/>
      </w:rPr>
    </w:sdtEndPr>
    <w:sdtContent>
      <w:p w14:paraId="1CF4609C" w14:textId="1DAC1272" w:rsidR="002419DA" w:rsidRDefault="002419DA" w:rsidP="00EB7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AC140" w14:textId="77777777" w:rsidR="002419DA" w:rsidRDefault="0024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231967"/>
      <w:docPartObj>
        <w:docPartGallery w:val="Page Numbers (Bottom of Page)"/>
        <w:docPartUnique/>
      </w:docPartObj>
    </w:sdtPr>
    <w:sdtEndPr>
      <w:rPr>
        <w:rStyle w:val="PageNumber"/>
      </w:rPr>
    </w:sdtEndPr>
    <w:sdtContent>
      <w:p w14:paraId="58D02232" w14:textId="32F9CFED" w:rsidR="002419DA" w:rsidRDefault="002419DA" w:rsidP="00EB7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F73599" w14:textId="77777777" w:rsidR="002419DA" w:rsidRDefault="0024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9CAF" w14:textId="77777777" w:rsidR="004D7943" w:rsidRDefault="004D7943" w:rsidP="00A50B43">
      <w:r>
        <w:separator/>
      </w:r>
    </w:p>
  </w:footnote>
  <w:footnote w:type="continuationSeparator" w:id="0">
    <w:p w14:paraId="76BF8300" w14:textId="77777777" w:rsidR="004D7943" w:rsidRDefault="004D7943" w:rsidP="00A50B43">
      <w:r>
        <w:continuationSeparator/>
      </w:r>
    </w:p>
  </w:footnote>
  <w:footnote w:id="1">
    <w:p w14:paraId="2946BA73" w14:textId="4B6198A3" w:rsidR="008256E7" w:rsidRPr="008256E7" w:rsidRDefault="008256E7">
      <w:pPr>
        <w:pStyle w:val="FootnoteText"/>
        <w:rPr>
          <w:lang w:val="en-US"/>
        </w:rPr>
      </w:pPr>
      <w:r>
        <w:rPr>
          <w:rStyle w:val="FootnoteReference"/>
        </w:rPr>
        <w:footnoteRef/>
      </w:r>
      <w:r>
        <w:t xml:space="preserve"> </w:t>
      </w:r>
      <w:r w:rsidR="00B3324F">
        <w:t xml:space="preserve">Isabella D. Bunn, "The Right to Development: Implications for International Economic Law," American University of International Law Review 15, no. 6 (2000): 1425-1468, </w:t>
      </w:r>
      <w:r w:rsidR="00B3324F">
        <w:rPr>
          <w:lang w:val="en-US"/>
        </w:rPr>
        <w:t>a</w:t>
      </w:r>
      <w:r>
        <w:rPr>
          <w:lang w:val="en-US"/>
        </w:rPr>
        <w:t>t 1426.</w:t>
      </w:r>
    </w:p>
  </w:footnote>
  <w:footnote w:id="2">
    <w:p w14:paraId="7AB28EFE" w14:textId="3141FE58" w:rsidR="00FC7AF3" w:rsidRPr="007B3B1F" w:rsidRDefault="00FC7AF3">
      <w:pPr>
        <w:pStyle w:val="FootnoteText"/>
        <w:rPr>
          <w:lang w:val="en-US"/>
        </w:rPr>
      </w:pPr>
      <w:r w:rsidRPr="007B3B1F">
        <w:rPr>
          <w:rStyle w:val="FootnoteReference"/>
        </w:rPr>
        <w:footnoteRef/>
      </w:r>
      <w:r w:rsidRPr="007B3B1F">
        <w:t xml:space="preserve"> </w:t>
      </w:r>
      <w:r w:rsidRPr="007B3B1F">
        <w:rPr>
          <w:lang w:val="en-US"/>
        </w:rPr>
        <w:t>At 1426.</w:t>
      </w:r>
    </w:p>
  </w:footnote>
  <w:footnote w:id="3">
    <w:p w14:paraId="7C69356F" w14:textId="35ED57F9" w:rsidR="00E85638" w:rsidRPr="007B3B1F" w:rsidRDefault="00E85638" w:rsidP="00E85638">
      <w:pPr>
        <w:rPr>
          <w:color w:val="000000"/>
          <w:sz w:val="20"/>
          <w:szCs w:val="20"/>
        </w:rPr>
      </w:pPr>
      <w:r w:rsidRPr="007B3B1F">
        <w:rPr>
          <w:rStyle w:val="FootnoteReference"/>
          <w:sz w:val="20"/>
          <w:szCs w:val="20"/>
        </w:rPr>
        <w:footnoteRef/>
      </w:r>
      <w:r w:rsidRPr="007B3B1F">
        <w:rPr>
          <w:sz w:val="20"/>
          <w:szCs w:val="20"/>
        </w:rPr>
        <w:t xml:space="preserve"> </w:t>
      </w:r>
      <w:r w:rsidRPr="007B3B1F">
        <w:rPr>
          <w:color w:val="000000"/>
          <w:sz w:val="20"/>
          <w:szCs w:val="20"/>
          <w:shd w:val="clear" w:color="auto" w:fill="FFFFFF"/>
        </w:rPr>
        <w:t xml:space="preserve">UN Declaration on the Establishment of a New International Economic Order </w:t>
      </w:r>
      <w:r w:rsidRPr="007B3B1F">
        <w:rPr>
          <w:color w:val="000000"/>
          <w:sz w:val="20"/>
          <w:szCs w:val="20"/>
        </w:rPr>
        <w:t xml:space="preserve">A/RES/S-6/3201; </w:t>
      </w:r>
      <w:r w:rsidRPr="007B3B1F">
        <w:rPr>
          <w:color w:val="000000"/>
          <w:sz w:val="20"/>
          <w:szCs w:val="20"/>
          <w:shd w:val="clear" w:color="auto" w:fill="FFFFFF"/>
        </w:rPr>
        <w:t>&lt;</w:t>
      </w:r>
      <w:r w:rsidRPr="007B3B1F">
        <w:rPr>
          <w:sz w:val="20"/>
          <w:szCs w:val="20"/>
        </w:rPr>
        <w:t xml:space="preserve"> </w:t>
      </w:r>
      <w:r w:rsidRPr="007B3B1F">
        <w:rPr>
          <w:color w:val="000000"/>
          <w:sz w:val="20"/>
          <w:szCs w:val="20"/>
          <w:shd w:val="clear" w:color="auto" w:fill="FFFFFF"/>
        </w:rPr>
        <w:t>http://www.un-documents.net/s6r3201.htm&gt;</w:t>
      </w:r>
    </w:p>
  </w:footnote>
  <w:footnote w:id="4">
    <w:p w14:paraId="1317E57B" w14:textId="3F82A900" w:rsidR="00E85638" w:rsidRPr="007B3B1F" w:rsidRDefault="00E85638">
      <w:pPr>
        <w:pStyle w:val="FootnoteText"/>
        <w:rPr>
          <w:lang w:val="en-US"/>
        </w:rPr>
      </w:pPr>
      <w:r w:rsidRPr="007B3B1F">
        <w:rPr>
          <w:rStyle w:val="FootnoteReference"/>
        </w:rPr>
        <w:footnoteRef/>
      </w:r>
      <w:r w:rsidRPr="007B3B1F">
        <w:t xml:space="preserve"> </w:t>
      </w:r>
      <w:r w:rsidRPr="007B3B1F">
        <w:rPr>
          <w:lang w:val="en-US"/>
        </w:rPr>
        <w:t>G Varges ‘The New International Economic Order Legal Debate 39, 42</w:t>
      </w:r>
      <w:r w:rsidR="00F64098">
        <w:rPr>
          <w:lang w:val="en-US"/>
        </w:rPr>
        <w:t xml:space="preserve">, </w:t>
      </w:r>
      <w:r w:rsidRPr="007B3B1F">
        <w:rPr>
          <w:lang w:val="en-US"/>
        </w:rPr>
        <w:t xml:space="preserve">where developing countries did not consider the NIEO as having legal force while developed countries did not. As cited by </w:t>
      </w:r>
      <w:r w:rsidR="00B3324F" w:rsidRPr="007B3B1F">
        <w:rPr>
          <w:lang w:val="en-US"/>
        </w:rPr>
        <w:t>Bunn</w:t>
      </w:r>
      <w:r w:rsidR="00F64098">
        <w:rPr>
          <w:lang w:val="en-US"/>
        </w:rPr>
        <w:t>,</w:t>
      </w:r>
      <w:r w:rsidR="00B3324F" w:rsidRPr="007B3B1F">
        <w:rPr>
          <w:lang w:val="en-US"/>
        </w:rPr>
        <w:t xml:space="preserve"> </w:t>
      </w:r>
      <w:r w:rsidRPr="007B3B1F">
        <w:rPr>
          <w:lang w:val="en-US"/>
        </w:rPr>
        <w:t xml:space="preserve">above n </w:t>
      </w:r>
      <w:r w:rsidR="00B3324F" w:rsidRPr="007B3B1F">
        <w:rPr>
          <w:lang w:val="en-US"/>
        </w:rPr>
        <w:t xml:space="preserve">1 </w:t>
      </w:r>
      <w:r w:rsidRPr="007B3B1F">
        <w:rPr>
          <w:lang w:val="en-US"/>
        </w:rPr>
        <w:t>at 1431.</w:t>
      </w:r>
    </w:p>
  </w:footnote>
  <w:footnote w:id="5">
    <w:p w14:paraId="528F7B64" w14:textId="62C52CE5" w:rsidR="0044068E" w:rsidRPr="007B3B1F" w:rsidRDefault="004F79A3" w:rsidP="00B71DE6">
      <w:pPr>
        <w:pStyle w:val="FootnoteText"/>
      </w:pPr>
      <w:r w:rsidRPr="007B3B1F">
        <w:rPr>
          <w:rStyle w:val="FootnoteReference"/>
        </w:rPr>
        <w:footnoteRef/>
      </w:r>
      <w:r w:rsidR="0044068E" w:rsidRPr="007B3B1F">
        <w:t xml:space="preserve"> Sergio Puig ‘International Indigenous Economic Law’ UC Davis LR, Feb 2019, Vol 52, 3.</w:t>
      </w:r>
    </w:p>
    <w:p w14:paraId="18DC510C" w14:textId="314581C0" w:rsidR="004F79A3" w:rsidRPr="007B3B1F" w:rsidRDefault="004F79A3" w:rsidP="00B71DE6">
      <w:pPr>
        <w:pStyle w:val="FootnoteText"/>
      </w:pPr>
      <w:r w:rsidRPr="007B3B1F">
        <w:t xml:space="preserve"> </w:t>
      </w:r>
      <w:hyperlink r:id="rId1" w:history="1">
        <w:r w:rsidRPr="007B3B1F">
          <w:rPr>
            <w:rStyle w:val="Hyperlink"/>
          </w:rPr>
          <w:t>https://lawreview.law.ucdavis.edu/issues/52/3/Articles/52-3_Puig.pdf</w:t>
        </w:r>
      </w:hyperlink>
      <w:r w:rsidRPr="007B3B1F">
        <w:t xml:space="preserve"> (pp1246-1247)</w:t>
      </w:r>
    </w:p>
  </w:footnote>
  <w:footnote w:id="6">
    <w:p w14:paraId="60025163" w14:textId="3EB6DAEF" w:rsidR="00696A3A" w:rsidRPr="007B3B1F" w:rsidRDefault="00696A3A" w:rsidP="00B71DE6">
      <w:pPr>
        <w:pStyle w:val="NormalWeb"/>
        <w:shd w:val="clear" w:color="auto" w:fill="FFFFFF"/>
        <w:spacing w:before="0" w:beforeAutospacing="0" w:after="0" w:afterAutospacing="0"/>
        <w:rPr>
          <w:color w:val="000000"/>
          <w:sz w:val="20"/>
          <w:szCs w:val="20"/>
        </w:rPr>
      </w:pPr>
      <w:r w:rsidRPr="007B3B1F">
        <w:rPr>
          <w:rStyle w:val="FootnoteReference"/>
          <w:sz w:val="20"/>
          <w:szCs w:val="20"/>
        </w:rPr>
        <w:footnoteRef/>
      </w:r>
      <w:r w:rsidRPr="007B3B1F">
        <w:rPr>
          <w:sz w:val="20"/>
          <w:szCs w:val="20"/>
        </w:rPr>
        <w:t xml:space="preserve"> NIE</w:t>
      </w:r>
      <w:r w:rsidR="00B71DE6" w:rsidRPr="007B3B1F">
        <w:rPr>
          <w:sz w:val="20"/>
          <w:szCs w:val="20"/>
        </w:rPr>
        <w:t xml:space="preserve">O article 4. </w:t>
      </w:r>
      <w:r w:rsidR="00B71DE6" w:rsidRPr="007B3B1F">
        <w:rPr>
          <w:color w:val="000000"/>
          <w:sz w:val="20"/>
          <w:szCs w:val="20"/>
        </w:rPr>
        <w:t>The new international economic order should be founded on full respect for the following principles: (a) Sovereign equality of States, self-determination of all peoples, inadmissibility of the acquisition of territories by force, territorial integrity and non-interference in the internal affairs of other States;...</w:t>
      </w:r>
    </w:p>
  </w:footnote>
  <w:footnote w:id="7">
    <w:p w14:paraId="1BF1FBFF" w14:textId="47A89C49" w:rsidR="00D248D7" w:rsidRPr="007B3B1F" w:rsidRDefault="00D248D7" w:rsidP="00B71DE6">
      <w:pPr>
        <w:rPr>
          <w:color w:val="000000"/>
          <w:sz w:val="20"/>
          <w:szCs w:val="20"/>
        </w:rPr>
      </w:pPr>
      <w:r w:rsidRPr="007B3B1F">
        <w:rPr>
          <w:rStyle w:val="FootnoteReference"/>
          <w:sz w:val="20"/>
          <w:szCs w:val="20"/>
        </w:rPr>
        <w:footnoteRef/>
      </w:r>
      <w:r w:rsidRPr="007B3B1F">
        <w:rPr>
          <w:sz w:val="20"/>
          <w:szCs w:val="20"/>
        </w:rPr>
        <w:t xml:space="preserve"> </w:t>
      </w:r>
      <w:r w:rsidRPr="007B3B1F">
        <w:rPr>
          <w:color w:val="000000"/>
          <w:sz w:val="20"/>
          <w:szCs w:val="20"/>
          <w:shd w:val="clear" w:color="auto" w:fill="FFFFFF"/>
        </w:rPr>
        <w:t xml:space="preserve">UN Declaration on the Establishment of a New International Economic Order </w:t>
      </w:r>
      <w:r w:rsidRPr="007B3B1F">
        <w:rPr>
          <w:color w:val="000000"/>
          <w:sz w:val="20"/>
          <w:szCs w:val="20"/>
        </w:rPr>
        <w:t xml:space="preserve">A/RES/S-6/3201; </w:t>
      </w:r>
      <w:r w:rsidRPr="007B3B1F">
        <w:rPr>
          <w:color w:val="000000"/>
          <w:sz w:val="20"/>
          <w:szCs w:val="20"/>
          <w:shd w:val="clear" w:color="auto" w:fill="FFFFFF"/>
        </w:rPr>
        <w:t>&lt;</w:t>
      </w:r>
      <w:r w:rsidRPr="007B3B1F">
        <w:rPr>
          <w:sz w:val="20"/>
          <w:szCs w:val="20"/>
        </w:rPr>
        <w:t xml:space="preserve"> </w:t>
      </w:r>
      <w:hyperlink r:id="rId2" w:history="1">
        <w:r w:rsidRPr="007B3B1F">
          <w:rPr>
            <w:rStyle w:val="Hyperlink"/>
            <w:sz w:val="20"/>
            <w:szCs w:val="20"/>
            <w:shd w:val="clear" w:color="auto" w:fill="FFFFFF"/>
          </w:rPr>
          <w:t>http://www.un-documents.net/s6r3201.htm</w:t>
        </w:r>
      </w:hyperlink>
      <w:r w:rsidRPr="007B3B1F">
        <w:rPr>
          <w:color w:val="000000"/>
          <w:sz w:val="20"/>
          <w:szCs w:val="20"/>
          <w:shd w:val="clear" w:color="auto" w:fill="FFFFFF"/>
        </w:rPr>
        <w:t>&gt;</w:t>
      </w:r>
      <w:r w:rsidRPr="007B3B1F">
        <w:rPr>
          <w:sz w:val="20"/>
          <w:szCs w:val="20"/>
          <w:lang w:val="en-US"/>
        </w:rPr>
        <w:t xml:space="preserve"> at 4 (p).</w:t>
      </w:r>
    </w:p>
  </w:footnote>
  <w:footnote w:id="8">
    <w:p w14:paraId="1FDBF673" w14:textId="312197F2" w:rsidR="00BD1DDA" w:rsidRPr="00BD1DDA" w:rsidRDefault="00BD1DDA">
      <w:pPr>
        <w:pStyle w:val="FootnoteText"/>
        <w:rPr>
          <w:lang w:val="en-US"/>
        </w:rPr>
      </w:pPr>
      <w:r>
        <w:rPr>
          <w:rStyle w:val="FootnoteReference"/>
        </w:rPr>
        <w:footnoteRef/>
      </w:r>
      <w:r>
        <w:t xml:space="preserve"> </w:t>
      </w:r>
      <w:r w:rsidRPr="00EC0656">
        <w:rPr>
          <w:color w:val="2A2A2A"/>
          <w:shd w:val="clear" w:color="auto" w:fill="FFFFFF"/>
        </w:rPr>
        <w:t>Roman Girma Teshome, The Draft Convention on the Right to Development: A New Dawn to the Recognition of the Right to Development as a Human Right?, </w:t>
      </w:r>
      <w:r w:rsidRPr="00EC0656">
        <w:rPr>
          <w:rStyle w:val="Emphasis"/>
          <w:color w:val="2A2A2A"/>
          <w:bdr w:val="none" w:sz="0" w:space="0" w:color="auto" w:frame="1"/>
          <w:shd w:val="clear" w:color="auto" w:fill="FFFFFF"/>
        </w:rPr>
        <w:t>Human Rights Law Review</w:t>
      </w:r>
      <w:r w:rsidRPr="00EC0656">
        <w:rPr>
          <w:color w:val="2A2A2A"/>
          <w:shd w:val="clear" w:color="auto" w:fill="FFFFFF"/>
        </w:rPr>
        <w:t>, Volume 22, Issue 2, June 2022, ngac001, </w:t>
      </w:r>
      <w:hyperlink r:id="rId3" w:history="1">
        <w:r w:rsidRPr="00EC0656">
          <w:rPr>
            <w:rStyle w:val="Hyperlink"/>
            <w:color w:val="006FB7"/>
            <w:bdr w:val="none" w:sz="0" w:space="0" w:color="auto" w:frame="1"/>
            <w:shd w:val="clear" w:color="auto" w:fill="FFFFFF"/>
          </w:rPr>
          <w:t>https://doi.org/10.1093/hrlr/ngac001</w:t>
        </w:r>
      </w:hyperlink>
    </w:p>
  </w:footnote>
  <w:footnote w:id="9">
    <w:p w14:paraId="12350A69" w14:textId="77777777" w:rsidR="00BD1DDA" w:rsidRPr="00EC0656" w:rsidRDefault="00BD1DDA" w:rsidP="00BD1DDA">
      <w:pPr>
        <w:pStyle w:val="FootnoteText"/>
        <w:rPr>
          <w:lang w:val="en-US"/>
        </w:rPr>
      </w:pPr>
      <w:r w:rsidRPr="00EC0656">
        <w:rPr>
          <w:rStyle w:val="FootnoteReference"/>
        </w:rPr>
        <w:footnoteRef/>
      </w:r>
      <w:r w:rsidRPr="00EC0656">
        <w:t xml:space="preserve"> </w:t>
      </w:r>
      <w:r w:rsidRPr="00EC0656">
        <w:rPr>
          <w:lang w:val="en-US"/>
        </w:rPr>
        <w:t>S Subedi “Declaration on the Right to Development’ (2021) UN AV Library of International Law at 6.</w:t>
      </w:r>
    </w:p>
  </w:footnote>
  <w:footnote w:id="10">
    <w:p w14:paraId="04A66CE8" w14:textId="4017B04C" w:rsidR="00EC0656" w:rsidRPr="00EC0656" w:rsidRDefault="00EC0656">
      <w:pPr>
        <w:pStyle w:val="FootnoteText"/>
        <w:rPr>
          <w:lang w:val="en-US"/>
        </w:rPr>
      </w:pPr>
      <w:r w:rsidRPr="00EC0656">
        <w:rPr>
          <w:rStyle w:val="FootnoteReference"/>
        </w:rPr>
        <w:footnoteRef/>
      </w:r>
      <w:r w:rsidRPr="00EC0656">
        <w:t xml:space="preserve"> </w:t>
      </w:r>
      <w:r w:rsidRPr="00EC0656">
        <w:rPr>
          <w:color w:val="2A2A2A"/>
          <w:shd w:val="clear" w:color="auto" w:fill="FFFFFF"/>
        </w:rPr>
        <w:t>Roman Girma Teshome, The Draft Convention on the Right to Development: A New Dawn to the Recognition of the Right to Development as a Human Right?, </w:t>
      </w:r>
      <w:r w:rsidRPr="00EC0656">
        <w:rPr>
          <w:rStyle w:val="Emphasis"/>
          <w:color w:val="2A2A2A"/>
          <w:bdr w:val="none" w:sz="0" w:space="0" w:color="auto" w:frame="1"/>
          <w:shd w:val="clear" w:color="auto" w:fill="FFFFFF"/>
        </w:rPr>
        <w:t>Human Rights Law Review</w:t>
      </w:r>
      <w:r w:rsidRPr="00EC0656">
        <w:rPr>
          <w:color w:val="2A2A2A"/>
          <w:shd w:val="clear" w:color="auto" w:fill="FFFFFF"/>
        </w:rPr>
        <w:t>, Volume 22, Issue 2, June 2022, ngac001, </w:t>
      </w:r>
      <w:hyperlink r:id="rId4" w:history="1">
        <w:r w:rsidRPr="00EC0656">
          <w:rPr>
            <w:rStyle w:val="Hyperlink"/>
            <w:color w:val="006FB7"/>
            <w:bdr w:val="none" w:sz="0" w:space="0" w:color="auto" w:frame="1"/>
            <w:shd w:val="clear" w:color="auto" w:fill="FFFFFF"/>
          </w:rPr>
          <w:t>https://doi.org/10.1093/hrlr/ngac001</w:t>
        </w:r>
      </w:hyperlink>
    </w:p>
  </w:footnote>
  <w:footnote w:id="11">
    <w:p w14:paraId="3F92ADDB" w14:textId="52C06BE7" w:rsidR="004879D8" w:rsidRPr="004879D8" w:rsidRDefault="004879D8">
      <w:pPr>
        <w:pStyle w:val="FootnoteText"/>
        <w:rPr>
          <w:lang w:val="en-US"/>
        </w:rPr>
      </w:pPr>
      <w:r>
        <w:rPr>
          <w:rStyle w:val="FootnoteReference"/>
        </w:rPr>
        <w:footnoteRef/>
      </w:r>
      <w:r>
        <w:t xml:space="preserve"> </w:t>
      </w:r>
      <w:r w:rsidRPr="00EC0656">
        <w:rPr>
          <w:color w:val="2A2A2A"/>
          <w:shd w:val="clear" w:color="auto" w:fill="FFFFFF"/>
        </w:rPr>
        <w:t>Roman Girma Teshome, The Draft Convention on the Right to Development: A New Dawn to the Recognition of the Right to Development as a Human Right?, </w:t>
      </w:r>
      <w:r w:rsidRPr="00EC0656">
        <w:rPr>
          <w:rStyle w:val="Emphasis"/>
          <w:color w:val="2A2A2A"/>
          <w:bdr w:val="none" w:sz="0" w:space="0" w:color="auto" w:frame="1"/>
          <w:shd w:val="clear" w:color="auto" w:fill="FFFFFF"/>
        </w:rPr>
        <w:t>Human Rights Law Review</w:t>
      </w:r>
      <w:r w:rsidRPr="00EC0656">
        <w:rPr>
          <w:color w:val="2A2A2A"/>
          <w:shd w:val="clear" w:color="auto" w:fill="FFFFFF"/>
        </w:rPr>
        <w:t>, Volume 22, Issue 2, June 2022, ngac001, </w:t>
      </w:r>
      <w:hyperlink r:id="rId5" w:history="1">
        <w:r w:rsidRPr="00EC0656">
          <w:rPr>
            <w:rStyle w:val="Hyperlink"/>
            <w:color w:val="006FB7"/>
            <w:bdr w:val="none" w:sz="0" w:space="0" w:color="auto" w:frame="1"/>
            <w:shd w:val="clear" w:color="auto" w:fill="FFFFFF"/>
          </w:rPr>
          <w:t>https://doi.org/10.1093/hrlr/ngac001</w:t>
        </w:r>
      </w:hyperlink>
    </w:p>
  </w:footnote>
  <w:footnote w:id="12">
    <w:p w14:paraId="087289A3" w14:textId="5ECFF498" w:rsidR="004879D8" w:rsidRPr="004879D8" w:rsidRDefault="004879D8">
      <w:pPr>
        <w:pStyle w:val="FootnoteText"/>
        <w:rPr>
          <w:lang w:val="en-US"/>
        </w:rPr>
      </w:pPr>
      <w:r>
        <w:rPr>
          <w:rStyle w:val="FootnoteReference"/>
        </w:rPr>
        <w:footnoteRef/>
      </w:r>
      <w:r>
        <w:t xml:space="preserve"> </w:t>
      </w:r>
      <w:r w:rsidRPr="00EC0656">
        <w:rPr>
          <w:color w:val="2A2A2A"/>
          <w:shd w:val="clear" w:color="auto" w:fill="FFFFFF"/>
        </w:rPr>
        <w:t>Roman Girma Teshome, The Draft Convention on the Right to Development: A New Dawn to the Recognition of the Right to Development as a Human Right?, </w:t>
      </w:r>
      <w:r w:rsidRPr="00EC0656">
        <w:rPr>
          <w:rStyle w:val="Emphasis"/>
          <w:color w:val="2A2A2A"/>
          <w:bdr w:val="none" w:sz="0" w:space="0" w:color="auto" w:frame="1"/>
          <w:shd w:val="clear" w:color="auto" w:fill="FFFFFF"/>
        </w:rPr>
        <w:t>Human Rights Law Review</w:t>
      </w:r>
      <w:r w:rsidRPr="00EC0656">
        <w:rPr>
          <w:color w:val="2A2A2A"/>
          <w:shd w:val="clear" w:color="auto" w:fill="FFFFFF"/>
        </w:rPr>
        <w:t>, Volume 22, Issue 2, June 2022, ngac001, </w:t>
      </w:r>
      <w:hyperlink r:id="rId6" w:history="1">
        <w:r w:rsidRPr="00EC0656">
          <w:rPr>
            <w:rStyle w:val="Hyperlink"/>
            <w:color w:val="006FB7"/>
            <w:bdr w:val="none" w:sz="0" w:space="0" w:color="auto" w:frame="1"/>
            <w:shd w:val="clear" w:color="auto" w:fill="FFFFFF"/>
          </w:rPr>
          <w:t>https://doi.org/10.1093/hrlr/ngac001</w:t>
        </w:r>
      </w:hyperlink>
    </w:p>
  </w:footnote>
  <w:footnote w:id="13">
    <w:p w14:paraId="7A1C085E" w14:textId="44C54409" w:rsidR="004879D8" w:rsidRPr="004879D8" w:rsidRDefault="004879D8">
      <w:pPr>
        <w:pStyle w:val="FootnoteText"/>
        <w:rPr>
          <w:lang w:val="en-US"/>
        </w:rPr>
      </w:pPr>
      <w:r>
        <w:rPr>
          <w:rStyle w:val="FootnoteReference"/>
        </w:rPr>
        <w:footnoteRef/>
      </w:r>
      <w:r>
        <w:t xml:space="preserve"> </w:t>
      </w:r>
      <w:r w:rsidRPr="00EC0656">
        <w:rPr>
          <w:color w:val="2A2A2A"/>
          <w:shd w:val="clear" w:color="auto" w:fill="FFFFFF"/>
        </w:rPr>
        <w:t>Roman Girma Teshome, The Draft Convention on the Right to Development: A New Dawn to the Recognition of the Right to Development as a Human Right?, </w:t>
      </w:r>
      <w:r w:rsidRPr="00EC0656">
        <w:rPr>
          <w:rStyle w:val="Emphasis"/>
          <w:color w:val="2A2A2A"/>
          <w:bdr w:val="none" w:sz="0" w:space="0" w:color="auto" w:frame="1"/>
          <w:shd w:val="clear" w:color="auto" w:fill="FFFFFF"/>
        </w:rPr>
        <w:t>Human Rights Law Review</w:t>
      </w:r>
      <w:r w:rsidRPr="00EC0656">
        <w:rPr>
          <w:color w:val="2A2A2A"/>
          <w:shd w:val="clear" w:color="auto" w:fill="FFFFFF"/>
        </w:rPr>
        <w:t>, Volume 22, Issue 2, June 2022, ngac001, </w:t>
      </w:r>
      <w:hyperlink r:id="rId7" w:history="1">
        <w:r w:rsidRPr="00EC0656">
          <w:rPr>
            <w:rStyle w:val="Hyperlink"/>
            <w:color w:val="006FB7"/>
            <w:bdr w:val="none" w:sz="0" w:space="0" w:color="auto" w:frame="1"/>
            <w:shd w:val="clear" w:color="auto" w:fill="FFFFFF"/>
          </w:rPr>
          <w:t>https://doi.org/10.1093/hrlr/ngac001</w:t>
        </w:r>
      </w:hyperlink>
    </w:p>
  </w:footnote>
  <w:footnote w:id="14">
    <w:p w14:paraId="7AFEBEFB" w14:textId="610A58FD" w:rsidR="00435CAC" w:rsidRPr="00AA070D" w:rsidRDefault="00435CAC" w:rsidP="00435CAC">
      <w:pPr>
        <w:pStyle w:val="Default"/>
      </w:pPr>
      <w:r w:rsidRPr="00AA070D">
        <w:rPr>
          <w:rStyle w:val="FootnoteReference"/>
          <w:sz w:val="20"/>
          <w:szCs w:val="20"/>
        </w:rPr>
        <w:footnoteRef/>
      </w:r>
      <w:r w:rsidR="0053543C" w:rsidRPr="00AA070D">
        <w:rPr>
          <w:sz w:val="20"/>
          <w:szCs w:val="20"/>
        </w:rPr>
        <w:t xml:space="preserve"> Revised </w:t>
      </w:r>
      <w:r w:rsidRPr="00AA070D">
        <w:rPr>
          <w:sz w:val="20"/>
          <w:szCs w:val="20"/>
        </w:rPr>
        <w:t xml:space="preserve">Draft Convention on the Right to Development, </w:t>
      </w:r>
      <w:r w:rsidR="0053543C" w:rsidRPr="00AA070D">
        <w:rPr>
          <w:sz w:val="20"/>
          <w:szCs w:val="20"/>
        </w:rPr>
        <w:t>22 April 2022</w:t>
      </w:r>
      <w:r w:rsidRPr="00AA070D">
        <w:rPr>
          <w:sz w:val="20"/>
          <w:szCs w:val="20"/>
        </w:rPr>
        <w:t>, A/HRC/WG.2/2</w:t>
      </w:r>
      <w:r w:rsidR="0053543C" w:rsidRPr="00AA070D">
        <w:rPr>
          <w:sz w:val="20"/>
          <w:szCs w:val="20"/>
        </w:rPr>
        <w:t xml:space="preserve">3/2. </w:t>
      </w:r>
    </w:p>
  </w:footnote>
  <w:footnote w:id="15">
    <w:p w14:paraId="19F1AF27" w14:textId="77777777" w:rsidR="00435CAC" w:rsidRPr="00AA070D" w:rsidRDefault="00435CAC" w:rsidP="00435CAC">
      <w:pPr>
        <w:pStyle w:val="FootnoteText"/>
        <w:rPr>
          <w:lang w:val="mi-NZ"/>
        </w:rPr>
      </w:pPr>
      <w:r w:rsidRPr="00AA070D">
        <w:rPr>
          <w:rStyle w:val="FootnoteReference"/>
        </w:rPr>
        <w:footnoteRef/>
      </w:r>
      <w:r w:rsidRPr="00AA070D">
        <w:t xml:space="preserve"> </w:t>
      </w:r>
      <w:r w:rsidRPr="00AA070D">
        <w:rPr>
          <w:lang w:val="mi-NZ"/>
        </w:rPr>
        <w:t>At p 2.</w:t>
      </w:r>
    </w:p>
  </w:footnote>
  <w:footnote w:id="16">
    <w:p w14:paraId="119D117F" w14:textId="6988F5BF" w:rsidR="00E414DD" w:rsidRPr="00565564" w:rsidRDefault="00E414DD" w:rsidP="00E414DD">
      <w:pPr>
        <w:pStyle w:val="FootnoteText"/>
        <w:rPr>
          <w:lang w:val="en-US"/>
        </w:rPr>
      </w:pPr>
      <w:r>
        <w:rPr>
          <w:rStyle w:val="FootnoteReference"/>
        </w:rPr>
        <w:footnoteRef/>
      </w:r>
      <w:r>
        <w:t xml:space="preserve"> </w:t>
      </w:r>
      <w:r w:rsidR="00327A9A">
        <w:t xml:space="preserve">Puig above n </w:t>
      </w:r>
      <w:r w:rsidR="00CA2678">
        <w:t xml:space="preserve">5, </w:t>
      </w:r>
      <w:r w:rsidR="00327A9A">
        <w:t xml:space="preserve">at </w:t>
      </w:r>
      <w:r>
        <w:rPr>
          <w:lang w:val="en-US"/>
        </w:rPr>
        <w:t>1246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4B5"/>
    <w:multiLevelType w:val="hybridMultilevel"/>
    <w:tmpl w:val="303269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F97997"/>
    <w:multiLevelType w:val="hybridMultilevel"/>
    <w:tmpl w:val="D66EE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070AA5"/>
    <w:multiLevelType w:val="hybridMultilevel"/>
    <w:tmpl w:val="2B667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E7316F"/>
    <w:multiLevelType w:val="hybridMultilevel"/>
    <w:tmpl w:val="F2EAAC86"/>
    <w:lvl w:ilvl="0" w:tplc="FF62FEFA">
      <w:start w:val="1"/>
      <w:numFmt w:val="lowerLetter"/>
      <w:lvlText w:val="(%1)"/>
      <w:lvlJc w:val="left"/>
      <w:pPr>
        <w:ind w:left="1080" w:hanging="360"/>
      </w:pPr>
      <w:rPr>
        <w:rFonts w:asciiTheme="minorHAnsi" w:eastAsiaTheme="minorHAnsi" w:hAnsiTheme="minorHAnsi" w:cstheme="minorHAnsi"/>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394EA5"/>
    <w:multiLevelType w:val="hybridMultilevel"/>
    <w:tmpl w:val="C2BE8E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B25E06"/>
    <w:multiLevelType w:val="hybridMultilevel"/>
    <w:tmpl w:val="BF76B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C3723C"/>
    <w:multiLevelType w:val="hybridMultilevel"/>
    <w:tmpl w:val="5964D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E42D0F"/>
    <w:multiLevelType w:val="hybridMultilevel"/>
    <w:tmpl w:val="6E0A19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4CA2B04"/>
    <w:multiLevelType w:val="hybridMultilevel"/>
    <w:tmpl w:val="A13E2E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D3705"/>
    <w:multiLevelType w:val="hybridMultilevel"/>
    <w:tmpl w:val="15608384"/>
    <w:lvl w:ilvl="0" w:tplc="5E66E7A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D17A66"/>
    <w:multiLevelType w:val="hybridMultilevel"/>
    <w:tmpl w:val="E70A29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BC4A72"/>
    <w:multiLevelType w:val="hybridMultilevel"/>
    <w:tmpl w:val="03E83156"/>
    <w:lvl w:ilvl="0" w:tplc="2FE0EE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2C3D38"/>
    <w:multiLevelType w:val="multilevel"/>
    <w:tmpl w:val="FEBAE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D7AF2"/>
    <w:multiLevelType w:val="hybridMultilevel"/>
    <w:tmpl w:val="2B6672E4"/>
    <w:lvl w:ilvl="0" w:tplc="2FE0EE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AB0AD9"/>
    <w:multiLevelType w:val="hybridMultilevel"/>
    <w:tmpl w:val="7F0EA18C"/>
    <w:lvl w:ilvl="0" w:tplc="1A1E52D2">
      <w:start w:val="1"/>
      <w:numFmt w:val="lowerLetter"/>
      <w:lvlText w:val="(%1)"/>
      <w:lvlJc w:val="left"/>
      <w:pPr>
        <w:ind w:left="1080" w:hanging="360"/>
      </w:pPr>
      <w:rPr>
        <w:rFonts w:ascii="Times New Roman" w:eastAsia="Times New Roman" w:hAnsi="Times New Roman" w:cstheme="minorHAnsi"/>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7E03111"/>
    <w:multiLevelType w:val="multilevel"/>
    <w:tmpl w:val="360E4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78E3BB5"/>
    <w:multiLevelType w:val="multilevel"/>
    <w:tmpl w:val="906603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5329E7"/>
    <w:multiLevelType w:val="hybridMultilevel"/>
    <w:tmpl w:val="2B442E06"/>
    <w:lvl w:ilvl="0" w:tplc="ECE240A0">
      <w:start w:val="1"/>
      <w:numFmt w:val="decimal"/>
      <w:lvlText w:val="%1."/>
      <w:lvlJc w:val="left"/>
      <w:pPr>
        <w:ind w:left="1080" w:hanging="360"/>
      </w:pPr>
      <w:rPr>
        <w:rFonts w:hint="default"/>
        <w:color w:val="000000" w:themeColor="text1"/>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9A26FFB"/>
    <w:multiLevelType w:val="hybridMultilevel"/>
    <w:tmpl w:val="5ED46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900CCB"/>
    <w:multiLevelType w:val="multilevel"/>
    <w:tmpl w:val="DA1CF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994577"/>
    <w:multiLevelType w:val="hybridMultilevel"/>
    <w:tmpl w:val="633C8128"/>
    <w:lvl w:ilvl="0" w:tplc="E836F32C">
      <w:start w:val="1"/>
      <w:numFmt w:val="upperRoman"/>
      <w:lvlText w:val="%1."/>
      <w:lvlJc w:val="left"/>
      <w:pPr>
        <w:ind w:left="108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C611C42"/>
    <w:multiLevelType w:val="hybridMultilevel"/>
    <w:tmpl w:val="1B921170"/>
    <w:lvl w:ilvl="0" w:tplc="C348338E">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E5C5ADA"/>
    <w:multiLevelType w:val="hybridMultilevel"/>
    <w:tmpl w:val="3DE843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7456591">
    <w:abstractNumId w:val="21"/>
  </w:num>
  <w:num w:numId="2" w16cid:durableId="205290233">
    <w:abstractNumId w:val="20"/>
  </w:num>
  <w:num w:numId="3" w16cid:durableId="1007905183">
    <w:abstractNumId w:val="22"/>
  </w:num>
  <w:num w:numId="4" w16cid:durableId="835270770">
    <w:abstractNumId w:val="10"/>
  </w:num>
  <w:num w:numId="5" w16cid:durableId="2014986136">
    <w:abstractNumId w:val="4"/>
  </w:num>
  <w:num w:numId="6" w16cid:durableId="1416050079">
    <w:abstractNumId w:val="12"/>
  </w:num>
  <w:num w:numId="7" w16cid:durableId="16859661">
    <w:abstractNumId w:val="8"/>
  </w:num>
  <w:num w:numId="8" w16cid:durableId="1725174843">
    <w:abstractNumId w:val="16"/>
  </w:num>
  <w:num w:numId="9" w16cid:durableId="1912881940">
    <w:abstractNumId w:val="5"/>
  </w:num>
  <w:num w:numId="10" w16cid:durableId="1348869809">
    <w:abstractNumId w:val="1"/>
  </w:num>
  <w:num w:numId="11" w16cid:durableId="875891601">
    <w:abstractNumId w:val="17"/>
  </w:num>
  <w:num w:numId="12" w16cid:durableId="1921403516">
    <w:abstractNumId w:val="7"/>
  </w:num>
  <w:num w:numId="13" w16cid:durableId="642083774">
    <w:abstractNumId w:val="9"/>
  </w:num>
  <w:num w:numId="14" w16cid:durableId="1750076383">
    <w:abstractNumId w:val="0"/>
  </w:num>
  <w:num w:numId="15" w16cid:durableId="1160851697">
    <w:abstractNumId w:val="14"/>
  </w:num>
  <w:num w:numId="16" w16cid:durableId="1961572452">
    <w:abstractNumId w:val="6"/>
  </w:num>
  <w:num w:numId="17" w16cid:durableId="560136884">
    <w:abstractNumId w:val="18"/>
  </w:num>
  <w:num w:numId="18" w16cid:durableId="1988319750">
    <w:abstractNumId w:val="19"/>
  </w:num>
  <w:num w:numId="19" w16cid:durableId="264001101">
    <w:abstractNumId w:val="13"/>
  </w:num>
  <w:num w:numId="20" w16cid:durableId="1314065441">
    <w:abstractNumId w:val="3"/>
  </w:num>
  <w:num w:numId="21" w16cid:durableId="139081571">
    <w:abstractNumId w:val="2"/>
  </w:num>
  <w:num w:numId="22" w16cid:durableId="503741002">
    <w:abstractNumId w:val="15"/>
  </w:num>
  <w:num w:numId="23" w16cid:durableId="5403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EA"/>
    <w:rsid w:val="0000136A"/>
    <w:rsid w:val="00014B5E"/>
    <w:rsid w:val="000155F8"/>
    <w:rsid w:val="000253C9"/>
    <w:rsid w:val="00034F75"/>
    <w:rsid w:val="000447EA"/>
    <w:rsid w:val="00052A8C"/>
    <w:rsid w:val="00076659"/>
    <w:rsid w:val="00081C7D"/>
    <w:rsid w:val="000869AE"/>
    <w:rsid w:val="000C35DE"/>
    <w:rsid w:val="000F40F1"/>
    <w:rsid w:val="00104268"/>
    <w:rsid w:val="00113ABF"/>
    <w:rsid w:val="00122E6E"/>
    <w:rsid w:val="0012456C"/>
    <w:rsid w:val="0013392E"/>
    <w:rsid w:val="00135B59"/>
    <w:rsid w:val="00145BC2"/>
    <w:rsid w:val="0016047C"/>
    <w:rsid w:val="0016628A"/>
    <w:rsid w:val="001667BD"/>
    <w:rsid w:val="00170668"/>
    <w:rsid w:val="00175A16"/>
    <w:rsid w:val="00183C77"/>
    <w:rsid w:val="001919B1"/>
    <w:rsid w:val="001D66AD"/>
    <w:rsid w:val="001E2982"/>
    <w:rsid w:val="001E2B97"/>
    <w:rsid w:val="001E4257"/>
    <w:rsid w:val="002048F0"/>
    <w:rsid w:val="002140C1"/>
    <w:rsid w:val="00222CC6"/>
    <w:rsid w:val="00230C4E"/>
    <w:rsid w:val="002419DA"/>
    <w:rsid w:val="00265589"/>
    <w:rsid w:val="002757CB"/>
    <w:rsid w:val="00290AB0"/>
    <w:rsid w:val="00292609"/>
    <w:rsid w:val="002A4D14"/>
    <w:rsid w:val="002B3A5D"/>
    <w:rsid w:val="002C3C07"/>
    <w:rsid w:val="002C4EDB"/>
    <w:rsid w:val="002C68B8"/>
    <w:rsid w:val="002D4EE7"/>
    <w:rsid w:val="00304156"/>
    <w:rsid w:val="003252E2"/>
    <w:rsid w:val="00325EF0"/>
    <w:rsid w:val="00327A9A"/>
    <w:rsid w:val="003307AB"/>
    <w:rsid w:val="003310B4"/>
    <w:rsid w:val="00332276"/>
    <w:rsid w:val="00341228"/>
    <w:rsid w:val="003422D3"/>
    <w:rsid w:val="00355945"/>
    <w:rsid w:val="0037279A"/>
    <w:rsid w:val="00377508"/>
    <w:rsid w:val="003C5B57"/>
    <w:rsid w:val="003C61B0"/>
    <w:rsid w:val="003F6E6C"/>
    <w:rsid w:val="004024DD"/>
    <w:rsid w:val="00404589"/>
    <w:rsid w:val="004063EE"/>
    <w:rsid w:val="004127BB"/>
    <w:rsid w:val="0041467A"/>
    <w:rsid w:val="00430345"/>
    <w:rsid w:val="00435CAC"/>
    <w:rsid w:val="00436BD2"/>
    <w:rsid w:val="0044068E"/>
    <w:rsid w:val="00457150"/>
    <w:rsid w:val="00460C11"/>
    <w:rsid w:val="00461581"/>
    <w:rsid w:val="004879D8"/>
    <w:rsid w:val="004A2EF1"/>
    <w:rsid w:val="004B2742"/>
    <w:rsid w:val="004B2B98"/>
    <w:rsid w:val="004C2DFB"/>
    <w:rsid w:val="004D376E"/>
    <w:rsid w:val="004D7943"/>
    <w:rsid w:val="004E31AD"/>
    <w:rsid w:val="004E589A"/>
    <w:rsid w:val="004E766C"/>
    <w:rsid w:val="004F79A3"/>
    <w:rsid w:val="005156D5"/>
    <w:rsid w:val="00515B66"/>
    <w:rsid w:val="00517357"/>
    <w:rsid w:val="0052558C"/>
    <w:rsid w:val="0053058C"/>
    <w:rsid w:val="0053543C"/>
    <w:rsid w:val="00552116"/>
    <w:rsid w:val="005577D7"/>
    <w:rsid w:val="00560B46"/>
    <w:rsid w:val="00565564"/>
    <w:rsid w:val="005706EB"/>
    <w:rsid w:val="005800F3"/>
    <w:rsid w:val="00582DD8"/>
    <w:rsid w:val="00592BE0"/>
    <w:rsid w:val="005A30CC"/>
    <w:rsid w:val="005B74D1"/>
    <w:rsid w:val="005C6FD1"/>
    <w:rsid w:val="005D17DC"/>
    <w:rsid w:val="005D781B"/>
    <w:rsid w:val="005F5EF2"/>
    <w:rsid w:val="006336D0"/>
    <w:rsid w:val="006369DE"/>
    <w:rsid w:val="00641E1E"/>
    <w:rsid w:val="006423B7"/>
    <w:rsid w:val="00696A3A"/>
    <w:rsid w:val="006A4863"/>
    <w:rsid w:val="006A4AC7"/>
    <w:rsid w:val="006B10EE"/>
    <w:rsid w:val="006B38B9"/>
    <w:rsid w:val="006B4011"/>
    <w:rsid w:val="006B45BC"/>
    <w:rsid w:val="006C2017"/>
    <w:rsid w:val="006D2893"/>
    <w:rsid w:val="006D4B61"/>
    <w:rsid w:val="00701845"/>
    <w:rsid w:val="00706812"/>
    <w:rsid w:val="00706FC8"/>
    <w:rsid w:val="007166D0"/>
    <w:rsid w:val="00735986"/>
    <w:rsid w:val="00736923"/>
    <w:rsid w:val="00751BBC"/>
    <w:rsid w:val="00752E71"/>
    <w:rsid w:val="00755474"/>
    <w:rsid w:val="0076079E"/>
    <w:rsid w:val="00765977"/>
    <w:rsid w:val="0077037D"/>
    <w:rsid w:val="00773B41"/>
    <w:rsid w:val="00794239"/>
    <w:rsid w:val="007A6B6F"/>
    <w:rsid w:val="007B3B1F"/>
    <w:rsid w:val="007C00C5"/>
    <w:rsid w:val="007C4A52"/>
    <w:rsid w:val="007C4FF5"/>
    <w:rsid w:val="007F0A84"/>
    <w:rsid w:val="007F35B8"/>
    <w:rsid w:val="008218E4"/>
    <w:rsid w:val="0082356B"/>
    <w:rsid w:val="008256E7"/>
    <w:rsid w:val="008377DB"/>
    <w:rsid w:val="0084235F"/>
    <w:rsid w:val="00846C2F"/>
    <w:rsid w:val="0085217A"/>
    <w:rsid w:val="008726C2"/>
    <w:rsid w:val="00881305"/>
    <w:rsid w:val="008860D6"/>
    <w:rsid w:val="00893782"/>
    <w:rsid w:val="008A021A"/>
    <w:rsid w:val="008B0E91"/>
    <w:rsid w:val="008B5583"/>
    <w:rsid w:val="008D3F34"/>
    <w:rsid w:val="008E50CF"/>
    <w:rsid w:val="00901934"/>
    <w:rsid w:val="00904E96"/>
    <w:rsid w:val="009125E4"/>
    <w:rsid w:val="00916EC3"/>
    <w:rsid w:val="00945329"/>
    <w:rsid w:val="009478A2"/>
    <w:rsid w:val="00956EB9"/>
    <w:rsid w:val="00957466"/>
    <w:rsid w:val="00965D8A"/>
    <w:rsid w:val="009674AB"/>
    <w:rsid w:val="0097306C"/>
    <w:rsid w:val="009B66E9"/>
    <w:rsid w:val="009C40D9"/>
    <w:rsid w:val="009D01B4"/>
    <w:rsid w:val="009D5581"/>
    <w:rsid w:val="009D6AD5"/>
    <w:rsid w:val="009D76E2"/>
    <w:rsid w:val="009E0F1F"/>
    <w:rsid w:val="00A25229"/>
    <w:rsid w:val="00A344DC"/>
    <w:rsid w:val="00A36DE8"/>
    <w:rsid w:val="00A429B5"/>
    <w:rsid w:val="00A50B43"/>
    <w:rsid w:val="00A51EFC"/>
    <w:rsid w:val="00A52EAE"/>
    <w:rsid w:val="00A85835"/>
    <w:rsid w:val="00A93BDA"/>
    <w:rsid w:val="00AA03CF"/>
    <w:rsid w:val="00AA070D"/>
    <w:rsid w:val="00AA51F1"/>
    <w:rsid w:val="00AD4094"/>
    <w:rsid w:val="00AE56FB"/>
    <w:rsid w:val="00AF196F"/>
    <w:rsid w:val="00AF5A95"/>
    <w:rsid w:val="00AF7547"/>
    <w:rsid w:val="00B10BF9"/>
    <w:rsid w:val="00B3324F"/>
    <w:rsid w:val="00B4371C"/>
    <w:rsid w:val="00B452CE"/>
    <w:rsid w:val="00B652D9"/>
    <w:rsid w:val="00B66E1E"/>
    <w:rsid w:val="00B70BCE"/>
    <w:rsid w:val="00B71DE6"/>
    <w:rsid w:val="00BA108E"/>
    <w:rsid w:val="00BA3E78"/>
    <w:rsid w:val="00BB2502"/>
    <w:rsid w:val="00BC01CD"/>
    <w:rsid w:val="00BD0116"/>
    <w:rsid w:val="00BD1DDA"/>
    <w:rsid w:val="00BF6106"/>
    <w:rsid w:val="00BF6584"/>
    <w:rsid w:val="00C013EC"/>
    <w:rsid w:val="00C26075"/>
    <w:rsid w:val="00C31385"/>
    <w:rsid w:val="00C34311"/>
    <w:rsid w:val="00C36076"/>
    <w:rsid w:val="00C41079"/>
    <w:rsid w:val="00C60C50"/>
    <w:rsid w:val="00C61215"/>
    <w:rsid w:val="00C85102"/>
    <w:rsid w:val="00CA2678"/>
    <w:rsid w:val="00CA643F"/>
    <w:rsid w:val="00CC1817"/>
    <w:rsid w:val="00CC7B63"/>
    <w:rsid w:val="00CD3E00"/>
    <w:rsid w:val="00D043F9"/>
    <w:rsid w:val="00D043FE"/>
    <w:rsid w:val="00D16AC0"/>
    <w:rsid w:val="00D2029E"/>
    <w:rsid w:val="00D248D7"/>
    <w:rsid w:val="00D4402C"/>
    <w:rsid w:val="00D514C0"/>
    <w:rsid w:val="00D5426F"/>
    <w:rsid w:val="00D5607B"/>
    <w:rsid w:val="00D60CEA"/>
    <w:rsid w:val="00D67C38"/>
    <w:rsid w:val="00D76885"/>
    <w:rsid w:val="00D80C5F"/>
    <w:rsid w:val="00D91ABB"/>
    <w:rsid w:val="00D96DBC"/>
    <w:rsid w:val="00DC15DD"/>
    <w:rsid w:val="00DC36EC"/>
    <w:rsid w:val="00DC3BBF"/>
    <w:rsid w:val="00DC61DF"/>
    <w:rsid w:val="00DC65B8"/>
    <w:rsid w:val="00DE4389"/>
    <w:rsid w:val="00DE4B14"/>
    <w:rsid w:val="00DE5C6E"/>
    <w:rsid w:val="00DF2FAF"/>
    <w:rsid w:val="00E213CC"/>
    <w:rsid w:val="00E256E7"/>
    <w:rsid w:val="00E414DD"/>
    <w:rsid w:val="00E41F5F"/>
    <w:rsid w:val="00E5123C"/>
    <w:rsid w:val="00E52EF0"/>
    <w:rsid w:val="00E55A36"/>
    <w:rsid w:val="00E85638"/>
    <w:rsid w:val="00E97325"/>
    <w:rsid w:val="00EA0F63"/>
    <w:rsid w:val="00EA272D"/>
    <w:rsid w:val="00EA5F2C"/>
    <w:rsid w:val="00EA7033"/>
    <w:rsid w:val="00EB2CD4"/>
    <w:rsid w:val="00EC0656"/>
    <w:rsid w:val="00ED38F7"/>
    <w:rsid w:val="00ED6110"/>
    <w:rsid w:val="00EE3326"/>
    <w:rsid w:val="00EE636D"/>
    <w:rsid w:val="00F02D2E"/>
    <w:rsid w:val="00F214AF"/>
    <w:rsid w:val="00F30016"/>
    <w:rsid w:val="00F330C2"/>
    <w:rsid w:val="00F34E5C"/>
    <w:rsid w:val="00F53C73"/>
    <w:rsid w:val="00F64098"/>
    <w:rsid w:val="00F772A6"/>
    <w:rsid w:val="00F86FF9"/>
    <w:rsid w:val="00F94E0B"/>
    <w:rsid w:val="00F96923"/>
    <w:rsid w:val="00FC5DA5"/>
    <w:rsid w:val="00FC7AF3"/>
    <w:rsid w:val="00FD2D2A"/>
    <w:rsid w:val="00FD61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EC49"/>
  <w15:chartTrackingRefBased/>
  <w15:docId w15:val="{2DEEEE76-69BC-4956-88BA-17ECC6F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96D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D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EA"/>
    <w:pPr>
      <w:ind w:left="720"/>
      <w:contextualSpacing/>
    </w:pPr>
  </w:style>
  <w:style w:type="table" w:styleId="TableGrid">
    <w:name w:val="Table Grid"/>
    <w:basedOn w:val="TableNormal"/>
    <w:uiPriority w:val="39"/>
    <w:rsid w:val="006A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7547"/>
    <w:rPr>
      <w:sz w:val="16"/>
      <w:szCs w:val="16"/>
    </w:rPr>
  </w:style>
  <w:style w:type="paragraph" w:styleId="CommentText">
    <w:name w:val="annotation text"/>
    <w:basedOn w:val="Normal"/>
    <w:link w:val="CommentTextChar"/>
    <w:uiPriority w:val="99"/>
    <w:unhideWhenUsed/>
    <w:rsid w:val="00AF7547"/>
    <w:rPr>
      <w:sz w:val="20"/>
      <w:szCs w:val="20"/>
    </w:rPr>
  </w:style>
  <w:style w:type="character" w:customStyle="1" w:styleId="CommentTextChar">
    <w:name w:val="Comment Text Char"/>
    <w:basedOn w:val="DefaultParagraphFont"/>
    <w:link w:val="CommentText"/>
    <w:uiPriority w:val="99"/>
    <w:rsid w:val="00AF7547"/>
    <w:rPr>
      <w:sz w:val="20"/>
      <w:szCs w:val="20"/>
    </w:rPr>
  </w:style>
  <w:style w:type="paragraph" w:styleId="CommentSubject">
    <w:name w:val="annotation subject"/>
    <w:basedOn w:val="CommentText"/>
    <w:next w:val="CommentText"/>
    <w:link w:val="CommentSubjectChar"/>
    <w:uiPriority w:val="99"/>
    <w:semiHidden/>
    <w:unhideWhenUsed/>
    <w:rsid w:val="00AF7547"/>
    <w:rPr>
      <w:b/>
      <w:bCs/>
    </w:rPr>
  </w:style>
  <w:style w:type="character" w:customStyle="1" w:styleId="CommentSubjectChar">
    <w:name w:val="Comment Subject Char"/>
    <w:basedOn w:val="CommentTextChar"/>
    <w:link w:val="CommentSubject"/>
    <w:uiPriority w:val="99"/>
    <w:semiHidden/>
    <w:rsid w:val="00AF7547"/>
    <w:rPr>
      <w:b/>
      <w:bCs/>
      <w:sz w:val="20"/>
      <w:szCs w:val="20"/>
    </w:rPr>
  </w:style>
  <w:style w:type="paragraph" w:customStyle="1" w:styleId="SingleTxt">
    <w:name w:val="__Single Txt"/>
    <w:basedOn w:val="Normal"/>
    <w:rsid w:val="00641E1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noteText">
    <w:name w:val="footnote text"/>
    <w:basedOn w:val="Normal"/>
    <w:link w:val="FootnoteTextChar"/>
    <w:uiPriority w:val="99"/>
    <w:semiHidden/>
    <w:unhideWhenUsed/>
    <w:rsid w:val="00A50B43"/>
    <w:rPr>
      <w:sz w:val="20"/>
      <w:szCs w:val="20"/>
    </w:rPr>
  </w:style>
  <w:style w:type="character" w:customStyle="1" w:styleId="FootnoteTextChar">
    <w:name w:val="Footnote Text Char"/>
    <w:basedOn w:val="DefaultParagraphFont"/>
    <w:link w:val="FootnoteText"/>
    <w:uiPriority w:val="99"/>
    <w:semiHidden/>
    <w:rsid w:val="00A50B43"/>
    <w:rPr>
      <w:sz w:val="20"/>
      <w:szCs w:val="20"/>
    </w:rPr>
  </w:style>
  <w:style w:type="character" w:styleId="FootnoteReference">
    <w:name w:val="footnote reference"/>
    <w:basedOn w:val="DefaultParagraphFont"/>
    <w:uiPriority w:val="99"/>
    <w:semiHidden/>
    <w:unhideWhenUsed/>
    <w:rsid w:val="00A50B43"/>
    <w:rPr>
      <w:vertAlign w:val="superscript"/>
    </w:rPr>
  </w:style>
  <w:style w:type="paragraph" w:customStyle="1" w:styleId="Default">
    <w:name w:val="Default"/>
    <w:rsid w:val="00A50B4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D96D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6D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79A3"/>
    <w:rPr>
      <w:color w:val="0563C1" w:themeColor="hyperlink"/>
      <w:u w:val="single"/>
    </w:rPr>
  </w:style>
  <w:style w:type="character" w:styleId="UnresolvedMention">
    <w:name w:val="Unresolved Mention"/>
    <w:basedOn w:val="DefaultParagraphFont"/>
    <w:uiPriority w:val="99"/>
    <w:semiHidden/>
    <w:unhideWhenUsed/>
    <w:rsid w:val="004F79A3"/>
    <w:rPr>
      <w:color w:val="605E5C"/>
      <w:shd w:val="clear" w:color="auto" w:fill="E1DFDD"/>
    </w:rPr>
  </w:style>
  <w:style w:type="character" w:styleId="FollowedHyperlink">
    <w:name w:val="FollowedHyperlink"/>
    <w:basedOn w:val="DefaultParagraphFont"/>
    <w:uiPriority w:val="99"/>
    <w:semiHidden/>
    <w:unhideWhenUsed/>
    <w:rsid w:val="00956EB9"/>
    <w:rPr>
      <w:color w:val="954F72" w:themeColor="followedHyperlink"/>
      <w:u w:val="single"/>
    </w:rPr>
  </w:style>
  <w:style w:type="character" w:customStyle="1" w:styleId="lead-symbol">
    <w:name w:val="lead-symbol"/>
    <w:basedOn w:val="DefaultParagraphFont"/>
    <w:rsid w:val="00377508"/>
  </w:style>
  <w:style w:type="character" w:customStyle="1" w:styleId="more-symbols">
    <w:name w:val="more-symbols"/>
    <w:basedOn w:val="DefaultParagraphFont"/>
    <w:rsid w:val="00377508"/>
  </w:style>
  <w:style w:type="paragraph" w:styleId="Footer">
    <w:name w:val="footer"/>
    <w:basedOn w:val="Normal"/>
    <w:link w:val="FooterChar"/>
    <w:uiPriority w:val="99"/>
    <w:unhideWhenUsed/>
    <w:rsid w:val="002419DA"/>
    <w:pPr>
      <w:tabs>
        <w:tab w:val="center" w:pos="4680"/>
        <w:tab w:val="right" w:pos="9360"/>
      </w:tabs>
    </w:pPr>
  </w:style>
  <w:style w:type="character" w:customStyle="1" w:styleId="FooterChar">
    <w:name w:val="Footer Char"/>
    <w:basedOn w:val="DefaultParagraphFont"/>
    <w:link w:val="Footer"/>
    <w:uiPriority w:val="99"/>
    <w:rsid w:val="002419DA"/>
  </w:style>
  <w:style w:type="character" w:styleId="PageNumber">
    <w:name w:val="page number"/>
    <w:basedOn w:val="DefaultParagraphFont"/>
    <w:uiPriority w:val="99"/>
    <w:semiHidden/>
    <w:unhideWhenUsed/>
    <w:rsid w:val="002419DA"/>
  </w:style>
  <w:style w:type="paragraph" w:styleId="Revision">
    <w:name w:val="Revision"/>
    <w:hidden/>
    <w:uiPriority w:val="99"/>
    <w:semiHidden/>
    <w:rsid w:val="00355945"/>
    <w:pPr>
      <w:spacing w:after="0" w:line="240" w:lineRule="auto"/>
    </w:pPr>
  </w:style>
  <w:style w:type="paragraph" w:styleId="NormalWeb">
    <w:name w:val="Normal (Web)"/>
    <w:basedOn w:val="Normal"/>
    <w:uiPriority w:val="99"/>
    <w:unhideWhenUsed/>
    <w:rsid w:val="00B71DE6"/>
    <w:pPr>
      <w:spacing w:before="100" w:beforeAutospacing="1" w:after="100" w:afterAutospacing="1"/>
    </w:pPr>
  </w:style>
  <w:style w:type="character" w:styleId="Emphasis">
    <w:name w:val="Emphasis"/>
    <w:basedOn w:val="DefaultParagraphFont"/>
    <w:uiPriority w:val="20"/>
    <w:qFormat/>
    <w:rsid w:val="00EC0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846">
      <w:bodyDiv w:val="1"/>
      <w:marLeft w:val="0"/>
      <w:marRight w:val="0"/>
      <w:marTop w:val="0"/>
      <w:marBottom w:val="0"/>
      <w:divBdr>
        <w:top w:val="none" w:sz="0" w:space="0" w:color="auto"/>
        <w:left w:val="none" w:sz="0" w:space="0" w:color="auto"/>
        <w:bottom w:val="none" w:sz="0" w:space="0" w:color="auto"/>
        <w:right w:val="none" w:sz="0" w:space="0" w:color="auto"/>
      </w:divBdr>
    </w:div>
    <w:div w:id="929121231">
      <w:bodyDiv w:val="1"/>
      <w:marLeft w:val="0"/>
      <w:marRight w:val="0"/>
      <w:marTop w:val="0"/>
      <w:marBottom w:val="0"/>
      <w:divBdr>
        <w:top w:val="none" w:sz="0" w:space="0" w:color="auto"/>
        <w:left w:val="none" w:sz="0" w:space="0" w:color="auto"/>
        <w:bottom w:val="none" w:sz="0" w:space="0" w:color="auto"/>
        <w:right w:val="none" w:sz="0" w:space="0" w:color="auto"/>
      </w:divBdr>
    </w:div>
    <w:div w:id="1236478007">
      <w:bodyDiv w:val="1"/>
      <w:marLeft w:val="0"/>
      <w:marRight w:val="0"/>
      <w:marTop w:val="0"/>
      <w:marBottom w:val="0"/>
      <w:divBdr>
        <w:top w:val="none" w:sz="0" w:space="0" w:color="auto"/>
        <w:left w:val="none" w:sz="0" w:space="0" w:color="auto"/>
        <w:bottom w:val="none" w:sz="0" w:space="0" w:color="auto"/>
        <w:right w:val="none" w:sz="0" w:space="0" w:color="auto"/>
      </w:divBdr>
    </w:div>
    <w:div w:id="19239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hrlr/ngac001" TargetMode="External"/><Relationship Id="rId7" Type="http://schemas.openxmlformats.org/officeDocument/2006/relationships/hyperlink" Target="https://doi.org/10.1093/hrlr/ngac001" TargetMode="External"/><Relationship Id="rId2" Type="http://schemas.openxmlformats.org/officeDocument/2006/relationships/hyperlink" Target="http://www.un-documents.net/s6r3201.htm" TargetMode="External"/><Relationship Id="rId1" Type="http://schemas.openxmlformats.org/officeDocument/2006/relationships/hyperlink" Target="https://lawreview.law.ucdavis.edu/issues/52/3/Articles/52-3_Puig.pdf" TargetMode="External"/><Relationship Id="rId6" Type="http://schemas.openxmlformats.org/officeDocument/2006/relationships/hyperlink" Target="https://doi.org/10.1093/hrlr/ngac001" TargetMode="External"/><Relationship Id="rId5" Type="http://schemas.openxmlformats.org/officeDocument/2006/relationships/hyperlink" Target="https://doi.org/10.1093/hrlr/ngac001" TargetMode="External"/><Relationship Id="rId4" Type="http://schemas.openxmlformats.org/officeDocument/2006/relationships/hyperlink" Target="https://doi.org/10.1093/hrlr/ngac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1557-0139-496F-A293-04DBD618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Sophie</dc:creator>
  <cp:keywords/>
  <dc:description/>
  <cp:lastModifiedBy>Belen Rodriguez de Alba Freiria</cp:lastModifiedBy>
  <cp:revision>4</cp:revision>
  <cp:lastPrinted>2023-05-17T14:45:00Z</cp:lastPrinted>
  <dcterms:created xsi:type="dcterms:W3CDTF">2023-05-17T14:45:00Z</dcterms:created>
  <dcterms:modified xsi:type="dcterms:W3CDTF">2023-05-17T16:14:00Z</dcterms:modified>
</cp:coreProperties>
</file>