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14:paraId="12BD6E33" w14:textId="77777777" w:rsidTr="00E6618E">
        <w:trPr>
          <w:trHeight w:hRule="exact" w:val="851"/>
        </w:trPr>
        <w:tc>
          <w:tcPr>
            <w:tcW w:w="1276" w:type="dxa"/>
            <w:tcBorders>
              <w:bottom w:val="single" w:sz="4" w:space="0" w:color="auto"/>
            </w:tcBorders>
          </w:tcPr>
          <w:p w14:paraId="31B16873" w14:textId="77777777" w:rsidR="00A12E20" w:rsidRPr="00DB58B5" w:rsidRDefault="00A12E20" w:rsidP="00C91D59"/>
        </w:tc>
        <w:tc>
          <w:tcPr>
            <w:tcW w:w="2268" w:type="dxa"/>
            <w:tcBorders>
              <w:bottom w:val="single" w:sz="4" w:space="0" w:color="auto"/>
            </w:tcBorders>
            <w:vAlign w:val="bottom"/>
          </w:tcPr>
          <w:p w14:paraId="7E00C363" w14:textId="4B403FA6" w:rsidR="00A12E20" w:rsidRPr="00DB58B5" w:rsidRDefault="00A12E20" w:rsidP="00E6618E">
            <w:pPr>
              <w:spacing w:after="80" w:line="300" w:lineRule="exact"/>
              <w:rPr>
                <w:sz w:val="28"/>
              </w:rPr>
            </w:pPr>
          </w:p>
        </w:tc>
        <w:tc>
          <w:tcPr>
            <w:tcW w:w="6095" w:type="dxa"/>
            <w:gridSpan w:val="2"/>
            <w:tcBorders>
              <w:bottom w:val="single" w:sz="4" w:space="0" w:color="auto"/>
            </w:tcBorders>
            <w:vAlign w:val="bottom"/>
          </w:tcPr>
          <w:p w14:paraId="7E54B555" w14:textId="18EC1CD1" w:rsidR="00A12E20" w:rsidRPr="00DB58B5" w:rsidRDefault="00C91D59" w:rsidP="00C91D59">
            <w:pPr>
              <w:jc w:val="right"/>
            </w:pPr>
            <w:r w:rsidRPr="00C91D59">
              <w:rPr>
                <w:sz w:val="40"/>
              </w:rPr>
              <w:t>A</w:t>
            </w:r>
            <w:r>
              <w:t>/HRC/WGAD/2023/53</w:t>
            </w:r>
          </w:p>
        </w:tc>
      </w:tr>
      <w:tr w:rsidR="00A12E20" w:rsidRPr="00DB58B5" w14:paraId="75FCA6D1" w14:textId="77777777" w:rsidTr="00E6618E">
        <w:trPr>
          <w:trHeight w:hRule="exact" w:val="2835"/>
        </w:trPr>
        <w:tc>
          <w:tcPr>
            <w:tcW w:w="1276" w:type="dxa"/>
            <w:tcBorders>
              <w:top w:val="single" w:sz="4" w:space="0" w:color="auto"/>
              <w:bottom w:val="single" w:sz="12" w:space="0" w:color="auto"/>
            </w:tcBorders>
          </w:tcPr>
          <w:p w14:paraId="083958CC" w14:textId="7AD6ABD4" w:rsidR="00A12E20" w:rsidRPr="00DB58B5" w:rsidRDefault="00A12E20" w:rsidP="00E6618E">
            <w:pPr>
              <w:spacing w:before="120"/>
              <w:jc w:val="center"/>
            </w:pPr>
          </w:p>
        </w:tc>
        <w:tc>
          <w:tcPr>
            <w:tcW w:w="5528" w:type="dxa"/>
            <w:gridSpan w:val="2"/>
            <w:tcBorders>
              <w:top w:val="single" w:sz="4" w:space="0" w:color="auto"/>
              <w:bottom w:val="single" w:sz="12" w:space="0" w:color="auto"/>
            </w:tcBorders>
          </w:tcPr>
          <w:p w14:paraId="1B103B6A" w14:textId="5851B177" w:rsidR="00A12E20" w:rsidRPr="00740562" w:rsidRDefault="00C403AC" w:rsidP="00E6618E">
            <w:pPr>
              <w:spacing w:before="120" w:line="420" w:lineRule="exact"/>
              <w:rPr>
                <w:b/>
                <w:sz w:val="40"/>
                <w:szCs w:val="40"/>
              </w:rPr>
            </w:pPr>
            <w:r>
              <w:rPr>
                <w:b/>
                <w:sz w:val="40"/>
                <w:szCs w:val="40"/>
              </w:rPr>
              <w:t xml:space="preserve">Advance </w:t>
            </w:r>
            <w:proofErr w:type="spellStart"/>
            <w:r>
              <w:rPr>
                <w:b/>
                <w:sz w:val="40"/>
                <w:szCs w:val="40"/>
              </w:rPr>
              <w:t>Edited</w:t>
            </w:r>
            <w:proofErr w:type="spellEnd"/>
            <w:r>
              <w:rPr>
                <w:b/>
                <w:sz w:val="40"/>
                <w:szCs w:val="40"/>
              </w:rPr>
              <w:t xml:space="preserve"> Version</w:t>
            </w:r>
          </w:p>
        </w:tc>
        <w:tc>
          <w:tcPr>
            <w:tcW w:w="2835" w:type="dxa"/>
            <w:tcBorders>
              <w:top w:val="single" w:sz="4" w:space="0" w:color="auto"/>
              <w:bottom w:val="single" w:sz="12" w:space="0" w:color="auto"/>
            </w:tcBorders>
          </w:tcPr>
          <w:p w14:paraId="0191EB80" w14:textId="77777777" w:rsidR="00A12E20" w:rsidRDefault="00C91D59" w:rsidP="00E6618E">
            <w:pPr>
              <w:spacing w:before="240"/>
            </w:pPr>
            <w:proofErr w:type="spellStart"/>
            <w:r>
              <w:t>Distr</w:t>
            </w:r>
            <w:proofErr w:type="spellEnd"/>
            <w:r>
              <w:t xml:space="preserve">. </w:t>
            </w:r>
            <w:proofErr w:type="gramStart"/>
            <w:r>
              <w:t>générale</w:t>
            </w:r>
            <w:proofErr w:type="gramEnd"/>
          </w:p>
          <w:p w14:paraId="3BF8C832" w14:textId="77777777" w:rsidR="00C91D59" w:rsidRDefault="00C91D59" w:rsidP="00C91D59">
            <w:pPr>
              <w:spacing w:line="240" w:lineRule="exact"/>
            </w:pPr>
            <w:r>
              <w:t>20 octobre 2023</w:t>
            </w:r>
          </w:p>
          <w:p w14:paraId="6CD2F6E7" w14:textId="12821782" w:rsidR="00C91D59" w:rsidRDefault="00C91D59" w:rsidP="00C91D59">
            <w:pPr>
              <w:spacing w:line="240" w:lineRule="exact"/>
            </w:pPr>
          </w:p>
          <w:p w14:paraId="58C418EA" w14:textId="45CE5D22" w:rsidR="00C91D59" w:rsidRPr="00DB58B5" w:rsidRDefault="00C91D59" w:rsidP="00C91D59">
            <w:pPr>
              <w:spacing w:line="240" w:lineRule="exact"/>
            </w:pPr>
            <w:r>
              <w:t>Original : français</w:t>
            </w:r>
          </w:p>
        </w:tc>
      </w:tr>
    </w:tbl>
    <w:p w14:paraId="789889A5" w14:textId="77777777" w:rsidR="00D45432" w:rsidRDefault="00D45432" w:rsidP="00D45432">
      <w:pPr>
        <w:spacing w:before="120"/>
        <w:rPr>
          <w:b/>
          <w:sz w:val="24"/>
          <w:szCs w:val="24"/>
        </w:rPr>
      </w:pPr>
      <w:r w:rsidRPr="00BA184E">
        <w:rPr>
          <w:b/>
          <w:sz w:val="24"/>
          <w:szCs w:val="24"/>
        </w:rPr>
        <w:t>Conseil des droits de l’homme</w:t>
      </w:r>
    </w:p>
    <w:p w14:paraId="5D701EAA" w14:textId="77777777" w:rsidR="00C91D59" w:rsidRPr="001C2CE2" w:rsidRDefault="00C91D59" w:rsidP="00C91D59">
      <w:pPr>
        <w:suppressAutoHyphens w:val="0"/>
        <w:kinsoku/>
        <w:overflowPunct/>
        <w:autoSpaceDE/>
        <w:autoSpaceDN/>
        <w:adjustRightInd/>
        <w:snapToGrid/>
        <w:spacing w:line="240" w:lineRule="auto"/>
        <w:rPr>
          <w:lang w:val="fr-FR"/>
        </w:rPr>
      </w:pPr>
      <w:r w:rsidRPr="001C2CE2">
        <w:rPr>
          <w:b/>
          <w:lang w:val="fr-FR"/>
        </w:rPr>
        <w:t>Groupe de travail sur la détention arbitraire</w:t>
      </w:r>
    </w:p>
    <w:p w14:paraId="31554776" w14:textId="77777777" w:rsidR="00C91D59" w:rsidRPr="001C2CE2" w:rsidRDefault="00C91D59" w:rsidP="00C91D59">
      <w:pPr>
        <w:pStyle w:val="HChG"/>
        <w:rPr>
          <w:lang w:val="fr-FR"/>
        </w:rPr>
      </w:pPr>
      <w:r w:rsidRPr="001C2CE2">
        <w:rPr>
          <w:lang w:val="fr-FR"/>
        </w:rPr>
        <w:tab/>
      </w:r>
      <w:r w:rsidRPr="001C2CE2">
        <w:rPr>
          <w:lang w:val="fr-FR"/>
        </w:rPr>
        <w:tab/>
        <w:t>Avis adoptés par le Groupe de travail sur la détention arbitraire à sa quatre-vingt-dix-septième session</w:t>
      </w:r>
      <w:r>
        <w:rPr>
          <w:lang w:val="fr-FR"/>
        </w:rPr>
        <w:br/>
      </w:r>
      <w:r w:rsidRPr="001C2CE2">
        <w:rPr>
          <w:lang w:val="fr-FR"/>
        </w:rPr>
        <w:t>(28 août</w:t>
      </w:r>
      <w:r>
        <w:rPr>
          <w:lang w:val="fr-FR"/>
        </w:rPr>
        <w:t>-</w:t>
      </w:r>
      <w:r w:rsidRPr="001C2CE2">
        <w:rPr>
          <w:lang w:val="fr-FR"/>
        </w:rPr>
        <w:t>1</w:t>
      </w:r>
      <w:r w:rsidRPr="00522169">
        <w:rPr>
          <w:vertAlign w:val="superscript"/>
          <w:lang w:val="fr-FR"/>
        </w:rPr>
        <w:t>er</w:t>
      </w:r>
      <w:r w:rsidRPr="001C2CE2">
        <w:rPr>
          <w:lang w:val="fr-FR"/>
        </w:rPr>
        <w:t xml:space="preserve"> septembre</w:t>
      </w:r>
      <w:r>
        <w:rPr>
          <w:lang w:val="fr-FR"/>
        </w:rPr>
        <w:t xml:space="preserve"> 2023</w:t>
      </w:r>
      <w:r w:rsidRPr="001C2CE2">
        <w:rPr>
          <w:lang w:val="fr-FR"/>
        </w:rPr>
        <w:t>)</w:t>
      </w:r>
    </w:p>
    <w:p w14:paraId="2FA33C54" w14:textId="77777777" w:rsidR="00C91D59" w:rsidRPr="00286D58" w:rsidRDefault="00C91D59" w:rsidP="00C91D59">
      <w:pPr>
        <w:pStyle w:val="H1G"/>
        <w:rPr>
          <w:lang w:val="fr-FR"/>
        </w:rPr>
      </w:pPr>
      <w:r w:rsidRPr="001C2CE2">
        <w:rPr>
          <w:lang w:val="fr-FR"/>
        </w:rPr>
        <w:tab/>
      </w:r>
      <w:r w:rsidRPr="001C2CE2">
        <w:rPr>
          <w:lang w:val="fr-FR"/>
        </w:rPr>
        <w:tab/>
        <w:t>Avis n</w:t>
      </w:r>
      <w:r w:rsidRPr="001C2CE2">
        <w:rPr>
          <w:vertAlign w:val="superscript"/>
          <w:lang w:val="fr-FR"/>
        </w:rPr>
        <w:t>o</w:t>
      </w:r>
      <w:r w:rsidRPr="00286D58">
        <w:rPr>
          <w:lang w:val="fr-FR"/>
        </w:rPr>
        <w:t xml:space="preserve"> 53/2023, concernant </w:t>
      </w:r>
      <w:r w:rsidRPr="00286D58">
        <w:rPr>
          <w:bCs/>
          <w:lang w:val="fr-FR"/>
        </w:rPr>
        <w:t xml:space="preserve">Abderrahmane </w:t>
      </w:r>
      <w:proofErr w:type="spellStart"/>
      <w:r w:rsidRPr="00286D58">
        <w:rPr>
          <w:bCs/>
          <w:lang w:val="fr-FR"/>
        </w:rPr>
        <w:t>Zitout</w:t>
      </w:r>
      <w:proofErr w:type="spellEnd"/>
      <w:r w:rsidRPr="00286D58">
        <w:rPr>
          <w:lang w:val="fr-FR"/>
        </w:rPr>
        <w:t xml:space="preserve"> (Algérie)</w:t>
      </w:r>
    </w:p>
    <w:p w14:paraId="244E40C7" w14:textId="5E44AC28" w:rsidR="00C91D59" w:rsidRPr="004479F9" w:rsidRDefault="00C91D59" w:rsidP="00C91D59">
      <w:pPr>
        <w:pStyle w:val="SingleTxtG"/>
        <w:rPr>
          <w:lang w:val="fr-FR"/>
        </w:rPr>
      </w:pPr>
      <w:r w:rsidRPr="004479F9">
        <w:rPr>
          <w:lang w:val="fr-FR"/>
        </w:rPr>
        <w:t>1.</w:t>
      </w:r>
      <w:r w:rsidRPr="004479F9">
        <w:rPr>
          <w:lang w:val="fr-FR"/>
        </w:rPr>
        <w:tab/>
        <w:t>Le Groupe de travail sur la détention arbitraire a été créé par la Commission des droits de l</w:t>
      </w:r>
      <w:r>
        <w:rPr>
          <w:lang w:val="fr-FR"/>
        </w:rPr>
        <w:t>’</w:t>
      </w:r>
      <w:r w:rsidRPr="004479F9">
        <w:rPr>
          <w:lang w:val="fr-FR"/>
        </w:rPr>
        <w:t>homme dans sa résolution 1991/42. Son mandat a été précisé et renouvelé dans la résolution 1997/50 de la Commission. Conformément à la résolution </w:t>
      </w:r>
      <w:hyperlink r:id="rId8" w:history="1">
        <w:r w:rsidRPr="00C91D59">
          <w:rPr>
            <w:rStyle w:val="Hyperlink"/>
            <w:lang w:val="fr-FR"/>
          </w:rPr>
          <w:t>60/251</w:t>
        </w:r>
      </w:hyperlink>
      <w:r w:rsidRPr="004479F9">
        <w:rPr>
          <w:lang w:val="fr-FR"/>
        </w:rPr>
        <w:t xml:space="preserve"> de l</w:t>
      </w:r>
      <w:r>
        <w:rPr>
          <w:lang w:val="fr-FR"/>
        </w:rPr>
        <w:t>’</w:t>
      </w:r>
      <w:r w:rsidRPr="004479F9">
        <w:rPr>
          <w:lang w:val="fr-FR"/>
        </w:rPr>
        <w:t>Assemblée générale et à sa décision</w:t>
      </w:r>
      <w:r>
        <w:rPr>
          <w:lang w:val="fr-FR"/>
        </w:rPr>
        <w:t xml:space="preserve"> </w:t>
      </w:r>
      <w:hyperlink r:id="rId9" w:history="1">
        <w:r w:rsidRPr="00C91D59">
          <w:rPr>
            <w:rStyle w:val="Hyperlink"/>
            <w:lang w:val="fr-FR"/>
          </w:rPr>
          <w:t>1/102</w:t>
        </w:r>
      </w:hyperlink>
      <w:r w:rsidRPr="004479F9">
        <w:rPr>
          <w:lang w:val="fr-FR"/>
        </w:rPr>
        <w:t>, le Conseil des droits de l</w:t>
      </w:r>
      <w:r>
        <w:rPr>
          <w:lang w:val="fr-FR"/>
        </w:rPr>
        <w:t>’</w:t>
      </w:r>
      <w:r w:rsidRPr="004479F9">
        <w:rPr>
          <w:lang w:val="fr-FR"/>
        </w:rPr>
        <w:t xml:space="preserve">homme a repris le mandat de la Commission. Le Conseil a reconduit le mandat du Groupe de travail pour une nouvelle période de trois ans dans sa résolution </w:t>
      </w:r>
      <w:hyperlink r:id="rId10" w:history="1">
        <w:r w:rsidRPr="00C91D59">
          <w:rPr>
            <w:rStyle w:val="Hyperlink"/>
            <w:lang w:val="fr-FR"/>
          </w:rPr>
          <w:t>51/8</w:t>
        </w:r>
      </w:hyperlink>
      <w:r w:rsidRPr="004479F9">
        <w:rPr>
          <w:lang w:val="fr-FR"/>
        </w:rPr>
        <w:t>.</w:t>
      </w:r>
    </w:p>
    <w:p w14:paraId="6917D919" w14:textId="104A5B08" w:rsidR="00C91D59" w:rsidRPr="004479F9" w:rsidRDefault="00C91D59" w:rsidP="00C91D59">
      <w:pPr>
        <w:pStyle w:val="SingleTxtG"/>
        <w:rPr>
          <w:lang w:val="fr-FR"/>
        </w:rPr>
      </w:pPr>
      <w:r w:rsidRPr="004479F9">
        <w:rPr>
          <w:lang w:val="fr-FR"/>
        </w:rPr>
        <w:t>2.</w:t>
      </w:r>
      <w:r w:rsidRPr="004479F9">
        <w:rPr>
          <w:lang w:val="fr-FR"/>
        </w:rPr>
        <w:tab/>
        <w:t xml:space="preserve">Le </w:t>
      </w:r>
      <w:r w:rsidRPr="00F66090">
        <w:rPr>
          <w:lang w:val="fr-FR"/>
        </w:rPr>
        <w:t>25</w:t>
      </w:r>
      <w:r>
        <w:rPr>
          <w:lang w:val="fr-FR"/>
        </w:rPr>
        <w:t> </w:t>
      </w:r>
      <w:r w:rsidRPr="00F66090">
        <w:rPr>
          <w:lang w:val="fr-FR"/>
        </w:rPr>
        <w:t>mai 2023</w:t>
      </w:r>
      <w:r w:rsidRPr="004479F9">
        <w:rPr>
          <w:lang w:val="fr-FR"/>
        </w:rPr>
        <w:t>, conformément à ses méthodes de travail</w:t>
      </w:r>
      <w:r w:rsidRPr="00C91D59">
        <w:rPr>
          <w:rStyle w:val="FootnoteReference"/>
        </w:rPr>
        <w:footnoteReference w:id="2"/>
      </w:r>
      <w:r w:rsidRPr="004479F9">
        <w:rPr>
          <w:lang w:val="fr-FR"/>
        </w:rPr>
        <w:t xml:space="preserve">, le Groupe de travail a transmis au Gouvernement algérien une communication concernant Abderrahmane </w:t>
      </w:r>
      <w:proofErr w:type="spellStart"/>
      <w:r w:rsidRPr="004479F9">
        <w:rPr>
          <w:lang w:val="fr-FR"/>
        </w:rPr>
        <w:t>Zitout</w:t>
      </w:r>
      <w:proofErr w:type="spellEnd"/>
      <w:r w:rsidRPr="004479F9">
        <w:rPr>
          <w:lang w:val="fr-FR"/>
        </w:rPr>
        <w:t>. Le Gouvernement a répondu tardivement à la communication, le 31</w:t>
      </w:r>
      <w:r>
        <w:rPr>
          <w:lang w:val="fr-FR"/>
        </w:rPr>
        <w:t> </w:t>
      </w:r>
      <w:r w:rsidRPr="004479F9">
        <w:rPr>
          <w:lang w:val="fr-FR"/>
        </w:rPr>
        <w:t>juillet 2023. L</w:t>
      </w:r>
      <w:r>
        <w:rPr>
          <w:lang w:val="fr-FR"/>
        </w:rPr>
        <w:t>’</w:t>
      </w:r>
      <w:r w:rsidRPr="004479F9">
        <w:rPr>
          <w:lang w:val="fr-FR"/>
        </w:rPr>
        <w:t xml:space="preserve">État est </w:t>
      </w:r>
      <w:proofErr w:type="gramStart"/>
      <w:r w:rsidRPr="004479F9">
        <w:rPr>
          <w:lang w:val="fr-FR"/>
        </w:rPr>
        <w:t>partie</w:t>
      </w:r>
      <w:proofErr w:type="gramEnd"/>
      <w:r w:rsidRPr="004479F9">
        <w:rPr>
          <w:lang w:val="fr-FR"/>
        </w:rPr>
        <w:t xml:space="preserve"> au Pacte international relatif aux droits civils et politiques. </w:t>
      </w:r>
    </w:p>
    <w:p w14:paraId="52F086DF" w14:textId="77777777" w:rsidR="00C91D59" w:rsidRPr="004479F9" w:rsidRDefault="00C91D59" w:rsidP="00C91D59">
      <w:pPr>
        <w:pStyle w:val="SingleTxtG"/>
        <w:rPr>
          <w:lang w:val="fr-FR"/>
        </w:rPr>
      </w:pPr>
      <w:r w:rsidRPr="004479F9">
        <w:rPr>
          <w:lang w:val="fr-FR"/>
        </w:rPr>
        <w:t>3.</w:t>
      </w:r>
      <w:r w:rsidRPr="004479F9">
        <w:rPr>
          <w:lang w:val="fr-FR"/>
        </w:rPr>
        <w:tab/>
        <w:t>Le Groupe de travail estime que la privation de liberté est arbitraire dans les cas suivants</w:t>
      </w:r>
      <w:r>
        <w:rPr>
          <w:lang w:val="fr-FR"/>
        </w:rPr>
        <w:t> :</w:t>
      </w:r>
    </w:p>
    <w:p w14:paraId="7072FD57" w14:textId="77777777" w:rsidR="00C91D59" w:rsidRPr="004479F9" w:rsidRDefault="00C91D59" w:rsidP="00C91D59">
      <w:pPr>
        <w:pStyle w:val="SingleTxtG"/>
        <w:ind w:firstLine="567"/>
        <w:rPr>
          <w:lang w:val="fr-FR"/>
        </w:rPr>
      </w:pPr>
      <w:r w:rsidRPr="004479F9">
        <w:rPr>
          <w:lang w:val="fr-FR"/>
        </w:rPr>
        <w:t>a)</w:t>
      </w:r>
      <w:r w:rsidRPr="004479F9">
        <w:rPr>
          <w:lang w:val="fr-FR"/>
        </w:rPr>
        <w:tab/>
        <w:t>Lorsqu</w:t>
      </w:r>
      <w:r>
        <w:rPr>
          <w:lang w:val="fr-FR"/>
        </w:rPr>
        <w:t>’</w:t>
      </w:r>
      <w:r w:rsidRPr="004479F9">
        <w:rPr>
          <w:lang w:val="fr-FR"/>
        </w:rPr>
        <w:t>il est manifestement impossible d</w:t>
      </w:r>
      <w:r>
        <w:rPr>
          <w:lang w:val="fr-FR"/>
        </w:rPr>
        <w:t>’</w:t>
      </w:r>
      <w:r w:rsidRPr="004479F9">
        <w:rPr>
          <w:lang w:val="fr-FR"/>
        </w:rPr>
        <w:t>invoquer un quelconque fondement juridique pour justifier la privation de liberté (comme dans le cas où une personne est maintenue en détention après avoir exécuté sa peine ou malgré l</w:t>
      </w:r>
      <w:r>
        <w:rPr>
          <w:lang w:val="fr-FR"/>
        </w:rPr>
        <w:t>’</w:t>
      </w:r>
      <w:r w:rsidRPr="004479F9">
        <w:rPr>
          <w:lang w:val="fr-FR"/>
        </w:rPr>
        <w:t>adoption d</w:t>
      </w:r>
      <w:r>
        <w:rPr>
          <w:lang w:val="fr-FR"/>
        </w:rPr>
        <w:t>’</w:t>
      </w:r>
      <w:r w:rsidRPr="004479F9">
        <w:rPr>
          <w:lang w:val="fr-FR"/>
        </w:rPr>
        <w:t>une loi d</w:t>
      </w:r>
      <w:r>
        <w:rPr>
          <w:lang w:val="fr-FR"/>
        </w:rPr>
        <w:t>’</w:t>
      </w:r>
      <w:r w:rsidRPr="004479F9">
        <w:rPr>
          <w:lang w:val="fr-FR"/>
        </w:rPr>
        <w:t>amnistie qui lui est applicable) (catégorie I) ;</w:t>
      </w:r>
    </w:p>
    <w:p w14:paraId="066DD4C4" w14:textId="5B187F8A" w:rsidR="00C91D59" w:rsidRPr="004479F9" w:rsidRDefault="00C91D59" w:rsidP="00C91D59">
      <w:pPr>
        <w:pStyle w:val="SingleTxtG"/>
        <w:ind w:firstLine="567"/>
        <w:rPr>
          <w:lang w:val="fr-FR"/>
        </w:rPr>
      </w:pPr>
      <w:r w:rsidRPr="004479F9">
        <w:rPr>
          <w:lang w:val="fr-FR"/>
        </w:rPr>
        <w:t>b)</w:t>
      </w:r>
      <w:r w:rsidRPr="004479F9">
        <w:rPr>
          <w:lang w:val="fr-FR"/>
        </w:rPr>
        <w:tab/>
        <w:t>Lorsque la privation de liberté résulte de l</w:t>
      </w:r>
      <w:r>
        <w:rPr>
          <w:lang w:val="fr-FR"/>
        </w:rPr>
        <w:t>’</w:t>
      </w:r>
      <w:r w:rsidRPr="004479F9">
        <w:rPr>
          <w:lang w:val="fr-FR"/>
        </w:rPr>
        <w:t>exercice de droits ou de libertés garantis par les articles</w:t>
      </w:r>
      <w:r>
        <w:rPr>
          <w:lang w:val="fr-FR"/>
        </w:rPr>
        <w:t> </w:t>
      </w:r>
      <w:r w:rsidRPr="004479F9">
        <w:rPr>
          <w:lang w:val="fr-FR"/>
        </w:rPr>
        <w:t>7, 13, 14, 18, 19, 20 et 21 de la Déclaration universelle des droits de l</w:t>
      </w:r>
      <w:r>
        <w:rPr>
          <w:lang w:val="fr-FR"/>
        </w:rPr>
        <w:t>’</w:t>
      </w:r>
      <w:r w:rsidRPr="004479F9">
        <w:rPr>
          <w:lang w:val="fr-FR"/>
        </w:rPr>
        <w:t>homme et, en ce qui concerne les États parties au Pacte international relatif aux droits civils et politiques, par les articles</w:t>
      </w:r>
      <w:r>
        <w:rPr>
          <w:lang w:val="fr-FR"/>
        </w:rPr>
        <w:t> </w:t>
      </w:r>
      <w:r w:rsidRPr="004479F9">
        <w:rPr>
          <w:lang w:val="fr-FR"/>
        </w:rPr>
        <w:t>12, 18, 19, 21, 22, 25, 26 et 27 de cet instrument (catégorie II) ;</w:t>
      </w:r>
    </w:p>
    <w:p w14:paraId="3E8814E2" w14:textId="77777777" w:rsidR="00C91D59" w:rsidRPr="004479F9" w:rsidRDefault="00C91D59" w:rsidP="00C91D59">
      <w:pPr>
        <w:pStyle w:val="SingleTxtG"/>
        <w:ind w:firstLine="567"/>
        <w:rPr>
          <w:lang w:val="fr-FR"/>
        </w:rPr>
      </w:pPr>
      <w:r w:rsidRPr="004479F9">
        <w:rPr>
          <w:lang w:val="fr-FR"/>
        </w:rPr>
        <w:t>c)</w:t>
      </w:r>
      <w:r w:rsidRPr="004479F9">
        <w:rPr>
          <w:lang w:val="fr-FR"/>
        </w:rPr>
        <w:tab/>
        <w:t>Lorsque l</w:t>
      </w:r>
      <w:r>
        <w:rPr>
          <w:lang w:val="fr-FR"/>
        </w:rPr>
        <w:t>’</w:t>
      </w:r>
      <w:r w:rsidRPr="004479F9">
        <w:rPr>
          <w:lang w:val="fr-FR"/>
        </w:rPr>
        <w:t>inobservation totale ou partielle des normes internationales relatives au droit à un procès équitable, établies dans la Déclaration universelle des droits de l</w:t>
      </w:r>
      <w:r>
        <w:rPr>
          <w:lang w:val="fr-FR"/>
        </w:rPr>
        <w:t>’</w:t>
      </w:r>
      <w:r w:rsidRPr="004479F9">
        <w:rPr>
          <w:lang w:val="fr-FR"/>
        </w:rPr>
        <w:t>homme et dans les instruments internationaux pertinents acceptés par les États concernés, est d</w:t>
      </w:r>
      <w:r>
        <w:rPr>
          <w:lang w:val="fr-FR"/>
        </w:rPr>
        <w:t>’</w:t>
      </w:r>
      <w:r w:rsidRPr="004479F9">
        <w:rPr>
          <w:lang w:val="fr-FR"/>
        </w:rPr>
        <w:t>une gravité telle qu</w:t>
      </w:r>
      <w:r>
        <w:rPr>
          <w:lang w:val="fr-FR"/>
        </w:rPr>
        <w:t>’</w:t>
      </w:r>
      <w:r w:rsidRPr="004479F9">
        <w:rPr>
          <w:lang w:val="fr-FR"/>
        </w:rPr>
        <w:t>elle rend la privation de liberté arbitraire (catégorie III) ;</w:t>
      </w:r>
    </w:p>
    <w:p w14:paraId="0595E5FE" w14:textId="77777777" w:rsidR="00C91D59" w:rsidRPr="004479F9" w:rsidRDefault="00C91D59" w:rsidP="00C91D59">
      <w:pPr>
        <w:pStyle w:val="SingleTxtG"/>
        <w:ind w:firstLine="567"/>
        <w:rPr>
          <w:lang w:val="fr-FR"/>
        </w:rPr>
      </w:pPr>
      <w:r w:rsidRPr="004479F9">
        <w:rPr>
          <w:lang w:val="fr-FR"/>
        </w:rPr>
        <w:t>d)</w:t>
      </w:r>
      <w:r w:rsidRPr="004479F9">
        <w:rPr>
          <w:lang w:val="fr-FR"/>
        </w:rPr>
        <w:tab/>
        <w:t>Lorsqu</w:t>
      </w:r>
      <w:r>
        <w:rPr>
          <w:lang w:val="fr-FR"/>
        </w:rPr>
        <w:t>’</w:t>
      </w:r>
      <w:r w:rsidRPr="004479F9">
        <w:rPr>
          <w:lang w:val="fr-FR"/>
        </w:rPr>
        <w:t>un demandeur d</w:t>
      </w:r>
      <w:r>
        <w:rPr>
          <w:lang w:val="fr-FR"/>
        </w:rPr>
        <w:t>’</w:t>
      </w:r>
      <w:r w:rsidRPr="004479F9">
        <w:rPr>
          <w:lang w:val="fr-FR"/>
        </w:rPr>
        <w:t>asile, un immigrant ou un réfugié est soumis à une détention administrative prolongée sans possibilité de contrôle ou de recours administratif ou juridictionnel (catégorie IV) ;</w:t>
      </w:r>
    </w:p>
    <w:p w14:paraId="62A4E41D" w14:textId="77777777" w:rsidR="00C91D59" w:rsidRPr="004479F9" w:rsidRDefault="00C91D59" w:rsidP="00C91D59">
      <w:pPr>
        <w:pStyle w:val="SingleTxtG"/>
        <w:ind w:firstLine="567"/>
        <w:rPr>
          <w:lang w:val="fr-FR"/>
        </w:rPr>
      </w:pPr>
      <w:r w:rsidRPr="004479F9">
        <w:rPr>
          <w:lang w:val="fr-FR"/>
        </w:rPr>
        <w:t>e)</w:t>
      </w:r>
      <w:r w:rsidRPr="004479F9">
        <w:rPr>
          <w:lang w:val="fr-FR"/>
        </w:rPr>
        <w:tab/>
        <w:t>Lorsque la privation de liberté constitue une violation du droit international en ce qu</w:t>
      </w:r>
      <w:r>
        <w:rPr>
          <w:lang w:val="fr-FR"/>
        </w:rPr>
        <w:t>’</w:t>
      </w:r>
      <w:r w:rsidRPr="004479F9">
        <w:rPr>
          <w:lang w:val="fr-FR"/>
        </w:rPr>
        <w:t>elle découle d</w:t>
      </w:r>
      <w:r>
        <w:rPr>
          <w:lang w:val="fr-FR"/>
        </w:rPr>
        <w:t>’</w:t>
      </w:r>
      <w:r w:rsidRPr="004479F9">
        <w:rPr>
          <w:lang w:val="fr-FR"/>
        </w:rPr>
        <w:t>une discrimination fondée sur la naissance, l</w:t>
      </w:r>
      <w:r>
        <w:rPr>
          <w:lang w:val="fr-FR"/>
        </w:rPr>
        <w:t>’</w:t>
      </w:r>
      <w:r w:rsidRPr="004479F9">
        <w:rPr>
          <w:lang w:val="fr-FR"/>
        </w:rPr>
        <w:t>origine nationale, ethnique ou sociale, la langue, la religion, la situation économique, l</w:t>
      </w:r>
      <w:r>
        <w:rPr>
          <w:lang w:val="fr-FR"/>
        </w:rPr>
        <w:t>’</w:t>
      </w:r>
      <w:r w:rsidRPr="004479F9">
        <w:rPr>
          <w:lang w:val="fr-FR"/>
        </w:rPr>
        <w:t xml:space="preserve">opinion politique ou autre, le </w:t>
      </w:r>
      <w:r w:rsidRPr="004479F9">
        <w:rPr>
          <w:lang w:val="fr-FR"/>
        </w:rPr>
        <w:lastRenderedPageBreak/>
        <w:t>sexe, l</w:t>
      </w:r>
      <w:r>
        <w:rPr>
          <w:lang w:val="fr-FR"/>
        </w:rPr>
        <w:t>’</w:t>
      </w:r>
      <w:r w:rsidRPr="004479F9">
        <w:rPr>
          <w:lang w:val="fr-FR"/>
        </w:rPr>
        <w:t>orientation sexuelle, le handicap ou toute autre situation, qui tend ou peut conduire au non-respect du principe de l</w:t>
      </w:r>
      <w:r>
        <w:rPr>
          <w:lang w:val="fr-FR"/>
        </w:rPr>
        <w:t>’</w:t>
      </w:r>
      <w:r w:rsidRPr="004479F9">
        <w:rPr>
          <w:lang w:val="fr-FR"/>
        </w:rPr>
        <w:t>égalité entre les êtres humains (catégorie V).</w:t>
      </w:r>
    </w:p>
    <w:p w14:paraId="6AD01821" w14:textId="77777777" w:rsidR="00C91D59" w:rsidRPr="00286D58" w:rsidRDefault="00C91D59" w:rsidP="00C91D59">
      <w:pPr>
        <w:pStyle w:val="H23G"/>
        <w:rPr>
          <w:lang w:val="fr-FR"/>
        </w:rPr>
      </w:pPr>
      <w:r w:rsidRPr="00286D58">
        <w:rPr>
          <w:lang w:val="fr-FR"/>
        </w:rPr>
        <w:tab/>
      </w:r>
      <w:r>
        <w:rPr>
          <w:lang w:val="fr-FR"/>
        </w:rPr>
        <w:t>1.</w:t>
      </w:r>
      <w:r w:rsidRPr="00286D58">
        <w:rPr>
          <w:lang w:val="fr-FR"/>
        </w:rPr>
        <w:tab/>
        <w:t>Informations reçues</w:t>
      </w:r>
    </w:p>
    <w:p w14:paraId="4C3AA3E5" w14:textId="77777777" w:rsidR="00C91D59" w:rsidRPr="00286D58" w:rsidRDefault="00C91D59" w:rsidP="00C91D59">
      <w:pPr>
        <w:pStyle w:val="H23G"/>
        <w:rPr>
          <w:lang w:val="fr-FR"/>
        </w:rPr>
      </w:pPr>
      <w:r w:rsidRPr="00286D58">
        <w:rPr>
          <w:lang w:val="fr-FR"/>
        </w:rPr>
        <w:tab/>
      </w:r>
      <w:r>
        <w:rPr>
          <w:lang w:val="fr-FR"/>
        </w:rPr>
        <w:t>a)</w:t>
      </w:r>
      <w:r w:rsidRPr="00286D58">
        <w:rPr>
          <w:lang w:val="fr-FR"/>
        </w:rPr>
        <w:tab/>
        <w:t>Communication émanant de la source</w:t>
      </w:r>
    </w:p>
    <w:p w14:paraId="00AE766A" w14:textId="17323BDE" w:rsidR="00C91D59" w:rsidRPr="00CC390D" w:rsidRDefault="00C91D59" w:rsidP="00C91D59">
      <w:pPr>
        <w:pStyle w:val="SingleTxtG"/>
        <w:rPr>
          <w:lang w:val="fr-FR"/>
        </w:rPr>
      </w:pPr>
      <w:r w:rsidRPr="00CC390D">
        <w:rPr>
          <w:lang w:val="fr-FR"/>
        </w:rPr>
        <w:t>4.</w:t>
      </w:r>
      <w:r w:rsidRPr="00CC390D">
        <w:rPr>
          <w:lang w:val="fr-FR"/>
        </w:rPr>
        <w:tab/>
        <w:t xml:space="preserve">Abderrahmane </w:t>
      </w:r>
      <w:proofErr w:type="spellStart"/>
      <w:r w:rsidRPr="00CC390D">
        <w:rPr>
          <w:lang w:val="fr-FR"/>
        </w:rPr>
        <w:t>Zitout</w:t>
      </w:r>
      <w:proofErr w:type="spellEnd"/>
      <w:r w:rsidRPr="00CC390D">
        <w:rPr>
          <w:lang w:val="fr-FR"/>
        </w:rPr>
        <w:t>, né le 24</w:t>
      </w:r>
      <w:r>
        <w:rPr>
          <w:lang w:val="fr-FR"/>
        </w:rPr>
        <w:t> </w:t>
      </w:r>
      <w:r w:rsidRPr="00CC390D">
        <w:rPr>
          <w:lang w:val="fr-FR"/>
        </w:rPr>
        <w:t xml:space="preserve">novembre 1982 à Laghouat, est un commerçant algérien résidant habituellement </w:t>
      </w:r>
      <w:r>
        <w:rPr>
          <w:lang w:val="fr-FR"/>
        </w:rPr>
        <w:t>dans cette même ville</w:t>
      </w:r>
      <w:r w:rsidRPr="00CC390D">
        <w:rPr>
          <w:lang w:val="fr-FR"/>
        </w:rPr>
        <w:t xml:space="preserve">. </w:t>
      </w:r>
    </w:p>
    <w:p w14:paraId="40017B67" w14:textId="77777777" w:rsidR="00C91D59" w:rsidRPr="00CC390D" w:rsidRDefault="00C91D59" w:rsidP="00C91D59">
      <w:pPr>
        <w:pStyle w:val="H4G"/>
        <w:rPr>
          <w:lang w:val="fr-FR"/>
        </w:rPr>
      </w:pPr>
      <w:r>
        <w:rPr>
          <w:lang w:val="fr-FR"/>
        </w:rPr>
        <w:tab/>
        <w:t>i)</w:t>
      </w:r>
      <w:r>
        <w:rPr>
          <w:lang w:val="fr-FR"/>
        </w:rPr>
        <w:tab/>
      </w:r>
      <w:r w:rsidRPr="00CC390D">
        <w:rPr>
          <w:lang w:val="fr-FR"/>
        </w:rPr>
        <w:t>Contexte</w:t>
      </w:r>
    </w:p>
    <w:p w14:paraId="13E7EF6B" w14:textId="07B5A086" w:rsidR="00C91D59" w:rsidRPr="00CC390D" w:rsidRDefault="00C91D59" w:rsidP="00C91D59">
      <w:pPr>
        <w:pStyle w:val="SingleTxtG"/>
        <w:rPr>
          <w:lang w:val="fr-FR"/>
        </w:rPr>
      </w:pPr>
      <w:r w:rsidRPr="00CC390D">
        <w:rPr>
          <w:lang w:val="fr-FR"/>
        </w:rPr>
        <w:t>5.</w:t>
      </w:r>
      <w:r w:rsidRPr="00CC390D">
        <w:rPr>
          <w:lang w:val="fr-FR"/>
        </w:rPr>
        <w:tab/>
        <w:t>M.</w:t>
      </w:r>
      <w:r w:rsidR="00EA2145">
        <w:rPr>
          <w:lang w:val="fr-FR"/>
        </w:rPr>
        <w:t> </w:t>
      </w:r>
      <w:proofErr w:type="spellStart"/>
      <w:r w:rsidRPr="00CC390D">
        <w:rPr>
          <w:lang w:val="fr-FR"/>
        </w:rPr>
        <w:t>Zitout</w:t>
      </w:r>
      <w:proofErr w:type="spellEnd"/>
      <w:r w:rsidRPr="00CC390D">
        <w:rPr>
          <w:lang w:val="fr-FR"/>
        </w:rPr>
        <w:t xml:space="preserve"> ferait partie de la famille proche d</w:t>
      </w:r>
      <w:r>
        <w:rPr>
          <w:lang w:val="fr-FR"/>
        </w:rPr>
        <w:t>’</w:t>
      </w:r>
      <w:r w:rsidRPr="00CC390D">
        <w:rPr>
          <w:lang w:val="fr-FR"/>
        </w:rPr>
        <w:t xml:space="preserve">un ancien diplomate algérien exilé </w:t>
      </w:r>
      <w:r>
        <w:rPr>
          <w:lang w:val="fr-FR"/>
        </w:rPr>
        <w:t>depuis</w:t>
      </w:r>
      <w:r w:rsidRPr="00CC390D">
        <w:rPr>
          <w:lang w:val="fr-FR"/>
        </w:rPr>
        <w:t xml:space="preserve"> 1995, </w:t>
      </w:r>
      <w:r>
        <w:rPr>
          <w:lang w:val="fr-FR"/>
        </w:rPr>
        <w:t>lequel</w:t>
      </w:r>
      <w:r w:rsidRPr="00CC390D">
        <w:rPr>
          <w:lang w:val="fr-FR"/>
        </w:rPr>
        <w:t xml:space="preserve"> aurait obtenu le statut de réfugié politique après avoir révélé et dénoncé de graves violations des droits humains commises par les autorités algériennes dans le cadre de la guerre civile. </w:t>
      </w:r>
    </w:p>
    <w:p w14:paraId="43D8A85F" w14:textId="56C26B15" w:rsidR="00C91D59" w:rsidRPr="00CC390D" w:rsidRDefault="00C91D59" w:rsidP="00C91D59">
      <w:pPr>
        <w:pStyle w:val="SingleTxtG"/>
        <w:rPr>
          <w:lang w:val="fr-FR"/>
        </w:rPr>
      </w:pPr>
      <w:r w:rsidRPr="00CC390D">
        <w:rPr>
          <w:lang w:val="fr-FR"/>
        </w:rPr>
        <w:t>6.</w:t>
      </w:r>
      <w:r w:rsidRPr="00CC390D">
        <w:rPr>
          <w:lang w:val="fr-FR"/>
        </w:rPr>
        <w:tab/>
        <w:t>Selon la source, le membre en question de la famille de M.</w:t>
      </w:r>
      <w:r w:rsidR="00EA2145">
        <w:rPr>
          <w:lang w:val="fr-FR"/>
        </w:rPr>
        <w:t> </w:t>
      </w:r>
      <w:proofErr w:type="spellStart"/>
      <w:r w:rsidRPr="00CC390D">
        <w:rPr>
          <w:lang w:val="fr-FR"/>
        </w:rPr>
        <w:t>Zitout</w:t>
      </w:r>
      <w:proofErr w:type="spellEnd"/>
      <w:r w:rsidRPr="00CC390D">
        <w:rPr>
          <w:lang w:val="fr-FR"/>
        </w:rPr>
        <w:t xml:space="preserve"> serait un opposant politique, militant depuis </w:t>
      </w:r>
      <w:r>
        <w:rPr>
          <w:lang w:val="fr-FR"/>
        </w:rPr>
        <w:t>vingt-sept</w:t>
      </w:r>
      <w:r w:rsidRPr="00CC390D">
        <w:rPr>
          <w:lang w:val="fr-FR"/>
        </w:rPr>
        <w:t xml:space="preserve"> ans pour les droits humains et la liberté d</w:t>
      </w:r>
      <w:r>
        <w:rPr>
          <w:lang w:val="fr-FR"/>
        </w:rPr>
        <w:t>’</w:t>
      </w:r>
      <w:r w:rsidRPr="00CC390D">
        <w:rPr>
          <w:lang w:val="fr-FR"/>
        </w:rPr>
        <w:t>expression en Algérie. Il serait l</w:t>
      </w:r>
      <w:r>
        <w:rPr>
          <w:lang w:val="fr-FR"/>
        </w:rPr>
        <w:t>’</w:t>
      </w:r>
      <w:r w:rsidRPr="00CC390D">
        <w:rPr>
          <w:lang w:val="fr-FR"/>
        </w:rPr>
        <w:t xml:space="preserve">un des </w:t>
      </w:r>
      <w:r>
        <w:rPr>
          <w:lang w:val="fr-FR"/>
        </w:rPr>
        <w:t>dirigeants</w:t>
      </w:r>
      <w:r w:rsidRPr="00CC390D">
        <w:rPr>
          <w:lang w:val="fr-FR"/>
        </w:rPr>
        <w:t xml:space="preserve"> du mouvement </w:t>
      </w:r>
      <w:r>
        <w:rPr>
          <w:lang w:val="fr-FR"/>
        </w:rPr>
        <w:t xml:space="preserve">du </w:t>
      </w:r>
      <w:proofErr w:type="spellStart"/>
      <w:r w:rsidRPr="00CC390D">
        <w:rPr>
          <w:lang w:val="fr-FR"/>
        </w:rPr>
        <w:t>Hirak</w:t>
      </w:r>
      <w:proofErr w:type="spellEnd"/>
      <w:r w:rsidRPr="00CC390D">
        <w:rPr>
          <w:lang w:val="fr-FR"/>
        </w:rPr>
        <w:t xml:space="preserve"> </w:t>
      </w:r>
      <w:r>
        <w:rPr>
          <w:lang w:val="fr-FR"/>
        </w:rPr>
        <w:t xml:space="preserve">apparu </w:t>
      </w:r>
      <w:r w:rsidRPr="00CC390D">
        <w:rPr>
          <w:lang w:val="fr-FR"/>
        </w:rPr>
        <w:t>en 2019 et le cofondateur du mouvement Rachad. Depuis son exil, il appellerait à l</w:t>
      </w:r>
      <w:r>
        <w:rPr>
          <w:lang w:val="fr-FR"/>
        </w:rPr>
        <w:t>’</w:t>
      </w:r>
      <w:r w:rsidRPr="00CC390D">
        <w:rPr>
          <w:lang w:val="fr-FR"/>
        </w:rPr>
        <w:t>instauration d</w:t>
      </w:r>
      <w:r>
        <w:rPr>
          <w:lang w:val="fr-FR"/>
        </w:rPr>
        <w:t>’</w:t>
      </w:r>
      <w:r w:rsidRPr="00CC390D">
        <w:rPr>
          <w:lang w:val="fr-FR"/>
        </w:rPr>
        <w:t>un état de droit et d</w:t>
      </w:r>
      <w:r>
        <w:rPr>
          <w:lang w:val="fr-FR"/>
        </w:rPr>
        <w:t>’</w:t>
      </w:r>
      <w:r w:rsidRPr="00CC390D">
        <w:rPr>
          <w:lang w:val="fr-FR"/>
        </w:rPr>
        <w:t xml:space="preserve">une démocratie et </w:t>
      </w:r>
      <w:r>
        <w:rPr>
          <w:lang w:val="fr-FR"/>
        </w:rPr>
        <w:t>à</w:t>
      </w:r>
      <w:r w:rsidRPr="00CC390D">
        <w:rPr>
          <w:lang w:val="fr-FR"/>
        </w:rPr>
        <w:t xml:space="preserve"> la fin de la mainmise de l</w:t>
      </w:r>
      <w:r>
        <w:rPr>
          <w:lang w:val="fr-FR"/>
        </w:rPr>
        <w:t>’</w:t>
      </w:r>
      <w:r w:rsidRPr="00CC390D">
        <w:rPr>
          <w:lang w:val="fr-FR"/>
        </w:rPr>
        <w:t>armée sur l</w:t>
      </w:r>
      <w:r>
        <w:rPr>
          <w:lang w:val="fr-FR"/>
        </w:rPr>
        <w:t>’</w:t>
      </w:r>
      <w:r w:rsidRPr="00CC390D">
        <w:rPr>
          <w:lang w:val="fr-FR"/>
        </w:rPr>
        <w:t>État algérien. Il aurait par ailleurs été inscrit sur la liste des personnes classées comme «</w:t>
      </w:r>
      <w:r>
        <w:rPr>
          <w:lang w:val="fr-FR"/>
        </w:rPr>
        <w:t> </w:t>
      </w:r>
      <w:r w:rsidRPr="00CC390D">
        <w:rPr>
          <w:lang w:val="fr-FR"/>
        </w:rPr>
        <w:t>terroriste</w:t>
      </w:r>
      <w:r>
        <w:rPr>
          <w:lang w:val="fr-FR"/>
        </w:rPr>
        <w:t>s </w:t>
      </w:r>
      <w:r w:rsidRPr="00CC390D">
        <w:rPr>
          <w:lang w:val="fr-FR"/>
        </w:rPr>
        <w:t xml:space="preserve">» du fait de son engagement au sein du mouvement Rachad. Selon la source, </w:t>
      </w:r>
      <w:r>
        <w:rPr>
          <w:lang w:val="fr-FR"/>
        </w:rPr>
        <w:t>ce dernier</w:t>
      </w:r>
      <w:r w:rsidRPr="00CC390D">
        <w:rPr>
          <w:lang w:val="fr-FR"/>
        </w:rPr>
        <w:t xml:space="preserve"> est un mouvement politique pacifiste et dépourvu d</w:t>
      </w:r>
      <w:r>
        <w:rPr>
          <w:lang w:val="fr-FR"/>
        </w:rPr>
        <w:t>’</w:t>
      </w:r>
      <w:r w:rsidRPr="00CC390D">
        <w:rPr>
          <w:lang w:val="fr-FR"/>
        </w:rPr>
        <w:t>étiquette idéologique, appelant à l</w:t>
      </w:r>
      <w:r>
        <w:rPr>
          <w:lang w:val="fr-FR"/>
        </w:rPr>
        <w:t>’</w:t>
      </w:r>
      <w:r w:rsidRPr="00CC390D">
        <w:rPr>
          <w:lang w:val="fr-FR"/>
        </w:rPr>
        <w:t>instauration d</w:t>
      </w:r>
      <w:r>
        <w:rPr>
          <w:lang w:val="fr-FR"/>
        </w:rPr>
        <w:t>’</w:t>
      </w:r>
      <w:r w:rsidRPr="00CC390D">
        <w:rPr>
          <w:lang w:val="fr-FR"/>
        </w:rPr>
        <w:t>un État de droit et d</w:t>
      </w:r>
      <w:r>
        <w:rPr>
          <w:lang w:val="fr-FR"/>
        </w:rPr>
        <w:t>’</w:t>
      </w:r>
      <w:r w:rsidRPr="00CC390D">
        <w:rPr>
          <w:lang w:val="fr-FR"/>
        </w:rPr>
        <w:t xml:space="preserve">une démocratie en Algérie, conformément à ses statuts et à sa </w:t>
      </w:r>
      <w:r>
        <w:rPr>
          <w:lang w:val="fr-FR"/>
        </w:rPr>
        <w:t>c</w:t>
      </w:r>
      <w:r w:rsidRPr="00CC390D">
        <w:rPr>
          <w:lang w:val="fr-FR"/>
        </w:rPr>
        <w:t>harte.</w:t>
      </w:r>
    </w:p>
    <w:p w14:paraId="69C02FCF" w14:textId="6732A732" w:rsidR="00C91D59" w:rsidRPr="00CC390D" w:rsidRDefault="00C91D59" w:rsidP="00C91D59">
      <w:pPr>
        <w:pStyle w:val="SingleTxtG"/>
        <w:rPr>
          <w:lang w:val="fr-FR"/>
        </w:rPr>
      </w:pPr>
      <w:r w:rsidRPr="00CC390D">
        <w:rPr>
          <w:lang w:val="fr-FR"/>
        </w:rPr>
        <w:t>7.</w:t>
      </w:r>
      <w:r w:rsidRPr="00CC390D">
        <w:rPr>
          <w:lang w:val="fr-FR"/>
        </w:rPr>
        <w:tab/>
        <w:t>La source explique qu</w:t>
      </w:r>
      <w:r>
        <w:rPr>
          <w:lang w:val="fr-FR"/>
        </w:rPr>
        <w:t>’</w:t>
      </w:r>
      <w:r w:rsidRPr="00CC390D">
        <w:rPr>
          <w:lang w:val="fr-FR"/>
        </w:rPr>
        <w:t>en représailles d</w:t>
      </w:r>
      <w:r>
        <w:rPr>
          <w:lang w:val="fr-FR"/>
        </w:rPr>
        <w:t>’</w:t>
      </w:r>
      <w:r w:rsidRPr="00CC390D">
        <w:rPr>
          <w:lang w:val="fr-FR"/>
        </w:rPr>
        <w:t xml:space="preserve">expressions et opinions critiques du Gouvernement, les autorités ont inscrit des opposants politiques, </w:t>
      </w:r>
      <w:r>
        <w:rPr>
          <w:lang w:val="fr-FR"/>
        </w:rPr>
        <w:t xml:space="preserve">des </w:t>
      </w:r>
      <w:r w:rsidRPr="00CC390D">
        <w:rPr>
          <w:lang w:val="fr-FR"/>
        </w:rPr>
        <w:t xml:space="preserve">journalistes et </w:t>
      </w:r>
      <w:r>
        <w:rPr>
          <w:lang w:val="fr-FR"/>
        </w:rPr>
        <w:t xml:space="preserve">des </w:t>
      </w:r>
      <w:r w:rsidRPr="00CC390D">
        <w:rPr>
          <w:lang w:val="fr-FR"/>
        </w:rPr>
        <w:t>blogueurs sur les listes nationales de personnes et entités considérées comme terroristes. Selon la source, ces inscriptions sont illégales et arbitraires</w:t>
      </w:r>
      <w:r>
        <w:rPr>
          <w:lang w:val="fr-FR"/>
        </w:rPr>
        <w:t>,</w:t>
      </w:r>
      <w:r w:rsidRPr="00CC390D">
        <w:rPr>
          <w:lang w:val="fr-FR"/>
        </w:rPr>
        <w:t xml:space="preserve"> et ont conduit à l</w:t>
      </w:r>
      <w:r>
        <w:rPr>
          <w:lang w:val="fr-FR"/>
        </w:rPr>
        <w:t>’</w:t>
      </w:r>
      <w:r w:rsidRPr="00CC390D">
        <w:rPr>
          <w:lang w:val="fr-FR"/>
        </w:rPr>
        <w:t>inscription de mouvements d</w:t>
      </w:r>
      <w:r>
        <w:rPr>
          <w:lang w:val="fr-FR"/>
        </w:rPr>
        <w:t>’</w:t>
      </w:r>
      <w:r w:rsidRPr="00CC390D">
        <w:rPr>
          <w:lang w:val="fr-FR"/>
        </w:rPr>
        <w:t xml:space="preserve">opposition politique pacifiques </w:t>
      </w:r>
      <w:r>
        <w:rPr>
          <w:lang w:val="fr-FR"/>
        </w:rPr>
        <w:t xml:space="preserve">comme le mouvement </w:t>
      </w:r>
      <w:r w:rsidRPr="00CC390D">
        <w:rPr>
          <w:lang w:val="fr-FR"/>
        </w:rPr>
        <w:t xml:space="preserve">Rachad et </w:t>
      </w:r>
      <w:r>
        <w:rPr>
          <w:lang w:val="fr-FR"/>
        </w:rPr>
        <w:t xml:space="preserve">le </w:t>
      </w:r>
      <w:r w:rsidRPr="0091227B">
        <w:rPr>
          <w:lang w:val="fr-FR"/>
        </w:rPr>
        <w:t>Mouvement pour l</w:t>
      </w:r>
      <w:r>
        <w:rPr>
          <w:lang w:val="fr-FR"/>
        </w:rPr>
        <w:t>’</w:t>
      </w:r>
      <w:r w:rsidRPr="0091227B">
        <w:rPr>
          <w:lang w:val="fr-FR"/>
        </w:rPr>
        <w:t>autodétermination de la Kabylie</w:t>
      </w:r>
      <w:r w:rsidRPr="00CC390D">
        <w:rPr>
          <w:lang w:val="fr-FR"/>
        </w:rPr>
        <w:t xml:space="preserve"> sur la liste des entités classées comme « terroriste</w:t>
      </w:r>
      <w:r>
        <w:rPr>
          <w:lang w:val="fr-FR"/>
        </w:rPr>
        <w:t>s</w:t>
      </w:r>
      <w:r w:rsidRPr="00CC390D">
        <w:rPr>
          <w:lang w:val="fr-FR"/>
        </w:rPr>
        <w:t> », annexée à un arrêté du 6</w:t>
      </w:r>
      <w:r>
        <w:rPr>
          <w:lang w:val="fr-FR"/>
        </w:rPr>
        <w:t> </w:t>
      </w:r>
      <w:r w:rsidRPr="00CC390D">
        <w:rPr>
          <w:lang w:val="fr-FR"/>
        </w:rPr>
        <w:t>février 2022 portant inscription sur la liste nationale des personnes et entités terroristes. La source précise que les modalités d</w:t>
      </w:r>
      <w:r>
        <w:rPr>
          <w:lang w:val="fr-FR"/>
        </w:rPr>
        <w:t>’</w:t>
      </w:r>
      <w:r w:rsidRPr="00CC390D">
        <w:rPr>
          <w:lang w:val="fr-FR"/>
        </w:rPr>
        <w:t xml:space="preserve">inscription et de radiation de la liste nationale des personnes et entités terroristes </w:t>
      </w:r>
      <w:r>
        <w:rPr>
          <w:lang w:val="fr-FR"/>
        </w:rPr>
        <w:t>ainsi que</w:t>
      </w:r>
      <w:r w:rsidRPr="00CC390D">
        <w:rPr>
          <w:lang w:val="fr-FR"/>
        </w:rPr>
        <w:t xml:space="preserve"> les effets qui en découlent sont fixés par le </w:t>
      </w:r>
      <w:r>
        <w:rPr>
          <w:lang w:val="fr-FR"/>
        </w:rPr>
        <w:t>d</w:t>
      </w:r>
      <w:r w:rsidRPr="00CC390D">
        <w:rPr>
          <w:lang w:val="fr-FR"/>
        </w:rPr>
        <w:t xml:space="preserve">écret exécutif </w:t>
      </w:r>
      <w:r w:rsidRPr="00C91D59">
        <w:rPr>
          <w:rFonts w:eastAsia="MS Mincho"/>
          <w:lang w:val="fr-FR"/>
        </w:rPr>
        <w:t>n</w:t>
      </w:r>
      <w:r w:rsidRPr="00C91D59">
        <w:rPr>
          <w:rFonts w:eastAsia="MS Mincho"/>
          <w:vertAlign w:val="superscript"/>
          <w:lang w:val="fr-FR"/>
        </w:rPr>
        <w:t>o</w:t>
      </w:r>
      <w:r>
        <w:rPr>
          <w:lang w:val="fr-FR"/>
        </w:rPr>
        <w:t> </w:t>
      </w:r>
      <w:r w:rsidRPr="00CC390D">
        <w:rPr>
          <w:lang w:val="fr-FR"/>
        </w:rPr>
        <w:t>21-384 du 7</w:t>
      </w:r>
      <w:r>
        <w:rPr>
          <w:lang w:val="fr-FR"/>
        </w:rPr>
        <w:t> </w:t>
      </w:r>
      <w:r w:rsidRPr="00CC390D">
        <w:rPr>
          <w:lang w:val="fr-FR"/>
        </w:rPr>
        <w:t>octobre 2021. Elle ajoute que l</w:t>
      </w:r>
      <w:r>
        <w:rPr>
          <w:lang w:val="fr-FR"/>
        </w:rPr>
        <w:t>’</w:t>
      </w:r>
      <w:r w:rsidRPr="00CC390D">
        <w:rPr>
          <w:lang w:val="fr-FR"/>
        </w:rPr>
        <w:t>arrêté du 6</w:t>
      </w:r>
      <w:r>
        <w:rPr>
          <w:lang w:val="fr-FR"/>
        </w:rPr>
        <w:t> </w:t>
      </w:r>
      <w:r w:rsidRPr="00CC390D">
        <w:rPr>
          <w:lang w:val="fr-FR"/>
        </w:rPr>
        <w:t>février 2022 se fonde sur une série de textes exécutifs ayant déjà fait l</w:t>
      </w:r>
      <w:r>
        <w:rPr>
          <w:lang w:val="fr-FR"/>
        </w:rPr>
        <w:t>’</w:t>
      </w:r>
      <w:r w:rsidRPr="00CC390D">
        <w:rPr>
          <w:lang w:val="fr-FR"/>
        </w:rPr>
        <w:t>objet d</w:t>
      </w:r>
      <w:r>
        <w:rPr>
          <w:lang w:val="fr-FR"/>
        </w:rPr>
        <w:t>’</w:t>
      </w:r>
      <w:r w:rsidRPr="00CC390D">
        <w:rPr>
          <w:lang w:val="fr-FR"/>
        </w:rPr>
        <w:t xml:space="preserve">une communication conjointe </w:t>
      </w:r>
      <w:r>
        <w:rPr>
          <w:lang w:val="fr-FR"/>
        </w:rPr>
        <w:t>de titulaires de mandat</w:t>
      </w:r>
      <w:r w:rsidRPr="00CC390D">
        <w:rPr>
          <w:lang w:val="fr-FR"/>
        </w:rPr>
        <w:t xml:space="preserve"> au titre des procédures spéciales du Conseil des droits de l</w:t>
      </w:r>
      <w:r>
        <w:rPr>
          <w:lang w:val="fr-FR"/>
        </w:rPr>
        <w:t>’</w:t>
      </w:r>
      <w:r w:rsidRPr="00CC390D">
        <w:rPr>
          <w:lang w:val="fr-FR"/>
        </w:rPr>
        <w:t>homme</w:t>
      </w:r>
      <w:r w:rsidRPr="00C91D59">
        <w:rPr>
          <w:rStyle w:val="FootnoteReference"/>
        </w:rPr>
        <w:footnoteReference w:id="3"/>
      </w:r>
      <w:r w:rsidRPr="00CC390D">
        <w:rPr>
          <w:lang w:val="fr-FR"/>
        </w:rPr>
        <w:t xml:space="preserve">. Selon la source, les textes en question seraient contraires aux </w:t>
      </w:r>
      <w:r>
        <w:rPr>
          <w:lang w:val="fr-FR"/>
        </w:rPr>
        <w:t>normes internationales</w:t>
      </w:r>
      <w:r w:rsidRPr="00CC390D">
        <w:rPr>
          <w:lang w:val="fr-FR"/>
        </w:rPr>
        <w:t xml:space="preserve"> applicables en matière de lutte contre le terrorisme et </w:t>
      </w:r>
      <w:r>
        <w:rPr>
          <w:lang w:val="fr-FR"/>
        </w:rPr>
        <w:t>de</w:t>
      </w:r>
      <w:r w:rsidRPr="00CC390D">
        <w:rPr>
          <w:lang w:val="fr-FR"/>
        </w:rPr>
        <w:t xml:space="preserve"> respect des droits et libertés fondamentaux.</w:t>
      </w:r>
    </w:p>
    <w:p w14:paraId="0CF6F63D" w14:textId="77777777" w:rsidR="00C91D59" w:rsidRPr="00CC390D" w:rsidRDefault="00C91D59" w:rsidP="00C91D59">
      <w:pPr>
        <w:pStyle w:val="SingleTxtG"/>
        <w:rPr>
          <w:lang w:val="fr-FR"/>
        </w:rPr>
      </w:pPr>
      <w:r w:rsidRPr="00CC390D">
        <w:rPr>
          <w:lang w:val="fr-FR"/>
        </w:rPr>
        <w:t>8.</w:t>
      </w:r>
      <w:r w:rsidRPr="00CC390D">
        <w:rPr>
          <w:lang w:val="fr-FR"/>
        </w:rPr>
        <w:tab/>
        <w:t>La source fait valoir que l</w:t>
      </w:r>
      <w:r>
        <w:rPr>
          <w:lang w:val="fr-FR"/>
        </w:rPr>
        <w:t>’</w:t>
      </w:r>
      <w:r w:rsidRPr="00CC390D">
        <w:rPr>
          <w:lang w:val="fr-FR"/>
        </w:rPr>
        <w:t>inscription d</w:t>
      </w:r>
      <w:r>
        <w:rPr>
          <w:lang w:val="fr-FR"/>
        </w:rPr>
        <w:t>’</w:t>
      </w:r>
      <w:r w:rsidRPr="00CC390D">
        <w:rPr>
          <w:lang w:val="fr-FR"/>
        </w:rPr>
        <w:t xml:space="preserve">individus sur </w:t>
      </w:r>
      <w:r>
        <w:rPr>
          <w:lang w:val="fr-FR"/>
        </w:rPr>
        <w:t>cette</w:t>
      </w:r>
      <w:r w:rsidRPr="00CC390D">
        <w:rPr>
          <w:lang w:val="fr-FR"/>
        </w:rPr>
        <w:t xml:space="preserve"> liste constitue une atteinte grave aux droits et libertés </w:t>
      </w:r>
      <w:r>
        <w:rPr>
          <w:lang w:val="fr-FR"/>
        </w:rPr>
        <w:t>fondamentaux</w:t>
      </w:r>
      <w:r w:rsidRPr="00CC390D">
        <w:rPr>
          <w:lang w:val="fr-FR"/>
        </w:rPr>
        <w:t xml:space="preserve"> des personnes concernées et de leurs familles</w:t>
      </w:r>
      <w:r>
        <w:rPr>
          <w:lang w:val="fr-FR"/>
        </w:rPr>
        <w:t>,</w:t>
      </w:r>
      <w:r w:rsidRPr="00CC390D">
        <w:rPr>
          <w:lang w:val="fr-FR"/>
        </w:rPr>
        <w:t xml:space="preserve"> et illustre un usage particulièrement dangereux de la coopération internationale en matière de lutte contre le terrorisme par lequel les autorités étendent leur répression à l</w:t>
      </w:r>
      <w:r>
        <w:rPr>
          <w:lang w:val="fr-FR"/>
        </w:rPr>
        <w:t>’</w:t>
      </w:r>
      <w:r w:rsidRPr="00CC390D">
        <w:rPr>
          <w:lang w:val="fr-FR"/>
        </w:rPr>
        <w:t xml:space="preserve">international </w:t>
      </w:r>
      <w:proofErr w:type="gramStart"/>
      <w:r w:rsidRPr="00CC390D">
        <w:rPr>
          <w:lang w:val="fr-FR"/>
        </w:rPr>
        <w:t>contre</w:t>
      </w:r>
      <w:proofErr w:type="gramEnd"/>
      <w:r w:rsidRPr="00CC390D">
        <w:rPr>
          <w:lang w:val="fr-FR"/>
        </w:rPr>
        <w:t xml:space="preserve"> des opposants pacifiques s</w:t>
      </w:r>
      <w:r>
        <w:rPr>
          <w:lang w:val="fr-FR"/>
        </w:rPr>
        <w:t>’</w:t>
      </w:r>
      <w:r w:rsidRPr="00CC390D">
        <w:rPr>
          <w:lang w:val="fr-FR"/>
        </w:rPr>
        <w:t>étant réfugié</w:t>
      </w:r>
      <w:r>
        <w:rPr>
          <w:lang w:val="fr-FR"/>
        </w:rPr>
        <w:t>s</w:t>
      </w:r>
      <w:r w:rsidRPr="00CC390D">
        <w:rPr>
          <w:lang w:val="fr-FR"/>
        </w:rPr>
        <w:t xml:space="preserve"> à l</w:t>
      </w:r>
      <w:r>
        <w:rPr>
          <w:lang w:val="fr-FR"/>
        </w:rPr>
        <w:t>’</w:t>
      </w:r>
      <w:r w:rsidRPr="00CC390D">
        <w:rPr>
          <w:lang w:val="fr-FR"/>
        </w:rPr>
        <w:t xml:space="preserve">étranger. </w:t>
      </w:r>
    </w:p>
    <w:p w14:paraId="7951340F" w14:textId="77777777" w:rsidR="00C91D59" w:rsidRPr="00CC390D" w:rsidRDefault="00C91D59" w:rsidP="00C91D59">
      <w:pPr>
        <w:pStyle w:val="SingleTxtG"/>
        <w:rPr>
          <w:lang w:val="fr-FR"/>
        </w:rPr>
      </w:pPr>
      <w:r w:rsidRPr="00CC390D">
        <w:rPr>
          <w:lang w:val="fr-FR"/>
        </w:rPr>
        <w:t>9.</w:t>
      </w:r>
      <w:r w:rsidRPr="00CC390D">
        <w:rPr>
          <w:lang w:val="fr-FR"/>
        </w:rPr>
        <w:tab/>
        <w:t>Par ailleurs, la source note que certains militants sont détenus en prison en raison de leur appartenance au mouvement Rachad ou même pour avoir simplement manifesté leur sympathie sur les réseaux sociaux</w:t>
      </w:r>
      <w:r>
        <w:rPr>
          <w:lang w:val="fr-FR"/>
        </w:rPr>
        <w:t xml:space="preserve"> en « aimant » des publications</w:t>
      </w:r>
      <w:r w:rsidRPr="00CC390D">
        <w:rPr>
          <w:lang w:val="fr-FR"/>
        </w:rPr>
        <w:t>.</w:t>
      </w:r>
    </w:p>
    <w:p w14:paraId="3B47229A" w14:textId="504A46C7" w:rsidR="00C91D59" w:rsidRPr="00CC390D" w:rsidRDefault="00C91D59" w:rsidP="00C91D59">
      <w:pPr>
        <w:pStyle w:val="SingleTxtG"/>
        <w:rPr>
          <w:lang w:val="fr-FR"/>
        </w:rPr>
      </w:pPr>
      <w:r w:rsidRPr="00CC390D">
        <w:rPr>
          <w:lang w:val="fr-FR"/>
        </w:rPr>
        <w:t>10.</w:t>
      </w:r>
      <w:r w:rsidRPr="00CC390D">
        <w:rPr>
          <w:lang w:val="fr-FR"/>
        </w:rPr>
        <w:tab/>
        <w:t>La source affirme que la répression d</w:t>
      </w:r>
      <w:r>
        <w:rPr>
          <w:lang w:val="fr-FR"/>
        </w:rPr>
        <w:t>’</w:t>
      </w:r>
      <w:r w:rsidRPr="00CC390D">
        <w:rPr>
          <w:lang w:val="fr-FR"/>
        </w:rPr>
        <w:t>opposants pacifiques militant depuis l</w:t>
      </w:r>
      <w:r>
        <w:rPr>
          <w:lang w:val="fr-FR"/>
        </w:rPr>
        <w:t>’</w:t>
      </w:r>
      <w:r w:rsidRPr="00CC390D">
        <w:rPr>
          <w:lang w:val="fr-FR"/>
        </w:rPr>
        <w:t>étranger engendre des conséquences sur leurs proches résidant encore en Algérie, comme l</w:t>
      </w:r>
      <w:r>
        <w:rPr>
          <w:lang w:val="fr-FR"/>
        </w:rPr>
        <w:t>’</w:t>
      </w:r>
      <w:r w:rsidRPr="00CC390D">
        <w:rPr>
          <w:lang w:val="fr-FR"/>
        </w:rPr>
        <w:t>illustre le cas d</w:t>
      </w:r>
      <w:r>
        <w:rPr>
          <w:lang w:val="fr-FR"/>
        </w:rPr>
        <w:t>’</w:t>
      </w:r>
      <w:r w:rsidRPr="00CC390D">
        <w:rPr>
          <w:lang w:val="fr-FR"/>
        </w:rPr>
        <w:t xml:space="preserve">espèce. Selon </w:t>
      </w:r>
      <w:r>
        <w:rPr>
          <w:lang w:val="fr-FR"/>
        </w:rPr>
        <w:t>elle</w:t>
      </w:r>
      <w:r w:rsidRPr="00CC390D">
        <w:rPr>
          <w:lang w:val="fr-FR"/>
        </w:rPr>
        <w:t xml:space="preserve">, </w:t>
      </w:r>
      <w:r>
        <w:rPr>
          <w:lang w:val="fr-FR"/>
        </w:rPr>
        <w:t xml:space="preserve">les autorités auraient arrêté et placé en détention </w:t>
      </w:r>
      <w:r w:rsidRPr="00CC390D">
        <w:rPr>
          <w:lang w:val="fr-FR"/>
        </w:rPr>
        <w:t>M.</w:t>
      </w:r>
      <w:r w:rsidR="00EA2145">
        <w:rPr>
          <w:lang w:val="fr-FR"/>
        </w:rPr>
        <w:t> </w:t>
      </w:r>
      <w:proofErr w:type="spellStart"/>
      <w:r w:rsidRPr="00CC390D">
        <w:rPr>
          <w:lang w:val="fr-FR"/>
        </w:rPr>
        <w:t>Zitout</w:t>
      </w:r>
      <w:proofErr w:type="spellEnd"/>
      <w:r w:rsidRPr="00CC390D">
        <w:rPr>
          <w:lang w:val="fr-FR"/>
        </w:rPr>
        <w:t xml:space="preserve"> pour faire pression sur le membre de sa famille exilé.</w:t>
      </w:r>
    </w:p>
    <w:p w14:paraId="3307513A" w14:textId="77777777" w:rsidR="00C91D59" w:rsidRPr="00CC390D" w:rsidRDefault="00C91D59" w:rsidP="00C91D59">
      <w:pPr>
        <w:pStyle w:val="H4G"/>
        <w:rPr>
          <w:lang w:val="fr-FR"/>
        </w:rPr>
      </w:pPr>
      <w:r>
        <w:rPr>
          <w:lang w:val="fr-FR"/>
        </w:rPr>
        <w:lastRenderedPageBreak/>
        <w:tab/>
        <w:t>ii)</w:t>
      </w:r>
      <w:r>
        <w:rPr>
          <w:lang w:val="fr-FR"/>
        </w:rPr>
        <w:tab/>
      </w:r>
      <w:r w:rsidRPr="00CC390D">
        <w:rPr>
          <w:lang w:val="fr-FR"/>
        </w:rPr>
        <w:t>Arrestation et détention</w:t>
      </w:r>
    </w:p>
    <w:p w14:paraId="3AC3EB66" w14:textId="1D469252" w:rsidR="00C91D59" w:rsidRPr="00CC390D" w:rsidRDefault="00C91D59" w:rsidP="00C91D59">
      <w:pPr>
        <w:pStyle w:val="SingleTxtG"/>
        <w:rPr>
          <w:lang w:val="fr-FR"/>
        </w:rPr>
      </w:pPr>
      <w:r w:rsidRPr="00CC390D">
        <w:rPr>
          <w:lang w:val="fr-FR"/>
        </w:rPr>
        <w:t>11.</w:t>
      </w:r>
      <w:r w:rsidRPr="00CC390D">
        <w:rPr>
          <w:lang w:val="fr-FR"/>
        </w:rPr>
        <w:tab/>
        <w:t>M.</w:t>
      </w:r>
      <w:r w:rsidR="00EA2145">
        <w:rPr>
          <w:lang w:val="fr-FR"/>
        </w:rPr>
        <w:t> </w:t>
      </w:r>
      <w:proofErr w:type="spellStart"/>
      <w:r w:rsidRPr="00CC390D">
        <w:rPr>
          <w:lang w:val="fr-FR"/>
        </w:rPr>
        <w:t>Zitout</w:t>
      </w:r>
      <w:proofErr w:type="spellEnd"/>
      <w:r w:rsidRPr="00CC390D">
        <w:rPr>
          <w:lang w:val="fr-FR"/>
        </w:rPr>
        <w:t xml:space="preserve"> aurait été arrêté le 30</w:t>
      </w:r>
      <w:r>
        <w:rPr>
          <w:lang w:val="fr-FR"/>
        </w:rPr>
        <w:t> </w:t>
      </w:r>
      <w:r w:rsidRPr="00CC390D">
        <w:rPr>
          <w:lang w:val="fr-FR"/>
        </w:rPr>
        <w:t>mars 2022, à 18</w:t>
      </w:r>
      <w:r>
        <w:rPr>
          <w:lang w:val="fr-FR"/>
        </w:rPr>
        <w:t> </w:t>
      </w:r>
      <w:r w:rsidRPr="00CC390D">
        <w:rPr>
          <w:lang w:val="fr-FR"/>
        </w:rPr>
        <w:t>heures, par une dizaine d</w:t>
      </w:r>
      <w:r>
        <w:rPr>
          <w:lang w:val="fr-FR"/>
        </w:rPr>
        <w:t>’</w:t>
      </w:r>
      <w:r w:rsidRPr="00CC390D">
        <w:rPr>
          <w:lang w:val="fr-FR"/>
        </w:rPr>
        <w:t>agents armés dont certains étaient en uniforme et d</w:t>
      </w:r>
      <w:r>
        <w:rPr>
          <w:lang w:val="fr-FR"/>
        </w:rPr>
        <w:t>’</w:t>
      </w:r>
      <w:r w:rsidRPr="00CC390D">
        <w:rPr>
          <w:lang w:val="fr-FR"/>
        </w:rPr>
        <w:t>autres en civil et cagoulés, alors qu</w:t>
      </w:r>
      <w:r>
        <w:rPr>
          <w:lang w:val="fr-FR"/>
        </w:rPr>
        <w:t>’</w:t>
      </w:r>
      <w:r w:rsidRPr="00CC390D">
        <w:rPr>
          <w:lang w:val="fr-FR"/>
        </w:rPr>
        <w:t>il se trouvait dans sa boutique de vente de vêtements située au rez-de-chaussée de son domicile familial. La police aurait procédé à la perquisition de la boutique et de son domicile et aurait saisi tout son matériel électronique, y compris son téléphone et son ordinateur. M.</w:t>
      </w:r>
      <w:r w:rsidR="00EA2145">
        <w:rPr>
          <w:lang w:val="fr-FR"/>
        </w:rPr>
        <w:t> </w:t>
      </w:r>
      <w:proofErr w:type="spellStart"/>
      <w:r w:rsidRPr="00CC390D">
        <w:rPr>
          <w:lang w:val="fr-FR"/>
        </w:rPr>
        <w:t>Zitout</w:t>
      </w:r>
      <w:proofErr w:type="spellEnd"/>
      <w:r w:rsidRPr="00CC390D">
        <w:rPr>
          <w:lang w:val="fr-FR"/>
        </w:rPr>
        <w:t xml:space="preserve"> aurait ensuite été emmené vers une destination inconnue où il aurait été détenu au secret jusqu</w:t>
      </w:r>
      <w:r>
        <w:rPr>
          <w:lang w:val="fr-FR"/>
        </w:rPr>
        <w:t>’</w:t>
      </w:r>
      <w:r w:rsidRPr="00CC390D">
        <w:rPr>
          <w:lang w:val="fr-FR"/>
        </w:rPr>
        <w:t>au 4</w:t>
      </w:r>
      <w:r>
        <w:rPr>
          <w:lang w:val="fr-FR"/>
        </w:rPr>
        <w:t> </w:t>
      </w:r>
      <w:r w:rsidRPr="00CC390D">
        <w:rPr>
          <w:lang w:val="fr-FR"/>
        </w:rPr>
        <w:t xml:space="preserve">avril 2022. </w:t>
      </w:r>
    </w:p>
    <w:p w14:paraId="092A6CEB" w14:textId="008A75BF" w:rsidR="00C91D59" w:rsidRPr="00CC390D" w:rsidRDefault="00C91D59" w:rsidP="00C91D59">
      <w:pPr>
        <w:pStyle w:val="SingleTxtG"/>
        <w:rPr>
          <w:lang w:val="fr-FR"/>
        </w:rPr>
      </w:pPr>
      <w:r w:rsidRPr="00CC390D">
        <w:rPr>
          <w:lang w:val="fr-FR"/>
        </w:rPr>
        <w:t>12.</w:t>
      </w:r>
      <w:r w:rsidRPr="00CC390D">
        <w:rPr>
          <w:lang w:val="fr-FR"/>
        </w:rPr>
        <w:tab/>
        <w:t>Selon la source, en dépit des recherches effectuées par sa famille, le lieu de détention de M.</w:t>
      </w:r>
      <w:r>
        <w:rPr>
          <w:lang w:val="fr-FR"/>
        </w:rPr>
        <w:t> </w:t>
      </w:r>
      <w:proofErr w:type="spellStart"/>
      <w:r w:rsidRPr="00CC390D">
        <w:rPr>
          <w:lang w:val="fr-FR"/>
        </w:rPr>
        <w:t>Zitout</w:t>
      </w:r>
      <w:proofErr w:type="spellEnd"/>
      <w:r w:rsidRPr="00CC390D">
        <w:rPr>
          <w:lang w:val="fr-FR"/>
        </w:rPr>
        <w:t xml:space="preserve"> n</w:t>
      </w:r>
      <w:r>
        <w:rPr>
          <w:lang w:val="fr-FR"/>
        </w:rPr>
        <w:t>’</w:t>
      </w:r>
      <w:r w:rsidRPr="00CC390D">
        <w:rPr>
          <w:lang w:val="fr-FR"/>
        </w:rPr>
        <w:t>aurait pas été dévoilé jusqu</w:t>
      </w:r>
      <w:r>
        <w:rPr>
          <w:lang w:val="fr-FR"/>
        </w:rPr>
        <w:t>’</w:t>
      </w:r>
      <w:r w:rsidRPr="00CC390D">
        <w:rPr>
          <w:lang w:val="fr-FR"/>
        </w:rPr>
        <w:t>au 4</w:t>
      </w:r>
      <w:r>
        <w:rPr>
          <w:lang w:val="fr-FR"/>
        </w:rPr>
        <w:t> </w:t>
      </w:r>
      <w:r w:rsidRPr="00CC390D">
        <w:rPr>
          <w:lang w:val="fr-FR"/>
        </w:rPr>
        <w:t>avril 2022, date à laquelle sa famille aurait appris qu</w:t>
      </w:r>
      <w:r>
        <w:rPr>
          <w:lang w:val="fr-FR"/>
        </w:rPr>
        <w:t>’</w:t>
      </w:r>
      <w:r w:rsidRPr="00CC390D">
        <w:rPr>
          <w:lang w:val="fr-FR"/>
        </w:rPr>
        <w:t>il se trouvait à la prison d</w:t>
      </w:r>
      <w:r>
        <w:rPr>
          <w:lang w:val="fr-FR"/>
        </w:rPr>
        <w:t>’</w:t>
      </w:r>
      <w:r w:rsidRPr="00CC390D">
        <w:rPr>
          <w:lang w:val="fr-FR"/>
        </w:rPr>
        <w:t>El Harrach, dans la banlieue d</w:t>
      </w:r>
      <w:r>
        <w:rPr>
          <w:lang w:val="fr-FR"/>
        </w:rPr>
        <w:t>’</w:t>
      </w:r>
      <w:r w:rsidRPr="00CC390D">
        <w:rPr>
          <w:lang w:val="fr-FR"/>
        </w:rPr>
        <w:t>Alger.</w:t>
      </w:r>
    </w:p>
    <w:p w14:paraId="3BA12413" w14:textId="1F8E52A9" w:rsidR="00C91D59" w:rsidRPr="00CC390D" w:rsidRDefault="00C91D59" w:rsidP="00C91D59">
      <w:pPr>
        <w:pStyle w:val="SingleTxtG"/>
        <w:rPr>
          <w:lang w:val="fr-FR"/>
        </w:rPr>
      </w:pPr>
      <w:r w:rsidRPr="00CC390D">
        <w:rPr>
          <w:lang w:val="fr-FR"/>
        </w:rPr>
        <w:t>13.</w:t>
      </w:r>
      <w:r w:rsidRPr="00CC390D">
        <w:rPr>
          <w:lang w:val="fr-FR"/>
        </w:rPr>
        <w:tab/>
        <w:t>Par la suite, la famille de M.</w:t>
      </w:r>
      <w:r w:rsidR="00EA2145">
        <w:rPr>
          <w:lang w:val="fr-FR"/>
        </w:rPr>
        <w:t> </w:t>
      </w:r>
      <w:proofErr w:type="spellStart"/>
      <w:r w:rsidRPr="00CC390D">
        <w:rPr>
          <w:lang w:val="fr-FR"/>
        </w:rPr>
        <w:t>Zitout</w:t>
      </w:r>
      <w:proofErr w:type="spellEnd"/>
      <w:r w:rsidRPr="00CC390D">
        <w:rPr>
          <w:lang w:val="fr-FR"/>
        </w:rPr>
        <w:t xml:space="preserve"> aurait découvert qu</w:t>
      </w:r>
      <w:r>
        <w:rPr>
          <w:lang w:val="fr-FR"/>
        </w:rPr>
        <w:t>’</w:t>
      </w:r>
      <w:r w:rsidRPr="00CC390D">
        <w:rPr>
          <w:lang w:val="fr-FR"/>
        </w:rPr>
        <w:t xml:space="preserve">il avait passé les </w:t>
      </w:r>
      <w:r>
        <w:rPr>
          <w:lang w:val="fr-FR"/>
        </w:rPr>
        <w:t>cinq</w:t>
      </w:r>
      <w:r w:rsidRPr="00CC390D">
        <w:rPr>
          <w:lang w:val="fr-FR"/>
        </w:rPr>
        <w:t xml:space="preserve"> jours suivant son arrestation au commissariat central d</w:t>
      </w:r>
      <w:r>
        <w:rPr>
          <w:lang w:val="fr-FR"/>
        </w:rPr>
        <w:t>’</w:t>
      </w:r>
      <w:r w:rsidRPr="00CC390D">
        <w:rPr>
          <w:lang w:val="fr-FR"/>
        </w:rPr>
        <w:t>Alger. Il y aurait été longuement interrogé par des agents de la division de la police judiciaire</w:t>
      </w:r>
      <w:r>
        <w:rPr>
          <w:lang w:val="fr-FR"/>
        </w:rPr>
        <w:t>,</w:t>
      </w:r>
      <w:r w:rsidRPr="00CC390D">
        <w:rPr>
          <w:lang w:val="fr-FR"/>
        </w:rPr>
        <w:t xml:space="preserve"> à propos de ses liens avec le membre de sa famille exilé et du type de relation qu</w:t>
      </w:r>
      <w:r>
        <w:rPr>
          <w:lang w:val="fr-FR"/>
        </w:rPr>
        <w:t>’</w:t>
      </w:r>
      <w:r w:rsidRPr="00CC390D">
        <w:rPr>
          <w:lang w:val="fr-FR"/>
        </w:rPr>
        <w:t>ils entretenaient. Les agents lui auraient aussi demandé s</w:t>
      </w:r>
      <w:r>
        <w:rPr>
          <w:lang w:val="fr-FR"/>
        </w:rPr>
        <w:t>’</w:t>
      </w:r>
      <w:r w:rsidRPr="00CC390D">
        <w:rPr>
          <w:lang w:val="fr-FR"/>
        </w:rPr>
        <w:t>il partageait les convictions politiques du membre de sa famille exilé. M.</w:t>
      </w:r>
      <w:r>
        <w:rPr>
          <w:lang w:val="fr-FR"/>
        </w:rPr>
        <w:t> </w:t>
      </w:r>
      <w:proofErr w:type="spellStart"/>
      <w:r w:rsidRPr="00CC390D">
        <w:rPr>
          <w:lang w:val="fr-FR"/>
        </w:rPr>
        <w:t>Zitout</w:t>
      </w:r>
      <w:proofErr w:type="spellEnd"/>
      <w:r w:rsidRPr="00CC390D">
        <w:rPr>
          <w:lang w:val="fr-FR"/>
        </w:rPr>
        <w:t xml:space="preserve"> aurait également été interrogé sur les év</w:t>
      </w:r>
      <w:r>
        <w:rPr>
          <w:lang w:val="fr-FR"/>
        </w:rPr>
        <w:t>é</w:t>
      </w:r>
      <w:r w:rsidRPr="00CC390D">
        <w:rPr>
          <w:lang w:val="fr-FR"/>
        </w:rPr>
        <w:t xml:space="preserve">nements liés au mouvement </w:t>
      </w:r>
      <w:r>
        <w:rPr>
          <w:lang w:val="fr-FR"/>
        </w:rPr>
        <w:t>du</w:t>
      </w:r>
      <w:r w:rsidRPr="00CC390D">
        <w:rPr>
          <w:lang w:val="fr-FR"/>
        </w:rPr>
        <w:t xml:space="preserve"> </w:t>
      </w:r>
      <w:proofErr w:type="spellStart"/>
      <w:r w:rsidRPr="00CC390D">
        <w:rPr>
          <w:lang w:val="fr-FR"/>
        </w:rPr>
        <w:t>Hirak</w:t>
      </w:r>
      <w:proofErr w:type="spellEnd"/>
      <w:r w:rsidRPr="00CC390D">
        <w:rPr>
          <w:lang w:val="fr-FR"/>
        </w:rPr>
        <w:t xml:space="preserve"> ainsi qu</w:t>
      </w:r>
      <w:r>
        <w:rPr>
          <w:lang w:val="fr-FR"/>
        </w:rPr>
        <w:t>’</w:t>
      </w:r>
      <w:r w:rsidRPr="00CC390D">
        <w:rPr>
          <w:lang w:val="fr-FR"/>
        </w:rPr>
        <w:t>au sujet de l</w:t>
      </w:r>
      <w:r>
        <w:rPr>
          <w:lang w:val="fr-FR"/>
        </w:rPr>
        <w:t>’</w:t>
      </w:r>
      <w:r w:rsidRPr="00CC390D">
        <w:rPr>
          <w:lang w:val="fr-FR"/>
        </w:rPr>
        <w:t xml:space="preserve">aide financière apportée par ce </w:t>
      </w:r>
      <w:r>
        <w:rPr>
          <w:lang w:val="fr-FR"/>
        </w:rPr>
        <w:t>proche exilé</w:t>
      </w:r>
      <w:r w:rsidRPr="00CC390D">
        <w:rPr>
          <w:lang w:val="fr-FR"/>
        </w:rPr>
        <w:t xml:space="preserve"> au reste de sa famille restée en Algérie. Selon la source, M.</w:t>
      </w:r>
      <w:r w:rsidR="00EA2145">
        <w:rPr>
          <w:lang w:val="fr-FR"/>
        </w:rPr>
        <w:t> </w:t>
      </w:r>
      <w:proofErr w:type="spellStart"/>
      <w:r w:rsidRPr="00CC390D">
        <w:rPr>
          <w:lang w:val="fr-FR"/>
        </w:rPr>
        <w:t>Zitout</w:t>
      </w:r>
      <w:proofErr w:type="spellEnd"/>
      <w:r w:rsidRPr="00CC390D">
        <w:rPr>
          <w:lang w:val="fr-FR"/>
        </w:rPr>
        <w:t xml:space="preserve"> n</w:t>
      </w:r>
      <w:r>
        <w:rPr>
          <w:lang w:val="fr-FR"/>
        </w:rPr>
        <w:t>’</w:t>
      </w:r>
      <w:r w:rsidRPr="00CC390D">
        <w:rPr>
          <w:lang w:val="fr-FR"/>
        </w:rPr>
        <w:t xml:space="preserve">aurait à aucun moment été interrogé sur </w:t>
      </w:r>
      <w:r>
        <w:rPr>
          <w:lang w:val="fr-FR"/>
        </w:rPr>
        <w:t xml:space="preserve">une </w:t>
      </w:r>
      <w:r w:rsidRPr="00CC390D">
        <w:rPr>
          <w:lang w:val="fr-FR"/>
        </w:rPr>
        <w:t>quelconque activité subversive, appartenance à un groupe terroriste ou publication de fausses nouvelles. Pourtant, le 5</w:t>
      </w:r>
      <w:r>
        <w:rPr>
          <w:lang w:val="fr-FR"/>
        </w:rPr>
        <w:t> </w:t>
      </w:r>
      <w:r w:rsidRPr="00CC390D">
        <w:rPr>
          <w:lang w:val="fr-FR"/>
        </w:rPr>
        <w:t xml:space="preserve">avril 2022, il aurait été déféré devant le </w:t>
      </w:r>
      <w:r>
        <w:rPr>
          <w:lang w:val="fr-FR"/>
        </w:rPr>
        <w:t>P</w:t>
      </w:r>
      <w:r w:rsidRPr="00CC390D">
        <w:rPr>
          <w:lang w:val="fr-FR"/>
        </w:rPr>
        <w:t xml:space="preserve">rocureur de la </w:t>
      </w:r>
      <w:r>
        <w:rPr>
          <w:lang w:val="fr-FR"/>
        </w:rPr>
        <w:t>R</w:t>
      </w:r>
      <w:r w:rsidRPr="00CC390D">
        <w:rPr>
          <w:lang w:val="fr-FR"/>
        </w:rPr>
        <w:t>épublique près le tribunal de Sidi</w:t>
      </w:r>
      <w:r>
        <w:rPr>
          <w:lang w:val="fr-FR"/>
        </w:rPr>
        <w:t xml:space="preserve"> </w:t>
      </w:r>
      <w:r w:rsidRPr="00CC390D">
        <w:rPr>
          <w:lang w:val="fr-FR"/>
        </w:rPr>
        <w:t>M</w:t>
      </w:r>
      <w:r>
        <w:rPr>
          <w:lang w:val="fr-FR"/>
        </w:rPr>
        <w:t>’H</w:t>
      </w:r>
      <w:r w:rsidRPr="00CC390D">
        <w:rPr>
          <w:lang w:val="fr-FR"/>
        </w:rPr>
        <w:t>amed et se serait vu reprocher personnellement et pour la première fois ces crimes et délits.</w:t>
      </w:r>
    </w:p>
    <w:p w14:paraId="2FF1C94A" w14:textId="253340CA" w:rsidR="00C91D59" w:rsidRPr="00CC390D" w:rsidRDefault="00C91D59" w:rsidP="00C91D59">
      <w:pPr>
        <w:pStyle w:val="SingleTxtG"/>
        <w:rPr>
          <w:lang w:val="fr-FR"/>
        </w:rPr>
      </w:pPr>
      <w:r w:rsidRPr="00CC390D">
        <w:rPr>
          <w:lang w:val="fr-FR"/>
        </w:rPr>
        <w:t>14.</w:t>
      </w:r>
      <w:r w:rsidRPr="00CC390D">
        <w:rPr>
          <w:lang w:val="fr-FR"/>
        </w:rPr>
        <w:tab/>
        <w:t>Bien que M.</w:t>
      </w:r>
      <w:r w:rsidR="00EA2145">
        <w:rPr>
          <w:lang w:val="fr-FR"/>
        </w:rPr>
        <w:t> </w:t>
      </w:r>
      <w:proofErr w:type="spellStart"/>
      <w:r w:rsidRPr="00CC390D">
        <w:rPr>
          <w:lang w:val="fr-FR"/>
        </w:rPr>
        <w:t>Zitout</w:t>
      </w:r>
      <w:proofErr w:type="spellEnd"/>
      <w:r w:rsidRPr="00CC390D">
        <w:rPr>
          <w:lang w:val="fr-FR"/>
        </w:rPr>
        <w:t xml:space="preserve"> ait nié les crimes et délits qui lui étaient imputés, le magistrat aurait requis l</w:t>
      </w:r>
      <w:r>
        <w:rPr>
          <w:lang w:val="fr-FR"/>
        </w:rPr>
        <w:t>’</w:t>
      </w:r>
      <w:r w:rsidRPr="00CC390D">
        <w:rPr>
          <w:lang w:val="fr-FR"/>
        </w:rPr>
        <w:t>ouverture d</w:t>
      </w:r>
      <w:r>
        <w:rPr>
          <w:lang w:val="fr-FR"/>
        </w:rPr>
        <w:t>’</w:t>
      </w:r>
      <w:r w:rsidRPr="00CC390D">
        <w:rPr>
          <w:lang w:val="fr-FR"/>
        </w:rPr>
        <w:t>une information judiciaire dans un réquisitoire aux fins d</w:t>
      </w:r>
      <w:r>
        <w:rPr>
          <w:lang w:val="fr-FR"/>
        </w:rPr>
        <w:t>’</w:t>
      </w:r>
      <w:r w:rsidRPr="00CC390D">
        <w:rPr>
          <w:lang w:val="fr-FR"/>
        </w:rPr>
        <w:t>informer pour</w:t>
      </w:r>
      <w:r>
        <w:rPr>
          <w:lang w:val="fr-FR"/>
        </w:rPr>
        <w:t xml:space="preserve"> avoir :</w:t>
      </w:r>
      <w:r w:rsidRPr="00CC390D">
        <w:rPr>
          <w:lang w:val="fr-FR"/>
        </w:rPr>
        <w:t xml:space="preserve"> </w:t>
      </w:r>
      <w:r>
        <w:rPr>
          <w:lang w:val="fr-FR"/>
        </w:rPr>
        <w:t>a) adhéré et participé</w:t>
      </w:r>
      <w:r w:rsidRPr="00CC390D">
        <w:rPr>
          <w:lang w:val="fr-FR"/>
        </w:rPr>
        <w:t xml:space="preserve"> à des associations, groupes et organisations ayant des buts ou des activités terroristes et subversi</w:t>
      </w:r>
      <w:r>
        <w:rPr>
          <w:lang w:val="fr-FR"/>
        </w:rPr>
        <w:t>f</w:t>
      </w:r>
      <w:r w:rsidRPr="00CC390D">
        <w:rPr>
          <w:lang w:val="fr-FR"/>
        </w:rPr>
        <w:t>s</w:t>
      </w:r>
      <w:r>
        <w:rPr>
          <w:lang w:val="fr-FR"/>
        </w:rPr>
        <w:t>,</w:t>
      </w:r>
      <w:r w:rsidRPr="00CC390D">
        <w:rPr>
          <w:lang w:val="fr-FR"/>
        </w:rPr>
        <w:t xml:space="preserve"> relevant de l</w:t>
      </w:r>
      <w:r>
        <w:rPr>
          <w:lang w:val="fr-FR"/>
        </w:rPr>
        <w:t>’</w:t>
      </w:r>
      <w:r w:rsidRPr="00CC390D">
        <w:rPr>
          <w:lang w:val="fr-FR"/>
        </w:rPr>
        <w:t>article</w:t>
      </w:r>
      <w:r>
        <w:rPr>
          <w:lang w:val="fr-FR"/>
        </w:rPr>
        <w:t> </w:t>
      </w:r>
      <w:r w:rsidRPr="00CC390D">
        <w:rPr>
          <w:lang w:val="fr-FR"/>
        </w:rPr>
        <w:t>87</w:t>
      </w:r>
      <w:r>
        <w:rPr>
          <w:lang w:val="fr-FR"/>
        </w:rPr>
        <w:t> </w:t>
      </w:r>
      <w:r w:rsidRPr="00DC1964">
        <w:rPr>
          <w:i/>
          <w:iCs/>
          <w:lang w:val="fr-FR"/>
        </w:rPr>
        <w:t>bis</w:t>
      </w:r>
      <w:r w:rsidRPr="00CC390D">
        <w:rPr>
          <w:lang w:val="fr-FR"/>
        </w:rPr>
        <w:t xml:space="preserve"> du Code pénal, en référence au mouvement Rachad ; </w:t>
      </w:r>
      <w:r>
        <w:rPr>
          <w:lang w:val="fr-FR"/>
        </w:rPr>
        <w:t xml:space="preserve">b) </w:t>
      </w:r>
      <w:r w:rsidRPr="00CC390D">
        <w:rPr>
          <w:lang w:val="fr-FR"/>
        </w:rPr>
        <w:t>compromis la sécurité et l</w:t>
      </w:r>
      <w:r>
        <w:rPr>
          <w:lang w:val="fr-FR"/>
        </w:rPr>
        <w:t>’</w:t>
      </w:r>
      <w:r w:rsidRPr="00CC390D">
        <w:rPr>
          <w:lang w:val="fr-FR"/>
        </w:rPr>
        <w:t>intégrité territoriale du pays, sur la base de l</w:t>
      </w:r>
      <w:r>
        <w:rPr>
          <w:lang w:val="fr-FR"/>
        </w:rPr>
        <w:t>’</w:t>
      </w:r>
      <w:r w:rsidRPr="00CC390D">
        <w:rPr>
          <w:lang w:val="fr-FR"/>
        </w:rPr>
        <w:t>article</w:t>
      </w:r>
      <w:r>
        <w:rPr>
          <w:lang w:val="fr-FR"/>
        </w:rPr>
        <w:t> </w:t>
      </w:r>
      <w:r w:rsidRPr="00CC390D">
        <w:rPr>
          <w:lang w:val="fr-FR"/>
        </w:rPr>
        <w:t xml:space="preserve">79 du Code pénal ; </w:t>
      </w:r>
      <w:r>
        <w:rPr>
          <w:lang w:val="fr-FR"/>
        </w:rPr>
        <w:t xml:space="preserve">c) </w:t>
      </w:r>
      <w:r w:rsidRPr="00CC390D">
        <w:rPr>
          <w:lang w:val="fr-FR"/>
        </w:rPr>
        <w:t>publié et répandu intentionnellement parmi la population des informations et des nouvelles fausses et malveillantes portant atteinte à la sécurité publique et à l</w:t>
      </w:r>
      <w:r>
        <w:rPr>
          <w:lang w:val="fr-FR"/>
        </w:rPr>
        <w:t>’</w:t>
      </w:r>
      <w:r w:rsidRPr="00CC390D">
        <w:rPr>
          <w:lang w:val="fr-FR"/>
        </w:rPr>
        <w:t>ordre public, sur la base de l</w:t>
      </w:r>
      <w:r>
        <w:rPr>
          <w:lang w:val="fr-FR"/>
        </w:rPr>
        <w:t>’</w:t>
      </w:r>
      <w:r w:rsidRPr="00CC390D">
        <w:rPr>
          <w:lang w:val="fr-FR"/>
        </w:rPr>
        <w:t>article</w:t>
      </w:r>
      <w:r>
        <w:rPr>
          <w:lang w:val="fr-FR"/>
        </w:rPr>
        <w:t> </w:t>
      </w:r>
      <w:r w:rsidRPr="00CC390D">
        <w:rPr>
          <w:lang w:val="fr-FR"/>
        </w:rPr>
        <w:t>196</w:t>
      </w:r>
      <w:r>
        <w:rPr>
          <w:lang w:val="fr-FR"/>
        </w:rPr>
        <w:t> </w:t>
      </w:r>
      <w:r w:rsidRPr="00DC1964">
        <w:rPr>
          <w:i/>
          <w:iCs/>
          <w:lang w:val="fr-FR"/>
        </w:rPr>
        <w:t>bis</w:t>
      </w:r>
      <w:r w:rsidRPr="00CC390D">
        <w:rPr>
          <w:lang w:val="fr-FR"/>
        </w:rPr>
        <w:t xml:space="preserve"> du Code pénal ; et </w:t>
      </w:r>
      <w:r>
        <w:rPr>
          <w:lang w:val="fr-FR"/>
        </w:rPr>
        <w:t xml:space="preserve">d) </w:t>
      </w:r>
      <w:r w:rsidRPr="00CC390D">
        <w:rPr>
          <w:lang w:val="fr-FR"/>
        </w:rPr>
        <w:t>reçu des fonds de l</w:t>
      </w:r>
      <w:r>
        <w:rPr>
          <w:lang w:val="fr-FR"/>
        </w:rPr>
        <w:t>’</w:t>
      </w:r>
      <w:r w:rsidRPr="00CC390D">
        <w:rPr>
          <w:lang w:val="fr-FR"/>
        </w:rPr>
        <w:t>étranger dans l</w:t>
      </w:r>
      <w:r>
        <w:rPr>
          <w:lang w:val="fr-FR"/>
        </w:rPr>
        <w:t>’</w:t>
      </w:r>
      <w:r w:rsidRPr="00CC390D">
        <w:rPr>
          <w:lang w:val="fr-FR"/>
        </w:rPr>
        <w:t>intention de mener des actions compromettant la sécurité de l</w:t>
      </w:r>
      <w:r>
        <w:rPr>
          <w:lang w:val="fr-FR"/>
        </w:rPr>
        <w:t>’</w:t>
      </w:r>
      <w:r w:rsidRPr="00CC390D">
        <w:rPr>
          <w:lang w:val="fr-FR"/>
        </w:rPr>
        <w:t>État et de ses institutions à travers la mise en œuvre d</w:t>
      </w:r>
      <w:r>
        <w:rPr>
          <w:lang w:val="fr-FR"/>
        </w:rPr>
        <w:t>’</w:t>
      </w:r>
      <w:r w:rsidRPr="00CC390D">
        <w:rPr>
          <w:lang w:val="fr-FR"/>
        </w:rPr>
        <w:t>un plan orchestré à l</w:t>
      </w:r>
      <w:r>
        <w:rPr>
          <w:lang w:val="fr-FR"/>
        </w:rPr>
        <w:t>’</w:t>
      </w:r>
      <w:r w:rsidRPr="00CC390D">
        <w:rPr>
          <w:lang w:val="fr-FR"/>
        </w:rPr>
        <w:t>intérieur et à l</w:t>
      </w:r>
      <w:r>
        <w:rPr>
          <w:lang w:val="fr-FR"/>
        </w:rPr>
        <w:t>’</w:t>
      </w:r>
      <w:r w:rsidRPr="00CC390D">
        <w:rPr>
          <w:lang w:val="fr-FR"/>
        </w:rPr>
        <w:t>extérieur du pays.</w:t>
      </w:r>
    </w:p>
    <w:p w14:paraId="69C3F44C" w14:textId="0D7422DA" w:rsidR="00C91D59" w:rsidRPr="00CC390D" w:rsidRDefault="00C91D59" w:rsidP="00C91D59">
      <w:pPr>
        <w:pStyle w:val="SingleTxtG"/>
        <w:rPr>
          <w:lang w:val="fr-FR"/>
        </w:rPr>
      </w:pPr>
      <w:r w:rsidRPr="00CC390D">
        <w:rPr>
          <w:lang w:val="fr-FR"/>
        </w:rPr>
        <w:t>15.</w:t>
      </w:r>
      <w:r w:rsidRPr="00CC390D">
        <w:rPr>
          <w:lang w:val="fr-FR"/>
        </w:rPr>
        <w:tab/>
        <w:t>Les accusations contre M.</w:t>
      </w:r>
      <w:r w:rsidR="00EA2145">
        <w:rPr>
          <w:lang w:val="fr-FR"/>
        </w:rPr>
        <w:t> </w:t>
      </w:r>
      <w:proofErr w:type="spellStart"/>
      <w:r w:rsidRPr="00CC390D">
        <w:rPr>
          <w:lang w:val="fr-FR"/>
        </w:rPr>
        <w:t>Zitout</w:t>
      </w:r>
      <w:proofErr w:type="spellEnd"/>
      <w:r w:rsidRPr="00CC390D">
        <w:rPr>
          <w:lang w:val="fr-FR"/>
        </w:rPr>
        <w:t xml:space="preserve"> seraient fondées sur le témoignage d</w:t>
      </w:r>
      <w:r>
        <w:rPr>
          <w:lang w:val="fr-FR"/>
        </w:rPr>
        <w:t>’</w:t>
      </w:r>
      <w:r w:rsidRPr="00CC390D">
        <w:rPr>
          <w:lang w:val="fr-FR"/>
        </w:rPr>
        <w:t>un ancien militaire devenu lanceur d</w:t>
      </w:r>
      <w:r>
        <w:rPr>
          <w:lang w:val="fr-FR"/>
        </w:rPr>
        <w:t>’</w:t>
      </w:r>
      <w:r w:rsidRPr="00CC390D">
        <w:rPr>
          <w:lang w:val="fr-FR"/>
        </w:rPr>
        <w:t xml:space="preserve">alerte et dénonçant sur les réseaux sociaux la corruption parmi les hauts responsables militaires algériens. La personne en question se serait réfugiée </w:t>
      </w:r>
      <w:r>
        <w:rPr>
          <w:lang w:val="fr-FR"/>
        </w:rPr>
        <w:t>dans un pays tiers</w:t>
      </w:r>
      <w:r w:rsidRPr="00CC390D">
        <w:rPr>
          <w:lang w:val="fr-FR"/>
        </w:rPr>
        <w:t xml:space="preserve"> où elle aurait présenté une demande d</w:t>
      </w:r>
      <w:r>
        <w:rPr>
          <w:lang w:val="fr-FR"/>
        </w:rPr>
        <w:t>’</w:t>
      </w:r>
      <w:r w:rsidRPr="00CC390D">
        <w:rPr>
          <w:lang w:val="fr-FR"/>
        </w:rPr>
        <w:t>asile en 2019. Après avoir été remis</w:t>
      </w:r>
      <w:r>
        <w:rPr>
          <w:lang w:val="fr-FR"/>
        </w:rPr>
        <w:t>e</w:t>
      </w:r>
      <w:r w:rsidRPr="00CC390D">
        <w:rPr>
          <w:lang w:val="fr-FR"/>
        </w:rPr>
        <w:t xml:space="preserve"> aux autorités algériennes, cette personne aurait subi de graves actes de torture afin qu</w:t>
      </w:r>
      <w:r>
        <w:rPr>
          <w:lang w:val="fr-FR"/>
        </w:rPr>
        <w:t>’</w:t>
      </w:r>
      <w:r w:rsidRPr="00CC390D">
        <w:rPr>
          <w:lang w:val="fr-FR"/>
        </w:rPr>
        <w:t>elle fasse des aveux à la télévision</w:t>
      </w:r>
      <w:r>
        <w:rPr>
          <w:lang w:val="fr-FR"/>
        </w:rPr>
        <w:t>,</w:t>
      </w:r>
      <w:r w:rsidRPr="00CC390D">
        <w:rPr>
          <w:lang w:val="fr-FR"/>
        </w:rPr>
        <w:t xml:space="preserve"> à une heure de grande écoute. Ces aveux auraient été utilisés pour justifier l</w:t>
      </w:r>
      <w:r>
        <w:rPr>
          <w:lang w:val="fr-FR"/>
        </w:rPr>
        <w:t>’</w:t>
      </w:r>
      <w:r w:rsidRPr="00CC390D">
        <w:rPr>
          <w:lang w:val="fr-FR"/>
        </w:rPr>
        <w:t>arrestation de M.</w:t>
      </w:r>
      <w:r w:rsidR="00EA2145">
        <w:rPr>
          <w:lang w:val="fr-FR"/>
        </w:rPr>
        <w:t> </w:t>
      </w:r>
      <w:proofErr w:type="spellStart"/>
      <w:r w:rsidRPr="00CC390D">
        <w:rPr>
          <w:lang w:val="fr-FR"/>
        </w:rPr>
        <w:t>Zitout</w:t>
      </w:r>
      <w:proofErr w:type="spellEnd"/>
      <w:r w:rsidRPr="00CC390D">
        <w:rPr>
          <w:lang w:val="fr-FR"/>
        </w:rPr>
        <w:t>.</w:t>
      </w:r>
    </w:p>
    <w:p w14:paraId="1D7FEE57" w14:textId="39CC354D" w:rsidR="00C91D59" w:rsidRPr="00CC390D" w:rsidRDefault="00C91D59" w:rsidP="00C91D59">
      <w:pPr>
        <w:pStyle w:val="SingleTxtG"/>
        <w:rPr>
          <w:lang w:val="fr-FR"/>
        </w:rPr>
      </w:pPr>
      <w:r w:rsidRPr="00CC390D">
        <w:rPr>
          <w:lang w:val="fr-FR"/>
        </w:rPr>
        <w:t>16.</w:t>
      </w:r>
      <w:r w:rsidRPr="00CC390D">
        <w:rPr>
          <w:lang w:val="fr-FR"/>
        </w:rPr>
        <w:tab/>
        <w:t>Selon la source, le juge d</w:t>
      </w:r>
      <w:r>
        <w:rPr>
          <w:lang w:val="fr-FR"/>
        </w:rPr>
        <w:t>’</w:t>
      </w:r>
      <w:r w:rsidRPr="00CC390D">
        <w:rPr>
          <w:lang w:val="fr-FR"/>
        </w:rPr>
        <w:t>instruction aurait ordonné le placement en détention provisoire de M.</w:t>
      </w:r>
      <w:r w:rsidR="00EA2145">
        <w:rPr>
          <w:lang w:val="fr-FR"/>
        </w:rPr>
        <w:t> </w:t>
      </w:r>
      <w:proofErr w:type="spellStart"/>
      <w:r w:rsidRPr="00CC390D">
        <w:rPr>
          <w:lang w:val="fr-FR"/>
        </w:rPr>
        <w:t>Zitout</w:t>
      </w:r>
      <w:proofErr w:type="spellEnd"/>
      <w:r w:rsidRPr="00CC390D">
        <w:rPr>
          <w:lang w:val="fr-FR"/>
        </w:rPr>
        <w:t xml:space="preserve"> malgré l</w:t>
      </w:r>
      <w:r>
        <w:rPr>
          <w:lang w:val="fr-FR"/>
        </w:rPr>
        <w:t>’</w:t>
      </w:r>
      <w:r w:rsidRPr="00CC390D">
        <w:rPr>
          <w:lang w:val="fr-FR"/>
        </w:rPr>
        <w:t>absence totale d</w:t>
      </w:r>
      <w:r>
        <w:rPr>
          <w:lang w:val="fr-FR"/>
        </w:rPr>
        <w:t>’</w:t>
      </w:r>
      <w:r w:rsidRPr="00CC390D">
        <w:rPr>
          <w:lang w:val="fr-FR"/>
        </w:rPr>
        <w:t>éléments matériels dans son dossier, à l</w:t>
      </w:r>
      <w:r>
        <w:rPr>
          <w:lang w:val="fr-FR"/>
        </w:rPr>
        <w:t>’</w:t>
      </w:r>
      <w:r w:rsidRPr="00CC390D">
        <w:rPr>
          <w:lang w:val="fr-FR"/>
        </w:rPr>
        <w:t>exception des aveux forcés susmentionnés. Les avocats de M.</w:t>
      </w:r>
      <w:r w:rsidR="00EA2145">
        <w:rPr>
          <w:lang w:val="fr-FR"/>
        </w:rPr>
        <w:t> </w:t>
      </w:r>
      <w:proofErr w:type="spellStart"/>
      <w:r w:rsidRPr="00CC390D">
        <w:rPr>
          <w:lang w:val="fr-FR"/>
        </w:rPr>
        <w:t>Zitout</w:t>
      </w:r>
      <w:proofErr w:type="spellEnd"/>
      <w:r w:rsidRPr="00CC390D">
        <w:rPr>
          <w:lang w:val="fr-FR"/>
        </w:rPr>
        <w:t xml:space="preserve"> auraient fait appel de l</w:t>
      </w:r>
      <w:r>
        <w:rPr>
          <w:lang w:val="fr-FR"/>
        </w:rPr>
        <w:t>’</w:t>
      </w:r>
      <w:r w:rsidRPr="00CC390D">
        <w:rPr>
          <w:lang w:val="fr-FR"/>
        </w:rPr>
        <w:t>ordonnance du juge d</w:t>
      </w:r>
      <w:r>
        <w:rPr>
          <w:lang w:val="fr-FR"/>
        </w:rPr>
        <w:t>’</w:t>
      </w:r>
      <w:r w:rsidRPr="00CC390D">
        <w:rPr>
          <w:lang w:val="fr-FR"/>
        </w:rPr>
        <w:t>instruction le 7</w:t>
      </w:r>
      <w:r>
        <w:rPr>
          <w:lang w:val="fr-FR"/>
        </w:rPr>
        <w:t> </w:t>
      </w:r>
      <w:r w:rsidRPr="00CC390D">
        <w:rPr>
          <w:lang w:val="fr-FR"/>
        </w:rPr>
        <w:t>avril 2022. Le 20</w:t>
      </w:r>
      <w:r>
        <w:rPr>
          <w:lang w:val="fr-FR"/>
        </w:rPr>
        <w:t> </w:t>
      </w:r>
      <w:r w:rsidRPr="00CC390D">
        <w:rPr>
          <w:lang w:val="fr-FR"/>
        </w:rPr>
        <w:t>avril 2022, la chambre d</w:t>
      </w:r>
      <w:r>
        <w:rPr>
          <w:lang w:val="fr-FR"/>
        </w:rPr>
        <w:t>’</w:t>
      </w:r>
      <w:r w:rsidRPr="00CC390D">
        <w:rPr>
          <w:lang w:val="fr-FR"/>
        </w:rPr>
        <w:t xml:space="preserve">accusation, </w:t>
      </w:r>
      <w:r>
        <w:rPr>
          <w:lang w:val="fr-FR"/>
        </w:rPr>
        <w:t>qui est selon</w:t>
      </w:r>
      <w:r w:rsidRPr="00CC390D">
        <w:rPr>
          <w:lang w:val="fr-FR"/>
        </w:rPr>
        <w:t xml:space="preserve"> la source sous le contrôle du pouvoir exécutif, aurait confirmé l</w:t>
      </w:r>
      <w:r>
        <w:rPr>
          <w:lang w:val="fr-FR"/>
        </w:rPr>
        <w:t>’</w:t>
      </w:r>
      <w:r w:rsidRPr="00CC390D">
        <w:rPr>
          <w:lang w:val="fr-FR"/>
        </w:rPr>
        <w:t>ordonnance en raison de la gravité des faits reprochés.</w:t>
      </w:r>
    </w:p>
    <w:p w14:paraId="4FE73434" w14:textId="4072D9C5" w:rsidR="00C91D59" w:rsidRPr="00CC390D" w:rsidRDefault="00C91D59" w:rsidP="00C91D59">
      <w:pPr>
        <w:pStyle w:val="SingleTxtG"/>
        <w:rPr>
          <w:lang w:val="fr-FR"/>
        </w:rPr>
      </w:pPr>
      <w:r w:rsidRPr="00CC390D">
        <w:rPr>
          <w:lang w:val="fr-FR"/>
        </w:rPr>
        <w:t>17.</w:t>
      </w:r>
      <w:r w:rsidRPr="00CC390D">
        <w:rPr>
          <w:lang w:val="fr-FR"/>
        </w:rPr>
        <w:tab/>
        <w:t>Le 9</w:t>
      </w:r>
      <w:r>
        <w:rPr>
          <w:lang w:val="fr-FR"/>
        </w:rPr>
        <w:t> </w:t>
      </w:r>
      <w:r w:rsidRPr="00CC390D">
        <w:rPr>
          <w:lang w:val="fr-FR"/>
        </w:rPr>
        <w:t>juin 2022, les avocats de M.</w:t>
      </w:r>
      <w:r w:rsidR="00EA2145">
        <w:rPr>
          <w:lang w:val="fr-FR"/>
        </w:rPr>
        <w:t> </w:t>
      </w:r>
      <w:proofErr w:type="spellStart"/>
      <w:r w:rsidRPr="00CC390D">
        <w:rPr>
          <w:lang w:val="fr-FR"/>
        </w:rPr>
        <w:t>Zitout</w:t>
      </w:r>
      <w:proofErr w:type="spellEnd"/>
      <w:r w:rsidRPr="00CC390D">
        <w:rPr>
          <w:lang w:val="fr-FR"/>
        </w:rPr>
        <w:t xml:space="preserve"> auraient présenté une deuxième demande de mise en liberté, invoquant l</w:t>
      </w:r>
      <w:r>
        <w:rPr>
          <w:lang w:val="fr-FR"/>
        </w:rPr>
        <w:t>’</w:t>
      </w:r>
      <w:r w:rsidRPr="00CC390D">
        <w:rPr>
          <w:lang w:val="fr-FR"/>
        </w:rPr>
        <w:t>absence d</w:t>
      </w:r>
      <w:r>
        <w:rPr>
          <w:lang w:val="fr-FR"/>
        </w:rPr>
        <w:t>’</w:t>
      </w:r>
      <w:r w:rsidRPr="00CC390D">
        <w:rPr>
          <w:lang w:val="fr-FR"/>
        </w:rPr>
        <w:t>élément</w:t>
      </w:r>
      <w:r>
        <w:rPr>
          <w:lang w:val="fr-FR"/>
        </w:rPr>
        <w:t>s</w:t>
      </w:r>
      <w:r w:rsidRPr="00CC390D">
        <w:rPr>
          <w:lang w:val="fr-FR"/>
        </w:rPr>
        <w:t xml:space="preserve"> matériel</w:t>
      </w:r>
      <w:r>
        <w:rPr>
          <w:lang w:val="fr-FR"/>
        </w:rPr>
        <w:t>s</w:t>
      </w:r>
      <w:r w:rsidRPr="00CC390D">
        <w:rPr>
          <w:lang w:val="fr-FR"/>
        </w:rPr>
        <w:t xml:space="preserve"> dans le dossier et le fait que les poursuites engagées étaient fondées uniquement sur un témoignage obtenu </w:t>
      </w:r>
      <w:r>
        <w:rPr>
          <w:lang w:val="fr-FR"/>
        </w:rPr>
        <w:t>par</w:t>
      </w:r>
      <w:r w:rsidRPr="00CC390D">
        <w:rPr>
          <w:lang w:val="fr-FR"/>
        </w:rPr>
        <w:t xml:space="preserve"> la torture. La demande aurait été rejetée</w:t>
      </w:r>
      <w:r>
        <w:rPr>
          <w:lang w:val="fr-FR"/>
        </w:rPr>
        <w:t>,</w:t>
      </w:r>
      <w:r w:rsidRPr="00CC390D">
        <w:rPr>
          <w:lang w:val="fr-FR"/>
        </w:rPr>
        <w:t xml:space="preserve"> </w:t>
      </w:r>
      <w:r>
        <w:rPr>
          <w:lang w:val="fr-FR"/>
        </w:rPr>
        <w:t>ce qui illustrerait</w:t>
      </w:r>
      <w:r w:rsidRPr="00CC390D">
        <w:rPr>
          <w:lang w:val="fr-FR"/>
        </w:rPr>
        <w:t>, selon la source, l</w:t>
      </w:r>
      <w:r>
        <w:rPr>
          <w:lang w:val="fr-FR"/>
        </w:rPr>
        <w:t>’</w:t>
      </w:r>
      <w:r w:rsidRPr="00CC390D">
        <w:rPr>
          <w:lang w:val="fr-FR"/>
        </w:rPr>
        <w:t>absence d</w:t>
      </w:r>
      <w:r>
        <w:rPr>
          <w:lang w:val="fr-FR"/>
        </w:rPr>
        <w:t>’</w:t>
      </w:r>
      <w:r w:rsidRPr="00CC390D">
        <w:rPr>
          <w:lang w:val="fr-FR"/>
        </w:rPr>
        <w:t>indépendance de la juridiction d</w:t>
      </w:r>
      <w:r>
        <w:rPr>
          <w:lang w:val="fr-FR"/>
        </w:rPr>
        <w:t>’</w:t>
      </w:r>
      <w:r w:rsidRPr="00CC390D">
        <w:rPr>
          <w:lang w:val="fr-FR"/>
        </w:rPr>
        <w:t>instruction et le caractère purement politique de l</w:t>
      </w:r>
      <w:r>
        <w:rPr>
          <w:lang w:val="fr-FR"/>
        </w:rPr>
        <w:t>’</w:t>
      </w:r>
      <w:r w:rsidRPr="00CC390D">
        <w:rPr>
          <w:lang w:val="fr-FR"/>
        </w:rPr>
        <w:t>affaire.</w:t>
      </w:r>
    </w:p>
    <w:p w14:paraId="73CA9C5C" w14:textId="724109BD" w:rsidR="00C91D59" w:rsidRPr="00CC390D" w:rsidRDefault="00C91D59" w:rsidP="00C91D59">
      <w:pPr>
        <w:pStyle w:val="SingleTxtG"/>
        <w:rPr>
          <w:lang w:val="fr-FR"/>
        </w:rPr>
      </w:pPr>
      <w:r w:rsidRPr="00CC390D">
        <w:rPr>
          <w:lang w:val="fr-FR"/>
        </w:rPr>
        <w:t>18.</w:t>
      </w:r>
      <w:r w:rsidRPr="00CC390D">
        <w:rPr>
          <w:lang w:val="fr-FR"/>
        </w:rPr>
        <w:tab/>
        <w:t>La source note que l</w:t>
      </w:r>
      <w:r>
        <w:rPr>
          <w:lang w:val="fr-FR"/>
        </w:rPr>
        <w:t>’</w:t>
      </w:r>
      <w:r w:rsidRPr="00CC390D">
        <w:rPr>
          <w:lang w:val="fr-FR"/>
        </w:rPr>
        <w:t>état de santé de M.</w:t>
      </w:r>
      <w:r w:rsidR="00EA2145">
        <w:rPr>
          <w:lang w:val="fr-FR"/>
        </w:rPr>
        <w:t> </w:t>
      </w:r>
      <w:proofErr w:type="spellStart"/>
      <w:r w:rsidRPr="00CC390D">
        <w:rPr>
          <w:lang w:val="fr-FR"/>
        </w:rPr>
        <w:t>Zitout</w:t>
      </w:r>
      <w:proofErr w:type="spellEnd"/>
      <w:r w:rsidRPr="00CC390D">
        <w:rPr>
          <w:lang w:val="fr-FR"/>
        </w:rPr>
        <w:t xml:space="preserve"> et le manque de soins le mettent en danger de mort. Le 14</w:t>
      </w:r>
      <w:r>
        <w:rPr>
          <w:lang w:val="fr-FR"/>
        </w:rPr>
        <w:t> </w:t>
      </w:r>
      <w:r w:rsidRPr="00CC390D">
        <w:rPr>
          <w:lang w:val="fr-FR"/>
        </w:rPr>
        <w:t>août 2022, M.</w:t>
      </w:r>
      <w:r w:rsidR="00EA2145">
        <w:rPr>
          <w:lang w:val="fr-FR"/>
        </w:rPr>
        <w:t> </w:t>
      </w:r>
      <w:proofErr w:type="spellStart"/>
      <w:r w:rsidRPr="00CC390D">
        <w:rPr>
          <w:lang w:val="fr-FR"/>
        </w:rPr>
        <w:t>Zitout</w:t>
      </w:r>
      <w:proofErr w:type="spellEnd"/>
      <w:r w:rsidRPr="00CC390D">
        <w:rPr>
          <w:lang w:val="fr-FR"/>
        </w:rPr>
        <w:t xml:space="preserve"> aurait entamé une grève de la faim jusqu</w:t>
      </w:r>
      <w:r>
        <w:rPr>
          <w:lang w:val="fr-FR"/>
        </w:rPr>
        <w:t>’</w:t>
      </w:r>
      <w:r w:rsidRPr="00CC390D">
        <w:rPr>
          <w:lang w:val="fr-FR"/>
        </w:rPr>
        <w:t>au 1</w:t>
      </w:r>
      <w:r w:rsidRPr="00DC1964">
        <w:rPr>
          <w:vertAlign w:val="superscript"/>
          <w:lang w:val="fr-FR"/>
        </w:rPr>
        <w:t>er</w:t>
      </w:r>
      <w:r>
        <w:rPr>
          <w:lang w:val="fr-FR"/>
        </w:rPr>
        <w:t> </w:t>
      </w:r>
      <w:r w:rsidRPr="00CC390D">
        <w:rPr>
          <w:lang w:val="fr-FR"/>
        </w:rPr>
        <w:t>septembre</w:t>
      </w:r>
      <w:r>
        <w:rPr>
          <w:lang w:val="fr-FR"/>
        </w:rPr>
        <w:t xml:space="preserve"> 2022</w:t>
      </w:r>
      <w:r w:rsidRPr="00CC390D">
        <w:rPr>
          <w:lang w:val="fr-FR"/>
        </w:rPr>
        <w:t xml:space="preserve">, afin de dénoncer le caractère arbitraire de sa détention. Durant cette </w:t>
      </w:r>
      <w:r w:rsidRPr="00CC390D">
        <w:rPr>
          <w:lang w:val="fr-FR"/>
        </w:rPr>
        <w:lastRenderedPageBreak/>
        <w:t xml:space="preserve">période, il aurait été placé en isolement dans une petite cellule sans lumière </w:t>
      </w:r>
      <w:r>
        <w:rPr>
          <w:lang w:val="fr-FR"/>
        </w:rPr>
        <w:t>naturelle</w:t>
      </w:r>
      <w:r w:rsidRPr="00CC390D">
        <w:rPr>
          <w:lang w:val="fr-FR"/>
        </w:rPr>
        <w:t>. Le 11</w:t>
      </w:r>
      <w:r>
        <w:rPr>
          <w:lang w:val="fr-FR"/>
        </w:rPr>
        <w:t> </w:t>
      </w:r>
      <w:r w:rsidRPr="00CC390D">
        <w:rPr>
          <w:lang w:val="fr-FR"/>
        </w:rPr>
        <w:t>septembre 2022, il aurait été évacué d</w:t>
      </w:r>
      <w:r>
        <w:rPr>
          <w:lang w:val="fr-FR"/>
        </w:rPr>
        <w:t>’</w:t>
      </w:r>
      <w:r w:rsidRPr="00CC390D">
        <w:rPr>
          <w:lang w:val="fr-FR"/>
        </w:rPr>
        <w:t>urgence à l</w:t>
      </w:r>
      <w:r>
        <w:rPr>
          <w:lang w:val="fr-FR"/>
        </w:rPr>
        <w:t>’</w:t>
      </w:r>
      <w:r w:rsidRPr="00CC390D">
        <w:rPr>
          <w:lang w:val="fr-FR"/>
        </w:rPr>
        <w:t>hôpital à la suite de la dégradation de son état de santé. Sa famille n</w:t>
      </w:r>
      <w:r>
        <w:rPr>
          <w:lang w:val="fr-FR"/>
        </w:rPr>
        <w:t>’</w:t>
      </w:r>
      <w:r w:rsidRPr="00CC390D">
        <w:rPr>
          <w:lang w:val="fr-FR"/>
        </w:rPr>
        <w:t>aurait pas eu accès à son dossier médical.</w:t>
      </w:r>
    </w:p>
    <w:p w14:paraId="3EDD5DB9" w14:textId="0CE700C1" w:rsidR="00C91D59" w:rsidRPr="00CC390D" w:rsidRDefault="00C91D59" w:rsidP="00C91D59">
      <w:pPr>
        <w:pStyle w:val="SingleTxtG"/>
        <w:rPr>
          <w:lang w:val="fr-FR"/>
        </w:rPr>
      </w:pPr>
      <w:r w:rsidRPr="00CC390D">
        <w:rPr>
          <w:lang w:val="fr-FR"/>
        </w:rPr>
        <w:t>19.</w:t>
      </w:r>
      <w:r w:rsidRPr="00CC390D">
        <w:rPr>
          <w:lang w:val="fr-FR"/>
        </w:rPr>
        <w:tab/>
        <w:t>Depuis son arrivée en prison, ses problèmes de santé forceraient M.</w:t>
      </w:r>
      <w:r w:rsidR="00EA2145">
        <w:rPr>
          <w:lang w:val="fr-FR"/>
        </w:rPr>
        <w:t> </w:t>
      </w:r>
      <w:proofErr w:type="spellStart"/>
      <w:r w:rsidRPr="00CC390D">
        <w:rPr>
          <w:lang w:val="fr-FR"/>
        </w:rPr>
        <w:t>Zitout</w:t>
      </w:r>
      <w:proofErr w:type="spellEnd"/>
      <w:r w:rsidRPr="00CC390D">
        <w:rPr>
          <w:lang w:val="fr-FR"/>
        </w:rPr>
        <w:t xml:space="preserve"> à utiliser un fauteuil roulant. Il souffrirait notamment de problèmes de dos et d</w:t>
      </w:r>
      <w:r>
        <w:rPr>
          <w:lang w:val="fr-FR"/>
        </w:rPr>
        <w:t>’</w:t>
      </w:r>
      <w:r w:rsidRPr="00CC390D">
        <w:rPr>
          <w:lang w:val="fr-FR"/>
        </w:rPr>
        <w:t>une hernie discale n</w:t>
      </w:r>
      <w:r>
        <w:rPr>
          <w:lang w:val="fr-FR"/>
        </w:rPr>
        <w:t>’</w:t>
      </w:r>
      <w:r w:rsidRPr="00CC390D">
        <w:rPr>
          <w:lang w:val="fr-FR"/>
        </w:rPr>
        <w:t>ayant pas été traités. Le 16</w:t>
      </w:r>
      <w:r>
        <w:rPr>
          <w:lang w:val="fr-FR"/>
        </w:rPr>
        <w:t> </w:t>
      </w:r>
      <w:r w:rsidRPr="00CC390D">
        <w:rPr>
          <w:lang w:val="fr-FR"/>
        </w:rPr>
        <w:t>février 2023, M.</w:t>
      </w:r>
      <w:r w:rsidR="00EA2145">
        <w:rPr>
          <w:lang w:val="fr-FR"/>
        </w:rPr>
        <w:t> </w:t>
      </w:r>
      <w:proofErr w:type="spellStart"/>
      <w:r w:rsidRPr="00CC390D">
        <w:rPr>
          <w:lang w:val="fr-FR"/>
        </w:rPr>
        <w:t>Zitout</w:t>
      </w:r>
      <w:proofErr w:type="spellEnd"/>
      <w:r w:rsidRPr="00CC390D">
        <w:rPr>
          <w:lang w:val="fr-FR"/>
        </w:rPr>
        <w:t xml:space="preserve"> aurait à nouveau entamé une grève de la faim pour protester contre son maintien prolongé en détention provisoire, lequel durerait depuis plus d</w:t>
      </w:r>
      <w:r>
        <w:rPr>
          <w:lang w:val="fr-FR"/>
        </w:rPr>
        <w:t>’</w:t>
      </w:r>
      <w:r w:rsidRPr="00CC390D">
        <w:rPr>
          <w:lang w:val="fr-FR"/>
        </w:rPr>
        <w:t>un an.</w:t>
      </w:r>
    </w:p>
    <w:p w14:paraId="4D61560D" w14:textId="21C0133B" w:rsidR="00C91D59" w:rsidRPr="00CC390D" w:rsidRDefault="00C91D59" w:rsidP="00C91D59">
      <w:pPr>
        <w:pStyle w:val="SingleTxtG"/>
        <w:rPr>
          <w:lang w:val="fr-FR"/>
        </w:rPr>
      </w:pPr>
      <w:r w:rsidRPr="00CC390D">
        <w:rPr>
          <w:lang w:val="fr-FR"/>
        </w:rPr>
        <w:t>20.</w:t>
      </w:r>
      <w:r w:rsidRPr="00CC390D">
        <w:rPr>
          <w:lang w:val="fr-FR"/>
        </w:rPr>
        <w:tab/>
        <w:t>Selon la source, le cas d</w:t>
      </w:r>
      <w:r>
        <w:rPr>
          <w:lang w:val="fr-FR"/>
        </w:rPr>
        <w:t>’</w:t>
      </w:r>
      <w:r w:rsidRPr="00CC390D">
        <w:rPr>
          <w:lang w:val="fr-FR"/>
        </w:rPr>
        <w:t>espèce illustre l</w:t>
      </w:r>
      <w:r>
        <w:rPr>
          <w:lang w:val="fr-FR"/>
        </w:rPr>
        <w:t>’</w:t>
      </w:r>
      <w:r w:rsidRPr="00CC390D">
        <w:rPr>
          <w:lang w:val="fr-FR"/>
        </w:rPr>
        <w:t>usage par les autorités algériennes de dispositions légales antiterroristes comme arme de répression et de représailles à l</w:t>
      </w:r>
      <w:r>
        <w:rPr>
          <w:lang w:val="fr-FR"/>
        </w:rPr>
        <w:t>’</w:t>
      </w:r>
      <w:r w:rsidRPr="00CC390D">
        <w:rPr>
          <w:lang w:val="fr-FR"/>
        </w:rPr>
        <w:t>encontre d</w:t>
      </w:r>
      <w:r>
        <w:rPr>
          <w:lang w:val="fr-FR"/>
        </w:rPr>
        <w:t>’</w:t>
      </w:r>
      <w:r w:rsidRPr="00CC390D">
        <w:rPr>
          <w:lang w:val="fr-FR"/>
        </w:rPr>
        <w:t>opposants politiques et de leurs familles restées en Algérie. En outre, depuis juillet 2022, plusieurs autres membres de la famille de M.</w:t>
      </w:r>
      <w:r w:rsidR="00EA2145">
        <w:rPr>
          <w:lang w:val="fr-FR"/>
        </w:rPr>
        <w:t> </w:t>
      </w:r>
      <w:proofErr w:type="spellStart"/>
      <w:r w:rsidRPr="00CC390D">
        <w:rPr>
          <w:lang w:val="fr-FR"/>
        </w:rPr>
        <w:t>Zitout</w:t>
      </w:r>
      <w:proofErr w:type="spellEnd"/>
      <w:r w:rsidRPr="00CC390D">
        <w:rPr>
          <w:lang w:val="fr-FR"/>
        </w:rPr>
        <w:t xml:space="preserve"> seraient persécutés et fréquemment convoqués au poste de police pour des interrogatoires portant sur leur relation avec le membre de la famille de M.</w:t>
      </w:r>
      <w:r w:rsidR="00EA2145">
        <w:rPr>
          <w:lang w:val="fr-FR"/>
        </w:rPr>
        <w:t> </w:t>
      </w:r>
      <w:proofErr w:type="spellStart"/>
      <w:r w:rsidRPr="00CC390D">
        <w:rPr>
          <w:lang w:val="fr-FR"/>
        </w:rPr>
        <w:t>Zitout</w:t>
      </w:r>
      <w:proofErr w:type="spellEnd"/>
      <w:r w:rsidRPr="00CC390D">
        <w:rPr>
          <w:lang w:val="fr-FR"/>
        </w:rPr>
        <w:t xml:space="preserve"> exilé.</w:t>
      </w:r>
    </w:p>
    <w:p w14:paraId="2A2F1461" w14:textId="77777777" w:rsidR="00C91D59" w:rsidRPr="00CC390D" w:rsidRDefault="00C91D59" w:rsidP="00C91D59">
      <w:pPr>
        <w:pStyle w:val="H4G"/>
        <w:rPr>
          <w:lang w:val="fr-FR"/>
        </w:rPr>
      </w:pPr>
      <w:r>
        <w:rPr>
          <w:lang w:val="fr-FR"/>
        </w:rPr>
        <w:tab/>
        <w:t>iii)</w:t>
      </w:r>
      <w:r>
        <w:rPr>
          <w:lang w:val="fr-FR"/>
        </w:rPr>
        <w:tab/>
      </w:r>
      <w:r w:rsidRPr="00CC390D">
        <w:rPr>
          <w:lang w:val="fr-FR"/>
        </w:rPr>
        <w:t>Analyse juridique</w:t>
      </w:r>
    </w:p>
    <w:p w14:paraId="6B2D970A" w14:textId="20269FE1" w:rsidR="00C91D59" w:rsidRPr="00CC390D" w:rsidRDefault="00C91D59" w:rsidP="00C91D59">
      <w:pPr>
        <w:pStyle w:val="SingleTxtG"/>
        <w:rPr>
          <w:lang w:val="fr-FR"/>
        </w:rPr>
      </w:pPr>
      <w:r w:rsidRPr="00CC390D">
        <w:rPr>
          <w:lang w:val="fr-FR"/>
        </w:rPr>
        <w:t>21.</w:t>
      </w:r>
      <w:r w:rsidRPr="00CC390D">
        <w:rPr>
          <w:lang w:val="fr-FR"/>
        </w:rPr>
        <w:tab/>
        <w:t>La source affirme que la détention de M.</w:t>
      </w:r>
      <w:r w:rsidR="00EA2145">
        <w:rPr>
          <w:lang w:val="fr-FR"/>
        </w:rPr>
        <w:t> </w:t>
      </w:r>
      <w:proofErr w:type="spellStart"/>
      <w:r w:rsidRPr="00CC390D">
        <w:rPr>
          <w:lang w:val="fr-FR"/>
        </w:rPr>
        <w:t>Zitout</w:t>
      </w:r>
      <w:proofErr w:type="spellEnd"/>
      <w:r w:rsidRPr="00CC390D">
        <w:rPr>
          <w:lang w:val="fr-FR"/>
        </w:rPr>
        <w:t xml:space="preserve"> est arbitraire au titre des catégories</w:t>
      </w:r>
      <w:r>
        <w:rPr>
          <w:lang w:val="fr-FR"/>
        </w:rPr>
        <w:t> </w:t>
      </w:r>
      <w:r w:rsidRPr="00CC390D">
        <w:rPr>
          <w:lang w:val="fr-FR"/>
        </w:rPr>
        <w:t>II et III des méthodes de travail du Groupe de travail.</w:t>
      </w:r>
    </w:p>
    <w:p w14:paraId="4F08579D" w14:textId="77777777" w:rsidR="00C91D59" w:rsidRPr="00CC390D" w:rsidRDefault="00C91D59" w:rsidP="00C91D59">
      <w:pPr>
        <w:pStyle w:val="H56G"/>
        <w:rPr>
          <w:lang w:val="fr-FR"/>
        </w:rPr>
      </w:pPr>
      <w:r>
        <w:rPr>
          <w:lang w:val="fr-FR"/>
        </w:rPr>
        <w:tab/>
        <w:t>a.</w:t>
      </w:r>
      <w:r>
        <w:rPr>
          <w:lang w:val="fr-FR"/>
        </w:rPr>
        <w:tab/>
      </w:r>
      <w:r w:rsidRPr="00CC390D">
        <w:rPr>
          <w:lang w:val="fr-FR"/>
        </w:rPr>
        <w:t>Catégorie II</w:t>
      </w:r>
    </w:p>
    <w:p w14:paraId="0E15FAFA" w14:textId="42615BF4" w:rsidR="00C91D59" w:rsidRPr="00CC390D" w:rsidRDefault="00C91D59" w:rsidP="00C91D59">
      <w:pPr>
        <w:pStyle w:val="SingleTxtG"/>
        <w:rPr>
          <w:lang w:val="fr-FR"/>
        </w:rPr>
      </w:pPr>
      <w:r w:rsidRPr="00CC390D">
        <w:rPr>
          <w:lang w:val="fr-FR"/>
        </w:rPr>
        <w:t>22.</w:t>
      </w:r>
      <w:r w:rsidRPr="00CC390D">
        <w:rPr>
          <w:lang w:val="fr-FR"/>
        </w:rPr>
        <w:tab/>
        <w:t>Selon la source, la privation de liberté de M.</w:t>
      </w:r>
      <w:r w:rsidR="00EA2145">
        <w:rPr>
          <w:lang w:val="fr-FR"/>
        </w:rPr>
        <w:t> </w:t>
      </w:r>
      <w:proofErr w:type="spellStart"/>
      <w:r w:rsidRPr="00CC390D">
        <w:rPr>
          <w:lang w:val="fr-FR"/>
        </w:rPr>
        <w:t>Zitout</w:t>
      </w:r>
      <w:proofErr w:type="spellEnd"/>
      <w:r w:rsidRPr="00CC390D">
        <w:rPr>
          <w:lang w:val="fr-FR"/>
        </w:rPr>
        <w:t xml:space="preserve"> est arbitraire au titre de la catégorie</w:t>
      </w:r>
      <w:r>
        <w:rPr>
          <w:lang w:val="fr-FR"/>
        </w:rPr>
        <w:t> </w:t>
      </w:r>
      <w:r w:rsidRPr="00CC390D">
        <w:rPr>
          <w:lang w:val="fr-FR"/>
        </w:rPr>
        <w:t>II dès lors qu</w:t>
      </w:r>
      <w:r>
        <w:rPr>
          <w:lang w:val="fr-FR"/>
        </w:rPr>
        <w:t>’</w:t>
      </w:r>
      <w:r w:rsidRPr="00CC390D">
        <w:rPr>
          <w:lang w:val="fr-FR"/>
        </w:rPr>
        <w:t>il est détenu en raison de l</w:t>
      </w:r>
      <w:r>
        <w:rPr>
          <w:lang w:val="fr-FR"/>
        </w:rPr>
        <w:t>’</w:t>
      </w:r>
      <w:r w:rsidRPr="00CC390D">
        <w:rPr>
          <w:lang w:val="fr-FR"/>
        </w:rPr>
        <w:t>exercice par un membre de sa famille des droits et libertés garantis par les articles</w:t>
      </w:r>
      <w:r>
        <w:rPr>
          <w:lang w:val="fr-FR"/>
        </w:rPr>
        <w:t> </w:t>
      </w:r>
      <w:r w:rsidRPr="00CC390D">
        <w:rPr>
          <w:lang w:val="fr-FR"/>
        </w:rPr>
        <w:t>18, 19, 21, 22 et 26 du Pacte.</w:t>
      </w:r>
    </w:p>
    <w:p w14:paraId="7C4A1398" w14:textId="350999E2" w:rsidR="00C91D59" w:rsidRPr="00CC390D" w:rsidRDefault="00C91D59" w:rsidP="00C91D59">
      <w:pPr>
        <w:pStyle w:val="SingleTxtG"/>
        <w:rPr>
          <w:lang w:val="fr-FR"/>
        </w:rPr>
      </w:pPr>
      <w:r w:rsidRPr="00CC390D">
        <w:rPr>
          <w:lang w:val="fr-FR"/>
        </w:rPr>
        <w:t>23.</w:t>
      </w:r>
      <w:r w:rsidRPr="00CC390D">
        <w:rPr>
          <w:lang w:val="fr-FR"/>
        </w:rPr>
        <w:tab/>
        <w:t>La source note que</w:t>
      </w:r>
      <w:r>
        <w:rPr>
          <w:lang w:val="fr-FR"/>
        </w:rPr>
        <w:t>,</w:t>
      </w:r>
      <w:r w:rsidRPr="00CC390D">
        <w:rPr>
          <w:lang w:val="fr-FR"/>
        </w:rPr>
        <w:t xml:space="preserve"> depuis son exil en 1995 </w:t>
      </w:r>
      <w:r>
        <w:rPr>
          <w:lang w:val="fr-FR"/>
        </w:rPr>
        <w:t>et l’obtention du</w:t>
      </w:r>
      <w:r w:rsidRPr="00CC390D">
        <w:rPr>
          <w:lang w:val="fr-FR"/>
        </w:rPr>
        <w:t xml:space="preserve"> statut de réfugié politique, le membre en question de la famille de M.</w:t>
      </w:r>
      <w:r w:rsidR="00EA2145">
        <w:rPr>
          <w:lang w:val="fr-FR"/>
        </w:rPr>
        <w:t> </w:t>
      </w:r>
      <w:proofErr w:type="spellStart"/>
      <w:r w:rsidRPr="00CC390D">
        <w:rPr>
          <w:lang w:val="fr-FR"/>
        </w:rPr>
        <w:t>Zitout</w:t>
      </w:r>
      <w:proofErr w:type="spellEnd"/>
      <w:r w:rsidRPr="00CC390D">
        <w:rPr>
          <w:lang w:val="fr-FR"/>
        </w:rPr>
        <w:t xml:space="preserve"> dénoncerait publiquement les violations graves des droits humains et du droit humanitaire commises par l</w:t>
      </w:r>
      <w:r>
        <w:rPr>
          <w:lang w:val="fr-FR"/>
        </w:rPr>
        <w:t>’</w:t>
      </w:r>
      <w:r w:rsidRPr="00CC390D">
        <w:rPr>
          <w:lang w:val="fr-FR"/>
        </w:rPr>
        <w:t>armée algérienne durant la guerre civile, particulièrement sur les cha</w:t>
      </w:r>
      <w:r>
        <w:rPr>
          <w:lang w:val="fr-FR"/>
        </w:rPr>
        <w:t>î</w:t>
      </w:r>
      <w:r w:rsidRPr="00CC390D">
        <w:rPr>
          <w:lang w:val="fr-FR"/>
        </w:rPr>
        <w:t>nes de télévision arabes et européennes</w:t>
      </w:r>
      <w:r>
        <w:rPr>
          <w:lang w:val="fr-FR"/>
        </w:rPr>
        <w:t>,</w:t>
      </w:r>
      <w:r w:rsidRPr="00CC390D">
        <w:rPr>
          <w:lang w:val="fr-FR"/>
        </w:rPr>
        <w:t xml:space="preserve"> où il serait régulièrement invité. Depuis son exil, il serait un opposant politique appelant à l</w:t>
      </w:r>
      <w:r>
        <w:rPr>
          <w:lang w:val="fr-FR"/>
        </w:rPr>
        <w:t>’</w:t>
      </w:r>
      <w:r w:rsidRPr="00CC390D">
        <w:rPr>
          <w:lang w:val="fr-FR"/>
        </w:rPr>
        <w:t>instauration d</w:t>
      </w:r>
      <w:r>
        <w:rPr>
          <w:lang w:val="fr-FR"/>
        </w:rPr>
        <w:t>’</w:t>
      </w:r>
      <w:r w:rsidRPr="00CC390D">
        <w:rPr>
          <w:lang w:val="fr-FR"/>
        </w:rPr>
        <w:t>un état de droit et à la fin de la mainmise de l</w:t>
      </w:r>
      <w:r>
        <w:rPr>
          <w:lang w:val="fr-FR"/>
        </w:rPr>
        <w:t>’</w:t>
      </w:r>
      <w:r w:rsidRPr="00CC390D">
        <w:rPr>
          <w:lang w:val="fr-FR"/>
        </w:rPr>
        <w:t>armée sur l</w:t>
      </w:r>
      <w:r>
        <w:rPr>
          <w:lang w:val="fr-FR"/>
        </w:rPr>
        <w:t>’</w:t>
      </w:r>
      <w:r w:rsidRPr="00CC390D">
        <w:rPr>
          <w:lang w:val="fr-FR"/>
        </w:rPr>
        <w:t xml:space="preserve">État algérien. </w:t>
      </w:r>
    </w:p>
    <w:p w14:paraId="40DEB910" w14:textId="1639525F" w:rsidR="00C91D59" w:rsidRPr="00CC390D" w:rsidRDefault="00C91D59" w:rsidP="00C91D59">
      <w:pPr>
        <w:pStyle w:val="SingleTxtG"/>
        <w:rPr>
          <w:lang w:val="fr-FR"/>
        </w:rPr>
      </w:pPr>
      <w:r w:rsidRPr="00CC390D">
        <w:rPr>
          <w:lang w:val="fr-FR"/>
        </w:rPr>
        <w:t>24.</w:t>
      </w:r>
      <w:r w:rsidRPr="00CC390D">
        <w:rPr>
          <w:lang w:val="fr-FR"/>
        </w:rPr>
        <w:tab/>
        <w:t>Selon la source, l</w:t>
      </w:r>
      <w:r>
        <w:rPr>
          <w:lang w:val="fr-FR"/>
        </w:rPr>
        <w:t>’</w:t>
      </w:r>
      <w:r w:rsidRPr="00CC390D">
        <w:rPr>
          <w:lang w:val="fr-FR"/>
        </w:rPr>
        <w:t>activisme politique pacifique du membre de la famille de M.</w:t>
      </w:r>
      <w:r>
        <w:rPr>
          <w:lang w:val="fr-FR"/>
        </w:rPr>
        <w:t> </w:t>
      </w:r>
      <w:proofErr w:type="spellStart"/>
      <w:r w:rsidRPr="00CC390D">
        <w:rPr>
          <w:lang w:val="fr-FR"/>
        </w:rPr>
        <w:t>Zitout</w:t>
      </w:r>
      <w:proofErr w:type="spellEnd"/>
      <w:r w:rsidRPr="00CC390D">
        <w:rPr>
          <w:lang w:val="fr-FR"/>
        </w:rPr>
        <w:t xml:space="preserve"> ainsi que son engagement au sein du mouvement Rachad auraient conduit les autorités algériennes à l</w:t>
      </w:r>
      <w:r>
        <w:rPr>
          <w:lang w:val="fr-FR"/>
        </w:rPr>
        <w:t>’</w:t>
      </w:r>
      <w:r w:rsidRPr="00CC390D">
        <w:rPr>
          <w:lang w:val="fr-FR"/>
        </w:rPr>
        <w:t>inscrire sur la liste des personnes classées comme «</w:t>
      </w:r>
      <w:r>
        <w:rPr>
          <w:lang w:val="fr-FR"/>
        </w:rPr>
        <w:t> </w:t>
      </w:r>
      <w:r w:rsidRPr="00CC390D">
        <w:rPr>
          <w:lang w:val="fr-FR"/>
        </w:rPr>
        <w:t>terroriste</w:t>
      </w:r>
      <w:r>
        <w:rPr>
          <w:lang w:val="fr-FR"/>
        </w:rPr>
        <w:t>s</w:t>
      </w:r>
      <w:r w:rsidRPr="00CC390D">
        <w:rPr>
          <w:lang w:val="fr-FR"/>
        </w:rPr>
        <w:t xml:space="preserve"> ». </w:t>
      </w:r>
      <w:r>
        <w:rPr>
          <w:lang w:val="fr-FR"/>
        </w:rPr>
        <w:t>À</w:t>
      </w:r>
      <w:r w:rsidRPr="00CC390D">
        <w:rPr>
          <w:lang w:val="fr-FR"/>
        </w:rPr>
        <w:t xml:space="preserve"> cet égard, la source note que le mouvement Rachad est un mouvement sans aucune étiquette idéologi</w:t>
      </w:r>
      <w:r>
        <w:rPr>
          <w:lang w:val="fr-FR"/>
        </w:rPr>
        <w:t>qu</w:t>
      </w:r>
      <w:r w:rsidRPr="00CC390D">
        <w:rPr>
          <w:lang w:val="fr-FR"/>
        </w:rPr>
        <w:t>e, dont la Charte et les statuts prônent le changement politique par des moyens pacifi</w:t>
      </w:r>
      <w:r>
        <w:rPr>
          <w:lang w:val="fr-FR"/>
        </w:rPr>
        <w:t>qu</w:t>
      </w:r>
      <w:r w:rsidRPr="00CC390D">
        <w:rPr>
          <w:lang w:val="fr-FR"/>
        </w:rPr>
        <w:t>es. Pourtant, il serait qualifié par les autorités algériennes de «</w:t>
      </w:r>
      <w:r>
        <w:rPr>
          <w:lang w:val="fr-FR"/>
        </w:rPr>
        <w:t> </w:t>
      </w:r>
      <w:r w:rsidRPr="00CC390D">
        <w:rPr>
          <w:lang w:val="fr-FR"/>
        </w:rPr>
        <w:t>mouvement islamiste</w:t>
      </w:r>
      <w:r>
        <w:rPr>
          <w:lang w:val="fr-FR"/>
        </w:rPr>
        <w:t> </w:t>
      </w:r>
      <w:r w:rsidRPr="00CC390D">
        <w:rPr>
          <w:lang w:val="fr-FR"/>
        </w:rPr>
        <w:t>» et de « mouvement terroriste</w:t>
      </w:r>
      <w:r>
        <w:rPr>
          <w:lang w:val="fr-FR"/>
        </w:rPr>
        <w:t> </w:t>
      </w:r>
      <w:r w:rsidRPr="00CC390D">
        <w:rPr>
          <w:lang w:val="fr-FR"/>
        </w:rPr>
        <w:t xml:space="preserve">». La source considère que ces qualifications ont pour but de susciter le rejet du mouvement en </w:t>
      </w:r>
      <w:r>
        <w:rPr>
          <w:lang w:val="fr-FR"/>
        </w:rPr>
        <w:t>O</w:t>
      </w:r>
      <w:r w:rsidRPr="00CC390D">
        <w:rPr>
          <w:lang w:val="fr-FR"/>
        </w:rPr>
        <w:t xml:space="preserve">ccident et de discréditer ses membres et sympathisants en invoquant la lutte contre le terrorisme. </w:t>
      </w:r>
    </w:p>
    <w:p w14:paraId="3B6E649E" w14:textId="34A1AF46" w:rsidR="00C91D59" w:rsidRPr="00CC390D" w:rsidRDefault="00C91D59" w:rsidP="00C91D59">
      <w:pPr>
        <w:pStyle w:val="SingleTxtG"/>
        <w:rPr>
          <w:lang w:val="fr-FR"/>
        </w:rPr>
      </w:pPr>
      <w:r w:rsidRPr="00CC390D">
        <w:rPr>
          <w:lang w:val="fr-FR"/>
        </w:rPr>
        <w:t>25.</w:t>
      </w:r>
      <w:r w:rsidRPr="00CC390D">
        <w:rPr>
          <w:lang w:val="fr-FR"/>
        </w:rPr>
        <w:tab/>
        <w:t>La source rappelle que</w:t>
      </w:r>
      <w:r>
        <w:rPr>
          <w:lang w:val="fr-FR"/>
        </w:rPr>
        <w:t>,</w:t>
      </w:r>
      <w:r w:rsidRPr="00CC390D">
        <w:rPr>
          <w:lang w:val="fr-FR"/>
        </w:rPr>
        <w:t xml:space="preserve"> dans une communication conjointe dat</w:t>
      </w:r>
      <w:r>
        <w:rPr>
          <w:lang w:val="fr-FR"/>
        </w:rPr>
        <w:t>é</w:t>
      </w:r>
      <w:r w:rsidRPr="00CC390D">
        <w:rPr>
          <w:lang w:val="fr-FR"/>
        </w:rPr>
        <w:t>e du 27</w:t>
      </w:r>
      <w:r>
        <w:rPr>
          <w:lang w:val="fr-FR"/>
        </w:rPr>
        <w:t> </w:t>
      </w:r>
      <w:r w:rsidRPr="00CC390D">
        <w:rPr>
          <w:lang w:val="fr-FR"/>
        </w:rPr>
        <w:t xml:space="preserve">décembre 2021, plusieurs </w:t>
      </w:r>
      <w:r>
        <w:rPr>
          <w:lang w:val="fr-FR"/>
        </w:rPr>
        <w:t>titulaires de mandat</w:t>
      </w:r>
      <w:r w:rsidRPr="00CC390D">
        <w:rPr>
          <w:lang w:val="fr-FR"/>
        </w:rPr>
        <w:t xml:space="preserve"> au titre des procédures spéciales du Conseil des droits de l</w:t>
      </w:r>
      <w:r>
        <w:rPr>
          <w:lang w:val="fr-FR"/>
        </w:rPr>
        <w:t>’</w:t>
      </w:r>
      <w:r w:rsidRPr="00CC390D">
        <w:rPr>
          <w:lang w:val="fr-FR"/>
        </w:rPr>
        <w:t>homme ont exprimé leurs préoccupations quant à l</w:t>
      </w:r>
      <w:r>
        <w:rPr>
          <w:lang w:val="fr-FR"/>
        </w:rPr>
        <w:t>’</w:t>
      </w:r>
      <w:r w:rsidRPr="00CC390D">
        <w:rPr>
          <w:lang w:val="fr-FR"/>
        </w:rPr>
        <w:t xml:space="preserve">invocation régulière de la législation antiterroriste algérienne pour fonder des accusations contre les opposants </w:t>
      </w:r>
      <w:r>
        <w:rPr>
          <w:lang w:val="fr-FR"/>
        </w:rPr>
        <w:t>au</w:t>
      </w:r>
      <w:r w:rsidRPr="00CC390D">
        <w:rPr>
          <w:lang w:val="fr-FR"/>
        </w:rPr>
        <w:t xml:space="preserve"> Gouvernement</w:t>
      </w:r>
      <w:r w:rsidRPr="00C91D59">
        <w:rPr>
          <w:rStyle w:val="FootnoteReference"/>
        </w:rPr>
        <w:footnoteReference w:id="4"/>
      </w:r>
      <w:r w:rsidRPr="00CC390D">
        <w:rPr>
          <w:lang w:val="fr-FR"/>
        </w:rPr>
        <w:t>. Selon la source, cette loi antiterroriste est préoccupante en ce qu</w:t>
      </w:r>
      <w:r>
        <w:rPr>
          <w:lang w:val="fr-FR"/>
        </w:rPr>
        <w:t>’</w:t>
      </w:r>
      <w:r w:rsidRPr="00CC390D">
        <w:rPr>
          <w:lang w:val="fr-FR"/>
        </w:rPr>
        <w:t>elle manque de clart</w:t>
      </w:r>
      <w:r>
        <w:rPr>
          <w:lang w:val="fr-FR"/>
        </w:rPr>
        <w:t>é</w:t>
      </w:r>
      <w:r w:rsidRPr="00CC390D">
        <w:rPr>
          <w:lang w:val="fr-FR"/>
        </w:rPr>
        <w:t xml:space="preserve"> et de pr</w:t>
      </w:r>
      <w:r>
        <w:rPr>
          <w:lang w:val="fr-FR"/>
        </w:rPr>
        <w:t>é</w:t>
      </w:r>
      <w:r w:rsidRPr="00CC390D">
        <w:rPr>
          <w:lang w:val="fr-FR"/>
        </w:rPr>
        <w:t>visibilit</w:t>
      </w:r>
      <w:r>
        <w:rPr>
          <w:lang w:val="fr-FR"/>
        </w:rPr>
        <w:t>é</w:t>
      </w:r>
      <w:r w:rsidRPr="00CC390D">
        <w:rPr>
          <w:lang w:val="fr-FR"/>
        </w:rPr>
        <w:t xml:space="preserve"> quant à la notion de terrorisme</w:t>
      </w:r>
      <w:r>
        <w:rPr>
          <w:lang w:val="fr-FR"/>
        </w:rPr>
        <w:t>,</w:t>
      </w:r>
      <w:r w:rsidRPr="00CC390D">
        <w:rPr>
          <w:lang w:val="fr-FR"/>
        </w:rPr>
        <w:t xml:space="preserve"> et </w:t>
      </w:r>
      <w:r>
        <w:rPr>
          <w:lang w:val="fr-FR"/>
        </w:rPr>
        <w:t>é</w:t>
      </w:r>
      <w:r w:rsidRPr="00CC390D">
        <w:rPr>
          <w:lang w:val="fr-FR"/>
        </w:rPr>
        <w:t>tend son champ d</w:t>
      </w:r>
      <w:r>
        <w:rPr>
          <w:lang w:val="fr-FR"/>
        </w:rPr>
        <w:t>’</w:t>
      </w:r>
      <w:r w:rsidRPr="00CC390D">
        <w:rPr>
          <w:lang w:val="fr-FR"/>
        </w:rPr>
        <w:t xml:space="preserve">application pour incriminer des actes relatifs </w:t>
      </w:r>
      <w:proofErr w:type="spellStart"/>
      <w:r w:rsidRPr="00CC390D">
        <w:rPr>
          <w:lang w:val="fr-FR"/>
        </w:rPr>
        <w:t>a</w:t>
      </w:r>
      <w:proofErr w:type="spellEnd"/>
      <w:r w:rsidRPr="00CC390D">
        <w:rPr>
          <w:lang w:val="fr-FR"/>
        </w:rPr>
        <w:t>̀ la libert</w:t>
      </w:r>
      <w:r>
        <w:rPr>
          <w:lang w:val="fr-FR"/>
        </w:rPr>
        <w:t>é</w:t>
      </w:r>
      <w:r w:rsidRPr="00CC390D">
        <w:rPr>
          <w:lang w:val="fr-FR"/>
        </w:rPr>
        <w:t xml:space="preserve"> d</w:t>
      </w:r>
      <w:r>
        <w:rPr>
          <w:lang w:val="fr-FR"/>
        </w:rPr>
        <w:t>’</w:t>
      </w:r>
      <w:r w:rsidRPr="00CC390D">
        <w:rPr>
          <w:lang w:val="fr-FR"/>
        </w:rPr>
        <w:t>opinion, d</w:t>
      </w:r>
      <w:r>
        <w:rPr>
          <w:lang w:val="fr-FR"/>
        </w:rPr>
        <w:t>’</w:t>
      </w:r>
      <w:r w:rsidRPr="00CC390D">
        <w:rPr>
          <w:lang w:val="fr-FR"/>
        </w:rPr>
        <w:t>expression et de r</w:t>
      </w:r>
      <w:r>
        <w:rPr>
          <w:lang w:val="fr-FR"/>
        </w:rPr>
        <w:t>é</w:t>
      </w:r>
      <w:r w:rsidRPr="00CC390D">
        <w:rPr>
          <w:lang w:val="fr-FR"/>
        </w:rPr>
        <w:t xml:space="preserve">union pacifique. Ainsi, les </w:t>
      </w:r>
      <w:r>
        <w:rPr>
          <w:lang w:val="fr-FR"/>
        </w:rPr>
        <w:t>titulaires de mandat</w:t>
      </w:r>
      <w:r w:rsidRPr="00CC390D">
        <w:rPr>
          <w:lang w:val="fr-FR"/>
        </w:rPr>
        <w:t xml:space="preserve"> auraient appelé le Gouvernement à revoir cette loi, se disant inquiets du fait que la définition de « terrorisme</w:t>
      </w:r>
      <w:r>
        <w:rPr>
          <w:lang w:val="fr-FR"/>
        </w:rPr>
        <w:t> </w:t>
      </w:r>
      <w:r w:rsidRPr="00CC390D">
        <w:rPr>
          <w:lang w:val="fr-FR"/>
        </w:rPr>
        <w:t>» retenue dans la nouvelle version de l</w:t>
      </w:r>
      <w:r>
        <w:rPr>
          <w:lang w:val="fr-FR"/>
        </w:rPr>
        <w:t>’</w:t>
      </w:r>
      <w:r w:rsidRPr="00CC390D">
        <w:rPr>
          <w:lang w:val="fr-FR"/>
        </w:rPr>
        <w:t>article</w:t>
      </w:r>
      <w:r w:rsidR="005A2A05">
        <w:rPr>
          <w:lang w:val="fr-FR"/>
        </w:rPr>
        <w:t> </w:t>
      </w:r>
      <w:r w:rsidRPr="00CC390D">
        <w:rPr>
          <w:lang w:val="fr-FR"/>
        </w:rPr>
        <w:t>87</w:t>
      </w:r>
      <w:r w:rsidR="005A2A05">
        <w:rPr>
          <w:lang w:val="fr-FR"/>
        </w:rPr>
        <w:t> </w:t>
      </w:r>
      <w:r w:rsidRPr="00DC1964">
        <w:rPr>
          <w:i/>
          <w:iCs/>
          <w:lang w:val="fr-FR"/>
        </w:rPr>
        <w:t>bis</w:t>
      </w:r>
      <w:r w:rsidRPr="00CC390D">
        <w:rPr>
          <w:lang w:val="fr-FR"/>
        </w:rPr>
        <w:t xml:space="preserve"> du Code pénal n</w:t>
      </w:r>
      <w:r>
        <w:rPr>
          <w:lang w:val="fr-FR"/>
        </w:rPr>
        <w:t>’était</w:t>
      </w:r>
      <w:r w:rsidRPr="00CC390D">
        <w:rPr>
          <w:lang w:val="fr-FR"/>
        </w:rPr>
        <w:t xml:space="preserve"> pas conforme </w:t>
      </w:r>
      <w:r>
        <w:rPr>
          <w:lang w:val="fr-FR"/>
        </w:rPr>
        <w:t>aux</w:t>
      </w:r>
      <w:r w:rsidRPr="00CC390D">
        <w:rPr>
          <w:lang w:val="fr-FR"/>
        </w:rPr>
        <w:t xml:space="preserve"> définitions formulées par le Conseil de sécurité et la Rapporteuse spéciale sur la promotion et la protection des droits de l</w:t>
      </w:r>
      <w:r>
        <w:rPr>
          <w:lang w:val="fr-FR"/>
        </w:rPr>
        <w:t>’</w:t>
      </w:r>
      <w:r w:rsidRPr="00CC390D">
        <w:rPr>
          <w:lang w:val="fr-FR"/>
        </w:rPr>
        <w:t>homme et des libertés fondamentales dans la lutte antiterroriste.</w:t>
      </w:r>
    </w:p>
    <w:p w14:paraId="1516D805" w14:textId="4A5EBBE8" w:rsidR="00C91D59" w:rsidRPr="00CC390D" w:rsidRDefault="00C91D59" w:rsidP="00C91D59">
      <w:pPr>
        <w:pStyle w:val="SingleTxtG"/>
        <w:rPr>
          <w:lang w:val="fr-FR"/>
        </w:rPr>
      </w:pPr>
      <w:r w:rsidRPr="00CC390D">
        <w:rPr>
          <w:lang w:val="fr-FR"/>
        </w:rPr>
        <w:t>26.</w:t>
      </w:r>
      <w:r w:rsidRPr="00CC390D">
        <w:rPr>
          <w:lang w:val="fr-FR"/>
        </w:rPr>
        <w:tab/>
        <w:t>Selon la source, la privation de liberté de M.</w:t>
      </w:r>
      <w:r w:rsidR="00EA2145">
        <w:rPr>
          <w:lang w:val="fr-FR"/>
        </w:rPr>
        <w:t> </w:t>
      </w:r>
      <w:proofErr w:type="spellStart"/>
      <w:r w:rsidRPr="00CC390D">
        <w:rPr>
          <w:lang w:val="fr-FR"/>
        </w:rPr>
        <w:t>Zitout</w:t>
      </w:r>
      <w:proofErr w:type="spellEnd"/>
      <w:r w:rsidRPr="00CC390D">
        <w:rPr>
          <w:lang w:val="fr-FR"/>
        </w:rPr>
        <w:t xml:space="preserve"> constitue un acte de représailles à l</w:t>
      </w:r>
      <w:r>
        <w:rPr>
          <w:lang w:val="fr-FR"/>
        </w:rPr>
        <w:t>’</w:t>
      </w:r>
      <w:r w:rsidRPr="00CC390D">
        <w:rPr>
          <w:lang w:val="fr-FR"/>
        </w:rPr>
        <w:t xml:space="preserve">encontre du membre de sa famille exilé, </w:t>
      </w:r>
      <w:r>
        <w:rPr>
          <w:lang w:val="fr-FR"/>
        </w:rPr>
        <w:t xml:space="preserve">en raison </w:t>
      </w:r>
      <w:r w:rsidRPr="00CC390D">
        <w:rPr>
          <w:lang w:val="fr-FR"/>
        </w:rPr>
        <w:t>de l</w:t>
      </w:r>
      <w:r>
        <w:rPr>
          <w:lang w:val="fr-FR"/>
        </w:rPr>
        <w:t>’</w:t>
      </w:r>
      <w:r w:rsidRPr="00CC390D">
        <w:rPr>
          <w:lang w:val="fr-FR"/>
        </w:rPr>
        <w:t>expression pacifique d</w:t>
      </w:r>
      <w:r>
        <w:rPr>
          <w:lang w:val="fr-FR"/>
        </w:rPr>
        <w:t>’</w:t>
      </w:r>
      <w:r w:rsidRPr="00CC390D">
        <w:rPr>
          <w:lang w:val="fr-FR"/>
        </w:rPr>
        <w:t>opinions dissidentes et de l</w:t>
      </w:r>
      <w:r>
        <w:rPr>
          <w:lang w:val="fr-FR"/>
        </w:rPr>
        <w:t>’</w:t>
      </w:r>
      <w:r w:rsidRPr="00CC390D">
        <w:rPr>
          <w:lang w:val="fr-FR"/>
        </w:rPr>
        <w:t>exercice de droits garantis par le Pacte</w:t>
      </w:r>
      <w:r>
        <w:rPr>
          <w:lang w:val="fr-FR"/>
        </w:rPr>
        <w:t xml:space="preserve"> par celui-ci</w:t>
      </w:r>
      <w:r w:rsidRPr="00CC390D">
        <w:rPr>
          <w:lang w:val="fr-FR"/>
        </w:rPr>
        <w:t xml:space="preserve">. Ainsi, la source affirme </w:t>
      </w:r>
      <w:r w:rsidRPr="00CC390D">
        <w:rPr>
          <w:lang w:val="fr-FR"/>
        </w:rPr>
        <w:lastRenderedPageBreak/>
        <w:t>que M.</w:t>
      </w:r>
      <w:r w:rsidR="005A2A05">
        <w:rPr>
          <w:lang w:val="fr-FR"/>
        </w:rPr>
        <w:t> </w:t>
      </w:r>
      <w:proofErr w:type="spellStart"/>
      <w:r w:rsidRPr="00CC390D">
        <w:rPr>
          <w:lang w:val="fr-FR"/>
        </w:rPr>
        <w:t>Zitout</w:t>
      </w:r>
      <w:proofErr w:type="spellEnd"/>
      <w:r w:rsidRPr="00CC390D">
        <w:rPr>
          <w:lang w:val="fr-FR"/>
        </w:rPr>
        <w:t xml:space="preserve"> est détenu en raison de l</w:t>
      </w:r>
      <w:r>
        <w:rPr>
          <w:lang w:val="fr-FR"/>
        </w:rPr>
        <w:t>’</w:t>
      </w:r>
      <w:r w:rsidRPr="00CC390D">
        <w:rPr>
          <w:lang w:val="fr-FR"/>
        </w:rPr>
        <w:t>exercice par un membre de sa famille des droits garantis par les articles</w:t>
      </w:r>
      <w:r w:rsidR="005A2A05">
        <w:rPr>
          <w:lang w:val="fr-FR"/>
        </w:rPr>
        <w:t> </w:t>
      </w:r>
      <w:r w:rsidRPr="00CC390D">
        <w:rPr>
          <w:lang w:val="fr-FR"/>
        </w:rPr>
        <w:t>18, 19, 21, 22 et 26 du Pacte.</w:t>
      </w:r>
    </w:p>
    <w:p w14:paraId="2869EA65" w14:textId="655E9A26" w:rsidR="00C91D59" w:rsidRPr="00CC390D" w:rsidRDefault="00C91D59" w:rsidP="00C91D59">
      <w:pPr>
        <w:pStyle w:val="SingleTxtG"/>
        <w:rPr>
          <w:lang w:val="fr-FR"/>
        </w:rPr>
      </w:pPr>
      <w:r w:rsidRPr="00CC390D">
        <w:rPr>
          <w:lang w:val="fr-FR"/>
        </w:rPr>
        <w:t>27.</w:t>
      </w:r>
      <w:r w:rsidRPr="00CC390D">
        <w:rPr>
          <w:lang w:val="fr-FR"/>
        </w:rPr>
        <w:tab/>
        <w:t>Partant, la source conclu</w:t>
      </w:r>
      <w:r>
        <w:rPr>
          <w:lang w:val="fr-FR"/>
        </w:rPr>
        <w:t>t</w:t>
      </w:r>
      <w:r w:rsidRPr="00CC390D">
        <w:rPr>
          <w:lang w:val="fr-FR"/>
        </w:rPr>
        <w:t xml:space="preserve"> que la détention de M.</w:t>
      </w:r>
      <w:r w:rsidR="00EA2145">
        <w:rPr>
          <w:lang w:val="fr-FR"/>
        </w:rPr>
        <w:t> </w:t>
      </w:r>
      <w:proofErr w:type="spellStart"/>
      <w:r w:rsidRPr="00CC390D">
        <w:rPr>
          <w:lang w:val="fr-FR"/>
        </w:rPr>
        <w:t>Zitout</w:t>
      </w:r>
      <w:proofErr w:type="spellEnd"/>
      <w:r w:rsidRPr="00CC390D">
        <w:rPr>
          <w:lang w:val="fr-FR"/>
        </w:rPr>
        <w:t xml:space="preserve"> est arbitraire au titre de la catégorie</w:t>
      </w:r>
      <w:r w:rsidR="005A2A05">
        <w:rPr>
          <w:lang w:val="fr-FR"/>
        </w:rPr>
        <w:t> </w:t>
      </w:r>
      <w:r w:rsidRPr="00CC390D">
        <w:rPr>
          <w:lang w:val="fr-FR"/>
        </w:rPr>
        <w:t>II.</w:t>
      </w:r>
    </w:p>
    <w:p w14:paraId="0251EF79" w14:textId="77777777" w:rsidR="00C91D59" w:rsidRPr="00CC390D" w:rsidRDefault="00C91D59" w:rsidP="005A2A05">
      <w:pPr>
        <w:pStyle w:val="H56G"/>
        <w:rPr>
          <w:i/>
          <w:iCs/>
          <w:lang w:val="fr-FR"/>
        </w:rPr>
      </w:pPr>
      <w:r>
        <w:rPr>
          <w:lang w:val="fr-FR"/>
        </w:rPr>
        <w:tab/>
        <w:t>b.</w:t>
      </w:r>
      <w:r>
        <w:rPr>
          <w:lang w:val="fr-FR"/>
        </w:rPr>
        <w:tab/>
      </w:r>
      <w:r w:rsidRPr="00CC390D">
        <w:rPr>
          <w:lang w:val="fr-FR"/>
        </w:rPr>
        <w:t>Catégorie III</w:t>
      </w:r>
    </w:p>
    <w:p w14:paraId="1C5CB313" w14:textId="09377531" w:rsidR="00C91D59" w:rsidRPr="00CC390D" w:rsidRDefault="00C91D59" w:rsidP="00C91D59">
      <w:pPr>
        <w:pStyle w:val="SingleTxtG"/>
        <w:rPr>
          <w:lang w:val="fr-FR"/>
        </w:rPr>
      </w:pPr>
      <w:r w:rsidRPr="00CC390D">
        <w:rPr>
          <w:lang w:val="fr-FR"/>
        </w:rPr>
        <w:t>28.</w:t>
      </w:r>
      <w:r w:rsidRPr="00CC390D">
        <w:rPr>
          <w:lang w:val="fr-FR"/>
        </w:rPr>
        <w:tab/>
        <w:t>Selon la source, la privation de liberté de M.</w:t>
      </w:r>
      <w:r w:rsidR="00EA2145">
        <w:rPr>
          <w:lang w:val="fr-FR"/>
        </w:rPr>
        <w:t> </w:t>
      </w:r>
      <w:proofErr w:type="spellStart"/>
      <w:r w:rsidRPr="00CC390D">
        <w:rPr>
          <w:lang w:val="fr-FR"/>
        </w:rPr>
        <w:t>Zitout</w:t>
      </w:r>
      <w:proofErr w:type="spellEnd"/>
      <w:r w:rsidRPr="00CC390D">
        <w:rPr>
          <w:lang w:val="fr-FR"/>
        </w:rPr>
        <w:t xml:space="preserve"> est arbitraire au titre de la catégorie</w:t>
      </w:r>
      <w:r w:rsidR="005A2A05">
        <w:rPr>
          <w:lang w:val="fr-FR"/>
        </w:rPr>
        <w:t> </w:t>
      </w:r>
      <w:r w:rsidRPr="00CC390D">
        <w:rPr>
          <w:lang w:val="fr-FR"/>
        </w:rPr>
        <w:t>III dès lors qu</w:t>
      </w:r>
      <w:r>
        <w:rPr>
          <w:lang w:val="fr-FR"/>
        </w:rPr>
        <w:t>’</w:t>
      </w:r>
      <w:r w:rsidRPr="00CC390D">
        <w:rPr>
          <w:lang w:val="fr-FR"/>
        </w:rPr>
        <w:t xml:space="preserve">il a été victime de graves violations de ses droits </w:t>
      </w:r>
      <w:r>
        <w:rPr>
          <w:lang w:val="fr-FR"/>
        </w:rPr>
        <w:t>au titre</w:t>
      </w:r>
      <w:r w:rsidRPr="00CC390D">
        <w:rPr>
          <w:lang w:val="fr-FR"/>
        </w:rPr>
        <w:t xml:space="preserve"> des articles</w:t>
      </w:r>
      <w:r w:rsidR="005A2A05">
        <w:rPr>
          <w:lang w:val="fr-FR"/>
        </w:rPr>
        <w:t> </w:t>
      </w:r>
      <w:r w:rsidRPr="00CC390D">
        <w:rPr>
          <w:lang w:val="fr-FR"/>
        </w:rPr>
        <w:t>9 et 14 du Pacte.</w:t>
      </w:r>
    </w:p>
    <w:p w14:paraId="2B4EA9A3" w14:textId="5CF5453A" w:rsidR="00C91D59" w:rsidRPr="00CC390D" w:rsidRDefault="00C91D59" w:rsidP="00C91D59">
      <w:pPr>
        <w:pStyle w:val="SingleTxtG"/>
        <w:rPr>
          <w:lang w:val="fr-FR"/>
        </w:rPr>
      </w:pPr>
      <w:r w:rsidRPr="00CC390D">
        <w:rPr>
          <w:lang w:val="fr-FR"/>
        </w:rPr>
        <w:t>29.</w:t>
      </w:r>
      <w:r w:rsidRPr="00CC390D">
        <w:rPr>
          <w:lang w:val="fr-FR"/>
        </w:rPr>
        <w:tab/>
        <w:t>La source affirme que M.</w:t>
      </w:r>
      <w:r w:rsidR="00EA2145">
        <w:rPr>
          <w:lang w:val="fr-FR"/>
        </w:rPr>
        <w:t> </w:t>
      </w:r>
      <w:proofErr w:type="spellStart"/>
      <w:r w:rsidRPr="00CC390D">
        <w:rPr>
          <w:lang w:val="fr-FR"/>
        </w:rPr>
        <w:t>Zitout</w:t>
      </w:r>
      <w:proofErr w:type="spellEnd"/>
      <w:r w:rsidRPr="00CC390D">
        <w:rPr>
          <w:lang w:val="fr-FR"/>
        </w:rPr>
        <w:t xml:space="preserve"> n</w:t>
      </w:r>
      <w:r>
        <w:rPr>
          <w:lang w:val="fr-FR"/>
        </w:rPr>
        <w:t>’</w:t>
      </w:r>
      <w:r w:rsidRPr="00CC390D">
        <w:rPr>
          <w:lang w:val="fr-FR"/>
        </w:rPr>
        <w:t>a pas été informé des raisons de son arrestation ni des accusations portées contre lui au moment de son arrestation</w:t>
      </w:r>
      <w:r>
        <w:rPr>
          <w:lang w:val="fr-FR"/>
        </w:rPr>
        <w:t>,</w:t>
      </w:r>
      <w:r w:rsidRPr="00CC390D">
        <w:rPr>
          <w:lang w:val="fr-FR"/>
        </w:rPr>
        <w:t xml:space="preserve"> et ce</w:t>
      </w:r>
      <w:r>
        <w:rPr>
          <w:lang w:val="fr-FR"/>
        </w:rPr>
        <w:t>,</w:t>
      </w:r>
      <w:r w:rsidRPr="00CC390D">
        <w:rPr>
          <w:lang w:val="fr-FR"/>
        </w:rPr>
        <w:t xml:space="preserve"> jusqu</w:t>
      </w:r>
      <w:r>
        <w:rPr>
          <w:lang w:val="fr-FR"/>
        </w:rPr>
        <w:t>’</w:t>
      </w:r>
      <w:r w:rsidRPr="00CC390D">
        <w:rPr>
          <w:lang w:val="fr-FR"/>
        </w:rPr>
        <w:t>à sa présentation devant une autorité judiciaire habilitée. Partant, la source conclut que les autorités ont violé les droits de M.</w:t>
      </w:r>
      <w:r w:rsidR="00EA2145">
        <w:rPr>
          <w:lang w:val="fr-FR"/>
        </w:rPr>
        <w:t> </w:t>
      </w:r>
      <w:proofErr w:type="spellStart"/>
      <w:r w:rsidRPr="00CC390D">
        <w:rPr>
          <w:lang w:val="fr-FR"/>
        </w:rPr>
        <w:t>Zitout</w:t>
      </w:r>
      <w:proofErr w:type="spellEnd"/>
      <w:r w:rsidRPr="00CC390D">
        <w:rPr>
          <w:lang w:val="fr-FR"/>
        </w:rPr>
        <w:t xml:space="preserve"> garantis par l</w:t>
      </w:r>
      <w:r>
        <w:rPr>
          <w:lang w:val="fr-FR"/>
        </w:rPr>
        <w:t>’</w:t>
      </w:r>
      <w:r w:rsidRPr="00CC390D">
        <w:rPr>
          <w:lang w:val="fr-FR"/>
        </w:rPr>
        <w:t>article</w:t>
      </w:r>
      <w:r w:rsidR="005A2A05">
        <w:rPr>
          <w:lang w:val="fr-FR"/>
        </w:rPr>
        <w:t> </w:t>
      </w:r>
      <w:r w:rsidRPr="00CC390D">
        <w:rPr>
          <w:lang w:val="fr-FR"/>
        </w:rPr>
        <w:t>9 (</w:t>
      </w:r>
      <w:r>
        <w:rPr>
          <w:lang w:val="fr-FR"/>
        </w:rPr>
        <w:t>par.</w:t>
      </w:r>
      <w:r w:rsidR="005A2A05">
        <w:rPr>
          <w:lang w:val="fr-FR"/>
        </w:rPr>
        <w:t> </w:t>
      </w:r>
      <w:r w:rsidRPr="00CC390D">
        <w:rPr>
          <w:lang w:val="fr-FR"/>
        </w:rPr>
        <w:t xml:space="preserve">1 et 2) du Pacte. </w:t>
      </w:r>
    </w:p>
    <w:p w14:paraId="03CE9282" w14:textId="2FC3CE2A" w:rsidR="00C91D59" w:rsidRPr="00CC390D" w:rsidRDefault="00C91D59" w:rsidP="00C91D59">
      <w:pPr>
        <w:pStyle w:val="SingleTxtG"/>
        <w:rPr>
          <w:lang w:val="fr-FR"/>
        </w:rPr>
      </w:pPr>
      <w:r w:rsidRPr="00CC390D">
        <w:rPr>
          <w:lang w:val="fr-FR"/>
        </w:rPr>
        <w:t>30.</w:t>
      </w:r>
      <w:r w:rsidRPr="00CC390D">
        <w:rPr>
          <w:lang w:val="fr-FR"/>
        </w:rPr>
        <w:tab/>
        <w:t>De plus, la source fait valoir que M.</w:t>
      </w:r>
      <w:r w:rsidR="00EA2145">
        <w:rPr>
          <w:lang w:val="fr-FR"/>
        </w:rPr>
        <w:t> </w:t>
      </w:r>
      <w:proofErr w:type="spellStart"/>
      <w:r w:rsidRPr="00CC390D">
        <w:rPr>
          <w:lang w:val="fr-FR"/>
        </w:rPr>
        <w:t>Zitout</w:t>
      </w:r>
      <w:proofErr w:type="spellEnd"/>
      <w:r w:rsidRPr="00CC390D">
        <w:rPr>
          <w:lang w:val="fr-FR"/>
        </w:rPr>
        <w:t xml:space="preserve"> est maintenu en détention en violation de l</w:t>
      </w:r>
      <w:r>
        <w:rPr>
          <w:lang w:val="fr-FR"/>
        </w:rPr>
        <w:t>’</w:t>
      </w:r>
      <w:r w:rsidRPr="00CC390D">
        <w:rPr>
          <w:lang w:val="fr-FR"/>
        </w:rPr>
        <w:t>article</w:t>
      </w:r>
      <w:r w:rsidR="005A2A05">
        <w:rPr>
          <w:lang w:val="fr-FR"/>
        </w:rPr>
        <w:t> </w:t>
      </w:r>
      <w:r w:rsidRPr="00CC390D">
        <w:rPr>
          <w:lang w:val="fr-FR"/>
        </w:rPr>
        <w:t>14 (</w:t>
      </w:r>
      <w:r>
        <w:rPr>
          <w:lang w:val="fr-FR"/>
        </w:rPr>
        <w:t>par.</w:t>
      </w:r>
      <w:r w:rsidR="005A2A05">
        <w:rPr>
          <w:lang w:val="fr-FR"/>
        </w:rPr>
        <w:t> </w:t>
      </w:r>
      <w:r w:rsidRPr="00CC390D">
        <w:rPr>
          <w:lang w:val="fr-FR"/>
        </w:rPr>
        <w:t>2) du Pacte, en dépit de l</w:t>
      </w:r>
      <w:r>
        <w:rPr>
          <w:lang w:val="fr-FR"/>
        </w:rPr>
        <w:t>’</w:t>
      </w:r>
      <w:r w:rsidRPr="00CC390D">
        <w:rPr>
          <w:lang w:val="fr-FR"/>
        </w:rPr>
        <w:t xml:space="preserve">absence totale de preuve. </w:t>
      </w:r>
    </w:p>
    <w:p w14:paraId="26D732DC" w14:textId="237AA1F5" w:rsidR="00C91D59" w:rsidRPr="00CC390D" w:rsidRDefault="00C91D59" w:rsidP="00C91D59">
      <w:pPr>
        <w:pStyle w:val="SingleTxtG"/>
        <w:rPr>
          <w:lang w:val="fr-FR"/>
        </w:rPr>
      </w:pPr>
      <w:r w:rsidRPr="00CC390D">
        <w:rPr>
          <w:lang w:val="fr-FR"/>
        </w:rPr>
        <w:t>31.</w:t>
      </w:r>
      <w:r w:rsidRPr="00CC390D">
        <w:rPr>
          <w:lang w:val="fr-FR"/>
        </w:rPr>
        <w:tab/>
        <w:t>Par ailleurs, à la suite de son arrestation, M.</w:t>
      </w:r>
      <w:r w:rsidR="005A2A05">
        <w:rPr>
          <w:lang w:val="fr-FR"/>
        </w:rPr>
        <w:t> </w:t>
      </w:r>
      <w:proofErr w:type="spellStart"/>
      <w:r w:rsidRPr="00CC390D">
        <w:rPr>
          <w:lang w:val="fr-FR"/>
        </w:rPr>
        <w:t>Zitout</w:t>
      </w:r>
      <w:proofErr w:type="spellEnd"/>
      <w:r w:rsidRPr="00CC390D">
        <w:rPr>
          <w:lang w:val="fr-FR"/>
        </w:rPr>
        <w:t xml:space="preserve"> aurait été privé de tout contact avec sa famille et ses avocats pendant cinq jours, en violation de l</w:t>
      </w:r>
      <w:r>
        <w:rPr>
          <w:lang w:val="fr-FR"/>
        </w:rPr>
        <w:t>’</w:t>
      </w:r>
      <w:r w:rsidRPr="00CC390D">
        <w:rPr>
          <w:lang w:val="fr-FR"/>
        </w:rPr>
        <w:t>article</w:t>
      </w:r>
      <w:r w:rsidR="005A2A05">
        <w:rPr>
          <w:lang w:val="fr-FR"/>
        </w:rPr>
        <w:t> </w:t>
      </w:r>
      <w:r w:rsidRPr="00CC390D">
        <w:rPr>
          <w:lang w:val="fr-FR"/>
        </w:rPr>
        <w:t>14 (</w:t>
      </w:r>
      <w:r>
        <w:rPr>
          <w:lang w:val="fr-FR"/>
        </w:rPr>
        <w:t>par.</w:t>
      </w:r>
      <w:r w:rsidR="005A2A05">
        <w:rPr>
          <w:lang w:val="fr-FR"/>
        </w:rPr>
        <w:t> </w:t>
      </w:r>
      <w:r w:rsidRPr="00CC390D">
        <w:rPr>
          <w:lang w:val="fr-FR"/>
        </w:rPr>
        <w:t>3</w:t>
      </w:r>
      <w:r>
        <w:rPr>
          <w:lang w:val="fr-FR"/>
        </w:rPr>
        <w:t> </w:t>
      </w:r>
      <w:r w:rsidRPr="00CC390D">
        <w:rPr>
          <w:lang w:val="fr-FR"/>
        </w:rPr>
        <w:t>b) et d)</w:t>
      </w:r>
      <w:r>
        <w:rPr>
          <w:lang w:val="fr-FR"/>
        </w:rPr>
        <w:t>)</w:t>
      </w:r>
      <w:r w:rsidRPr="00CC390D">
        <w:rPr>
          <w:lang w:val="fr-FR"/>
        </w:rPr>
        <w:t xml:space="preserve"> du Pacte.</w:t>
      </w:r>
    </w:p>
    <w:p w14:paraId="28C6ED27" w14:textId="77777777" w:rsidR="00C91D59" w:rsidRPr="00286D58" w:rsidRDefault="00C91D59" w:rsidP="005A2A05">
      <w:pPr>
        <w:pStyle w:val="H23G"/>
        <w:rPr>
          <w:lang w:val="fr-FR"/>
        </w:rPr>
      </w:pPr>
      <w:r>
        <w:rPr>
          <w:lang w:val="fr-FR"/>
        </w:rPr>
        <w:tab/>
        <w:t>b)</w:t>
      </w:r>
      <w:r>
        <w:rPr>
          <w:lang w:val="fr-FR"/>
        </w:rPr>
        <w:tab/>
      </w:r>
      <w:r w:rsidRPr="00286D58">
        <w:rPr>
          <w:lang w:val="fr-FR"/>
        </w:rPr>
        <w:t>Réponse du Gouvernement</w:t>
      </w:r>
    </w:p>
    <w:p w14:paraId="7284B2BA" w14:textId="52A0763D" w:rsidR="00C91D59" w:rsidRPr="00F66090" w:rsidRDefault="00C91D59" w:rsidP="00C91D59">
      <w:pPr>
        <w:pStyle w:val="SingleTxtG"/>
        <w:rPr>
          <w:lang w:val="fr-FR"/>
        </w:rPr>
      </w:pPr>
      <w:r w:rsidRPr="00F66090">
        <w:rPr>
          <w:lang w:val="fr-FR"/>
        </w:rPr>
        <w:t>32.</w:t>
      </w:r>
      <w:r w:rsidRPr="00F66090">
        <w:rPr>
          <w:lang w:val="fr-FR"/>
        </w:rPr>
        <w:tab/>
        <w:t>Le 25</w:t>
      </w:r>
      <w:r>
        <w:rPr>
          <w:lang w:val="fr-FR"/>
        </w:rPr>
        <w:t> </w:t>
      </w:r>
      <w:r w:rsidRPr="00F66090">
        <w:rPr>
          <w:lang w:val="fr-FR"/>
        </w:rPr>
        <w:t>mai 2023, le Groupe de travail a transmis au Gouvernement une communication concernant M.</w:t>
      </w:r>
      <w:r w:rsidR="005A2A05">
        <w:rPr>
          <w:lang w:val="fr-FR"/>
        </w:rPr>
        <w:t> </w:t>
      </w:r>
      <w:proofErr w:type="spellStart"/>
      <w:r w:rsidRPr="00F66090">
        <w:rPr>
          <w:lang w:val="fr-FR"/>
        </w:rPr>
        <w:t>Zitout</w:t>
      </w:r>
      <w:proofErr w:type="spellEnd"/>
      <w:r w:rsidRPr="00F66090">
        <w:rPr>
          <w:lang w:val="fr-FR"/>
        </w:rPr>
        <w:t>, l</w:t>
      </w:r>
      <w:r>
        <w:rPr>
          <w:lang w:val="fr-FR"/>
        </w:rPr>
        <w:t>’</w:t>
      </w:r>
      <w:r w:rsidRPr="00F66090">
        <w:rPr>
          <w:lang w:val="fr-FR"/>
        </w:rPr>
        <w:t xml:space="preserve">y priant de lui fournir des informations détaillées sur celui-ci au plus tard le </w:t>
      </w:r>
      <w:r w:rsidRPr="00F66090">
        <w:t>24</w:t>
      </w:r>
      <w:r>
        <w:t> </w:t>
      </w:r>
      <w:r w:rsidRPr="00F66090">
        <w:t>juillet 2023.</w:t>
      </w:r>
      <w:r w:rsidRPr="00F66090">
        <w:rPr>
          <w:lang w:val="fr-FR"/>
        </w:rPr>
        <w:t xml:space="preserve"> Plus particulièrement, il lui demandait de préciser les dispositions juridiques justifiant son maintien en détention, ainsi que leur compatibilité avec les obligations de l</w:t>
      </w:r>
      <w:r>
        <w:rPr>
          <w:lang w:val="fr-FR"/>
        </w:rPr>
        <w:t>’</w:t>
      </w:r>
      <w:r w:rsidRPr="00F66090">
        <w:rPr>
          <w:lang w:val="fr-FR"/>
        </w:rPr>
        <w:t>Algérie en vertu du droit international des droits humains, et en particulier avec les traités ratifiés par l</w:t>
      </w:r>
      <w:r>
        <w:rPr>
          <w:lang w:val="fr-FR"/>
        </w:rPr>
        <w:t>’</w:t>
      </w:r>
      <w:r w:rsidRPr="00F66090">
        <w:rPr>
          <w:lang w:val="fr-FR"/>
        </w:rPr>
        <w:t>État. En outre, le Groupe de travail appelait le Gouvernement à garantir l</w:t>
      </w:r>
      <w:r>
        <w:rPr>
          <w:lang w:val="fr-FR"/>
        </w:rPr>
        <w:t>’</w:t>
      </w:r>
      <w:r w:rsidRPr="00F66090">
        <w:rPr>
          <w:lang w:val="fr-FR"/>
        </w:rPr>
        <w:t>intégrité physique et mentale de M.</w:t>
      </w:r>
      <w:r w:rsidR="005A2A05">
        <w:rPr>
          <w:lang w:val="fr-FR"/>
        </w:rPr>
        <w:t> </w:t>
      </w:r>
      <w:proofErr w:type="spellStart"/>
      <w:r w:rsidRPr="00F66090">
        <w:rPr>
          <w:lang w:val="fr-FR"/>
        </w:rPr>
        <w:t>Zitout</w:t>
      </w:r>
      <w:proofErr w:type="spellEnd"/>
      <w:r w:rsidRPr="00F66090">
        <w:rPr>
          <w:lang w:val="fr-FR"/>
        </w:rPr>
        <w:t xml:space="preserve">. </w:t>
      </w:r>
    </w:p>
    <w:p w14:paraId="67C9874C" w14:textId="64F92E31" w:rsidR="00C91D59" w:rsidRPr="00F66090" w:rsidRDefault="00C91D59" w:rsidP="00C91D59">
      <w:pPr>
        <w:pStyle w:val="SingleTxtG"/>
        <w:rPr>
          <w:lang w:val="fr-FR"/>
        </w:rPr>
      </w:pPr>
      <w:r w:rsidRPr="00F66090">
        <w:rPr>
          <w:lang w:val="fr-FR"/>
        </w:rPr>
        <w:t>33.</w:t>
      </w:r>
      <w:r w:rsidRPr="00F66090">
        <w:rPr>
          <w:lang w:val="fr-FR"/>
        </w:rPr>
        <w:tab/>
        <w:t>Le Gouvernement a adressé sa réponse le 31</w:t>
      </w:r>
      <w:r>
        <w:rPr>
          <w:lang w:val="fr-FR"/>
        </w:rPr>
        <w:t> </w:t>
      </w:r>
      <w:r w:rsidRPr="00F66090">
        <w:rPr>
          <w:lang w:val="fr-FR"/>
        </w:rPr>
        <w:t>juillet 2023, soit après le délai imparti. Le Gouvernement n</w:t>
      </w:r>
      <w:r>
        <w:rPr>
          <w:lang w:val="fr-FR"/>
        </w:rPr>
        <w:t>’</w:t>
      </w:r>
      <w:r w:rsidRPr="00F66090">
        <w:rPr>
          <w:lang w:val="fr-FR"/>
        </w:rPr>
        <w:t>a pas demandé de pro</w:t>
      </w:r>
      <w:r>
        <w:rPr>
          <w:lang w:val="fr-FR"/>
        </w:rPr>
        <w:t>ro</w:t>
      </w:r>
      <w:r w:rsidRPr="00F66090">
        <w:rPr>
          <w:lang w:val="fr-FR"/>
        </w:rPr>
        <w:t xml:space="preserve">gation du délai de réponse, </w:t>
      </w:r>
      <w:r>
        <w:rPr>
          <w:lang w:val="fr-FR"/>
        </w:rPr>
        <w:t>ce que permettent pourtant</w:t>
      </w:r>
      <w:r w:rsidRPr="00F66090">
        <w:rPr>
          <w:lang w:val="fr-FR"/>
        </w:rPr>
        <w:t xml:space="preserve"> les méthodes de travail du Groupe de travail. Par conséquent, le Groupe de travail ne saurait accepter cette réponse comme si elle avait été présentée dans les délais.</w:t>
      </w:r>
    </w:p>
    <w:p w14:paraId="39586705" w14:textId="77777777" w:rsidR="00C91D59" w:rsidRPr="00286D58" w:rsidRDefault="00C91D59" w:rsidP="005A2A05">
      <w:pPr>
        <w:pStyle w:val="H23G"/>
        <w:rPr>
          <w:lang w:val="fr-FR"/>
        </w:rPr>
      </w:pPr>
      <w:r>
        <w:rPr>
          <w:lang w:val="fr-FR"/>
        </w:rPr>
        <w:tab/>
        <w:t>2.</w:t>
      </w:r>
      <w:r>
        <w:rPr>
          <w:lang w:val="fr-FR"/>
        </w:rPr>
        <w:tab/>
      </w:r>
      <w:r w:rsidRPr="00286D58">
        <w:rPr>
          <w:lang w:val="fr-FR"/>
        </w:rPr>
        <w:t xml:space="preserve">Examen </w:t>
      </w:r>
    </w:p>
    <w:p w14:paraId="0F7500B0" w14:textId="165483A0" w:rsidR="00C91D59" w:rsidRPr="00E1323E" w:rsidRDefault="00C91D59" w:rsidP="005A2A05">
      <w:pPr>
        <w:pStyle w:val="SingleTxtG"/>
        <w:rPr>
          <w:lang w:val="fr-FR"/>
        </w:rPr>
      </w:pPr>
      <w:r w:rsidRPr="00E1323E">
        <w:rPr>
          <w:lang w:val="fr-FR"/>
        </w:rPr>
        <w:t>34.</w:t>
      </w:r>
      <w:r w:rsidRPr="00E1323E">
        <w:rPr>
          <w:lang w:val="fr-FR"/>
        </w:rPr>
        <w:tab/>
        <w:t>En l</w:t>
      </w:r>
      <w:r>
        <w:rPr>
          <w:lang w:val="fr-FR"/>
        </w:rPr>
        <w:t>’</w:t>
      </w:r>
      <w:r w:rsidRPr="00E1323E">
        <w:rPr>
          <w:lang w:val="fr-FR"/>
        </w:rPr>
        <w:t>absence de réponse du Gouvernement dans le délai imparti, le Groupe de travail a décidé de rendre le présent avis, conformément au paragraphe</w:t>
      </w:r>
      <w:r w:rsidR="005A2A05">
        <w:rPr>
          <w:lang w:val="fr-FR"/>
        </w:rPr>
        <w:t> </w:t>
      </w:r>
      <w:r w:rsidRPr="00E1323E">
        <w:rPr>
          <w:lang w:val="fr-FR"/>
        </w:rPr>
        <w:t>15 de ses méthodes de travail.</w:t>
      </w:r>
    </w:p>
    <w:p w14:paraId="16A8198F" w14:textId="1307BC37" w:rsidR="00C91D59" w:rsidRPr="00E1323E" w:rsidRDefault="00C91D59" w:rsidP="00C91D59">
      <w:pPr>
        <w:pStyle w:val="SingleTxtG"/>
        <w:rPr>
          <w:lang w:val="fr-FR"/>
        </w:rPr>
      </w:pPr>
      <w:r w:rsidRPr="00E1323E">
        <w:rPr>
          <w:lang w:val="fr-FR"/>
        </w:rPr>
        <w:t>35.</w:t>
      </w:r>
      <w:r w:rsidRPr="00E1323E">
        <w:rPr>
          <w:lang w:val="fr-FR"/>
        </w:rPr>
        <w:tab/>
        <w:t>Pour déterminer si la privation de liberté de M.</w:t>
      </w:r>
      <w:r w:rsidR="005A2A05">
        <w:rPr>
          <w:lang w:val="fr-FR"/>
        </w:rPr>
        <w:t> </w:t>
      </w:r>
      <w:proofErr w:type="spellStart"/>
      <w:r w:rsidRPr="00E1323E">
        <w:rPr>
          <w:lang w:val="fr-FR"/>
        </w:rPr>
        <w:t>Zitout</w:t>
      </w:r>
      <w:proofErr w:type="spellEnd"/>
      <w:r w:rsidRPr="00E1323E">
        <w:rPr>
          <w:lang w:val="fr-FR"/>
        </w:rPr>
        <w:t xml:space="preserve"> est arbitraire, le Groupe de travail tient compte des principes établis dans sa jurisprudence sur les règles de la preuve. Lorsque la source établit une présomption de violation des règles internationales constitutive de détention arbitraire, la charge de la preuve incombe au Gouvernement dès lors que celui</w:t>
      </w:r>
      <w:r w:rsidR="00EA2145">
        <w:rPr>
          <w:lang w:val="fr-FR"/>
        </w:rPr>
        <w:noBreakHyphen/>
      </w:r>
      <w:r w:rsidRPr="00E1323E">
        <w:rPr>
          <w:lang w:val="fr-FR"/>
        </w:rPr>
        <w:t>ci décide de contester les allégations</w:t>
      </w:r>
      <w:r w:rsidRPr="00C91D59">
        <w:rPr>
          <w:rStyle w:val="FootnoteReference"/>
        </w:rPr>
        <w:footnoteReference w:id="5"/>
      </w:r>
      <w:r w:rsidRPr="00E1323E">
        <w:rPr>
          <w:lang w:val="fr-FR"/>
        </w:rPr>
        <w:t>. En</w:t>
      </w:r>
      <w:r w:rsidR="00EA2145">
        <w:rPr>
          <w:lang w:val="fr-FR"/>
        </w:rPr>
        <w:t xml:space="preserve"> </w:t>
      </w:r>
      <w:r w:rsidRPr="00E1323E">
        <w:rPr>
          <w:lang w:val="fr-FR"/>
        </w:rPr>
        <w:t>l</w:t>
      </w:r>
      <w:r>
        <w:rPr>
          <w:lang w:val="fr-FR"/>
        </w:rPr>
        <w:t>’</w:t>
      </w:r>
      <w:r w:rsidRPr="00E1323E">
        <w:rPr>
          <w:lang w:val="fr-FR"/>
        </w:rPr>
        <w:t>espèce, le Gouvernement a décidé de ne pas contester les allégations à première vue crédibles formulées par la source</w:t>
      </w:r>
      <w:r w:rsidRPr="00E1323E">
        <w:t xml:space="preserve"> </w:t>
      </w:r>
      <w:r w:rsidRPr="00E1323E">
        <w:rPr>
          <w:lang w:val="fr-FR"/>
        </w:rPr>
        <w:t>dans le délai prescrit.</w:t>
      </w:r>
    </w:p>
    <w:p w14:paraId="49E95093" w14:textId="77777777" w:rsidR="00C91D59" w:rsidRPr="00E1323E" w:rsidRDefault="00C91D59" w:rsidP="00EA2145">
      <w:pPr>
        <w:pStyle w:val="H23G"/>
        <w:rPr>
          <w:lang w:val="fr-FR"/>
        </w:rPr>
      </w:pPr>
      <w:r>
        <w:rPr>
          <w:lang w:val="fr-FR"/>
        </w:rPr>
        <w:tab/>
        <w:t>a)</w:t>
      </w:r>
      <w:r>
        <w:rPr>
          <w:lang w:val="fr-FR"/>
        </w:rPr>
        <w:tab/>
      </w:r>
      <w:r w:rsidRPr="00E1323E">
        <w:rPr>
          <w:lang w:val="fr-FR"/>
        </w:rPr>
        <w:t xml:space="preserve">Catégorie I </w:t>
      </w:r>
    </w:p>
    <w:p w14:paraId="16C4F823" w14:textId="77777777" w:rsidR="00C91D59" w:rsidRPr="00E1323E" w:rsidRDefault="00C91D59" w:rsidP="00C91D59">
      <w:pPr>
        <w:pStyle w:val="SingleTxtG"/>
        <w:rPr>
          <w:lang w:val="fr-FR"/>
        </w:rPr>
      </w:pPr>
      <w:r w:rsidRPr="00E1323E">
        <w:rPr>
          <w:lang w:val="fr-FR"/>
        </w:rPr>
        <w:t>36.</w:t>
      </w:r>
      <w:r w:rsidRPr="00E1323E">
        <w:rPr>
          <w:lang w:val="fr-FR"/>
        </w:rPr>
        <w:tab/>
        <w:t>Le Groupe de travail examinera d</w:t>
      </w:r>
      <w:r>
        <w:rPr>
          <w:lang w:val="fr-FR"/>
        </w:rPr>
        <w:t>’</w:t>
      </w:r>
      <w:r w:rsidRPr="00E1323E">
        <w:rPr>
          <w:lang w:val="fr-FR"/>
        </w:rPr>
        <w:t>abord s</w:t>
      </w:r>
      <w:r>
        <w:rPr>
          <w:lang w:val="fr-FR"/>
        </w:rPr>
        <w:t>’</w:t>
      </w:r>
      <w:r w:rsidRPr="00E1323E">
        <w:rPr>
          <w:lang w:val="fr-FR"/>
        </w:rPr>
        <w:t>il y a eu des violations relevant de la catégorie</w:t>
      </w:r>
      <w:r>
        <w:rPr>
          <w:lang w:val="fr-FR"/>
        </w:rPr>
        <w:t> </w:t>
      </w:r>
      <w:r w:rsidRPr="00E1323E">
        <w:rPr>
          <w:lang w:val="fr-FR"/>
        </w:rPr>
        <w:t xml:space="preserve">I, laquelle concerne la privation de liberté sans fondement légal. </w:t>
      </w:r>
    </w:p>
    <w:p w14:paraId="1D701D4D" w14:textId="79DFB1D8" w:rsidR="00C91D59" w:rsidRPr="00E1323E" w:rsidRDefault="00C91D59" w:rsidP="00C91D59">
      <w:pPr>
        <w:pStyle w:val="SingleTxtG"/>
        <w:rPr>
          <w:lang w:val="fr-FR"/>
        </w:rPr>
      </w:pPr>
      <w:r w:rsidRPr="00E1323E">
        <w:rPr>
          <w:lang w:val="fr-FR"/>
        </w:rPr>
        <w:t>37.</w:t>
      </w:r>
      <w:r w:rsidRPr="00E1323E">
        <w:rPr>
          <w:lang w:val="fr-FR"/>
        </w:rPr>
        <w:tab/>
        <w:t>La source affirme que M.</w:t>
      </w:r>
      <w:r w:rsidR="00EA2145">
        <w:rPr>
          <w:lang w:val="fr-FR"/>
        </w:rPr>
        <w:t> </w:t>
      </w:r>
      <w:proofErr w:type="spellStart"/>
      <w:r w:rsidRPr="00E1323E">
        <w:rPr>
          <w:lang w:val="fr-FR"/>
        </w:rPr>
        <w:t>Zitout</w:t>
      </w:r>
      <w:proofErr w:type="spellEnd"/>
      <w:r w:rsidRPr="00E1323E">
        <w:rPr>
          <w:lang w:val="fr-FR"/>
        </w:rPr>
        <w:t xml:space="preserve"> n</w:t>
      </w:r>
      <w:r>
        <w:rPr>
          <w:lang w:val="fr-FR"/>
        </w:rPr>
        <w:t>’</w:t>
      </w:r>
      <w:r w:rsidRPr="00E1323E">
        <w:rPr>
          <w:lang w:val="fr-FR"/>
        </w:rPr>
        <w:t>a pas été informé des raisons de son arrestation ni des accusations portées contre lui au moment de son arrestation</w:t>
      </w:r>
      <w:r>
        <w:rPr>
          <w:lang w:val="fr-FR"/>
        </w:rPr>
        <w:t>,</w:t>
      </w:r>
      <w:r w:rsidRPr="00E1323E">
        <w:rPr>
          <w:lang w:val="fr-FR"/>
        </w:rPr>
        <w:t xml:space="preserve"> et ce</w:t>
      </w:r>
      <w:r>
        <w:rPr>
          <w:lang w:val="fr-FR"/>
        </w:rPr>
        <w:t>,</w:t>
      </w:r>
      <w:r w:rsidRPr="00E1323E">
        <w:rPr>
          <w:lang w:val="fr-FR"/>
        </w:rPr>
        <w:t xml:space="preserve"> jusqu</w:t>
      </w:r>
      <w:r>
        <w:rPr>
          <w:lang w:val="fr-FR"/>
        </w:rPr>
        <w:t>’</w:t>
      </w:r>
      <w:r w:rsidRPr="00E1323E">
        <w:rPr>
          <w:lang w:val="fr-FR"/>
        </w:rPr>
        <w:t xml:space="preserve">à sa comparution devant une autorité judiciaire habilitée. </w:t>
      </w:r>
    </w:p>
    <w:p w14:paraId="7120CA7E" w14:textId="2BFDAE12" w:rsidR="00C91D59" w:rsidRPr="00E1323E" w:rsidRDefault="00C91D59" w:rsidP="00C91D59">
      <w:pPr>
        <w:pStyle w:val="SingleTxtG"/>
        <w:rPr>
          <w:lang w:val="fr-FR"/>
        </w:rPr>
      </w:pPr>
      <w:r w:rsidRPr="00E1323E">
        <w:rPr>
          <w:lang w:val="fr-FR"/>
        </w:rPr>
        <w:lastRenderedPageBreak/>
        <w:t>38.</w:t>
      </w:r>
      <w:r w:rsidRPr="00E1323E">
        <w:rPr>
          <w:lang w:val="fr-FR"/>
        </w:rPr>
        <w:tab/>
        <w:t>Comme le Groupe de travail l</w:t>
      </w:r>
      <w:r>
        <w:rPr>
          <w:lang w:val="fr-FR"/>
        </w:rPr>
        <w:t>’</w:t>
      </w:r>
      <w:r w:rsidRPr="00E1323E">
        <w:rPr>
          <w:lang w:val="fr-FR"/>
        </w:rPr>
        <w:t>a déclaré, pour qu</w:t>
      </w:r>
      <w:r>
        <w:rPr>
          <w:lang w:val="fr-FR"/>
        </w:rPr>
        <w:t>’</w:t>
      </w:r>
      <w:r w:rsidRPr="00E1323E">
        <w:rPr>
          <w:lang w:val="fr-FR"/>
        </w:rPr>
        <w:t>une privation de liberté ait une base légale, il ne suffit pas qu</w:t>
      </w:r>
      <w:r>
        <w:rPr>
          <w:lang w:val="fr-FR"/>
        </w:rPr>
        <w:t>’</w:t>
      </w:r>
      <w:r w:rsidRPr="00E1323E">
        <w:rPr>
          <w:lang w:val="fr-FR"/>
        </w:rPr>
        <w:t>il existe une loi autoris</w:t>
      </w:r>
      <w:r>
        <w:rPr>
          <w:lang w:val="fr-FR"/>
        </w:rPr>
        <w:t>ant</w:t>
      </w:r>
      <w:r w:rsidRPr="00E1323E">
        <w:rPr>
          <w:lang w:val="fr-FR"/>
        </w:rPr>
        <w:t xml:space="preserve"> l</w:t>
      </w:r>
      <w:r>
        <w:rPr>
          <w:lang w:val="fr-FR"/>
        </w:rPr>
        <w:t>’</w:t>
      </w:r>
      <w:r w:rsidRPr="00E1323E">
        <w:rPr>
          <w:lang w:val="fr-FR"/>
        </w:rPr>
        <w:t>arrestation. Les autorités doivent invoquer cette base juridique et l</w:t>
      </w:r>
      <w:r>
        <w:rPr>
          <w:lang w:val="fr-FR"/>
        </w:rPr>
        <w:t>’</w:t>
      </w:r>
      <w:r w:rsidRPr="00E1323E">
        <w:rPr>
          <w:lang w:val="fr-FR"/>
        </w:rPr>
        <w:t>appliquer aux circonstances de l</w:t>
      </w:r>
      <w:r>
        <w:rPr>
          <w:lang w:val="fr-FR"/>
        </w:rPr>
        <w:t>’</w:t>
      </w:r>
      <w:r w:rsidRPr="00E1323E">
        <w:rPr>
          <w:lang w:val="fr-FR"/>
        </w:rPr>
        <w:t>affaire. Cela est typiquement réalisé au moyen d</w:t>
      </w:r>
      <w:r>
        <w:rPr>
          <w:lang w:val="fr-FR"/>
        </w:rPr>
        <w:t>’</w:t>
      </w:r>
      <w:r w:rsidRPr="00E1323E">
        <w:rPr>
          <w:lang w:val="fr-FR"/>
        </w:rPr>
        <w:t>un mandat d</w:t>
      </w:r>
      <w:r>
        <w:rPr>
          <w:lang w:val="fr-FR"/>
        </w:rPr>
        <w:t>’</w:t>
      </w:r>
      <w:r w:rsidRPr="00E1323E">
        <w:rPr>
          <w:lang w:val="fr-FR"/>
        </w:rPr>
        <w:t>arrêt ou ordre d</w:t>
      </w:r>
      <w:r>
        <w:rPr>
          <w:lang w:val="fr-FR"/>
        </w:rPr>
        <w:t>’</w:t>
      </w:r>
      <w:r w:rsidRPr="00E1323E">
        <w:rPr>
          <w:lang w:val="fr-FR"/>
        </w:rPr>
        <w:t>arrestation, ou d</w:t>
      </w:r>
      <w:r>
        <w:rPr>
          <w:lang w:val="fr-FR"/>
        </w:rPr>
        <w:t>’</w:t>
      </w:r>
      <w:r w:rsidRPr="00E1323E">
        <w:rPr>
          <w:lang w:val="fr-FR"/>
        </w:rPr>
        <w:t>un document équivalent</w:t>
      </w:r>
      <w:r w:rsidRPr="00C91D59">
        <w:rPr>
          <w:rStyle w:val="FootnoteReference"/>
        </w:rPr>
        <w:footnoteReference w:id="6"/>
      </w:r>
      <w:r w:rsidRPr="00E1323E">
        <w:rPr>
          <w:lang w:val="fr-FR"/>
        </w:rPr>
        <w:t>. De plus, l</w:t>
      </w:r>
      <w:r>
        <w:rPr>
          <w:lang w:val="fr-FR"/>
        </w:rPr>
        <w:t>’</w:t>
      </w:r>
      <w:r w:rsidRPr="00E1323E">
        <w:rPr>
          <w:lang w:val="fr-FR"/>
        </w:rPr>
        <w:t>article</w:t>
      </w:r>
      <w:r w:rsidR="00EA2145">
        <w:rPr>
          <w:lang w:val="fr-FR"/>
        </w:rPr>
        <w:t> </w:t>
      </w:r>
      <w:r w:rsidRPr="00E1323E">
        <w:rPr>
          <w:lang w:val="fr-FR"/>
        </w:rPr>
        <w:t>9 (</w:t>
      </w:r>
      <w:r>
        <w:rPr>
          <w:lang w:val="fr-FR"/>
        </w:rPr>
        <w:t>par.</w:t>
      </w:r>
      <w:r w:rsidR="00EA2145">
        <w:rPr>
          <w:lang w:val="fr-FR"/>
        </w:rPr>
        <w:t> </w:t>
      </w:r>
      <w:r w:rsidRPr="00E1323E">
        <w:rPr>
          <w:lang w:val="fr-FR"/>
        </w:rPr>
        <w:t xml:space="preserve">2) du Pacte prévoit que tout individu arrêté doit être informé, au moment de son arrestation, des raisons de cette arrestation et </w:t>
      </w:r>
      <w:r>
        <w:rPr>
          <w:lang w:val="fr-FR"/>
        </w:rPr>
        <w:t>recevoir notification</w:t>
      </w:r>
      <w:r w:rsidRPr="00E1323E">
        <w:rPr>
          <w:lang w:val="fr-FR"/>
        </w:rPr>
        <w:t>, dans le plus court délai, de toute accusation portée contre</w:t>
      </w:r>
      <w:r>
        <w:rPr>
          <w:lang w:val="fr-FR"/>
        </w:rPr>
        <w:t xml:space="preserve"> lui</w:t>
      </w:r>
      <w:r w:rsidRPr="00E1323E">
        <w:rPr>
          <w:lang w:val="fr-FR"/>
        </w:rPr>
        <w:t>. Le respect de ces droits est essentiel aux autres droits énoncés à l</w:t>
      </w:r>
      <w:r>
        <w:rPr>
          <w:lang w:val="fr-FR"/>
        </w:rPr>
        <w:t>’</w:t>
      </w:r>
      <w:r w:rsidRPr="00E1323E">
        <w:rPr>
          <w:lang w:val="fr-FR"/>
        </w:rPr>
        <w:t>article</w:t>
      </w:r>
      <w:r w:rsidR="00EA2145">
        <w:rPr>
          <w:lang w:val="fr-FR"/>
        </w:rPr>
        <w:t> </w:t>
      </w:r>
      <w:r w:rsidRPr="00E1323E">
        <w:rPr>
          <w:lang w:val="fr-FR"/>
        </w:rPr>
        <w:t>9 du Pacte, tout individu devant connaître les raisons de son arrestation pour pouvoir la contester efficacement, et être traduit devant un tribunal ou un magistrat pour pouvoir formuler un recours.</w:t>
      </w:r>
    </w:p>
    <w:p w14:paraId="12053478" w14:textId="613E96AA" w:rsidR="00C91D59" w:rsidRPr="00E1323E" w:rsidRDefault="00C91D59" w:rsidP="00C91D59">
      <w:pPr>
        <w:pStyle w:val="SingleTxtG"/>
        <w:rPr>
          <w:lang w:val="fr-FR"/>
        </w:rPr>
      </w:pPr>
      <w:r w:rsidRPr="00E1323E">
        <w:rPr>
          <w:lang w:val="fr-FR"/>
        </w:rPr>
        <w:t>39.</w:t>
      </w:r>
      <w:r w:rsidRPr="00E1323E">
        <w:rPr>
          <w:lang w:val="fr-FR"/>
        </w:rPr>
        <w:tab/>
        <w:t>Selon la source, à la suite de son arrestation le 30</w:t>
      </w:r>
      <w:r>
        <w:rPr>
          <w:lang w:val="fr-FR"/>
        </w:rPr>
        <w:t> </w:t>
      </w:r>
      <w:r w:rsidRPr="00E1323E">
        <w:rPr>
          <w:lang w:val="fr-FR"/>
        </w:rPr>
        <w:t>mars 2022, M.</w:t>
      </w:r>
      <w:r w:rsidR="00EA2145">
        <w:rPr>
          <w:lang w:val="fr-FR"/>
        </w:rPr>
        <w:t> </w:t>
      </w:r>
      <w:proofErr w:type="spellStart"/>
      <w:r w:rsidRPr="00E1323E">
        <w:rPr>
          <w:lang w:val="fr-FR"/>
        </w:rPr>
        <w:t>Zitout</w:t>
      </w:r>
      <w:proofErr w:type="spellEnd"/>
      <w:r w:rsidRPr="00E1323E">
        <w:rPr>
          <w:lang w:val="fr-FR"/>
        </w:rPr>
        <w:t xml:space="preserve"> a été emmené au commissariat central d</w:t>
      </w:r>
      <w:r>
        <w:rPr>
          <w:lang w:val="fr-FR"/>
        </w:rPr>
        <w:t>’</w:t>
      </w:r>
      <w:r w:rsidRPr="00E1323E">
        <w:rPr>
          <w:lang w:val="fr-FR"/>
        </w:rPr>
        <w:t xml:space="preserve">Alger où il a été longuement interrogé par des agents de la police judiciaire à propos de ses liens avec le membre de sa famille exilé. Lors de sa comparution devant le </w:t>
      </w:r>
      <w:r>
        <w:rPr>
          <w:lang w:val="fr-FR"/>
        </w:rPr>
        <w:t>P</w:t>
      </w:r>
      <w:r w:rsidRPr="00E1323E">
        <w:rPr>
          <w:lang w:val="fr-FR"/>
        </w:rPr>
        <w:t xml:space="preserve">rocureur de la </w:t>
      </w:r>
      <w:r>
        <w:rPr>
          <w:lang w:val="fr-FR"/>
        </w:rPr>
        <w:t>R</w:t>
      </w:r>
      <w:r w:rsidRPr="00E1323E">
        <w:rPr>
          <w:lang w:val="fr-FR"/>
        </w:rPr>
        <w:t>épublique près le tribunal de Sidi</w:t>
      </w:r>
      <w:r>
        <w:rPr>
          <w:lang w:val="fr-FR"/>
        </w:rPr>
        <w:t xml:space="preserve"> </w:t>
      </w:r>
      <w:r w:rsidRPr="00E1323E">
        <w:rPr>
          <w:lang w:val="fr-FR"/>
        </w:rPr>
        <w:t>M</w:t>
      </w:r>
      <w:r>
        <w:rPr>
          <w:lang w:val="fr-FR"/>
        </w:rPr>
        <w:t>’H</w:t>
      </w:r>
      <w:r w:rsidRPr="00E1323E">
        <w:rPr>
          <w:lang w:val="fr-FR"/>
        </w:rPr>
        <w:t>amed</w:t>
      </w:r>
      <w:r>
        <w:rPr>
          <w:lang w:val="fr-FR"/>
        </w:rPr>
        <w:t>,</w:t>
      </w:r>
      <w:r w:rsidRPr="00E1323E">
        <w:rPr>
          <w:lang w:val="fr-FR"/>
        </w:rPr>
        <w:t xml:space="preserve"> le 5</w:t>
      </w:r>
      <w:r>
        <w:rPr>
          <w:lang w:val="fr-FR"/>
        </w:rPr>
        <w:t> </w:t>
      </w:r>
      <w:r w:rsidRPr="00E1323E">
        <w:rPr>
          <w:lang w:val="fr-FR"/>
        </w:rPr>
        <w:t xml:space="preserve">avril 2022, il se serait vu reprocher pour la première fois des activités subversives, son appartenance présumée à un groupe terroriste et la publication présumée de fausses nouvelles. </w:t>
      </w:r>
    </w:p>
    <w:p w14:paraId="6CBA9A43" w14:textId="5FA9EE39" w:rsidR="00C91D59" w:rsidRPr="00E1323E" w:rsidRDefault="00C91D59" w:rsidP="00C91D59">
      <w:pPr>
        <w:pStyle w:val="SingleTxtG"/>
        <w:rPr>
          <w:lang w:val="fr-FR"/>
        </w:rPr>
      </w:pPr>
      <w:r w:rsidRPr="00E1323E">
        <w:rPr>
          <w:lang w:val="fr-FR"/>
        </w:rPr>
        <w:t>40.</w:t>
      </w:r>
      <w:r w:rsidRPr="00E1323E">
        <w:rPr>
          <w:lang w:val="fr-FR"/>
        </w:rPr>
        <w:tab/>
        <w:t>Dans sa réponse tardive, le Gouvernement admet que M.</w:t>
      </w:r>
      <w:r w:rsidR="00EA2145">
        <w:rPr>
          <w:lang w:val="fr-FR"/>
        </w:rPr>
        <w:t> </w:t>
      </w:r>
      <w:proofErr w:type="spellStart"/>
      <w:r w:rsidRPr="00E1323E">
        <w:rPr>
          <w:lang w:val="fr-FR"/>
        </w:rPr>
        <w:t>Zitout</w:t>
      </w:r>
      <w:proofErr w:type="spellEnd"/>
      <w:r w:rsidRPr="00E1323E">
        <w:rPr>
          <w:lang w:val="fr-FR"/>
        </w:rPr>
        <w:t xml:space="preserve"> a été arrêté et placé en garde à vue à partir du 30</w:t>
      </w:r>
      <w:r>
        <w:rPr>
          <w:lang w:val="fr-FR"/>
        </w:rPr>
        <w:t> </w:t>
      </w:r>
      <w:r w:rsidRPr="00E1323E">
        <w:rPr>
          <w:lang w:val="fr-FR"/>
        </w:rPr>
        <w:t>mars 2022</w:t>
      </w:r>
      <w:r>
        <w:rPr>
          <w:lang w:val="fr-FR"/>
        </w:rPr>
        <w:t>,</w:t>
      </w:r>
      <w:r w:rsidRPr="00E1323E">
        <w:rPr>
          <w:lang w:val="fr-FR"/>
        </w:rPr>
        <w:t xml:space="preserve"> jusqu</w:t>
      </w:r>
      <w:r>
        <w:rPr>
          <w:lang w:val="fr-FR"/>
        </w:rPr>
        <w:t>’</w:t>
      </w:r>
      <w:r w:rsidRPr="00E1323E">
        <w:rPr>
          <w:lang w:val="fr-FR"/>
        </w:rPr>
        <w:t>à ce qu</w:t>
      </w:r>
      <w:r>
        <w:rPr>
          <w:lang w:val="fr-FR"/>
        </w:rPr>
        <w:t>’</w:t>
      </w:r>
      <w:r w:rsidRPr="00E1323E">
        <w:rPr>
          <w:lang w:val="fr-FR"/>
        </w:rPr>
        <w:t>il soit présenté au parquet compétent le 5</w:t>
      </w:r>
      <w:r>
        <w:rPr>
          <w:lang w:val="fr-FR"/>
        </w:rPr>
        <w:t> </w:t>
      </w:r>
      <w:r w:rsidRPr="00E1323E">
        <w:rPr>
          <w:lang w:val="fr-FR"/>
        </w:rPr>
        <w:t>avril 2022. Cependant, il affirme que la prolongation de la garde à vue de M.</w:t>
      </w:r>
      <w:r w:rsidR="00EA2145">
        <w:rPr>
          <w:lang w:val="fr-FR"/>
        </w:rPr>
        <w:t> </w:t>
      </w:r>
      <w:proofErr w:type="spellStart"/>
      <w:r w:rsidRPr="00E1323E">
        <w:rPr>
          <w:lang w:val="fr-FR"/>
        </w:rPr>
        <w:t>Zitout</w:t>
      </w:r>
      <w:proofErr w:type="spellEnd"/>
      <w:r w:rsidRPr="00E1323E">
        <w:rPr>
          <w:lang w:val="fr-FR"/>
        </w:rPr>
        <w:t xml:space="preserve"> a été ordonnée par autorisation écrite du procureur compétent. Le Gouvernement </w:t>
      </w:r>
      <w:r>
        <w:rPr>
          <w:lang w:val="fr-FR"/>
        </w:rPr>
        <w:t>soutient</w:t>
      </w:r>
      <w:r w:rsidRPr="00E1323E">
        <w:rPr>
          <w:lang w:val="fr-FR"/>
        </w:rPr>
        <w:t xml:space="preserve"> que les motifs de son arrestation lui ont été notifiés</w:t>
      </w:r>
      <w:r>
        <w:rPr>
          <w:lang w:val="fr-FR"/>
        </w:rPr>
        <w:t>,</w:t>
      </w:r>
      <w:r w:rsidRPr="00E1323E">
        <w:rPr>
          <w:lang w:val="fr-FR"/>
        </w:rPr>
        <w:t xml:space="preserve"> comme </w:t>
      </w:r>
      <w:r>
        <w:rPr>
          <w:lang w:val="fr-FR"/>
        </w:rPr>
        <w:t>en</w:t>
      </w:r>
      <w:r w:rsidRPr="00E1323E">
        <w:rPr>
          <w:lang w:val="fr-FR"/>
        </w:rPr>
        <w:t xml:space="preserve"> témoignent les dossiers d</w:t>
      </w:r>
      <w:r>
        <w:rPr>
          <w:lang w:val="fr-FR"/>
        </w:rPr>
        <w:t>’</w:t>
      </w:r>
      <w:r w:rsidRPr="00E1323E">
        <w:rPr>
          <w:lang w:val="fr-FR"/>
        </w:rPr>
        <w:t>enquête préliminaire. Le Gouvernement ajoute que l</w:t>
      </w:r>
      <w:r>
        <w:rPr>
          <w:lang w:val="fr-FR"/>
        </w:rPr>
        <w:t>’</w:t>
      </w:r>
      <w:r w:rsidRPr="00E1323E">
        <w:rPr>
          <w:lang w:val="fr-FR"/>
        </w:rPr>
        <w:t>ensemble des questions qui lui ont été posées se rapporte aux faits ayant entraîné son arrestation.</w:t>
      </w:r>
    </w:p>
    <w:p w14:paraId="4DBCDECC" w14:textId="5C3CECD2" w:rsidR="00C91D59" w:rsidRPr="00E1323E" w:rsidRDefault="00C91D59" w:rsidP="00C91D59">
      <w:pPr>
        <w:pStyle w:val="SingleTxtG"/>
        <w:rPr>
          <w:lang w:val="fr-FR"/>
        </w:rPr>
      </w:pPr>
      <w:r w:rsidRPr="00E1323E">
        <w:rPr>
          <w:lang w:val="fr-FR"/>
        </w:rPr>
        <w:t>41.</w:t>
      </w:r>
      <w:r w:rsidRPr="00E1323E">
        <w:rPr>
          <w:lang w:val="fr-FR"/>
        </w:rPr>
        <w:tab/>
        <w:t>Le Groupe de travail remarque que le Gouvernement ne précise pas quand et comment M.</w:t>
      </w:r>
      <w:r w:rsidR="00EA2145">
        <w:rPr>
          <w:lang w:val="fr-FR"/>
        </w:rPr>
        <w:t> </w:t>
      </w:r>
      <w:proofErr w:type="spellStart"/>
      <w:r w:rsidRPr="00E1323E">
        <w:rPr>
          <w:lang w:val="fr-FR"/>
        </w:rPr>
        <w:t>Zitout</w:t>
      </w:r>
      <w:proofErr w:type="spellEnd"/>
      <w:r w:rsidRPr="00E1323E">
        <w:rPr>
          <w:lang w:val="fr-FR"/>
        </w:rPr>
        <w:t xml:space="preserve"> a été </w:t>
      </w:r>
      <w:r>
        <w:rPr>
          <w:lang w:val="fr-FR"/>
        </w:rPr>
        <w:t>informé</w:t>
      </w:r>
      <w:r w:rsidRPr="00E1323E">
        <w:rPr>
          <w:lang w:val="fr-FR"/>
        </w:rPr>
        <w:t xml:space="preserve"> des raisons de son arrestation et des crimes et délits dont il était accusé. En outre, le Gouvernement ne mentionne pas la présentation </w:t>
      </w:r>
      <w:r>
        <w:rPr>
          <w:lang w:val="fr-FR"/>
        </w:rPr>
        <w:t>d’un</w:t>
      </w:r>
      <w:r w:rsidRPr="00E1323E">
        <w:rPr>
          <w:lang w:val="fr-FR"/>
        </w:rPr>
        <w:t xml:space="preserve"> quelconque mandat ou ordre d</w:t>
      </w:r>
      <w:r>
        <w:rPr>
          <w:lang w:val="fr-FR"/>
        </w:rPr>
        <w:t>’</w:t>
      </w:r>
      <w:r w:rsidRPr="00E1323E">
        <w:rPr>
          <w:lang w:val="fr-FR"/>
        </w:rPr>
        <w:t>arrestation lors de l</w:t>
      </w:r>
      <w:r>
        <w:rPr>
          <w:lang w:val="fr-FR"/>
        </w:rPr>
        <w:t>’</w:t>
      </w:r>
      <w:r w:rsidRPr="00E1323E">
        <w:rPr>
          <w:lang w:val="fr-FR"/>
        </w:rPr>
        <w:t>arrestation de M.</w:t>
      </w:r>
      <w:r w:rsidR="00EA2145">
        <w:rPr>
          <w:lang w:val="fr-FR"/>
        </w:rPr>
        <w:t> </w:t>
      </w:r>
      <w:proofErr w:type="spellStart"/>
      <w:r w:rsidRPr="00E1323E">
        <w:rPr>
          <w:lang w:val="fr-FR"/>
        </w:rPr>
        <w:t>Zitout</w:t>
      </w:r>
      <w:proofErr w:type="spellEnd"/>
      <w:r w:rsidRPr="00E1323E">
        <w:rPr>
          <w:lang w:val="fr-FR"/>
        </w:rPr>
        <w:t>. Le Groupe de travail est préoccupé par l</w:t>
      </w:r>
      <w:r>
        <w:rPr>
          <w:lang w:val="fr-FR"/>
        </w:rPr>
        <w:t>’</w:t>
      </w:r>
      <w:r w:rsidRPr="00E1323E">
        <w:rPr>
          <w:lang w:val="fr-FR"/>
        </w:rPr>
        <w:t>argument du Gouvernement selon lequel M.</w:t>
      </w:r>
      <w:r w:rsidR="00EA2145">
        <w:rPr>
          <w:lang w:val="fr-FR"/>
        </w:rPr>
        <w:t> </w:t>
      </w:r>
      <w:proofErr w:type="spellStart"/>
      <w:r w:rsidRPr="00E1323E">
        <w:rPr>
          <w:lang w:val="fr-FR"/>
        </w:rPr>
        <w:t>Zitout</w:t>
      </w:r>
      <w:proofErr w:type="spellEnd"/>
      <w:r w:rsidRPr="00E1323E">
        <w:rPr>
          <w:lang w:val="fr-FR"/>
        </w:rPr>
        <w:t xml:space="preserve"> pouvait deviner les raisons de sa détention à travers les questions qui lui étaient posées durant son audition</w:t>
      </w:r>
      <w:r>
        <w:rPr>
          <w:lang w:val="fr-FR"/>
        </w:rPr>
        <w:t>, qu’il</w:t>
      </w:r>
      <w:r w:rsidRPr="00E1323E">
        <w:rPr>
          <w:lang w:val="fr-FR"/>
        </w:rPr>
        <w:t xml:space="preserve"> n</w:t>
      </w:r>
      <w:r>
        <w:rPr>
          <w:lang w:val="fr-FR"/>
        </w:rPr>
        <w:t>’</w:t>
      </w:r>
      <w:r w:rsidRPr="00E1323E">
        <w:rPr>
          <w:lang w:val="fr-FR"/>
        </w:rPr>
        <w:t>est</w:t>
      </w:r>
      <w:r>
        <w:rPr>
          <w:lang w:val="fr-FR"/>
        </w:rPr>
        <w:t>ime</w:t>
      </w:r>
      <w:r w:rsidRPr="00E1323E">
        <w:rPr>
          <w:lang w:val="fr-FR"/>
        </w:rPr>
        <w:t xml:space="preserve"> pas convaincant. Le Groupe de travail rappelle que la raison d</w:t>
      </w:r>
      <w:r>
        <w:rPr>
          <w:lang w:val="fr-FR"/>
        </w:rPr>
        <w:t>’</w:t>
      </w:r>
      <w:r w:rsidRPr="00E1323E">
        <w:rPr>
          <w:lang w:val="fr-FR"/>
        </w:rPr>
        <w:t xml:space="preserve">être du droit </w:t>
      </w:r>
      <w:r>
        <w:rPr>
          <w:lang w:val="fr-FR"/>
        </w:rPr>
        <w:t>de recevoir notification</w:t>
      </w:r>
      <w:r w:rsidRPr="00E1323E">
        <w:rPr>
          <w:lang w:val="fr-FR"/>
        </w:rPr>
        <w:t xml:space="preserve"> des raisons de son arrestation, garanti par l</w:t>
      </w:r>
      <w:r>
        <w:rPr>
          <w:lang w:val="fr-FR"/>
        </w:rPr>
        <w:t>’</w:t>
      </w:r>
      <w:r w:rsidRPr="00E1323E">
        <w:rPr>
          <w:lang w:val="fr-FR"/>
        </w:rPr>
        <w:t>article</w:t>
      </w:r>
      <w:r w:rsidR="00EA2145">
        <w:rPr>
          <w:lang w:val="fr-FR"/>
        </w:rPr>
        <w:t> </w:t>
      </w:r>
      <w:r w:rsidRPr="00E1323E">
        <w:rPr>
          <w:lang w:val="fr-FR"/>
        </w:rPr>
        <w:t xml:space="preserve">9 du Pacte, est de donner </w:t>
      </w:r>
      <w:r>
        <w:rPr>
          <w:lang w:val="fr-FR"/>
        </w:rPr>
        <w:t>à l’accusé</w:t>
      </w:r>
      <w:r w:rsidRPr="00E1323E">
        <w:rPr>
          <w:lang w:val="fr-FR"/>
        </w:rPr>
        <w:t xml:space="preserve"> </w:t>
      </w:r>
      <w:r>
        <w:rPr>
          <w:lang w:val="fr-FR"/>
        </w:rPr>
        <w:t>la possibilité</w:t>
      </w:r>
      <w:r w:rsidRPr="00E1323E">
        <w:rPr>
          <w:lang w:val="fr-FR"/>
        </w:rPr>
        <w:t xml:space="preserve"> de comprendre les allégations sur la base desquelles il est arrêté avant de répondre aux questions des autorités. Si un </w:t>
      </w:r>
      <w:r>
        <w:rPr>
          <w:lang w:val="fr-FR"/>
        </w:rPr>
        <w:t>accusé</w:t>
      </w:r>
      <w:r w:rsidRPr="00E1323E">
        <w:rPr>
          <w:lang w:val="fr-FR"/>
        </w:rPr>
        <w:t xml:space="preserve"> devait deviner les motifs de son arrestation sur la base des questions qui lui sont posées, il courrait alors le risque de fournir des informations lui portant préjudice sans s</w:t>
      </w:r>
      <w:r>
        <w:rPr>
          <w:lang w:val="fr-FR"/>
        </w:rPr>
        <w:t>’</w:t>
      </w:r>
      <w:r w:rsidRPr="00E1323E">
        <w:rPr>
          <w:lang w:val="fr-FR"/>
        </w:rPr>
        <w:t xml:space="preserve">en rendre compte. Au vu de la réponse du Gouvernement, le Groupe de travail considère </w:t>
      </w:r>
      <w:r>
        <w:rPr>
          <w:lang w:val="fr-FR"/>
        </w:rPr>
        <w:t xml:space="preserve">comme </w:t>
      </w:r>
      <w:r w:rsidRPr="00E1323E">
        <w:rPr>
          <w:lang w:val="fr-FR"/>
        </w:rPr>
        <w:t>crédibles les allégations de la source selon lesquelles M.</w:t>
      </w:r>
      <w:r w:rsidR="00EA2145">
        <w:rPr>
          <w:lang w:val="fr-FR"/>
        </w:rPr>
        <w:t> </w:t>
      </w:r>
      <w:proofErr w:type="spellStart"/>
      <w:r w:rsidRPr="00E1323E">
        <w:rPr>
          <w:lang w:val="fr-FR"/>
        </w:rPr>
        <w:t>Zitout</w:t>
      </w:r>
      <w:proofErr w:type="spellEnd"/>
      <w:r w:rsidRPr="00E1323E">
        <w:rPr>
          <w:lang w:val="fr-FR"/>
        </w:rPr>
        <w:t xml:space="preserve"> n</w:t>
      </w:r>
      <w:r>
        <w:rPr>
          <w:lang w:val="fr-FR"/>
        </w:rPr>
        <w:t>’</w:t>
      </w:r>
      <w:r w:rsidRPr="00E1323E">
        <w:rPr>
          <w:lang w:val="fr-FR"/>
        </w:rPr>
        <w:t xml:space="preserve">a pas été </w:t>
      </w:r>
      <w:r>
        <w:rPr>
          <w:lang w:val="fr-FR"/>
        </w:rPr>
        <w:t>informé</w:t>
      </w:r>
      <w:r w:rsidRPr="00E1323E">
        <w:rPr>
          <w:lang w:val="fr-FR"/>
        </w:rPr>
        <w:t xml:space="preserve"> des raisons de son arrestation au moment de celle-ci ni, dans le plus court délai, de toute accusation portée contre</w:t>
      </w:r>
      <w:r>
        <w:rPr>
          <w:lang w:val="fr-FR"/>
        </w:rPr>
        <w:t xml:space="preserve"> lui</w:t>
      </w:r>
      <w:r w:rsidRPr="00E1323E">
        <w:rPr>
          <w:lang w:val="fr-FR"/>
        </w:rPr>
        <w:t>, en violation de l</w:t>
      </w:r>
      <w:r>
        <w:rPr>
          <w:lang w:val="fr-FR"/>
        </w:rPr>
        <w:t>’</w:t>
      </w:r>
      <w:r w:rsidRPr="00E1323E">
        <w:rPr>
          <w:lang w:val="fr-FR"/>
        </w:rPr>
        <w:t>article</w:t>
      </w:r>
      <w:r w:rsidR="00EA2145">
        <w:rPr>
          <w:lang w:val="fr-FR"/>
        </w:rPr>
        <w:t> </w:t>
      </w:r>
      <w:r w:rsidRPr="00E1323E">
        <w:rPr>
          <w:lang w:val="fr-FR"/>
        </w:rPr>
        <w:t>9 (</w:t>
      </w:r>
      <w:r>
        <w:rPr>
          <w:lang w:val="fr-FR"/>
        </w:rPr>
        <w:t>par.</w:t>
      </w:r>
      <w:r w:rsidR="00EA2145">
        <w:rPr>
          <w:lang w:val="fr-FR"/>
        </w:rPr>
        <w:t> </w:t>
      </w:r>
      <w:r w:rsidRPr="00E1323E">
        <w:rPr>
          <w:lang w:val="fr-FR"/>
        </w:rPr>
        <w:t xml:space="preserve">2) du Pacte. </w:t>
      </w:r>
    </w:p>
    <w:p w14:paraId="61BC05A9" w14:textId="0E3E9A01" w:rsidR="00C91D59" w:rsidRPr="00E1323E" w:rsidRDefault="00C91D59" w:rsidP="00C91D59">
      <w:pPr>
        <w:pStyle w:val="SingleTxtG"/>
        <w:rPr>
          <w:lang w:val="fr-FR"/>
        </w:rPr>
      </w:pPr>
      <w:r w:rsidRPr="00E1323E">
        <w:rPr>
          <w:lang w:val="fr-FR"/>
        </w:rPr>
        <w:t>42.</w:t>
      </w:r>
      <w:r w:rsidRPr="00E1323E">
        <w:rPr>
          <w:lang w:val="fr-FR"/>
        </w:rPr>
        <w:tab/>
        <w:t>Aux termes de l</w:t>
      </w:r>
      <w:r>
        <w:rPr>
          <w:lang w:val="fr-FR"/>
        </w:rPr>
        <w:t>’</w:t>
      </w:r>
      <w:r w:rsidRPr="00E1323E">
        <w:rPr>
          <w:lang w:val="fr-FR"/>
        </w:rPr>
        <w:t>article</w:t>
      </w:r>
      <w:r w:rsidR="00EA2145">
        <w:rPr>
          <w:lang w:val="fr-FR"/>
        </w:rPr>
        <w:t> </w:t>
      </w:r>
      <w:r w:rsidRPr="00E1323E">
        <w:rPr>
          <w:lang w:val="fr-FR"/>
        </w:rPr>
        <w:t>9 (</w:t>
      </w:r>
      <w:r>
        <w:rPr>
          <w:lang w:val="fr-FR"/>
        </w:rPr>
        <w:t>par.</w:t>
      </w:r>
      <w:r w:rsidR="00EA2145">
        <w:rPr>
          <w:lang w:val="fr-FR"/>
        </w:rPr>
        <w:t> </w:t>
      </w:r>
      <w:r w:rsidRPr="00E1323E">
        <w:rPr>
          <w:lang w:val="fr-FR"/>
        </w:rPr>
        <w:t>3) du Pacte, tout individu arrêté ou détenu du chef d</w:t>
      </w:r>
      <w:r>
        <w:rPr>
          <w:lang w:val="fr-FR"/>
        </w:rPr>
        <w:t>’</w:t>
      </w:r>
      <w:r w:rsidRPr="00E1323E">
        <w:rPr>
          <w:lang w:val="fr-FR"/>
        </w:rPr>
        <w:t>une infraction pénale doit être traduit devant un juge dans le plus court délai. Le Comité des droits de l</w:t>
      </w:r>
      <w:r>
        <w:rPr>
          <w:lang w:val="fr-FR"/>
        </w:rPr>
        <w:t>’</w:t>
      </w:r>
      <w:r w:rsidRPr="00E1323E">
        <w:rPr>
          <w:lang w:val="fr-FR"/>
        </w:rPr>
        <w:t xml:space="preserve">homme a noté que quarante-huit heures suffisent généralement pour satisfaire </w:t>
      </w:r>
      <w:r>
        <w:rPr>
          <w:lang w:val="fr-FR"/>
        </w:rPr>
        <w:t xml:space="preserve">à </w:t>
      </w:r>
      <w:r w:rsidRPr="00E1323E">
        <w:rPr>
          <w:lang w:val="fr-FR"/>
        </w:rPr>
        <w:t>cette obligation, tout délai supérieur devant rester absolument exceptionnel et être justifié par les circonstances</w:t>
      </w:r>
      <w:r w:rsidRPr="00C91D59">
        <w:rPr>
          <w:rStyle w:val="FootnoteReference"/>
        </w:rPr>
        <w:footnoteReference w:id="7"/>
      </w:r>
      <w:r w:rsidRPr="00E1323E">
        <w:rPr>
          <w:lang w:val="fr-FR"/>
        </w:rPr>
        <w:t>. Les faits rapportés par la source et le Gouvernement indiquent que M.</w:t>
      </w:r>
      <w:r w:rsidR="00EA2145">
        <w:rPr>
          <w:lang w:val="fr-FR"/>
        </w:rPr>
        <w:t> </w:t>
      </w:r>
      <w:proofErr w:type="spellStart"/>
      <w:r w:rsidRPr="00E1323E">
        <w:rPr>
          <w:lang w:val="fr-FR"/>
        </w:rPr>
        <w:t>Zitout</w:t>
      </w:r>
      <w:proofErr w:type="spellEnd"/>
      <w:r w:rsidRPr="00E1323E">
        <w:rPr>
          <w:lang w:val="fr-FR"/>
        </w:rPr>
        <w:t xml:space="preserve"> n</w:t>
      </w:r>
      <w:r>
        <w:rPr>
          <w:lang w:val="fr-FR"/>
        </w:rPr>
        <w:t>’</w:t>
      </w:r>
      <w:r w:rsidRPr="00E1323E">
        <w:rPr>
          <w:lang w:val="fr-FR"/>
        </w:rPr>
        <w:t xml:space="preserve">a été traduit devant le </w:t>
      </w:r>
      <w:r>
        <w:rPr>
          <w:lang w:val="fr-FR"/>
        </w:rPr>
        <w:t>P</w:t>
      </w:r>
      <w:r w:rsidRPr="00E1323E">
        <w:rPr>
          <w:lang w:val="fr-FR"/>
        </w:rPr>
        <w:t xml:space="preserve">rocureur de la </w:t>
      </w:r>
      <w:r>
        <w:rPr>
          <w:lang w:val="fr-FR"/>
        </w:rPr>
        <w:t>R</w:t>
      </w:r>
      <w:r w:rsidRPr="00E1323E">
        <w:rPr>
          <w:lang w:val="fr-FR"/>
        </w:rPr>
        <w:t>épublique</w:t>
      </w:r>
      <w:r w:rsidRPr="00E1323E" w:rsidDel="003A688B">
        <w:rPr>
          <w:lang w:val="fr-FR"/>
        </w:rPr>
        <w:t xml:space="preserve"> </w:t>
      </w:r>
      <w:r w:rsidRPr="00E1323E">
        <w:rPr>
          <w:lang w:val="fr-FR"/>
        </w:rPr>
        <w:t>que le 5</w:t>
      </w:r>
      <w:r>
        <w:rPr>
          <w:lang w:val="fr-FR"/>
        </w:rPr>
        <w:t> </w:t>
      </w:r>
      <w:r w:rsidRPr="00E1323E">
        <w:rPr>
          <w:lang w:val="fr-FR"/>
        </w:rPr>
        <w:t xml:space="preserve">avril 2022, </w:t>
      </w:r>
      <w:r>
        <w:rPr>
          <w:lang w:val="fr-FR"/>
        </w:rPr>
        <w:t xml:space="preserve">soit </w:t>
      </w:r>
      <w:r w:rsidRPr="00E1323E">
        <w:rPr>
          <w:lang w:val="fr-FR"/>
        </w:rPr>
        <w:t>six jours après son arrestation</w:t>
      </w:r>
      <w:r>
        <w:rPr>
          <w:lang w:val="fr-FR"/>
        </w:rPr>
        <w:t>,</w:t>
      </w:r>
      <w:r w:rsidRPr="00E1323E">
        <w:rPr>
          <w:lang w:val="fr-FR"/>
        </w:rPr>
        <w:t xml:space="preserve"> le 30</w:t>
      </w:r>
      <w:r>
        <w:rPr>
          <w:lang w:val="fr-FR"/>
        </w:rPr>
        <w:t> </w:t>
      </w:r>
      <w:r w:rsidRPr="00E1323E">
        <w:rPr>
          <w:lang w:val="fr-FR"/>
        </w:rPr>
        <w:t>mars 2022. Selon le Gouvernement, la garde à vue de M.</w:t>
      </w:r>
      <w:r w:rsidR="00EA2145">
        <w:rPr>
          <w:lang w:val="fr-FR"/>
        </w:rPr>
        <w:t> </w:t>
      </w:r>
      <w:proofErr w:type="spellStart"/>
      <w:r w:rsidRPr="00E1323E">
        <w:rPr>
          <w:lang w:val="fr-FR"/>
        </w:rPr>
        <w:t>Zitout</w:t>
      </w:r>
      <w:proofErr w:type="spellEnd"/>
      <w:r w:rsidRPr="00E1323E">
        <w:rPr>
          <w:lang w:val="fr-FR"/>
        </w:rPr>
        <w:t xml:space="preserve"> a été prolongée sur autorisation écrite du </w:t>
      </w:r>
      <w:r>
        <w:rPr>
          <w:lang w:val="fr-FR"/>
        </w:rPr>
        <w:t>p</w:t>
      </w:r>
      <w:r w:rsidRPr="00E1323E">
        <w:rPr>
          <w:lang w:val="fr-FR"/>
        </w:rPr>
        <w:t>rocureur compétent. Comme l</w:t>
      </w:r>
      <w:r>
        <w:rPr>
          <w:lang w:val="fr-FR"/>
        </w:rPr>
        <w:t>’</w:t>
      </w:r>
      <w:r w:rsidRPr="00E1323E">
        <w:rPr>
          <w:lang w:val="fr-FR"/>
        </w:rPr>
        <w:t xml:space="preserve">a déclaré le Groupe de travail, un organe de poursuite ne peut être considéré comme une autorité judiciaire aux fins </w:t>
      </w:r>
      <w:r w:rsidRPr="00E1323E">
        <w:rPr>
          <w:lang w:val="fr-FR"/>
        </w:rPr>
        <w:lastRenderedPageBreak/>
        <w:t>de l</w:t>
      </w:r>
      <w:r>
        <w:rPr>
          <w:lang w:val="fr-FR"/>
        </w:rPr>
        <w:t>’</w:t>
      </w:r>
      <w:r w:rsidRPr="00E1323E">
        <w:rPr>
          <w:lang w:val="fr-FR"/>
        </w:rPr>
        <w:t>article</w:t>
      </w:r>
      <w:r w:rsidR="00EA2145">
        <w:rPr>
          <w:lang w:val="fr-FR"/>
        </w:rPr>
        <w:t> </w:t>
      </w:r>
      <w:r w:rsidRPr="00E1323E">
        <w:rPr>
          <w:lang w:val="fr-FR"/>
        </w:rPr>
        <w:t>9 (</w:t>
      </w:r>
      <w:r>
        <w:rPr>
          <w:lang w:val="fr-FR"/>
        </w:rPr>
        <w:t>par.</w:t>
      </w:r>
      <w:r w:rsidR="00EA2145">
        <w:rPr>
          <w:lang w:val="fr-FR"/>
        </w:rPr>
        <w:t> </w:t>
      </w:r>
      <w:r w:rsidRPr="00E1323E">
        <w:rPr>
          <w:lang w:val="fr-FR"/>
        </w:rPr>
        <w:t>3) du Pacte</w:t>
      </w:r>
      <w:r w:rsidRPr="00C91D59">
        <w:rPr>
          <w:rStyle w:val="FootnoteReference"/>
        </w:rPr>
        <w:footnoteReference w:id="8"/>
      </w:r>
      <w:r w:rsidRPr="00E1323E">
        <w:rPr>
          <w:lang w:val="fr-FR"/>
        </w:rPr>
        <w:t>. Le Gouvernement n</w:t>
      </w:r>
      <w:r>
        <w:rPr>
          <w:lang w:val="fr-FR"/>
        </w:rPr>
        <w:t>’</w:t>
      </w:r>
      <w:r w:rsidRPr="00E1323E">
        <w:rPr>
          <w:lang w:val="fr-FR"/>
        </w:rPr>
        <w:t>a fourni aucune explication tendant à justifier le délai de cinq jours entre l</w:t>
      </w:r>
      <w:r>
        <w:rPr>
          <w:lang w:val="fr-FR"/>
        </w:rPr>
        <w:t>’</w:t>
      </w:r>
      <w:r w:rsidRPr="00E1323E">
        <w:rPr>
          <w:lang w:val="fr-FR"/>
        </w:rPr>
        <w:t>arrestation de M.</w:t>
      </w:r>
      <w:r w:rsidR="00EA2145">
        <w:rPr>
          <w:lang w:val="fr-FR"/>
        </w:rPr>
        <w:t> </w:t>
      </w:r>
      <w:proofErr w:type="spellStart"/>
      <w:r w:rsidRPr="00E1323E">
        <w:rPr>
          <w:lang w:val="fr-FR"/>
        </w:rPr>
        <w:t>Zitout</w:t>
      </w:r>
      <w:proofErr w:type="spellEnd"/>
      <w:r w:rsidRPr="00E1323E">
        <w:rPr>
          <w:lang w:val="fr-FR"/>
        </w:rPr>
        <w:t xml:space="preserve"> et sa comparution devant le parquet compétent. Partant, le Groupe de travail conclut que le Gouvernement a violé </w:t>
      </w:r>
      <w:r>
        <w:rPr>
          <w:lang w:val="fr-FR"/>
        </w:rPr>
        <w:t xml:space="preserve">les dispositions de </w:t>
      </w:r>
      <w:r w:rsidRPr="00E1323E">
        <w:rPr>
          <w:lang w:val="fr-FR"/>
        </w:rPr>
        <w:t>l</w:t>
      </w:r>
      <w:r>
        <w:rPr>
          <w:lang w:val="fr-FR"/>
        </w:rPr>
        <w:t>’</w:t>
      </w:r>
      <w:r w:rsidRPr="00E1323E">
        <w:rPr>
          <w:lang w:val="fr-FR"/>
        </w:rPr>
        <w:t>article</w:t>
      </w:r>
      <w:r w:rsidR="00EA2145">
        <w:rPr>
          <w:lang w:val="fr-FR"/>
        </w:rPr>
        <w:t> </w:t>
      </w:r>
      <w:r w:rsidRPr="00E1323E">
        <w:rPr>
          <w:lang w:val="fr-FR"/>
        </w:rPr>
        <w:t>9 (</w:t>
      </w:r>
      <w:r>
        <w:rPr>
          <w:lang w:val="fr-FR"/>
        </w:rPr>
        <w:t>par.</w:t>
      </w:r>
      <w:r w:rsidR="00EA2145">
        <w:rPr>
          <w:lang w:val="fr-FR"/>
        </w:rPr>
        <w:t> </w:t>
      </w:r>
      <w:r w:rsidRPr="00E1323E">
        <w:rPr>
          <w:lang w:val="fr-FR"/>
        </w:rPr>
        <w:t>3) du Pacte.</w:t>
      </w:r>
    </w:p>
    <w:p w14:paraId="0531FE2A" w14:textId="007198F1" w:rsidR="00C91D59" w:rsidRPr="00E1323E" w:rsidRDefault="00C91D59" w:rsidP="00C91D59">
      <w:pPr>
        <w:pStyle w:val="SingleTxtG"/>
        <w:rPr>
          <w:lang w:val="fr-FR"/>
        </w:rPr>
      </w:pPr>
      <w:r w:rsidRPr="00E1323E">
        <w:rPr>
          <w:lang w:val="fr-FR"/>
        </w:rPr>
        <w:t>43.</w:t>
      </w:r>
      <w:r w:rsidRPr="00E1323E">
        <w:rPr>
          <w:lang w:val="fr-FR"/>
        </w:rPr>
        <w:tab/>
        <w:t>Selon la source, le juge d</w:t>
      </w:r>
      <w:r>
        <w:rPr>
          <w:lang w:val="fr-FR"/>
        </w:rPr>
        <w:t>’</w:t>
      </w:r>
      <w:r w:rsidRPr="00E1323E">
        <w:rPr>
          <w:lang w:val="fr-FR"/>
        </w:rPr>
        <w:t>instruction aurait ordonné le placement en détention provisoire de M.</w:t>
      </w:r>
      <w:r w:rsidR="00EA2145">
        <w:rPr>
          <w:lang w:val="fr-FR"/>
        </w:rPr>
        <w:t> </w:t>
      </w:r>
      <w:proofErr w:type="spellStart"/>
      <w:r w:rsidRPr="00E1323E">
        <w:rPr>
          <w:lang w:val="fr-FR"/>
        </w:rPr>
        <w:t>Zitout</w:t>
      </w:r>
      <w:proofErr w:type="spellEnd"/>
      <w:r w:rsidRPr="00E1323E">
        <w:rPr>
          <w:lang w:val="fr-FR"/>
        </w:rPr>
        <w:t xml:space="preserve"> malgré l</w:t>
      </w:r>
      <w:r>
        <w:rPr>
          <w:lang w:val="fr-FR"/>
        </w:rPr>
        <w:t>’</w:t>
      </w:r>
      <w:r w:rsidRPr="00E1323E">
        <w:rPr>
          <w:lang w:val="fr-FR"/>
        </w:rPr>
        <w:t>absence totale d</w:t>
      </w:r>
      <w:r>
        <w:rPr>
          <w:lang w:val="fr-FR"/>
        </w:rPr>
        <w:t>’</w:t>
      </w:r>
      <w:r w:rsidRPr="00E1323E">
        <w:rPr>
          <w:lang w:val="fr-FR"/>
        </w:rPr>
        <w:t>éléments matériels dans son dossier. Dans sa réponse tardive, le Gouvernement affirme que le juge d</w:t>
      </w:r>
      <w:r>
        <w:rPr>
          <w:lang w:val="fr-FR"/>
        </w:rPr>
        <w:t>’</w:t>
      </w:r>
      <w:r w:rsidRPr="00E1323E">
        <w:rPr>
          <w:lang w:val="fr-FR"/>
        </w:rPr>
        <w:t>instruction a le pouvoir discrétionnaire de prendre toute mesure prévue aux articles</w:t>
      </w:r>
      <w:r w:rsidR="00EA2145">
        <w:rPr>
          <w:lang w:val="fr-FR"/>
        </w:rPr>
        <w:t> </w:t>
      </w:r>
      <w:r w:rsidRPr="00E1323E">
        <w:rPr>
          <w:lang w:val="fr-FR"/>
        </w:rPr>
        <w:t>123 et 123</w:t>
      </w:r>
      <w:r w:rsidR="00EA2145">
        <w:rPr>
          <w:lang w:val="fr-FR"/>
        </w:rPr>
        <w:t> </w:t>
      </w:r>
      <w:r w:rsidRPr="00DC1964">
        <w:rPr>
          <w:i/>
          <w:iCs/>
          <w:lang w:val="fr-FR"/>
        </w:rPr>
        <w:t>bis</w:t>
      </w:r>
      <w:r w:rsidRPr="00E1323E">
        <w:rPr>
          <w:lang w:val="fr-FR"/>
        </w:rPr>
        <w:t xml:space="preserve"> du Code de procédure pénale (tels la mise en liberté, le contrôle judiciaire ou le placement en détention provisoire). Le Groupe de travail note que le Gouvernement n</w:t>
      </w:r>
      <w:r>
        <w:rPr>
          <w:lang w:val="fr-FR"/>
        </w:rPr>
        <w:t>’</w:t>
      </w:r>
      <w:r w:rsidRPr="00E1323E">
        <w:rPr>
          <w:lang w:val="fr-FR"/>
        </w:rPr>
        <w:t xml:space="preserve">a pas contesté </w:t>
      </w:r>
      <w:r>
        <w:rPr>
          <w:lang w:val="fr-FR"/>
        </w:rPr>
        <w:t xml:space="preserve">le fait </w:t>
      </w:r>
      <w:r w:rsidRPr="00E1323E">
        <w:rPr>
          <w:lang w:val="fr-FR"/>
        </w:rPr>
        <w:t>que M.</w:t>
      </w:r>
      <w:r w:rsidR="00EA2145">
        <w:rPr>
          <w:lang w:val="fr-FR"/>
        </w:rPr>
        <w:t> </w:t>
      </w:r>
      <w:proofErr w:type="spellStart"/>
      <w:r w:rsidRPr="00E1323E">
        <w:rPr>
          <w:lang w:val="fr-FR"/>
        </w:rPr>
        <w:t>Zitout</w:t>
      </w:r>
      <w:proofErr w:type="spellEnd"/>
      <w:r w:rsidRPr="00E1323E">
        <w:rPr>
          <w:lang w:val="fr-FR"/>
        </w:rPr>
        <w:t xml:space="preserve"> est </w:t>
      </w:r>
      <w:r>
        <w:rPr>
          <w:lang w:val="fr-FR"/>
        </w:rPr>
        <w:t>maintenu</w:t>
      </w:r>
      <w:r w:rsidRPr="00E1323E">
        <w:rPr>
          <w:lang w:val="fr-FR"/>
        </w:rPr>
        <w:t xml:space="preserve"> en détention provisoire depuis plus d</w:t>
      </w:r>
      <w:r>
        <w:rPr>
          <w:lang w:val="fr-FR"/>
        </w:rPr>
        <w:t>’</w:t>
      </w:r>
      <w:r w:rsidRPr="00E1323E">
        <w:rPr>
          <w:lang w:val="fr-FR"/>
        </w:rPr>
        <w:t xml:space="preserve">un an, et que toutes ses demandes de mise en liberté ont été refusées. </w:t>
      </w:r>
    </w:p>
    <w:p w14:paraId="69F03599" w14:textId="0DCB1A70" w:rsidR="00C91D59" w:rsidRPr="00E1323E" w:rsidRDefault="00C91D59" w:rsidP="00C91D59">
      <w:pPr>
        <w:pStyle w:val="SingleTxtG"/>
        <w:rPr>
          <w:lang w:val="fr-FR"/>
        </w:rPr>
      </w:pPr>
      <w:r w:rsidRPr="00E1323E">
        <w:rPr>
          <w:lang w:val="fr-FR"/>
        </w:rPr>
        <w:t>44.</w:t>
      </w:r>
      <w:r w:rsidRPr="00E1323E">
        <w:rPr>
          <w:lang w:val="fr-FR"/>
        </w:rPr>
        <w:tab/>
        <w:t>Au titre de l</w:t>
      </w:r>
      <w:r>
        <w:rPr>
          <w:lang w:val="fr-FR"/>
        </w:rPr>
        <w:t>’</w:t>
      </w:r>
      <w:r w:rsidRPr="00E1323E">
        <w:rPr>
          <w:lang w:val="fr-FR"/>
        </w:rPr>
        <w:t>article</w:t>
      </w:r>
      <w:r w:rsidR="00EA2145">
        <w:rPr>
          <w:lang w:val="fr-FR"/>
        </w:rPr>
        <w:t> </w:t>
      </w:r>
      <w:r w:rsidRPr="00E1323E">
        <w:rPr>
          <w:lang w:val="fr-FR"/>
        </w:rPr>
        <w:t>9 (par.</w:t>
      </w:r>
      <w:r w:rsidR="00EA2145">
        <w:rPr>
          <w:lang w:val="fr-FR"/>
        </w:rPr>
        <w:t> </w:t>
      </w:r>
      <w:r w:rsidRPr="00E1323E">
        <w:rPr>
          <w:lang w:val="fr-FR"/>
        </w:rPr>
        <w:t>3) du Pacte, la détention provisoire doit être l</w:t>
      </w:r>
      <w:r>
        <w:rPr>
          <w:lang w:val="fr-FR"/>
        </w:rPr>
        <w:t>’</w:t>
      </w:r>
      <w:r w:rsidRPr="00E1323E">
        <w:rPr>
          <w:lang w:val="fr-FR"/>
        </w:rPr>
        <w:t>exception plutôt que la règle et doit être ordonnée pour la durée la plus courte possible</w:t>
      </w:r>
      <w:r w:rsidRPr="00C91D59">
        <w:rPr>
          <w:rStyle w:val="FootnoteReference"/>
        </w:rPr>
        <w:footnoteReference w:id="9"/>
      </w:r>
      <w:r>
        <w:rPr>
          <w:lang w:val="fr-FR"/>
        </w:rPr>
        <w:t>.</w:t>
      </w:r>
      <w:r w:rsidRPr="00E1323E">
        <w:rPr>
          <w:lang w:val="fr-FR"/>
        </w:rPr>
        <w:t xml:space="preserve"> Elle doit être fondée sur une détermination individuelle qu</w:t>
      </w:r>
      <w:r>
        <w:rPr>
          <w:lang w:val="fr-FR"/>
        </w:rPr>
        <w:t>’</w:t>
      </w:r>
      <w:r w:rsidRPr="00E1323E">
        <w:rPr>
          <w:lang w:val="fr-FR"/>
        </w:rPr>
        <w:t>elle est raisonnable et nécessaire à des fins telles qu</w:t>
      </w:r>
      <w:r>
        <w:rPr>
          <w:lang w:val="fr-FR"/>
        </w:rPr>
        <w:t>’</w:t>
      </w:r>
      <w:r w:rsidRPr="00E1323E">
        <w:rPr>
          <w:lang w:val="fr-FR"/>
        </w:rPr>
        <w:t>empêcher la fuite, la falsification de preuves ou la répétition d</w:t>
      </w:r>
      <w:r>
        <w:rPr>
          <w:lang w:val="fr-FR"/>
        </w:rPr>
        <w:t>’</w:t>
      </w:r>
      <w:r w:rsidRPr="00E1323E">
        <w:rPr>
          <w:lang w:val="fr-FR"/>
        </w:rPr>
        <w:t>un crime</w:t>
      </w:r>
      <w:r w:rsidRPr="00C91D59">
        <w:rPr>
          <w:rStyle w:val="FootnoteReference"/>
        </w:rPr>
        <w:footnoteReference w:id="10"/>
      </w:r>
      <w:r>
        <w:rPr>
          <w:lang w:val="fr-FR"/>
        </w:rPr>
        <w:t>.</w:t>
      </w:r>
      <w:r w:rsidRPr="00E1323E">
        <w:rPr>
          <w:lang w:val="fr-FR"/>
        </w:rPr>
        <w:t xml:space="preserve"> Les tribunaux doivent examiner si les </w:t>
      </w:r>
      <w:r>
        <w:rPr>
          <w:lang w:val="fr-FR"/>
        </w:rPr>
        <w:t>mesures de substitution</w:t>
      </w:r>
      <w:r w:rsidRPr="00E1323E">
        <w:rPr>
          <w:lang w:val="fr-FR"/>
        </w:rPr>
        <w:t xml:space="preserve"> à la détention provisoire, telles que la libération sous caution, rendraient la détention inutile</w:t>
      </w:r>
      <w:r w:rsidRPr="00C91D59">
        <w:rPr>
          <w:rStyle w:val="FootnoteReference"/>
        </w:rPr>
        <w:footnoteReference w:id="11"/>
      </w:r>
      <w:r>
        <w:rPr>
          <w:lang w:val="fr-FR"/>
        </w:rPr>
        <w:t>.</w:t>
      </w:r>
      <w:r w:rsidRPr="00E1323E">
        <w:rPr>
          <w:lang w:val="fr-FR"/>
        </w:rPr>
        <w:t xml:space="preserve"> Pour déterminer si les éléments justifiant la détention provisoire sont réunis, le Groupe de travail s</w:t>
      </w:r>
      <w:r>
        <w:rPr>
          <w:lang w:val="fr-FR"/>
        </w:rPr>
        <w:t>’</w:t>
      </w:r>
      <w:r w:rsidRPr="00E1323E">
        <w:rPr>
          <w:lang w:val="fr-FR"/>
        </w:rPr>
        <w:t>intéresse à la question de savoir si les tribunaux nationaux ont tenu compte des circonstances particulières de l</w:t>
      </w:r>
      <w:r>
        <w:rPr>
          <w:lang w:val="fr-FR"/>
        </w:rPr>
        <w:t>’</w:t>
      </w:r>
      <w:r w:rsidRPr="00E1323E">
        <w:rPr>
          <w:lang w:val="fr-FR"/>
        </w:rPr>
        <w:t>intéressé, mais ne vérifie pas lui-même l</w:t>
      </w:r>
      <w:r>
        <w:rPr>
          <w:lang w:val="fr-FR"/>
        </w:rPr>
        <w:t>’</w:t>
      </w:r>
      <w:r w:rsidRPr="00E1323E">
        <w:rPr>
          <w:lang w:val="fr-FR"/>
        </w:rPr>
        <w:t>existence de risques nécessitant un placement en détention</w:t>
      </w:r>
      <w:r w:rsidRPr="00C91D59">
        <w:rPr>
          <w:rStyle w:val="FootnoteReference"/>
        </w:rPr>
        <w:footnoteReference w:id="12"/>
      </w:r>
      <w:r>
        <w:rPr>
          <w:lang w:val="fr-FR"/>
        </w:rPr>
        <w:t>.</w:t>
      </w:r>
      <w:r w:rsidRPr="00E1323E">
        <w:rPr>
          <w:lang w:val="fr-FR"/>
        </w:rPr>
        <w:t xml:space="preserve"> </w:t>
      </w:r>
    </w:p>
    <w:p w14:paraId="3F450C18" w14:textId="0E153B11" w:rsidR="00C91D59" w:rsidRPr="00E1323E" w:rsidRDefault="00C91D59" w:rsidP="00C91D59">
      <w:pPr>
        <w:pStyle w:val="SingleTxtG"/>
        <w:rPr>
          <w:lang w:val="fr-FR"/>
        </w:rPr>
      </w:pPr>
      <w:r w:rsidRPr="00787031">
        <w:rPr>
          <w:lang w:val="fr-FR"/>
        </w:rPr>
        <w:t>45.</w:t>
      </w:r>
      <w:r w:rsidRPr="00787031">
        <w:rPr>
          <w:lang w:val="fr-FR"/>
        </w:rPr>
        <w:tab/>
        <w:t>Le Groupe de travail considère que le Gouvernement n’a pas expliqué pourquoi la détention provisoire de M.</w:t>
      </w:r>
      <w:r w:rsidR="00787031" w:rsidRPr="00787031">
        <w:rPr>
          <w:lang w:val="fr-FR"/>
        </w:rPr>
        <w:t> </w:t>
      </w:r>
      <w:proofErr w:type="spellStart"/>
      <w:r w:rsidRPr="00787031">
        <w:rPr>
          <w:lang w:val="fr-FR"/>
        </w:rPr>
        <w:t>Zitout</w:t>
      </w:r>
      <w:proofErr w:type="spellEnd"/>
      <w:r w:rsidRPr="00787031">
        <w:rPr>
          <w:lang w:val="fr-FR"/>
        </w:rPr>
        <w:t xml:space="preserve"> était nécessaire. Notant l’argument du Gouvernement selon lequel le droit</w:t>
      </w:r>
      <w:r w:rsidRPr="00E1323E">
        <w:rPr>
          <w:lang w:val="fr-FR"/>
        </w:rPr>
        <w:t xml:space="preserve"> national autorise le juge à ordonner la détention provisoire, le Groupe de travail souligne que même si une détention est conforme à la législation, aux réglementations et aux pratiques nationales, il a le droit et même l</w:t>
      </w:r>
      <w:r>
        <w:rPr>
          <w:lang w:val="fr-FR"/>
        </w:rPr>
        <w:t>’</w:t>
      </w:r>
      <w:r w:rsidRPr="00E1323E">
        <w:rPr>
          <w:lang w:val="fr-FR"/>
        </w:rPr>
        <w:t>obligation d</w:t>
      </w:r>
      <w:r>
        <w:rPr>
          <w:lang w:val="fr-FR"/>
        </w:rPr>
        <w:t>’</w:t>
      </w:r>
      <w:r w:rsidRPr="00E1323E">
        <w:rPr>
          <w:lang w:val="fr-FR"/>
        </w:rPr>
        <w:t>évaluer les circonstances de la détention et la loi elle-même pour déterminer si une telle détention est également conforme aux dispositions pertinentes du droit international des droits humains</w:t>
      </w:r>
      <w:r w:rsidRPr="00C91D59">
        <w:rPr>
          <w:rStyle w:val="FootnoteReference"/>
        </w:rPr>
        <w:footnoteReference w:id="13"/>
      </w:r>
      <w:r>
        <w:rPr>
          <w:lang w:val="fr-FR"/>
        </w:rPr>
        <w:t>.</w:t>
      </w:r>
    </w:p>
    <w:p w14:paraId="56EDC291" w14:textId="5522CB26" w:rsidR="00C91D59" w:rsidRPr="00E1323E" w:rsidRDefault="00C91D59" w:rsidP="00C91D59">
      <w:pPr>
        <w:pStyle w:val="SingleTxtG"/>
        <w:rPr>
          <w:lang w:val="fr-FR"/>
        </w:rPr>
      </w:pPr>
      <w:r w:rsidRPr="00E1323E">
        <w:rPr>
          <w:lang w:val="fr-FR"/>
        </w:rPr>
        <w:t>46.</w:t>
      </w:r>
      <w:r w:rsidRPr="00E1323E">
        <w:rPr>
          <w:lang w:val="fr-FR"/>
        </w:rPr>
        <w:tab/>
        <w:t xml:space="preserve">Le Groupe de travail note les allégations de la source selon lesquelles, à la suite de </w:t>
      </w:r>
      <w:r>
        <w:rPr>
          <w:lang w:val="fr-FR"/>
        </w:rPr>
        <w:t xml:space="preserve">son </w:t>
      </w:r>
      <w:r w:rsidRPr="00E1323E">
        <w:rPr>
          <w:lang w:val="fr-FR"/>
        </w:rPr>
        <w:t>arrestation le 30</w:t>
      </w:r>
      <w:r>
        <w:rPr>
          <w:lang w:val="fr-FR"/>
        </w:rPr>
        <w:t> </w:t>
      </w:r>
      <w:r w:rsidRPr="00E1323E">
        <w:rPr>
          <w:lang w:val="fr-FR"/>
        </w:rPr>
        <w:t>mars 2022, M.</w:t>
      </w:r>
      <w:r>
        <w:rPr>
          <w:lang w:val="fr-FR"/>
        </w:rPr>
        <w:t> </w:t>
      </w:r>
      <w:proofErr w:type="spellStart"/>
      <w:r w:rsidRPr="00E1323E">
        <w:rPr>
          <w:lang w:val="fr-FR"/>
        </w:rPr>
        <w:t>Zitout</w:t>
      </w:r>
      <w:proofErr w:type="spellEnd"/>
      <w:r w:rsidRPr="00E1323E">
        <w:rPr>
          <w:lang w:val="fr-FR"/>
        </w:rPr>
        <w:t xml:space="preserve"> aurait été emmené vers une destination inconnue. En dépit des recherches effectuées par sa famille, le lieu de </w:t>
      </w:r>
      <w:r>
        <w:rPr>
          <w:lang w:val="fr-FR"/>
        </w:rPr>
        <w:t xml:space="preserve">sa </w:t>
      </w:r>
      <w:r w:rsidRPr="00E1323E">
        <w:rPr>
          <w:lang w:val="fr-FR"/>
        </w:rPr>
        <w:t>détention n</w:t>
      </w:r>
      <w:r>
        <w:rPr>
          <w:lang w:val="fr-FR"/>
        </w:rPr>
        <w:t>’</w:t>
      </w:r>
      <w:r w:rsidRPr="00E1323E">
        <w:rPr>
          <w:lang w:val="fr-FR"/>
        </w:rPr>
        <w:t>aurait pas été dévoilé jusqu</w:t>
      </w:r>
      <w:r>
        <w:rPr>
          <w:lang w:val="fr-FR"/>
        </w:rPr>
        <w:t>’</w:t>
      </w:r>
      <w:r w:rsidRPr="00E1323E">
        <w:rPr>
          <w:lang w:val="fr-FR"/>
        </w:rPr>
        <w:t>au 4</w:t>
      </w:r>
      <w:r>
        <w:rPr>
          <w:lang w:val="fr-FR"/>
        </w:rPr>
        <w:t> </w:t>
      </w:r>
      <w:r w:rsidRPr="00E1323E">
        <w:rPr>
          <w:lang w:val="fr-FR"/>
        </w:rPr>
        <w:t xml:space="preserve">avril 2022. Par conséquent, la source </w:t>
      </w:r>
      <w:r>
        <w:rPr>
          <w:lang w:val="fr-FR"/>
        </w:rPr>
        <w:t>soutient</w:t>
      </w:r>
      <w:r w:rsidRPr="00E1323E">
        <w:rPr>
          <w:lang w:val="fr-FR"/>
        </w:rPr>
        <w:t xml:space="preserve"> que M.</w:t>
      </w:r>
      <w:r w:rsidR="00787031">
        <w:rPr>
          <w:lang w:val="fr-FR"/>
        </w:rPr>
        <w:t> </w:t>
      </w:r>
      <w:proofErr w:type="spellStart"/>
      <w:r w:rsidRPr="00E1323E">
        <w:rPr>
          <w:lang w:val="fr-FR"/>
        </w:rPr>
        <w:t>Zitout</w:t>
      </w:r>
      <w:proofErr w:type="spellEnd"/>
      <w:r w:rsidRPr="00E1323E">
        <w:rPr>
          <w:lang w:val="fr-FR"/>
        </w:rPr>
        <w:t xml:space="preserve"> a été privé de tout contact avec sa famille et ses avocats pendant cinq jours. Dans sa réponse tardive, le Gouvernement </w:t>
      </w:r>
      <w:r>
        <w:rPr>
          <w:lang w:val="fr-FR"/>
        </w:rPr>
        <w:t>affirme</w:t>
      </w:r>
      <w:r w:rsidRPr="00E1323E">
        <w:rPr>
          <w:lang w:val="fr-FR"/>
        </w:rPr>
        <w:t xml:space="preserve"> que les rapports d</w:t>
      </w:r>
      <w:r>
        <w:rPr>
          <w:lang w:val="fr-FR"/>
        </w:rPr>
        <w:t>’</w:t>
      </w:r>
      <w:r w:rsidRPr="00E1323E">
        <w:rPr>
          <w:lang w:val="fr-FR"/>
        </w:rPr>
        <w:t>enquête préliminaire indiquent que M.</w:t>
      </w:r>
      <w:r w:rsidR="00787031">
        <w:rPr>
          <w:lang w:val="fr-FR"/>
        </w:rPr>
        <w:t> </w:t>
      </w:r>
      <w:proofErr w:type="spellStart"/>
      <w:r w:rsidRPr="00E1323E">
        <w:rPr>
          <w:lang w:val="fr-FR"/>
        </w:rPr>
        <w:t>Zitout</w:t>
      </w:r>
      <w:proofErr w:type="spellEnd"/>
      <w:r w:rsidRPr="00E1323E">
        <w:rPr>
          <w:lang w:val="fr-FR"/>
        </w:rPr>
        <w:t xml:space="preserve"> a refusé de </w:t>
      </w:r>
      <w:r>
        <w:rPr>
          <w:lang w:val="fr-FR"/>
        </w:rPr>
        <w:t>joindre</w:t>
      </w:r>
      <w:r w:rsidRPr="00E1323E">
        <w:rPr>
          <w:lang w:val="fr-FR"/>
        </w:rPr>
        <w:t xml:space="preserve"> sa famille et son avocat et qu</w:t>
      </w:r>
      <w:r>
        <w:rPr>
          <w:lang w:val="fr-FR"/>
        </w:rPr>
        <w:t>’</w:t>
      </w:r>
      <w:r w:rsidRPr="00E1323E">
        <w:rPr>
          <w:lang w:val="fr-FR"/>
        </w:rPr>
        <w:t>il a signé des procès-verbaux sur lesquels il aurait apposé ses empreintes digitales.</w:t>
      </w:r>
    </w:p>
    <w:p w14:paraId="7A4E2A4F" w14:textId="0C741247" w:rsidR="00C91D59" w:rsidRPr="00E1323E" w:rsidRDefault="00C91D59" w:rsidP="00C91D59">
      <w:pPr>
        <w:pStyle w:val="SingleTxtG"/>
        <w:rPr>
          <w:lang w:val="fr-FR"/>
        </w:rPr>
      </w:pPr>
      <w:r w:rsidRPr="00E1323E">
        <w:rPr>
          <w:lang w:val="fr-FR"/>
        </w:rPr>
        <w:t>47.</w:t>
      </w:r>
      <w:r w:rsidRPr="00E1323E">
        <w:rPr>
          <w:lang w:val="fr-FR"/>
        </w:rPr>
        <w:tab/>
        <w:t xml:space="preserve">Le Groupe de travail rappelle que </w:t>
      </w:r>
      <w:r w:rsidRPr="00E1323E">
        <w:t>la détention d</w:t>
      </w:r>
      <w:r>
        <w:t>’</w:t>
      </w:r>
      <w:r w:rsidRPr="00E1323E">
        <w:t xml:space="preserve">un individu sans contact avec le monde extérieur </w:t>
      </w:r>
      <w:r w:rsidR="00787031">
        <w:t>− </w:t>
      </w:r>
      <w:r w:rsidRPr="00E1323E">
        <w:t>c</w:t>
      </w:r>
      <w:r>
        <w:t>’</w:t>
      </w:r>
      <w:r w:rsidRPr="00E1323E">
        <w:t>est-à-dire au secret</w:t>
      </w:r>
      <w:r w:rsidR="00787031">
        <w:t> −</w:t>
      </w:r>
      <w:r w:rsidRPr="00E1323E">
        <w:t xml:space="preserve">, en particulier avec sa famille et son avocat, constitue une violation de son droit de contester la légalité de sa détention devant un tribunal, en </w:t>
      </w:r>
      <w:r>
        <w:t>application</w:t>
      </w:r>
      <w:r w:rsidRPr="00E1323E">
        <w:t xml:space="preserve"> de l</w:t>
      </w:r>
      <w:r>
        <w:t>’</w:t>
      </w:r>
      <w:r w:rsidRPr="00E1323E">
        <w:t>article</w:t>
      </w:r>
      <w:r w:rsidR="00787031">
        <w:t> </w:t>
      </w:r>
      <w:r w:rsidRPr="00E1323E">
        <w:t>9 (par.</w:t>
      </w:r>
      <w:r w:rsidR="00787031">
        <w:t> </w:t>
      </w:r>
      <w:r w:rsidRPr="00E1323E">
        <w:t>4) du Pacte. Le Groupe de travail a constaté que la détention secrète ou au secret de personnes constitue en soi une violation du droit international des droits humains et rend la privation de liberté arbitraire</w:t>
      </w:r>
      <w:r w:rsidRPr="00C91D59">
        <w:rPr>
          <w:rStyle w:val="FootnoteReference"/>
        </w:rPr>
        <w:footnoteReference w:id="14"/>
      </w:r>
      <w:r>
        <w:t>.</w:t>
      </w:r>
    </w:p>
    <w:p w14:paraId="23BA1FA6" w14:textId="1C9C4EAA" w:rsidR="00C91D59" w:rsidRPr="00E1323E" w:rsidRDefault="00C91D59" w:rsidP="00C91D59">
      <w:pPr>
        <w:pStyle w:val="SingleTxtG"/>
        <w:rPr>
          <w:lang w:val="fr-FR"/>
        </w:rPr>
      </w:pPr>
      <w:r w:rsidRPr="00E1323E">
        <w:rPr>
          <w:lang w:val="fr-FR"/>
        </w:rPr>
        <w:lastRenderedPageBreak/>
        <w:t>48.</w:t>
      </w:r>
      <w:r w:rsidRPr="00E1323E">
        <w:rPr>
          <w:lang w:val="fr-FR"/>
        </w:rPr>
        <w:tab/>
        <w:t>Le Groupe de travail note que la source a fourni un récit détaillé et cohérent à l</w:t>
      </w:r>
      <w:r>
        <w:rPr>
          <w:lang w:val="fr-FR"/>
        </w:rPr>
        <w:t>’</w:t>
      </w:r>
      <w:r w:rsidRPr="00E1323E">
        <w:rPr>
          <w:lang w:val="fr-FR"/>
        </w:rPr>
        <w:t>appui de ses allégations. Il note par ailleurs que le Gouvernement ne nie pas que</w:t>
      </w:r>
      <w:r>
        <w:rPr>
          <w:lang w:val="fr-FR"/>
        </w:rPr>
        <w:t>,</w:t>
      </w:r>
      <w:r w:rsidRPr="00E1323E">
        <w:rPr>
          <w:lang w:val="fr-FR"/>
        </w:rPr>
        <w:t xml:space="preserve"> </w:t>
      </w:r>
      <w:r>
        <w:rPr>
          <w:lang w:val="fr-FR"/>
        </w:rPr>
        <w:t>à la suite de</w:t>
      </w:r>
      <w:r w:rsidRPr="00E1323E">
        <w:rPr>
          <w:lang w:val="fr-FR"/>
        </w:rPr>
        <w:t xml:space="preserve"> l</w:t>
      </w:r>
      <w:r>
        <w:rPr>
          <w:lang w:val="fr-FR"/>
        </w:rPr>
        <w:t>’</w:t>
      </w:r>
      <w:r w:rsidRPr="00E1323E">
        <w:rPr>
          <w:lang w:val="fr-FR"/>
        </w:rPr>
        <w:t>arrestation de M.</w:t>
      </w:r>
      <w:r w:rsidR="00787031">
        <w:rPr>
          <w:lang w:val="fr-FR"/>
        </w:rPr>
        <w:t> </w:t>
      </w:r>
      <w:proofErr w:type="spellStart"/>
      <w:r w:rsidRPr="00E1323E">
        <w:rPr>
          <w:lang w:val="fr-FR"/>
        </w:rPr>
        <w:t>Zitout</w:t>
      </w:r>
      <w:proofErr w:type="spellEnd"/>
      <w:r w:rsidRPr="00E1323E">
        <w:rPr>
          <w:lang w:val="fr-FR"/>
        </w:rPr>
        <w:t xml:space="preserve">, </w:t>
      </w:r>
      <w:r>
        <w:rPr>
          <w:lang w:val="fr-FR"/>
        </w:rPr>
        <w:t xml:space="preserve">des membres de </w:t>
      </w:r>
      <w:r w:rsidRPr="00E1323E">
        <w:rPr>
          <w:lang w:val="fr-FR"/>
        </w:rPr>
        <w:t xml:space="preserve">sa famille </w:t>
      </w:r>
      <w:r>
        <w:rPr>
          <w:lang w:val="fr-FR"/>
        </w:rPr>
        <w:t>sont allés</w:t>
      </w:r>
      <w:r w:rsidRPr="00E1323E">
        <w:rPr>
          <w:lang w:val="fr-FR"/>
        </w:rPr>
        <w:t xml:space="preserve"> s</w:t>
      </w:r>
      <w:r>
        <w:rPr>
          <w:lang w:val="fr-FR"/>
        </w:rPr>
        <w:t>’</w:t>
      </w:r>
      <w:r w:rsidRPr="00E1323E">
        <w:rPr>
          <w:lang w:val="fr-FR"/>
        </w:rPr>
        <w:t xml:space="preserve">enquérir, en vain, de son sort et que les autorités ont refusé de les informer </w:t>
      </w:r>
      <w:r>
        <w:rPr>
          <w:lang w:val="fr-FR"/>
        </w:rPr>
        <w:t>de</w:t>
      </w:r>
      <w:r w:rsidRPr="00E1323E">
        <w:rPr>
          <w:lang w:val="fr-FR"/>
        </w:rPr>
        <w:t xml:space="preserve"> la situation de M.</w:t>
      </w:r>
      <w:r w:rsidR="00787031">
        <w:rPr>
          <w:lang w:val="fr-FR"/>
        </w:rPr>
        <w:t> </w:t>
      </w:r>
      <w:proofErr w:type="spellStart"/>
      <w:r w:rsidRPr="00E1323E">
        <w:rPr>
          <w:lang w:val="fr-FR"/>
        </w:rPr>
        <w:t>Zitout</w:t>
      </w:r>
      <w:proofErr w:type="spellEnd"/>
      <w:r w:rsidRPr="00E1323E">
        <w:rPr>
          <w:lang w:val="fr-FR"/>
        </w:rPr>
        <w:t xml:space="preserve">, </w:t>
      </w:r>
      <w:r>
        <w:rPr>
          <w:lang w:val="fr-FR"/>
        </w:rPr>
        <w:t>d</w:t>
      </w:r>
      <w:r w:rsidRPr="00E1323E">
        <w:rPr>
          <w:lang w:val="fr-FR"/>
        </w:rPr>
        <w:t xml:space="preserve">es raisons de son arrestation et </w:t>
      </w:r>
      <w:r>
        <w:rPr>
          <w:lang w:val="fr-FR"/>
        </w:rPr>
        <w:t xml:space="preserve">de </w:t>
      </w:r>
      <w:r w:rsidRPr="00E1323E">
        <w:rPr>
          <w:lang w:val="fr-FR"/>
        </w:rPr>
        <w:t>son lieu de détention. Dans ces circonstances, le Groupe de travail considère que</w:t>
      </w:r>
      <w:r w:rsidRPr="00E1323E">
        <w:t xml:space="preserve"> </w:t>
      </w:r>
      <w:r w:rsidRPr="00E1323E">
        <w:rPr>
          <w:lang w:val="fr-FR"/>
        </w:rPr>
        <w:t>M.</w:t>
      </w:r>
      <w:r w:rsidR="00787031">
        <w:rPr>
          <w:lang w:val="fr-FR"/>
        </w:rPr>
        <w:t> </w:t>
      </w:r>
      <w:proofErr w:type="spellStart"/>
      <w:r w:rsidRPr="00E1323E">
        <w:rPr>
          <w:lang w:val="fr-FR"/>
        </w:rPr>
        <w:t>Zitout</w:t>
      </w:r>
      <w:proofErr w:type="spellEnd"/>
      <w:r w:rsidRPr="00E1323E">
        <w:rPr>
          <w:lang w:val="fr-FR"/>
        </w:rPr>
        <w:t xml:space="preserve"> a fait l</w:t>
      </w:r>
      <w:r>
        <w:rPr>
          <w:lang w:val="fr-FR"/>
        </w:rPr>
        <w:t>’</w:t>
      </w:r>
      <w:r w:rsidRPr="00E1323E">
        <w:rPr>
          <w:lang w:val="fr-FR"/>
        </w:rPr>
        <w:t>objet d</w:t>
      </w:r>
      <w:r>
        <w:rPr>
          <w:lang w:val="fr-FR"/>
        </w:rPr>
        <w:t>’</w:t>
      </w:r>
      <w:r w:rsidRPr="00E1323E">
        <w:rPr>
          <w:lang w:val="fr-FR"/>
        </w:rPr>
        <w:t xml:space="preserve">une disparition forcée. </w:t>
      </w:r>
      <w:r w:rsidRPr="00E1323E">
        <w:t>Les disparitions forcées portent atteinte à de nombreuses règles de fond et de procédure énoncées dans le Pacte, notamment aux articles</w:t>
      </w:r>
      <w:r w:rsidR="00787031">
        <w:t> </w:t>
      </w:r>
      <w:r w:rsidRPr="00E1323E">
        <w:t>9 et 14, et constituent une forme particulièrement grave de détention arbitraire</w:t>
      </w:r>
      <w:r w:rsidRPr="00C91D59">
        <w:rPr>
          <w:rStyle w:val="FootnoteReference"/>
        </w:rPr>
        <w:footnoteReference w:id="15"/>
      </w:r>
      <w:r w:rsidRPr="00E1323E">
        <w:t>. Dès lors que M.</w:t>
      </w:r>
      <w:r w:rsidR="00787031">
        <w:t> </w:t>
      </w:r>
      <w:proofErr w:type="spellStart"/>
      <w:r w:rsidRPr="00E1323E">
        <w:t>Zitout</w:t>
      </w:r>
      <w:proofErr w:type="spellEnd"/>
      <w:r w:rsidRPr="00E1323E">
        <w:t xml:space="preserve"> a été privé de son droit de contester la légalité de sa détention, son droit à un recours utile, garanti à l</w:t>
      </w:r>
      <w:r>
        <w:t>’</w:t>
      </w:r>
      <w:r w:rsidRPr="00E1323E">
        <w:t>article</w:t>
      </w:r>
      <w:r w:rsidR="00787031">
        <w:t> </w:t>
      </w:r>
      <w:r w:rsidRPr="00E1323E">
        <w:t>8 de la Déclaration universelle des droits de l</w:t>
      </w:r>
      <w:r>
        <w:t>’</w:t>
      </w:r>
      <w:r w:rsidRPr="00E1323E">
        <w:t>homme et à l</w:t>
      </w:r>
      <w:r>
        <w:t>’</w:t>
      </w:r>
      <w:r w:rsidRPr="00E1323E">
        <w:t>article</w:t>
      </w:r>
      <w:r w:rsidR="00787031">
        <w:t> </w:t>
      </w:r>
      <w:r w:rsidRPr="00E1323E">
        <w:t>2 (par.</w:t>
      </w:r>
      <w:r w:rsidR="00787031">
        <w:t> </w:t>
      </w:r>
      <w:r w:rsidRPr="00E1323E">
        <w:t>3) du Pacte</w:t>
      </w:r>
      <w:r>
        <w:t>,</w:t>
      </w:r>
      <w:r w:rsidRPr="00E1323E">
        <w:t xml:space="preserve"> a aussi été violé. En outre, le Groupe de travail conclu</w:t>
      </w:r>
      <w:r>
        <w:t>t</w:t>
      </w:r>
      <w:r w:rsidRPr="00E1323E">
        <w:t xml:space="preserve"> qu</w:t>
      </w:r>
      <w:r>
        <w:t>’</w:t>
      </w:r>
      <w:r w:rsidRPr="00E1323E">
        <w:t>il a été soustrait à la protection de la loi, en violation de l</w:t>
      </w:r>
      <w:r>
        <w:t>’</w:t>
      </w:r>
      <w:r w:rsidRPr="00E1323E">
        <w:t>article</w:t>
      </w:r>
      <w:r w:rsidR="00787031">
        <w:t> </w:t>
      </w:r>
      <w:r w:rsidRPr="00E1323E">
        <w:t>6 de la Déclaration universelle des droits de l</w:t>
      </w:r>
      <w:r>
        <w:t>’</w:t>
      </w:r>
      <w:r w:rsidRPr="00E1323E">
        <w:t>homme et de l</w:t>
      </w:r>
      <w:r>
        <w:t>’</w:t>
      </w:r>
      <w:r w:rsidRPr="00E1323E">
        <w:t>article</w:t>
      </w:r>
      <w:r w:rsidR="00787031">
        <w:t> </w:t>
      </w:r>
      <w:r w:rsidRPr="00E1323E">
        <w:t>16 du Pacte</w:t>
      </w:r>
      <w:r w:rsidRPr="00C91D59">
        <w:rPr>
          <w:rStyle w:val="FootnoteReference"/>
        </w:rPr>
        <w:footnoteReference w:id="16"/>
      </w:r>
      <w:r w:rsidRPr="00E1323E">
        <w:t>.</w:t>
      </w:r>
    </w:p>
    <w:p w14:paraId="365CDC07" w14:textId="7D6D0366" w:rsidR="00C91D59" w:rsidRPr="00E1323E" w:rsidRDefault="00C91D59" w:rsidP="00C91D59">
      <w:pPr>
        <w:pStyle w:val="SingleTxtG"/>
        <w:rPr>
          <w:lang w:val="fr-FR"/>
        </w:rPr>
      </w:pPr>
      <w:r w:rsidRPr="00E1323E">
        <w:rPr>
          <w:lang w:val="fr-FR"/>
        </w:rPr>
        <w:t>49.</w:t>
      </w:r>
      <w:r w:rsidRPr="00E1323E">
        <w:rPr>
          <w:lang w:val="fr-FR"/>
        </w:rPr>
        <w:tab/>
        <w:t>Au vu de ses conclusions ci-dessus, le Groupe de travail considère que la détention de M.</w:t>
      </w:r>
      <w:r w:rsidR="00787031">
        <w:rPr>
          <w:lang w:val="fr-FR"/>
        </w:rPr>
        <w:t> </w:t>
      </w:r>
      <w:proofErr w:type="spellStart"/>
      <w:r w:rsidRPr="00E1323E">
        <w:rPr>
          <w:lang w:val="fr-FR"/>
        </w:rPr>
        <w:t>Zitout</w:t>
      </w:r>
      <w:proofErr w:type="spellEnd"/>
      <w:r w:rsidRPr="00E1323E">
        <w:rPr>
          <w:lang w:val="fr-FR"/>
        </w:rPr>
        <w:t xml:space="preserve"> est dépourvue de base légale, en violation de l</w:t>
      </w:r>
      <w:r>
        <w:rPr>
          <w:lang w:val="fr-FR"/>
        </w:rPr>
        <w:t>’</w:t>
      </w:r>
      <w:r w:rsidRPr="00E1323E">
        <w:rPr>
          <w:lang w:val="fr-FR"/>
        </w:rPr>
        <w:t>article</w:t>
      </w:r>
      <w:r w:rsidR="00787031">
        <w:rPr>
          <w:lang w:val="fr-FR"/>
        </w:rPr>
        <w:t> </w:t>
      </w:r>
      <w:r w:rsidRPr="00E1323E">
        <w:rPr>
          <w:lang w:val="fr-FR"/>
        </w:rPr>
        <w:t>9 du Pacte et des articles</w:t>
      </w:r>
      <w:r w:rsidR="00787031">
        <w:rPr>
          <w:lang w:val="fr-FR"/>
        </w:rPr>
        <w:t> </w:t>
      </w:r>
      <w:r w:rsidRPr="00E1323E">
        <w:rPr>
          <w:lang w:val="fr-FR"/>
        </w:rPr>
        <w:t>3 et 9 de la Déclaration universelle des droits de l</w:t>
      </w:r>
      <w:r>
        <w:rPr>
          <w:lang w:val="fr-FR"/>
        </w:rPr>
        <w:t>’</w:t>
      </w:r>
      <w:r w:rsidRPr="00E1323E">
        <w:rPr>
          <w:lang w:val="fr-FR"/>
        </w:rPr>
        <w:t>homme. Sa détention est donc arbitraire au titre de la catégorie</w:t>
      </w:r>
      <w:r w:rsidR="00787031">
        <w:rPr>
          <w:lang w:val="fr-FR"/>
        </w:rPr>
        <w:t> </w:t>
      </w:r>
      <w:r w:rsidRPr="00E1323E">
        <w:rPr>
          <w:lang w:val="fr-FR"/>
        </w:rPr>
        <w:t>I.</w:t>
      </w:r>
    </w:p>
    <w:p w14:paraId="2371BF47" w14:textId="77777777" w:rsidR="00C91D59" w:rsidRPr="00E1323E" w:rsidRDefault="00C91D59" w:rsidP="00787031">
      <w:pPr>
        <w:pStyle w:val="H23G"/>
        <w:rPr>
          <w:lang w:val="fr-FR"/>
        </w:rPr>
      </w:pPr>
      <w:r>
        <w:rPr>
          <w:lang w:val="fr-FR"/>
        </w:rPr>
        <w:tab/>
        <w:t>b)</w:t>
      </w:r>
      <w:r>
        <w:rPr>
          <w:lang w:val="fr-FR"/>
        </w:rPr>
        <w:tab/>
      </w:r>
      <w:r w:rsidRPr="00E1323E">
        <w:rPr>
          <w:lang w:val="fr-FR"/>
        </w:rPr>
        <w:t>Catégorie II</w:t>
      </w:r>
    </w:p>
    <w:p w14:paraId="5DC3CC40" w14:textId="14B7A252" w:rsidR="00C91D59" w:rsidRPr="00E1323E" w:rsidRDefault="00C91D59" w:rsidP="00C91D59">
      <w:pPr>
        <w:pStyle w:val="SingleTxtG"/>
        <w:rPr>
          <w:lang w:val="fr-FR"/>
        </w:rPr>
      </w:pPr>
      <w:r w:rsidRPr="00E1323E">
        <w:rPr>
          <w:lang w:val="fr-FR"/>
        </w:rPr>
        <w:t>50.</w:t>
      </w:r>
      <w:r w:rsidRPr="00E1323E">
        <w:rPr>
          <w:lang w:val="fr-FR"/>
        </w:rPr>
        <w:tab/>
        <w:t>Selon la source, la privation de liberté de M.</w:t>
      </w:r>
      <w:r w:rsidR="00CB5033">
        <w:rPr>
          <w:lang w:val="fr-FR"/>
        </w:rPr>
        <w:t> </w:t>
      </w:r>
      <w:proofErr w:type="spellStart"/>
      <w:r w:rsidRPr="00E1323E">
        <w:rPr>
          <w:lang w:val="fr-FR"/>
        </w:rPr>
        <w:t>Zitout</w:t>
      </w:r>
      <w:proofErr w:type="spellEnd"/>
      <w:r w:rsidRPr="00E1323E">
        <w:rPr>
          <w:lang w:val="fr-FR"/>
        </w:rPr>
        <w:t xml:space="preserve"> est arbitraire au titre de la catégorie</w:t>
      </w:r>
      <w:r>
        <w:rPr>
          <w:lang w:val="fr-FR"/>
        </w:rPr>
        <w:t> </w:t>
      </w:r>
      <w:r w:rsidRPr="00E1323E">
        <w:rPr>
          <w:lang w:val="fr-FR"/>
        </w:rPr>
        <w:t>II dès lors qu</w:t>
      </w:r>
      <w:r>
        <w:rPr>
          <w:lang w:val="fr-FR"/>
        </w:rPr>
        <w:t>’</w:t>
      </w:r>
      <w:r w:rsidRPr="00E1323E">
        <w:rPr>
          <w:lang w:val="fr-FR"/>
        </w:rPr>
        <w:t>il est détenu en raison de l</w:t>
      </w:r>
      <w:r>
        <w:rPr>
          <w:lang w:val="fr-FR"/>
        </w:rPr>
        <w:t>’</w:t>
      </w:r>
      <w:r w:rsidRPr="00E1323E">
        <w:rPr>
          <w:lang w:val="fr-FR"/>
        </w:rPr>
        <w:t>exercice par un membre de sa famille des droits et libertés garantis par les articles</w:t>
      </w:r>
      <w:r w:rsidR="00CB5033">
        <w:rPr>
          <w:lang w:val="fr-FR"/>
        </w:rPr>
        <w:t> </w:t>
      </w:r>
      <w:r w:rsidRPr="00E1323E">
        <w:rPr>
          <w:lang w:val="fr-FR"/>
        </w:rPr>
        <w:t>18, 19, 21, 22 et 26 du Pacte. La source fait valoir que l</w:t>
      </w:r>
      <w:r>
        <w:rPr>
          <w:lang w:val="fr-FR"/>
        </w:rPr>
        <w:t>’</w:t>
      </w:r>
      <w:r w:rsidRPr="00E1323E">
        <w:rPr>
          <w:lang w:val="fr-FR"/>
        </w:rPr>
        <w:t>activisme politique pacifique du membre de la famille de M.</w:t>
      </w:r>
      <w:r w:rsidR="00CB5033">
        <w:rPr>
          <w:lang w:val="fr-FR"/>
        </w:rPr>
        <w:t> </w:t>
      </w:r>
      <w:proofErr w:type="spellStart"/>
      <w:r w:rsidRPr="00E1323E">
        <w:rPr>
          <w:lang w:val="fr-FR"/>
        </w:rPr>
        <w:t>Zitout</w:t>
      </w:r>
      <w:proofErr w:type="spellEnd"/>
      <w:r w:rsidRPr="00E1323E">
        <w:rPr>
          <w:lang w:val="fr-FR"/>
        </w:rPr>
        <w:t xml:space="preserve"> ainsi que son engagement au sein du mouvement Rachad ont conduit les autorités algériennes à l</w:t>
      </w:r>
      <w:r>
        <w:rPr>
          <w:lang w:val="fr-FR"/>
        </w:rPr>
        <w:t>’</w:t>
      </w:r>
      <w:r w:rsidRPr="00E1323E">
        <w:rPr>
          <w:lang w:val="fr-FR"/>
        </w:rPr>
        <w:t>inscrire sur la liste des personnes classées comme «</w:t>
      </w:r>
      <w:r>
        <w:rPr>
          <w:lang w:val="fr-FR"/>
        </w:rPr>
        <w:t> </w:t>
      </w:r>
      <w:r w:rsidRPr="00E1323E">
        <w:rPr>
          <w:lang w:val="fr-FR"/>
        </w:rPr>
        <w:t>terroriste</w:t>
      </w:r>
      <w:r>
        <w:rPr>
          <w:lang w:val="fr-FR"/>
        </w:rPr>
        <w:t>s</w:t>
      </w:r>
      <w:r w:rsidRPr="00E1323E">
        <w:rPr>
          <w:lang w:val="fr-FR"/>
        </w:rPr>
        <w:t xml:space="preserve"> ». </w:t>
      </w:r>
    </w:p>
    <w:p w14:paraId="3B7F9BB3" w14:textId="77777777" w:rsidR="00C91D59" w:rsidRPr="00E1323E" w:rsidRDefault="00C91D59" w:rsidP="00C91D59">
      <w:pPr>
        <w:pStyle w:val="SingleTxtG"/>
        <w:rPr>
          <w:lang w:val="fr-FR"/>
        </w:rPr>
      </w:pPr>
      <w:r w:rsidRPr="00E1323E">
        <w:rPr>
          <w:lang w:val="fr-FR"/>
        </w:rPr>
        <w:t>51.</w:t>
      </w:r>
      <w:r w:rsidRPr="00E1323E">
        <w:rPr>
          <w:lang w:val="fr-FR"/>
        </w:rPr>
        <w:tab/>
        <w:t xml:space="preserve">Dans sa réponse tardive, le Gouvernement </w:t>
      </w:r>
      <w:r>
        <w:rPr>
          <w:lang w:val="fr-FR"/>
        </w:rPr>
        <w:t>soutient</w:t>
      </w:r>
      <w:r w:rsidRPr="00E1323E">
        <w:rPr>
          <w:lang w:val="fr-FR"/>
        </w:rPr>
        <w:t xml:space="preserve"> qu</w:t>
      </w:r>
      <w:r>
        <w:rPr>
          <w:lang w:val="fr-FR"/>
        </w:rPr>
        <w:t>’</w:t>
      </w:r>
      <w:r w:rsidRPr="00E1323E">
        <w:rPr>
          <w:lang w:val="fr-FR"/>
        </w:rPr>
        <w:t>en l</w:t>
      </w:r>
      <w:r>
        <w:rPr>
          <w:lang w:val="fr-FR"/>
        </w:rPr>
        <w:t>’</w:t>
      </w:r>
      <w:r w:rsidRPr="00E1323E">
        <w:rPr>
          <w:lang w:val="fr-FR"/>
        </w:rPr>
        <w:t>espèce, M. </w:t>
      </w:r>
      <w:proofErr w:type="spellStart"/>
      <w:r w:rsidRPr="00E1323E">
        <w:rPr>
          <w:lang w:val="fr-FR"/>
        </w:rPr>
        <w:t>Zitout</w:t>
      </w:r>
      <w:proofErr w:type="spellEnd"/>
      <w:r w:rsidRPr="00E1323E">
        <w:rPr>
          <w:lang w:val="fr-FR"/>
        </w:rPr>
        <w:t xml:space="preserve"> a été arrêté et détenu pour avoir publié des tracts insultant des symboles de l</w:t>
      </w:r>
      <w:r>
        <w:rPr>
          <w:lang w:val="fr-FR"/>
        </w:rPr>
        <w:t>’</w:t>
      </w:r>
      <w:r w:rsidRPr="00E1323E">
        <w:rPr>
          <w:lang w:val="fr-FR"/>
        </w:rPr>
        <w:t>État algérien et louant les actions de personnes appartenant au mouvement Rachad, classé comme terroriste, ainsi que pour avoir été en possession de tracts incitant des éléments de la police à se rebeller.</w:t>
      </w:r>
    </w:p>
    <w:p w14:paraId="298503CF" w14:textId="7D9A3192" w:rsidR="00C91D59" w:rsidRPr="00E1323E" w:rsidRDefault="00C91D59" w:rsidP="00C91D59">
      <w:pPr>
        <w:pStyle w:val="SingleTxtG"/>
        <w:rPr>
          <w:lang w:val="fr-FR"/>
        </w:rPr>
      </w:pPr>
      <w:r w:rsidRPr="00E1323E">
        <w:rPr>
          <w:lang w:val="fr-FR"/>
        </w:rPr>
        <w:t>52.</w:t>
      </w:r>
      <w:r w:rsidRPr="00E1323E">
        <w:rPr>
          <w:lang w:val="fr-FR"/>
        </w:rPr>
        <w:tab/>
        <w:t>Le Groupe de travail rappelle qu</w:t>
      </w:r>
      <w:r>
        <w:rPr>
          <w:lang w:val="fr-FR"/>
        </w:rPr>
        <w:t>’</w:t>
      </w:r>
      <w:r w:rsidRPr="00E1323E">
        <w:rPr>
          <w:lang w:val="fr-FR"/>
        </w:rPr>
        <w:t>une arrestation ou une détention est arbitraire si elle vise à sanctionner quelqu</w:t>
      </w:r>
      <w:r>
        <w:rPr>
          <w:lang w:val="fr-FR"/>
        </w:rPr>
        <w:t>’</w:t>
      </w:r>
      <w:r w:rsidRPr="00E1323E">
        <w:rPr>
          <w:lang w:val="fr-FR"/>
        </w:rPr>
        <w:t>un pour l</w:t>
      </w:r>
      <w:r>
        <w:rPr>
          <w:lang w:val="fr-FR"/>
        </w:rPr>
        <w:t>’</w:t>
      </w:r>
      <w:r w:rsidRPr="00E1323E">
        <w:rPr>
          <w:lang w:val="fr-FR"/>
        </w:rPr>
        <w:t>exercice légitime des droits protégés par le Pacte, tel le droit à la liberté d</w:t>
      </w:r>
      <w:r>
        <w:rPr>
          <w:lang w:val="fr-FR"/>
        </w:rPr>
        <w:t>’</w:t>
      </w:r>
      <w:r w:rsidRPr="00E1323E">
        <w:rPr>
          <w:lang w:val="fr-FR"/>
        </w:rPr>
        <w:t>opinion et d</w:t>
      </w:r>
      <w:r>
        <w:rPr>
          <w:lang w:val="fr-FR"/>
        </w:rPr>
        <w:t>’</w:t>
      </w:r>
      <w:r w:rsidRPr="00E1323E">
        <w:rPr>
          <w:lang w:val="fr-FR"/>
        </w:rPr>
        <w:t>expression, garanti par l</w:t>
      </w:r>
      <w:r>
        <w:rPr>
          <w:lang w:val="fr-FR"/>
        </w:rPr>
        <w:t>’</w:t>
      </w:r>
      <w:r w:rsidRPr="00E1323E">
        <w:rPr>
          <w:lang w:val="fr-FR"/>
        </w:rPr>
        <w:t>article</w:t>
      </w:r>
      <w:r w:rsidR="00CB5033">
        <w:rPr>
          <w:lang w:val="fr-FR"/>
        </w:rPr>
        <w:t> </w:t>
      </w:r>
      <w:r w:rsidRPr="00E1323E">
        <w:rPr>
          <w:lang w:val="fr-FR"/>
        </w:rPr>
        <w:t>19 du Pacte. En outre, en vertu de l</w:t>
      </w:r>
      <w:r>
        <w:rPr>
          <w:lang w:val="fr-FR"/>
        </w:rPr>
        <w:t>’</w:t>
      </w:r>
      <w:r w:rsidRPr="00E1323E">
        <w:rPr>
          <w:lang w:val="fr-FR"/>
        </w:rPr>
        <w:t>article</w:t>
      </w:r>
      <w:r w:rsidR="00CB5033">
        <w:rPr>
          <w:lang w:val="fr-FR"/>
        </w:rPr>
        <w:t> </w:t>
      </w:r>
      <w:r w:rsidRPr="00E1323E">
        <w:rPr>
          <w:lang w:val="fr-FR"/>
        </w:rPr>
        <w:t>19 (par.</w:t>
      </w:r>
      <w:r w:rsidR="00CB5033">
        <w:rPr>
          <w:lang w:val="fr-FR"/>
        </w:rPr>
        <w:t> </w:t>
      </w:r>
      <w:r w:rsidRPr="00E1323E">
        <w:rPr>
          <w:lang w:val="fr-FR"/>
        </w:rPr>
        <w:t>3) du Pacte, des restrictions au droit à la libert</w:t>
      </w:r>
      <w:r>
        <w:rPr>
          <w:lang w:val="fr-FR"/>
        </w:rPr>
        <w:t>é</w:t>
      </w:r>
      <w:r w:rsidRPr="00E1323E">
        <w:rPr>
          <w:lang w:val="fr-FR"/>
        </w:rPr>
        <w:t xml:space="preserve"> d</w:t>
      </w:r>
      <w:r>
        <w:rPr>
          <w:lang w:val="fr-FR"/>
        </w:rPr>
        <w:t>’</w:t>
      </w:r>
      <w:r w:rsidRPr="00E1323E">
        <w:rPr>
          <w:lang w:val="fr-FR"/>
        </w:rPr>
        <w:t>opinion et d</w:t>
      </w:r>
      <w:r>
        <w:rPr>
          <w:lang w:val="fr-FR"/>
        </w:rPr>
        <w:t>’</w:t>
      </w:r>
      <w:r w:rsidRPr="00E1323E">
        <w:rPr>
          <w:lang w:val="fr-FR"/>
        </w:rPr>
        <w:t xml:space="preserve">expression sont permises dans deux </w:t>
      </w:r>
      <w:r>
        <w:rPr>
          <w:lang w:val="fr-FR"/>
        </w:rPr>
        <w:t>cas de figure</w:t>
      </w:r>
      <w:r w:rsidRPr="00E1323E">
        <w:rPr>
          <w:lang w:val="fr-FR"/>
        </w:rPr>
        <w:t xml:space="preserve"> seulement, en ce qui a trait soit au respect des droits ou de la r</w:t>
      </w:r>
      <w:r>
        <w:rPr>
          <w:lang w:val="fr-FR"/>
        </w:rPr>
        <w:t>é</w:t>
      </w:r>
      <w:r w:rsidRPr="00E1323E">
        <w:rPr>
          <w:lang w:val="fr-FR"/>
        </w:rPr>
        <w:t>putation d</w:t>
      </w:r>
      <w:r>
        <w:rPr>
          <w:lang w:val="fr-FR"/>
        </w:rPr>
        <w:t>’</w:t>
      </w:r>
      <w:r w:rsidRPr="00E1323E">
        <w:rPr>
          <w:lang w:val="fr-FR"/>
        </w:rPr>
        <w:t xml:space="preserve">autrui, soit </w:t>
      </w:r>
      <w:proofErr w:type="spellStart"/>
      <w:r w:rsidRPr="00E1323E">
        <w:rPr>
          <w:lang w:val="fr-FR"/>
        </w:rPr>
        <w:t>a</w:t>
      </w:r>
      <w:proofErr w:type="spellEnd"/>
      <w:r w:rsidRPr="00E1323E">
        <w:rPr>
          <w:lang w:val="fr-FR"/>
        </w:rPr>
        <w:t>̀ la sauvegarde de la s</w:t>
      </w:r>
      <w:r>
        <w:rPr>
          <w:lang w:val="fr-FR"/>
        </w:rPr>
        <w:t>é</w:t>
      </w:r>
      <w:r w:rsidRPr="00E1323E">
        <w:rPr>
          <w:lang w:val="fr-FR"/>
        </w:rPr>
        <w:t>curit</w:t>
      </w:r>
      <w:r>
        <w:rPr>
          <w:lang w:val="fr-FR"/>
        </w:rPr>
        <w:t>é</w:t>
      </w:r>
      <w:r w:rsidRPr="00E1323E">
        <w:rPr>
          <w:lang w:val="fr-FR"/>
        </w:rPr>
        <w:t xml:space="preserve"> nationale, de l</w:t>
      </w:r>
      <w:r>
        <w:rPr>
          <w:lang w:val="fr-FR"/>
        </w:rPr>
        <w:t>’</w:t>
      </w:r>
      <w:r w:rsidRPr="00E1323E">
        <w:rPr>
          <w:lang w:val="fr-FR"/>
        </w:rPr>
        <w:t xml:space="preserve">ordre public, de la santé ou </w:t>
      </w:r>
      <w:proofErr w:type="gramStart"/>
      <w:r w:rsidRPr="00E1323E">
        <w:rPr>
          <w:lang w:val="fr-FR"/>
        </w:rPr>
        <w:t>de la moralit</w:t>
      </w:r>
      <w:r>
        <w:rPr>
          <w:lang w:val="fr-FR"/>
        </w:rPr>
        <w:t>é</w:t>
      </w:r>
      <w:r w:rsidRPr="00E1323E">
        <w:rPr>
          <w:lang w:val="fr-FR"/>
        </w:rPr>
        <w:t xml:space="preserve"> publiques</w:t>
      </w:r>
      <w:proofErr w:type="gramEnd"/>
      <w:r w:rsidRPr="00E1323E">
        <w:rPr>
          <w:lang w:val="fr-FR"/>
        </w:rPr>
        <w:t>.</w:t>
      </w:r>
    </w:p>
    <w:p w14:paraId="6EEFF79C" w14:textId="043752E5" w:rsidR="00C91D59" w:rsidRPr="00E1323E" w:rsidRDefault="00C91D59" w:rsidP="00C91D59">
      <w:pPr>
        <w:pStyle w:val="SingleTxtG"/>
        <w:rPr>
          <w:lang w:val="fr-FR"/>
        </w:rPr>
      </w:pPr>
      <w:r w:rsidRPr="00E1323E">
        <w:rPr>
          <w:lang w:val="fr-FR"/>
        </w:rPr>
        <w:t>53.</w:t>
      </w:r>
      <w:r w:rsidRPr="00E1323E">
        <w:rPr>
          <w:lang w:val="fr-FR"/>
        </w:rPr>
        <w:tab/>
        <w:t>Le Groupe de travail note que le Gouvernement, en affirmant que M.</w:t>
      </w:r>
      <w:r w:rsidR="00CB5033">
        <w:rPr>
          <w:lang w:val="fr-FR"/>
        </w:rPr>
        <w:t> </w:t>
      </w:r>
      <w:proofErr w:type="spellStart"/>
      <w:r w:rsidRPr="00E1323E">
        <w:rPr>
          <w:lang w:val="fr-FR"/>
        </w:rPr>
        <w:t>Zitout</w:t>
      </w:r>
      <w:proofErr w:type="spellEnd"/>
      <w:r w:rsidRPr="00E1323E">
        <w:rPr>
          <w:lang w:val="fr-FR"/>
        </w:rPr>
        <w:t xml:space="preserve"> a été arrêté pour avoir publié des tracts considérés comme insultant les symboles de l</w:t>
      </w:r>
      <w:r>
        <w:rPr>
          <w:lang w:val="fr-FR"/>
        </w:rPr>
        <w:t>’</w:t>
      </w:r>
      <w:r w:rsidRPr="00E1323E">
        <w:rPr>
          <w:lang w:val="fr-FR"/>
        </w:rPr>
        <w:t>État, soutenant le mouvement politique Racha</w:t>
      </w:r>
      <w:r>
        <w:rPr>
          <w:lang w:val="fr-FR"/>
        </w:rPr>
        <w:t>d</w:t>
      </w:r>
      <w:r w:rsidRPr="00E1323E">
        <w:rPr>
          <w:lang w:val="fr-FR"/>
        </w:rPr>
        <w:t xml:space="preserve"> et appelant à la rébellion des forces de l</w:t>
      </w:r>
      <w:r>
        <w:rPr>
          <w:lang w:val="fr-FR"/>
        </w:rPr>
        <w:t>’</w:t>
      </w:r>
      <w:r w:rsidRPr="00E1323E">
        <w:rPr>
          <w:lang w:val="fr-FR"/>
        </w:rPr>
        <w:t>ordre, reconnaît en réalité que M.</w:t>
      </w:r>
      <w:r w:rsidR="00CB5033">
        <w:rPr>
          <w:lang w:val="fr-FR"/>
        </w:rPr>
        <w:t> </w:t>
      </w:r>
      <w:proofErr w:type="spellStart"/>
      <w:r w:rsidRPr="00E1323E">
        <w:rPr>
          <w:lang w:val="fr-FR"/>
        </w:rPr>
        <w:t>Zitout</w:t>
      </w:r>
      <w:proofErr w:type="spellEnd"/>
      <w:r w:rsidRPr="00E1323E">
        <w:rPr>
          <w:lang w:val="fr-FR"/>
        </w:rPr>
        <w:t xml:space="preserve"> a été poursuivi pour l</w:t>
      </w:r>
      <w:r>
        <w:rPr>
          <w:lang w:val="fr-FR"/>
        </w:rPr>
        <w:t>’</w:t>
      </w:r>
      <w:r w:rsidRPr="00E1323E">
        <w:rPr>
          <w:lang w:val="fr-FR"/>
        </w:rPr>
        <w:t>exercice de son droit à la liberté d</w:t>
      </w:r>
      <w:r>
        <w:rPr>
          <w:lang w:val="fr-FR"/>
        </w:rPr>
        <w:t>’</w:t>
      </w:r>
      <w:r w:rsidRPr="00E1323E">
        <w:rPr>
          <w:lang w:val="fr-FR"/>
        </w:rPr>
        <w:t>expression.</w:t>
      </w:r>
      <w:r>
        <w:rPr>
          <w:lang w:val="fr-FR"/>
        </w:rPr>
        <w:t xml:space="preserve"> </w:t>
      </w:r>
      <w:r w:rsidRPr="00E1323E">
        <w:rPr>
          <w:lang w:val="fr-FR"/>
        </w:rPr>
        <w:t>Selon la source, le mouvement Rachad est un mouvement politique pacifiste et dépourvu d</w:t>
      </w:r>
      <w:r>
        <w:rPr>
          <w:lang w:val="fr-FR"/>
        </w:rPr>
        <w:t>’</w:t>
      </w:r>
      <w:r w:rsidRPr="00E1323E">
        <w:rPr>
          <w:lang w:val="fr-FR"/>
        </w:rPr>
        <w:t>étiquette idéologique, appelant à l</w:t>
      </w:r>
      <w:r>
        <w:rPr>
          <w:lang w:val="fr-FR"/>
        </w:rPr>
        <w:t>’</w:t>
      </w:r>
      <w:r w:rsidRPr="00E1323E">
        <w:rPr>
          <w:lang w:val="fr-FR"/>
        </w:rPr>
        <w:t>instauration d</w:t>
      </w:r>
      <w:r>
        <w:rPr>
          <w:lang w:val="fr-FR"/>
        </w:rPr>
        <w:t>’</w:t>
      </w:r>
      <w:r w:rsidRPr="00E1323E">
        <w:rPr>
          <w:lang w:val="fr-FR"/>
        </w:rPr>
        <w:t>un État de droit et d</w:t>
      </w:r>
      <w:r>
        <w:rPr>
          <w:lang w:val="fr-FR"/>
        </w:rPr>
        <w:t>’</w:t>
      </w:r>
      <w:r w:rsidRPr="00E1323E">
        <w:rPr>
          <w:lang w:val="fr-FR"/>
        </w:rPr>
        <w:t xml:space="preserve">une démocratie en Algérie, conformément à ses statuts et à sa </w:t>
      </w:r>
      <w:r>
        <w:rPr>
          <w:lang w:val="fr-FR"/>
        </w:rPr>
        <w:t>c</w:t>
      </w:r>
      <w:r w:rsidRPr="00E1323E">
        <w:rPr>
          <w:lang w:val="fr-FR"/>
        </w:rPr>
        <w:t>harte. Le Gouvernement ne fournit aucune information détaillée ou spécifique sur le contenu des tracts que M.</w:t>
      </w:r>
      <w:r w:rsidR="00CB5033">
        <w:rPr>
          <w:lang w:val="fr-FR"/>
        </w:rPr>
        <w:t> </w:t>
      </w:r>
      <w:proofErr w:type="spellStart"/>
      <w:r w:rsidRPr="00E1323E">
        <w:rPr>
          <w:lang w:val="fr-FR"/>
        </w:rPr>
        <w:t>Zitout</w:t>
      </w:r>
      <w:proofErr w:type="spellEnd"/>
      <w:r w:rsidRPr="00E1323E">
        <w:rPr>
          <w:lang w:val="fr-FR"/>
        </w:rPr>
        <w:t xml:space="preserve"> aurait prétendument publié</w:t>
      </w:r>
      <w:r>
        <w:rPr>
          <w:lang w:val="fr-FR"/>
        </w:rPr>
        <w:t>s,</w:t>
      </w:r>
      <w:r w:rsidRPr="00E1323E">
        <w:rPr>
          <w:lang w:val="fr-FR"/>
        </w:rPr>
        <w:t xml:space="preserve"> et ne démontre pas que </w:t>
      </w:r>
      <w:r>
        <w:rPr>
          <w:lang w:val="fr-FR"/>
        </w:rPr>
        <w:t>ce dernier</w:t>
      </w:r>
      <w:r w:rsidRPr="00E1323E">
        <w:rPr>
          <w:lang w:val="fr-FR"/>
        </w:rPr>
        <w:t xml:space="preserve"> a appelé à </w:t>
      </w:r>
      <w:r>
        <w:rPr>
          <w:lang w:val="fr-FR"/>
        </w:rPr>
        <w:t xml:space="preserve">de </w:t>
      </w:r>
      <w:r w:rsidRPr="00E1323E">
        <w:rPr>
          <w:lang w:val="fr-FR"/>
        </w:rPr>
        <w:t>quelconque</w:t>
      </w:r>
      <w:r>
        <w:rPr>
          <w:lang w:val="fr-FR"/>
        </w:rPr>
        <w:t>s</w:t>
      </w:r>
      <w:r w:rsidRPr="00E1323E">
        <w:rPr>
          <w:lang w:val="fr-FR"/>
        </w:rPr>
        <w:t xml:space="preserve"> actes de violence. Partant, le Groupe de travail conclu</w:t>
      </w:r>
      <w:r>
        <w:rPr>
          <w:lang w:val="fr-FR"/>
        </w:rPr>
        <w:t>t</w:t>
      </w:r>
      <w:r w:rsidRPr="00E1323E">
        <w:rPr>
          <w:lang w:val="fr-FR"/>
        </w:rPr>
        <w:t xml:space="preserve"> que M.</w:t>
      </w:r>
      <w:r w:rsidR="00CB5033">
        <w:rPr>
          <w:lang w:val="fr-FR"/>
        </w:rPr>
        <w:t> </w:t>
      </w:r>
      <w:proofErr w:type="spellStart"/>
      <w:r w:rsidRPr="00E1323E">
        <w:rPr>
          <w:lang w:val="fr-FR"/>
        </w:rPr>
        <w:t>Zitout</w:t>
      </w:r>
      <w:proofErr w:type="spellEnd"/>
      <w:r w:rsidRPr="00E1323E">
        <w:rPr>
          <w:lang w:val="fr-FR"/>
        </w:rPr>
        <w:t xml:space="preserve"> a été arrêté et est détenu pour l</w:t>
      </w:r>
      <w:r>
        <w:rPr>
          <w:lang w:val="fr-FR"/>
        </w:rPr>
        <w:t>’</w:t>
      </w:r>
      <w:r w:rsidRPr="00E1323E">
        <w:rPr>
          <w:lang w:val="fr-FR"/>
        </w:rPr>
        <w:t>exercice de droits et libertés protégés à l</w:t>
      </w:r>
      <w:r>
        <w:rPr>
          <w:lang w:val="fr-FR"/>
        </w:rPr>
        <w:t>’</w:t>
      </w:r>
      <w:r w:rsidRPr="00E1323E">
        <w:rPr>
          <w:lang w:val="fr-FR"/>
        </w:rPr>
        <w:t>article</w:t>
      </w:r>
      <w:r w:rsidR="00CB5033">
        <w:rPr>
          <w:lang w:val="fr-FR"/>
        </w:rPr>
        <w:t> </w:t>
      </w:r>
      <w:r w:rsidRPr="00E1323E">
        <w:rPr>
          <w:lang w:val="fr-FR"/>
        </w:rPr>
        <w:t xml:space="preserve">19 du Pacte et </w:t>
      </w:r>
      <w:r>
        <w:rPr>
          <w:lang w:val="fr-FR"/>
        </w:rPr>
        <w:t>à</w:t>
      </w:r>
      <w:r w:rsidRPr="00E1323E">
        <w:rPr>
          <w:lang w:val="fr-FR"/>
        </w:rPr>
        <w:t xml:space="preserve"> l</w:t>
      </w:r>
      <w:r>
        <w:rPr>
          <w:lang w:val="fr-FR"/>
        </w:rPr>
        <w:t>’</w:t>
      </w:r>
      <w:r w:rsidRPr="00E1323E">
        <w:rPr>
          <w:lang w:val="fr-FR"/>
        </w:rPr>
        <w:t>article</w:t>
      </w:r>
      <w:r>
        <w:rPr>
          <w:lang w:val="fr-FR"/>
        </w:rPr>
        <w:t> </w:t>
      </w:r>
      <w:r w:rsidRPr="00E1323E">
        <w:rPr>
          <w:lang w:val="fr-FR"/>
        </w:rPr>
        <w:t>19 de la Déclaration universelle des droits de l</w:t>
      </w:r>
      <w:r>
        <w:rPr>
          <w:lang w:val="fr-FR"/>
        </w:rPr>
        <w:t>’</w:t>
      </w:r>
      <w:r w:rsidRPr="00E1323E">
        <w:rPr>
          <w:lang w:val="fr-FR"/>
        </w:rPr>
        <w:t>homme. </w:t>
      </w:r>
    </w:p>
    <w:p w14:paraId="06FB0C98" w14:textId="44872339" w:rsidR="00C91D59" w:rsidRPr="00E1323E" w:rsidRDefault="00C91D59" w:rsidP="00C91D59">
      <w:pPr>
        <w:pStyle w:val="SingleTxtG"/>
        <w:rPr>
          <w:lang w:val="fr-FR"/>
        </w:rPr>
      </w:pPr>
      <w:r w:rsidRPr="00E1323E">
        <w:rPr>
          <w:lang w:val="fr-FR"/>
        </w:rPr>
        <w:t>54.</w:t>
      </w:r>
      <w:r w:rsidRPr="00E1323E">
        <w:rPr>
          <w:lang w:val="fr-FR"/>
        </w:rPr>
        <w:tab/>
        <w:t>Selon la source, M.</w:t>
      </w:r>
      <w:r w:rsidR="00CB5033">
        <w:rPr>
          <w:lang w:val="fr-FR"/>
        </w:rPr>
        <w:t> </w:t>
      </w:r>
      <w:proofErr w:type="spellStart"/>
      <w:r w:rsidRPr="00E1323E">
        <w:rPr>
          <w:lang w:val="fr-FR"/>
        </w:rPr>
        <w:t>Zitout</w:t>
      </w:r>
      <w:proofErr w:type="spellEnd"/>
      <w:r w:rsidRPr="00E1323E">
        <w:rPr>
          <w:lang w:val="fr-FR"/>
        </w:rPr>
        <w:t xml:space="preserve"> serait détenu pour des chefs d</w:t>
      </w:r>
      <w:r>
        <w:rPr>
          <w:lang w:val="fr-FR"/>
        </w:rPr>
        <w:t>’</w:t>
      </w:r>
      <w:r w:rsidRPr="00E1323E">
        <w:rPr>
          <w:lang w:val="fr-FR"/>
        </w:rPr>
        <w:t>accusation relevant de l</w:t>
      </w:r>
      <w:r>
        <w:rPr>
          <w:lang w:val="fr-FR"/>
        </w:rPr>
        <w:t>’</w:t>
      </w:r>
      <w:r w:rsidRPr="00E1323E">
        <w:rPr>
          <w:lang w:val="fr-FR"/>
        </w:rPr>
        <w:t>article</w:t>
      </w:r>
      <w:r w:rsidR="00CB5033">
        <w:rPr>
          <w:lang w:val="fr-FR"/>
        </w:rPr>
        <w:t> </w:t>
      </w:r>
      <w:r w:rsidRPr="00E1323E">
        <w:rPr>
          <w:lang w:val="fr-FR"/>
        </w:rPr>
        <w:t>87</w:t>
      </w:r>
      <w:r w:rsidR="00CB5033">
        <w:rPr>
          <w:lang w:val="fr-FR"/>
        </w:rPr>
        <w:t> </w:t>
      </w:r>
      <w:r w:rsidRPr="00DC1964">
        <w:rPr>
          <w:i/>
          <w:iCs/>
          <w:lang w:val="fr-FR"/>
        </w:rPr>
        <w:t>bis</w:t>
      </w:r>
      <w:r w:rsidRPr="00E1323E">
        <w:rPr>
          <w:lang w:val="fr-FR"/>
        </w:rPr>
        <w:t xml:space="preserve"> du Code pénal. En 2018, le Comité des droits de l</w:t>
      </w:r>
      <w:r>
        <w:rPr>
          <w:lang w:val="fr-FR"/>
        </w:rPr>
        <w:t>’</w:t>
      </w:r>
      <w:r w:rsidRPr="00E1323E">
        <w:rPr>
          <w:lang w:val="fr-FR"/>
        </w:rPr>
        <w:t>homme s</w:t>
      </w:r>
      <w:r>
        <w:rPr>
          <w:lang w:val="fr-FR"/>
        </w:rPr>
        <w:t>’</w:t>
      </w:r>
      <w:r w:rsidRPr="00E1323E">
        <w:rPr>
          <w:lang w:val="fr-FR"/>
        </w:rPr>
        <w:t>est dit préoccupé par cette disposition, observant que le crime de terrorisme y est défini en des termes trop généraux et vagues, permettant la mise en accusation de personnes n</w:t>
      </w:r>
      <w:r>
        <w:rPr>
          <w:lang w:val="fr-FR"/>
        </w:rPr>
        <w:t>’</w:t>
      </w:r>
      <w:r w:rsidRPr="00E1323E">
        <w:rPr>
          <w:lang w:val="fr-FR"/>
        </w:rPr>
        <w:t>ayant fait qu</w:t>
      </w:r>
      <w:r>
        <w:rPr>
          <w:lang w:val="fr-FR"/>
        </w:rPr>
        <w:t>’</w:t>
      </w:r>
      <w:r w:rsidRPr="00E1323E">
        <w:rPr>
          <w:lang w:val="fr-FR"/>
        </w:rPr>
        <w:t xml:space="preserve">exercer </w:t>
      </w:r>
      <w:r w:rsidRPr="00E1323E">
        <w:rPr>
          <w:lang w:val="fr-FR"/>
        </w:rPr>
        <w:lastRenderedPageBreak/>
        <w:t>leur liberté d</w:t>
      </w:r>
      <w:r>
        <w:rPr>
          <w:lang w:val="fr-FR"/>
        </w:rPr>
        <w:t>’</w:t>
      </w:r>
      <w:r w:rsidRPr="00E1323E">
        <w:rPr>
          <w:lang w:val="fr-FR"/>
        </w:rPr>
        <w:t>expression ou de réunion pacifique</w:t>
      </w:r>
      <w:r w:rsidRPr="00C91D59">
        <w:rPr>
          <w:rStyle w:val="FootnoteReference"/>
        </w:rPr>
        <w:footnoteReference w:id="17"/>
      </w:r>
      <w:r>
        <w:rPr>
          <w:lang w:val="fr-FR"/>
        </w:rPr>
        <w:t>.</w:t>
      </w:r>
      <w:r w:rsidRPr="00E1323E">
        <w:rPr>
          <w:lang w:val="fr-FR"/>
        </w:rPr>
        <w:t xml:space="preserve"> Le Comité s</w:t>
      </w:r>
      <w:r>
        <w:rPr>
          <w:lang w:val="fr-FR"/>
        </w:rPr>
        <w:t>’</w:t>
      </w:r>
      <w:r w:rsidRPr="00E1323E">
        <w:rPr>
          <w:lang w:val="fr-FR"/>
        </w:rPr>
        <w:t xml:space="preserve">est également inquiété du fait que les dispositions antiterroristes </w:t>
      </w:r>
      <w:r>
        <w:rPr>
          <w:lang w:val="fr-FR"/>
        </w:rPr>
        <w:t>étaient</w:t>
      </w:r>
      <w:r w:rsidRPr="00E1323E">
        <w:rPr>
          <w:lang w:val="fr-FR"/>
        </w:rPr>
        <w:t xml:space="preserve"> employées à mauvais escient contre les défenseurs et défenseuses des droits humains</w:t>
      </w:r>
      <w:r w:rsidRPr="00C91D59">
        <w:rPr>
          <w:rStyle w:val="FootnoteReference"/>
        </w:rPr>
        <w:footnoteReference w:id="18"/>
      </w:r>
      <w:r>
        <w:rPr>
          <w:lang w:val="fr-FR"/>
        </w:rPr>
        <w:t xml:space="preserve">. </w:t>
      </w:r>
      <w:r w:rsidRPr="00E1323E">
        <w:rPr>
          <w:lang w:val="fr-FR"/>
        </w:rPr>
        <w:t>Le Groupe de travail réitère ses préoccupations quant au caractère vague de la loi algérienne de lutte contre le terrorisme, sur la base de laquelle M.</w:t>
      </w:r>
      <w:r w:rsidR="00CB5033">
        <w:rPr>
          <w:lang w:val="fr-FR"/>
        </w:rPr>
        <w:t> </w:t>
      </w:r>
      <w:proofErr w:type="spellStart"/>
      <w:r w:rsidRPr="00E1323E">
        <w:rPr>
          <w:lang w:val="fr-FR"/>
        </w:rPr>
        <w:t>Zitout</w:t>
      </w:r>
      <w:proofErr w:type="spellEnd"/>
      <w:r w:rsidRPr="00E1323E">
        <w:rPr>
          <w:lang w:val="fr-FR"/>
        </w:rPr>
        <w:t xml:space="preserve"> est détenu</w:t>
      </w:r>
      <w:r w:rsidRPr="00C91D59">
        <w:rPr>
          <w:rStyle w:val="FootnoteReference"/>
        </w:rPr>
        <w:footnoteReference w:id="19"/>
      </w:r>
      <w:r>
        <w:rPr>
          <w:lang w:val="fr-FR"/>
        </w:rPr>
        <w:t>.</w:t>
      </w:r>
      <w:r w:rsidRPr="00E1323E">
        <w:rPr>
          <w:lang w:val="fr-FR"/>
        </w:rPr>
        <w:t xml:space="preserve"> Il rappelle que des lois rédigées de manière vague et générale peuvent avoir un effet dissuasif sur l</w:t>
      </w:r>
      <w:r>
        <w:rPr>
          <w:lang w:val="fr-FR"/>
        </w:rPr>
        <w:t>’</w:t>
      </w:r>
      <w:r w:rsidRPr="00E1323E">
        <w:rPr>
          <w:lang w:val="fr-FR"/>
        </w:rPr>
        <w:t>exercice de droits protégés, y compris la liberté de pensée, de conscience et de religion, la liberté d</w:t>
      </w:r>
      <w:r>
        <w:rPr>
          <w:lang w:val="fr-FR"/>
        </w:rPr>
        <w:t>’</w:t>
      </w:r>
      <w:r w:rsidRPr="00E1323E">
        <w:rPr>
          <w:lang w:val="fr-FR"/>
        </w:rPr>
        <w:t>opinion et d</w:t>
      </w:r>
      <w:r>
        <w:rPr>
          <w:lang w:val="fr-FR"/>
        </w:rPr>
        <w:t>’</w:t>
      </w:r>
      <w:r w:rsidRPr="00E1323E">
        <w:rPr>
          <w:lang w:val="fr-FR"/>
        </w:rPr>
        <w:t>expression, et la liberté de réunion et d</w:t>
      </w:r>
      <w:r>
        <w:rPr>
          <w:lang w:val="fr-FR"/>
        </w:rPr>
        <w:t>’</w:t>
      </w:r>
      <w:r w:rsidRPr="00E1323E">
        <w:rPr>
          <w:lang w:val="fr-FR"/>
        </w:rPr>
        <w:t>association pacifique, car elles peuvent donner lieu à des abus, y</w:t>
      </w:r>
      <w:r w:rsidR="00CB5033">
        <w:rPr>
          <w:lang w:val="fr-FR"/>
        </w:rPr>
        <w:t> </w:t>
      </w:r>
      <w:r w:rsidRPr="00E1323E">
        <w:rPr>
          <w:lang w:val="fr-FR"/>
        </w:rPr>
        <w:t>compris la privation arbitraire de liberté</w:t>
      </w:r>
      <w:r w:rsidRPr="00C91D59">
        <w:rPr>
          <w:rStyle w:val="FootnoteReference"/>
        </w:rPr>
        <w:footnoteReference w:id="20"/>
      </w:r>
      <w:r>
        <w:rPr>
          <w:lang w:val="fr-FR"/>
        </w:rPr>
        <w:t>.</w:t>
      </w:r>
      <w:r w:rsidRPr="00E1323E">
        <w:t xml:space="preserve"> </w:t>
      </w:r>
    </w:p>
    <w:p w14:paraId="681ECC81" w14:textId="34099E5B" w:rsidR="00C91D59" w:rsidRPr="00E1323E" w:rsidRDefault="00C91D59" w:rsidP="00C91D59">
      <w:pPr>
        <w:pStyle w:val="SingleTxtG"/>
        <w:rPr>
          <w:lang w:val="fr-FR"/>
        </w:rPr>
      </w:pPr>
      <w:r w:rsidRPr="00E1323E">
        <w:rPr>
          <w:lang w:val="fr-FR"/>
        </w:rPr>
        <w:t>55.</w:t>
      </w:r>
      <w:r w:rsidRPr="00E1323E">
        <w:rPr>
          <w:lang w:val="fr-FR"/>
        </w:rPr>
        <w:tab/>
        <w:t>Le principe de légalité exige que les lois soient libellées en des termes suffisamment précis pour que chacun puisse y avoir accès, les comprendre et adapter son comportement en conséquence. Or, les crimes de terrorisme visés à l</w:t>
      </w:r>
      <w:r>
        <w:rPr>
          <w:lang w:val="fr-FR"/>
        </w:rPr>
        <w:t>’</w:t>
      </w:r>
      <w:r w:rsidRPr="00E1323E">
        <w:rPr>
          <w:lang w:val="fr-FR"/>
        </w:rPr>
        <w:t>article</w:t>
      </w:r>
      <w:r w:rsidR="00CB5033">
        <w:rPr>
          <w:lang w:val="fr-FR"/>
        </w:rPr>
        <w:t> </w:t>
      </w:r>
      <w:r w:rsidRPr="00E1323E">
        <w:rPr>
          <w:lang w:val="fr-FR"/>
        </w:rPr>
        <w:t>87</w:t>
      </w:r>
      <w:r w:rsidR="00CB5033">
        <w:rPr>
          <w:lang w:val="fr-FR"/>
        </w:rPr>
        <w:t> </w:t>
      </w:r>
      <w:r w:rsidRPr="00DC1964">
        <w:rPr>
          <w:i/>
          <w:iCs/>
          <w:lang w:val="fr-FR"/>
        </w:rPr>
        <w:t>bis</w:t>
      </w:r>
      <w:r w:rsidRPr="00E1323E">
        <w:rPr>
          <w:lang w:val="fr-FR"/>
        </w:rPr>
        <w:t xml:space="preserve"> et d</w:t>
      </w:r>
      <w:r>
        <w:rPr>
          <w:lang w:val="fr-FR"/>
        </w:rPr>
        <w:t>’</w:t>
      </w:r>
      <w:r w:rsidRPr="00E1323E">
        <w:rPr>
          <w:lang w:val="fr-FR"/>
        </w:rPr>
        <w:t xml:space="preserve">autres dispositions du </w:t>
      </w:r>
      <w:r>
        <w:rPr>
          <w:lang w:val="fr-FR"/>
        </w:rPr>
        <w:t>Code pénal</w:t>
      </w:r>
      <w:r w:rsidRPr="00E1323E">
        <w:rPr>
          <w:lang w:val="fr-FR"/>
        </w:rPr>
        <w:t xml:space="preserve"> sont définis en des termes excessivement généraux, ce qui peut, comme en l</w:t>
      </w:r>
      <w:r>
        <w:rPr>
          <w:lang w:val="fr-FR"/>
        </w:rPr>
        <w:t>’</w:t>
      </w:r>
      <w:r w:rsidRPr="00E1323E">
        <w:rPr>
          <w:lang w:val="fr-FR"/>
        </w:rPr>
        <w:t>espèce, proscrire l</w:t>
      </w:r>
      <w:r>
        <w:rPr>
          <w:lang w:val="fr-FR"/>
        </w:rPr>
        <w:t>’</w:t>
      </w:r>
      <w:r w:rsidRPr="00E1323E">
        <w:rPr>
          <w:lang w:val="fr-FR"/>
        </w:rPr>
        <w:t>exercice pacifique de droits garantis par le droit international</w:t>
      </w:r>
      <w:r w:rsidRPr="00C91D59">
        <w:rPr>
          <w:rStyle w:val="FootnoteReference"/>
        </w:rPr>
        <w:footnoteReference w:id="21"/>
      </w:r>
      <w:r>
        <w:rPr>
          <w:lang w:val="fr-FR"/>
        </w:rPr>
        <w:t>.</w:t>
      </w:r>
      <w:r w:rsidRPr="00E1323E">
        <w:rPr>
          <w:lang w:val="fr-FR"/>
        </w:rPr>
        <w:t xml:space="preserve"> Dans certaines circonstances, les lois sont si vagues et générales qu</w:t>
      </w:r>
      <w:r>
        <w:rPr>
          <w:lang w:val="fr-FR"/>
        </w:rPr>
        <w:t>’</w:t>
      </w:r>
      <w:r w:rsidRPr="00E1323E">
        <w:rPr>
          <w:lang w:val="fr-FR"/>
        </w:rPr>
        <w:t>il est impossible d</w:t>
      </w:r>
      <w:r>
        <w:rPr>
          <w:lang w:val="fr-FR"/>
        </w:rPr>
        <w:t>’</w:t>
      </w:r>
      <w:r w:rsidRPr="00E1323E">
        <w:rPr>
          <w:lang w:val="fr-FR"/>
        </w:rPr>
        <w:t xml:space="preserve">invoquer </w:t>
      </w:r>
      <w:r>
        <w:rPr>
          <w:lang w:val="fr-FR"/>
        </w:rPr>
        <w:t xml:space="preserve">un </w:t>
      </w:r>
      <w:r w:rsidRPr="00E1323E">
        <w:rPr>
          <w:lang w:val="fr-FR"/>
        </w:rPr>
        <w:t>quelconque fondement juridique justifiant la privation de liberté. En l</w:t>
      </w:r>
      <w:r>
        <w:rPr>
          <w:lang w:val="fr-FR"/>
        </w:rPr>
        <w:t>’</w:t>
      </w:r>
      <w:r w:rsidRPr="00E1323E">
        <w:rPr>
          <w:lang w:val="fr-FR"/>
        </w:rPr>
        <w:t>espèce, l</w:t>
      </w:r>
      <w:r>
        <w:rPr>
          <w:lang w:val="fr-FR"/>
        </w:rPr>
        <w:t>’</w:t>
      </w:r>
      <w:r w:rsidRPr="00E1323E">
        <w:rPr>
          <w:lang w:val="fr-FR"/>
        </w:rPr>
        <w:t>application de dispositions aussi générales qu</w:t>
      </w:r>
      <w:r>
        <w:rPr>
          <w:lang w:val="fr-FR"/>
        </w:rPr>
        <w:t>’</w:t>
      </w:r>
      <w:r w:rsidRPr="00E1323E">
        <w:rPr>
          <w:lang w:val="fr-FR"/>
        </w:rPr>
        <w:t>imprécises renforce la conclusion du Groupe de travail selon laquelle la privation de liberté de M.</w:t>
      </w:r>
      <w:r w:rsidR="00CB5033">
        <w:rPr>
          <w:lang w:val="fr-FR"/>
        </w:rPr>
        <w:t> </w:t>
      </w:r>
      <w:proofErr w:type="spellStart"/>
      <w:r w:rsidRPr="00E1323E">
        <w:rPr>
          <w:lang w:val="fr-FR"/>
        </w:rPr>
        <w:t>Zitout</w:t>
      </w:r>
      <w:proofErr w:type="spellEnd"/>
      <w:r w:rsidRPr="00E1323E">
        <w:rPr>
          <w:lang w:val="fr-FR"/>
        </w:rPr>
        <w:t xml:space="preserve"> est arbitra</w:t>
      </w:r>
      <w:r>
        <w:rPr>
          <w:lang w:val="fr-FR"/>
        </w:rPr>
        <w:t>i</w:t>
      </w:r>
      <w:r w:rsidRPr="00E1323E">
        <w:rPr>
          <w:lang w:val="fr-FR"/>
        </w:rPr>
        <w:t>re au titre de la catégorie</w:t>
      </w:r>
      <w:r w:rsidR="00CB5033">
        <w:rPr>
          <w:lang w:val="fr-FR"/>
        </w:rPr>
        <w:t> </w:t>
      </w:r>
      <w:r w:rsidRPr="00E1323E">
        <w:rPr>
          <w:lang w:val="fr-FR"/>
        </w:rPr>
        <w:t xml:space="preserve">II. De plus, le Groupe de travail estime que, dans certaines circonstances, des lois libellées en des termes trop imprécis et généraux ne sauraient être invoquées comme fondement juridique pour justifier une privation de liberté. </w:t>
      </w:r>
    </w:p>
    <w:p w14:paraId="00984DEE" w14:textId="4CFC1A54" w:rsidR="00C91D59" w:rsidRPr="00E1323E" w:rsidRDefault="00C91D59" w:rsidP="00C91D59">
      <w:pPr>
        <w:pStyle w:val="SingleTxtG"/>
        <w:rPr>
          <w:lang w:val="fr-FR"/>
        </w:rPr>
      </w:pPr>
      <w:r w:rsidRPr="00E1323E">
        <w:rPr>
          <w:lang w:val="fr-FR"/>
        </w:rPr>
        <w:t>56.</w:t>
      </w:r>
      <w:r w:rsidRPr="00E1323E">
        <w:rPr>
          <w:lang w:val="fr-FR"/>
        </w:rPr>
        <w:tab/>
        <w:t xml:space="preserve">En outre, la source affirme que </w:t>
      </w:r>
      <w:r>
        <w:rPr>
          <w:lang w:val="fr-FR"/>
        </w:rPr>
        <w:t xml:space="preserve">les autorités ont arrêté et placé en détention </w:t>
      </w:r>
      <w:r w:rsidRPr="00E1323E">
        <w:rPr>
          <w:lang w:val="fr-FR"/>
        </w:rPr>
        <w:t>M.</w:t>
      </w:r>
      <w:r w:rsidR="00CB5033">
        <w:rPr>
          <w:lang w:val="fr-FR"/>
        </w:rPr>
        <w:t> </w:t>
      </w:r>
      <w:proofErr w:type="spellStart"/>
      <w:r w:rsidRPr="00E1323E">
        <w:rPr>
          <w:lang w:val="fr-FR"/>
        </w:rPr>
        <w:t>Zitout</w:t>
      </w:r>
      <w:proofErr w:type="spellEnd"/>
      <w:r w:rsidRPr="00E1323E">
        <w:rPr>
          <w:lang w:val="fr-FR"/>
        </w:rPr>
        <w:t xml:space="preserve"> pour faire pression sur le membre de sa famille exilé. Selon </w:t>
      </w:r>
      <w:r>
        <w:rPr>
          <w:lang w:val="fr-FR"/>
        </w:rPr>
        <w:t>elle</w:t>
      </w:r>
      <w:r w:rsidRPr="00E1323E">
        <w:rPr>
          <w:lang w:val="fr-FR"/>
        </w:rPr>
        <w:t>, lors de sa détention, M.</w:t>
      </w:r>
      <w:r w:rsidR="00CB5033">
        <w:rPr>
          <w:lang w:val="fr-FR"/>
        </w:rPr>
        <w:t> </w:t>
      </w:r>
      <w:proofErr w:type="spellStart"/>
      <w:r w:rsidRPr="00E1323E">
        <w:rPr>
          <w:lang w:val="fr-FR"/>
        </w:rPr>
        <w:t>Zitout</w:t>
      </w:r>
      <w:proofErr w:type="spellEnd"/>
      <w:r w:rsidRPr="00E1323E">
        <w:rPr>
          <w:lang w:val="fr-FR"/>
        </w:rPr>
        <w:t xml:space="preserve"> a été interrogé par des agents de la police judiciaire à propos de ses liens avec le membre de sa famille en question. Dans sa réponse tardive, le Gouvernement </w:t>
      </w:r>
      <w:r>
        <w:rPr>
          <w:lang w:val="fr-FR"/>
        </w:rPr>
        <w:t>affirme</w:t>
      </w:r>
      <w:r w:rsidRPr="00E1323E">
        <w:rPr>
          <w:lang w:val="fr-FR"/>
        </w:rPr>
        <w:t xml:space="preserve"> que</w:t>
      </w:r>
      <w:r>
        <w:rPr>
          <w:lang w:val="fr-FR"/>
        </w:rPr>
        <w:t>,</w:t>
      </w:r>
      <w:r w:rsidRPr="00E1323E">
        <w:rPr>
          <w:lang w:val="fr-FR"/>
        </w:rPr>
        <w:t xml:space="preserve"> bien que le proche de M.</w:t>
      </w:r>
      <w:r w:rsidR="00CB5033">
        <w:rPr>
          <w:lang w:val="fr-FR"/>
        </w:rPr>
        <w:t> </w:t>
      </w:r>
      <w:proofErr w:type="spellStart"/>
      <w:r w:rsidRPr="00E1323E">
        <w:rPr>
          <w:lang w:val="fr-FR"/>
        </w:rPr>
        <w:t>Zitout</w:t>
      </w:r>
      <w:proofErr w:type="spellEnd"/>
      <w:r w:rsidRPr="00E1323E">
        <w:rPr>
          <w:lang w:val="fr-FR"/>
        </w:rPr>
        <w:t xml:space="preserve"> s</w:t>
      </w:r>
      <w:r>
        <w:rPr>
          <w:lang w:val="fr-FR"/>
        </w:rPr>
        <w:t>’</w:t>
      </w:r>
      <w:r w:rsidRPr="00E1323E">
        <w:rPr>
          <w:lang w:val="fr-FR"/>
        </w:rPr>
        <w:t>oppose au pouvoir depuis l</w:t>
      </w:r>
      <w:r>
        <w:rPr>
          <w:lang w:val="fr-FR"/>
        </w:rPr>
        <w:t>’</w:t>
      </w:r>
      <w:r w:rsidRPr="00E1323E">
        <w:rPr>
          <w:lang w:val="fr-FR"/>
        </w:rPr>
        <w:t xml:space="preserve">étranger depuis </w:t>
      </w:r>
      <w:r>
        <w:rPr>
          <w:lang w:val="fr-FR"/>
        </w:rPr>
        <w:t>vingt-sept</w:t>
      </w:r>
      <w:r w:rsidRPr="00E1323E">
        <w:rPr>
          <w:lang w:val="fr-FR"/>
        </w:rPr>
        <w:t xml:space="preserve"> ans, aucun de ses proches n</w:t>
      </w:r>
      <w:r>
        <w:rPr>
          <w:lang w:val="fr-FR"/>
        </w:rPr>
        <w:t>’</w:t>
      </w:r>
      <w:r w:rsidRPr="00E1323E">
        <w:rPr>
          <w:lang w:val="fr-FR"/>
        </w:rPr>
        <w:t xml:space="preserve">a été harcelé ou poursuivi durant cette période. Ces allégations étant </w:t>
      </w:r>
      <w:r>
        <w:rPr>
          <w:lang w:val="fr-FR"/>
        </w:rPr>
        <w:t>traitées</w:t>
      </w:r>
      <w:r w:rsidRPr="00E1323E">
        <w:rPr>
          <w:lang w:val="fr-FR"/>
        </w:rPr>
        <w:t xml:space="preserve"> ci-</w:t>
      </w:r>
      <w:r>
        <w:rPr>
          <w:lang w:val="fr-FR"/>
        </w:rPr>
        <w:t>après</w:t>
      </w:r>
      <w:r w:rsidRPr="00E1323E">
        <w:rPr>
          <w:lang w:val="fr-FR"/>
        </w:rPr>
        <w:t xml:space="preserve"> au titre de la catégorie</w:t>
      </w:r>
      <w:r>
        <w:rPr>
          <w:lang w:val="fr-FR"/>
        </w:rPr>
        <w:t> </w:t>
      </w:r>
      <w:r w:rsidRPr="00E1323E">
        <w:rPr>
          <w:lang w:val="fr-FR"/>
        </w:rPr>
        <w:t>V, le Groupe de travail ne considère pas nécessaire de les aborder ici.</w:t>
      </w:r>
    </w:p>
    <w:p w14:paraId="6DF24780" w14:textId="2A53E3C7" w:rsidR="00C91D59" w:rsidRPr="00E1323E" w:rsidRDefault="00C91D59" w:rsidP="00C91D59">
      <w:pPr>
        <w:pStyle w:val="SingleTxtG"/>
        <w:rPr>
          <w:lang w:val="fr-FR"/>
        </w:rPr>
      </w:pPr>
      <w:r w:rsidRPr="00E1323E">
        <w:rPr>
          <w:lang w:val="fr-FR"/>
        </w:rPr>
        <w:t>57.</w:t>
      </w:r>
      <w:r w:rsidRPr="00E1323E">
        <w:rPr>
          <w:lang w:val="fr-FR"/>
        </w:rPr>
        <w:tab/>
        <w:t>Néanmoins, au vu de ses conclusions ci-dessus, le Groupe de travail conclut que M.</w:t>
      </w:r>
      <w:r w:rsidR="00CB5033">
        <w:rPr>
          <w:lang w:val="fr-FR"/>
        </w:rPr>
        <w:t> </w:t>
      </w:r>
      <w:proofErr w:type="spellStart"/>
      <w:r w:rsidRPr="00E1323E">
        <w:rPr>
          <w:lang w:val="fr-FR"/>
        </w:rPr>
        <w:t>Zitout</w:t>
      </w:r>
      <w:proofErr w:type="spellEnd"/>
      <w:r w:rsidRPr="00E1323E">
        <w:rPr>
          <w:lang w:val="fr-FR"/>
        </w:rPr>
        <w:t xml:space="preserve"> est détenu pour avoir exercé son droit à la liberté d</w:t>
      </w:r>
      <w:r>
        <w:rPr>
          <w:lang w:val="fr-FR"/>
        </w:rPr>
        <w:t>’</w:t>
      </w:r>
      <w:r w:rsidRPr="00E1323E">
        <w:rPr>
          <w:lang w:val="fr-FR"/>
        </w:rPr>
        <w:t>expression et d</w:t>
      </w:r>
      <w:r>
        <w:rPr>
          <w:lang w:val="fr-FR"/>
        </w:rPr>
        <w:t>’</w:t>
      </w:r>
      <w:r w:rsidRPr="00E1323E">
        <w:rPr>
          <w:lang w:val="fr-FR"/>
        </w:rPr>
        <w:t>opinion, consacré à l</w:t>
      </w:r>
      <w:r>
        <w:rPr>
          <w:lang w:val="fr-FR"/>
        </w:rPr>
        <w:t>’</w:t>
      </w:r>
      <w:r w:rsidRPr="00E1323E">
        <w:rPr>
          <w:lang w:val="fr-FR"/>
        </w:rPr>
        <w:t>article</w:t>
      </w:r>
      <w:r w:rsidR="00CB5033">
        <w:rPr>
          <w:lang w:val="fr-FR"/>
        </w:rPr>
        <w:t> </w:t>
      </w:r>
      <w:r w:rsidRPr="00E1323E">
        <w:rPr>
          <w:lang w:val="fr-FR"/>
        </w:rPr>
        <w:t xml:space="preserve">19 du Pacte et </w:t>
      </w:r>
      <w:r>
        <w:rPr>
          <w:lang w:val="fr-FR"/>
        </w:rPr>
        <w:t xml:space="preserve">à </w:t>
      </w:r>
      <w:r w:rsidRPr="00E1323E">
        <w:rPr>
          <w:lang w:val="fr-FR"/>
        </w:rPr>
        <w:t>l</w:t>
      </w:r>
      <w:r>
        <w:rPr>
          <w:lang w:val="fr-FR"/>
        </w:rPr>
        <w:t>’</w:t>
      </w:r>
      <w:r w:rsidRPr="00E1323E">
        <w:rPr>
          <w:lang w:val="fr-FR"/>
        </w:rPr>
        <w:t>article</w:t>
      </w:r>
      <w:r w:rsidR="00CB5033">
        <w:rPr>
          <w:lang w:val="fr-FR"/>
        </w:rPr>
        <w:t> </w:t>
      </w:r>
      <w:r w:rsidRPr="00E1323E">
        <w:rPr>
          <w:lang w:val="fr-FR"/>
        </w:rPr>
        <w:t>19 de la Déclaration universelle des droits de l</w:t>
      </w:r>
      <w:r>
        <w:rPr>
          <w:lang w:val="fr-FR"/>
        </w:rPr>
        <w:t>’</w:t>
      </w:r>
      <w:r w:rsidRPr="00E1323E">
        <w:rPr>
          <w:lang w:val="fr-FR"/>
        </w:rPr>
        <w:t>homme. Sa détention est donc arbitraire au titre de la catégorie</w:t>
      </w:r>
      <w:r w:rsidR="00CB5033">
        <w:rPr>
          <w:lang w:val="fr-FR"/>
        </w:rPr>
        <w:t> </w:t>
      </w:r>
      <w:r w:rsidRPr="00E1323E">
        <w:rPr>
          <w:lang w:val="fr-FR"/>
        </w:rPr>
        <w:t>II.</w:t>
      </w:r>
    </w:p>
    <w:p w14:paraId="02ADE181" w14:textId="77777777" w:rsidR="00C91D59" w:rsidRPr="00E1323E" w:rsidRDefault="00C91D59" w:rsidP="00CB5033">
      <w:pPr>
        <w:pStyle w:val="H23G"/>
        <w:rPr>
          <w:lang w:val="fr-FR"/>
        </w:rPr>
      </w:pPr>
      <w:r>
        <w:rPr>
          <w:lang w:val="fr-FR"/>
        </w:rPr>
        <w:tab/>
        <w:t>c)</w:t>
      </w:r>
      <w:r>
        <w:rPr>
          <w:lang w:val="fr-FR"/>
        </w:rPr>
        <w:tab/>
      </w:r>
      <w:r w:rsidRPr="00E1323E">
        <w:rPr>
          <w:lang w:val="fr-FR"/>
        </w:rPr>
        <w:t>Catégorie III</w:t>
      </w:r>
    </w:p>
    <w:p w14:paraId="63B0D55F" w14:textId="3077DA11" w:rsidR="00C91D59" w:rsidRPr="00E1323E" w:rsidRDefault="00C91D59" w:rsidP="00C91D59">
      <w:pPr>
        <w:pStyle w:val="SingleTxtG"/>
        <w:rPr>
          <w:lang w:val="fr-FR"/>
        </w:rPr>
      </w:pPr>
      <w:r w:rsidRPr="00E1323E">
        <w:rPr>
          <w:lang w:val="fr-FR"/>
        </w:rPr>
        <w:t>58.</w:t>
      </w:r>
      <w:r w:rsidRPr="00E1323E">
        <w:rPr>
          <w:lang w:val="fr-FR"/>
        </w:rPr>
        <w:tab/>
        <w:t>Ayant conclu que la détention de M.</w:t>
      </w:r>
      <w:r w:rsidR="00CB5033">
        <w:rPr>
          <w:lang w:val="fr-FR"/>
        </w:rPr>
        <w:t> </w:t>
      </w:r>
      <w:proofErr w:type="spellStart"/>
      <w:r w:rsidRPr="00E1323E">
        <w:rPr>
          <w:lang w:val="fr-FR"/>
        </w:rPr>
        <w:t>Zitout</w:t>
      </w:r>
      <w:proofErr w:type="spellEnd"/>
      <w:r w:rsidRPr="00E1323E">
        <w:rPr>
          <w:lang w:val="fr-FR"/>
        </w:rPr>
        <w:t xml:space="preserve"> est arbitraire au titre de la catégorie</w:t>
      </w:r>
      <w:r w:rsidR="00CB5033">
        <w:rPr>
          <w:lang w:val="fr-FR"/>
        </w:rPr>
        <w:t> </w:t>
      </w:r>
      <w:r w:rsidRPr="00E1323E">
        <w:rPr>
          <w:lang w:val="fr-FR"/>
        </w:rPr>
        <w:t xml:space="preserve">II, le Groupe de travail souligne </w:t>
      </w:r>
      <w:r>
        <w:rPr>
          <w:lang w:val="fr-FR"/>
        </w:rPr>
        <w:t>que celui-ci</w:t>
      </w:r>
      <w:r w:rsidRPr="00E1323E">
        <w:rPr>
          <w:lang w:val="fr-FR"/>
        </w:rPr>
        <w:t xml:space="preserve"> n</w:t>
      </w:r>
      <w:r>
        <w:rPr>
          <w:lang w:val="fr-FR"/>
        </w:rPr>
        <w:t>’</w:t>
      </w:r>
      <w:r w:rsidRPr="00E1323E">
        <w:rPr>
          <w:lang w:val="fr-FR"/>
        </w:rPr>
        <w:t>aurait pas dû être traduit en justice. Or, dans les informations supplémentaires fournies par la source, celle-ci a informé le Groupe de travail que, le 23</w:t>
      </w:r>
      <w:r>
        <w:rPr>
          <w:lang w:val="fr-FR"/>
        </w:rPr>
        <w:t> </w:t>
      </w:r>
      <w:r w:rsidRPr="00E1323E">
        <w:rPr>
          <w:lang w:val="fr-FR"/>
        </w:rPr>
        <w:t>juillet 2023, M.</w:t>
      </w:r>
      <w:r w:rsidR="00CB5033">
        <w:rPr>
          <w:lang w:val="fr-FR"/>
        </w:rPr>
        <w:t> </w:t>
      </w:r>
      <w:proofErr w:type="spellStart"/>
      <w:r w:rsidRPr="00E1323E">
        <w:rPr>
          <w:lang w:val="fr-FR"/>
        </w:rPr>
        <w:t>Zitout</w:t>
      </w:r>
      <w:proofErr w:type="spellEnd"/>
      <w:r w:rsidRPr="00E1323E">
        <w:rPr>
          <w:lang w:val="fr-FR"/>
        </w:rPr>
        <w:t xml:space="preserve"> a été reconnu coupable et condamné à deux ans de réclusion criminelle pour avoir publié des nouvelles mensongères dans le but d</w:t>
      </w:r>
      <w:r>
        <w:rPr>
          <w:lang w:val="fr-FR"/>
        </w:rPr>
        <w:t>’</w:t>
      </w:r>
      <w:r w:rsidRPr="00E1323E">
        <w:rPr>
          <w:lang w:val="fr-FR"/>
        </w:rPr>
        <w:t>attenter à l</w:t>
      </w:r>
      <w:r>
        <w:rPr>
          <w:lang w:val="fr-FR"/>
        </w:rPr>
        <w:t>’</w:t>
      </w:r>
      <w:r w:rsidRPr="00E1323E">
        <w:rPr>
          <w:lang w:val="fr-FR"/>
        </w:rPr>
        <w:t>ordre</w:t>
      </w:r>
      <w:r>
        <w:rPr>
          <w:lang w:val="fr-FR"/>
        </w:rPr>
        <w:t xml:space="preserve"> public</w:t>
      </w:r>
      <w:r w:rsidRPr="00E1323E">
        <w:rPr>
          <w:lang w:val="fr-FR"/>
        </w:rPr>
        <w:t xml:space="preserve"> et à la sécurité publique</w:t>
      </w:r>
      <w:r>
        <w:rPr>
          <w:lang w:val="fr-FR"/>
        </w:rPr>
        <w:t>,</w:t>
      </w:r>
      <w:r w:rsidRPr="00E1323E">
        <w:rPr>
          <w:lang w:val="fr-FR"/>
        </w:rPr>
        <w:t xml:space="preserve"> et pour délit d</w:t>
      </w:r>
      <w:r>
        <w:rPr>
          <w:lang w:val="fr-FR"/>
        </w:rPr>
        <w:t>’</w:t>
      </w:r>
      <w:r w:rsidRPr="00E1323E">
        <w:rPr>
          <w:lang w:val="fr-FR"/>
        </w:rPr>
        <w:t>outrage à corps constitués.</w:t>
      </w:r>
    </w:p>
    <w:p w14:paraId="11F6909B" w14:textId="51618116" w:rsidR="00C91D59" w:rsidRPr="00E1323E" w:rsidRDefault="00C91D59" w:rsidP="00C91D59">
      <w:pPr>
        <w:pStyle w:val="SingleTxtG"/>
        <w:rPr>
          <w:lang w:val="fr-FR"/>
        </w:rPr>
      </w:pPr>
      <w:r w:rsidRPr="00E1323E">
        <w:rPr>
          <w:lang w:val="fr-FR"/>
        </w:rPr>
        <w:t>59.</w:t>
      </w:r>
      <w:r w:rsidRPr="00E1323E">
        <w:rPr>
          <w:lang w:val="fr-FR"/>
        </w:rPr>
        <w:tab/>
        <w:t>La source affirme que la détention de M.</w:t>
      </w:r>
      <w:r w:rsidR="00CB5033">
        <w:rPr>
          <w:lang w:val="fr-FR"/>
        </w:rPr>
        <w:t> </w:t>
      </w:r>
      <w:proofErr w:type="spellStart"/>
      <w:r w:rsidRPr="00E1323E">
        <w:rPr>
          <w:lang w:val="fr-FR"/>
        </w:rPr>
        <w:t>Zitout</w:t>
      </w:r>
      <w:proofErr w:type="spellEnd"/>
      <w:r w:rsidRPr="00E1323E">
        <w:rPr>
          <w:lang w:val="fr-FR"/>
        </w:rPr>
        <w:t xml:space="preserve"> est arbitraire au titre de la catégorie</w:t>
      </w:r>
      <w:r>
        <w:rPr>
          <w:lang w:val="fr-FR"/>
        </w:rPr>
        <w:t> </w:t>
      </w:r>
      <w:r w:rsidRPr="00E1323E">
        <w:rPr>
          <w:lang w:val="fr-FR"/>
        </w:rPr>
        <w:t>III dès lors qu</w:t>
      </w:r>
      <w:r>
        <w:rPr>
          <w:lang w:val="fr-FR"/>
        </w:rPr>
        <w:t>’</w:t>
      </w:r>
      <w:r w:rsidRPr="00E1323E">
        <w:rPr>
          <w:lang w:val="fr-FR"/>
        </w:rPr>
        <w:t>elle est contraire à l</w:t>
      </w:r>
      <w:r>
        <w:rPr>
          <w:lang w:val="fr-FR"/>
        </w:rPr>
        <w:t>’</w:t>
      </w:r>
      <w:r w:rsidRPr="00E1323E">
        <w:rPr>
          <w:lang w:val="fr-FR"/>
        </w:rPr>
        <w:t>article</w:t>
      </w:r>
      <w:r w:rsidR="00CB5033">
        <w:rPr>
          <w:lang w:val="fr-FR"/>
        </w:rPr>
        <w:t> </w:t>
      </w:r>
      <w:r w:rsidRPr="00E1323E">
        <w:rPr>
          <w:lang w:val="fr-FR"/>
        </w:rPr>
        <w:t>14 du Pacte. Elle fait valoir qu</w:t>
      </w:r>
      <w:r>
        <w:rPr>
          <w:lang w:val="fr-FR"/>
        </w:rPr>
        <w:t>’</w:t>
      </w:r>
      <w:r w:rsidRPr="00E1323E">
        <w:rPr>
          <w:lang w:val="fr-FR"/>
        </w:rPr>
        <w:t>à la suite de son arrestation, M.</w:t>
      </w:r>
      <w:r w:rsidR="00CB5033">
        <w:rPr>
          <w:lang w:val="fr-FR"/>
        </w:rPr>
        <w:t> </w:t>
      </w:r>
      <w:proofErr w:type="spellStart"/>
      <w:r w:rsidRPr="00E1323E">
        <w:rPr>
          <w:lang w:val="fr-FR"/>
        </w:rPr>
        <w:t>Zitout</w:t>
      </w:r>
      <w:proofErr w:type="spellEnd"/>
      <w:r w:rsidRPr="00E1323E">
        <w:rPr>
          <w:lang w:val="fr-FR"/>
        </w:rPr>
        <w:t xml:space="preserve"> a été privé de tout contact avec ses avocats pendant cinq jours, en violation de l</w:t>
      </w:r>
      <w:r>
        <w:rPr>
          <w:lang w:val="fr-FR"/>
        </w:rPr>
        <w:t>’</w:t>
      </w:r>
      <w:r w:rsidRPr="00E1323E">
        <w:rPr>
          <w:lang w:val="fr-FR"/>
        </w:rPr>
        <w:t>article</w:t>
      </w:r>
      <w:r w:rsidR="00CB5033">
        <w:rPr>
          <w:lang w:val="fr-FR"/>
        </w:rPr>
        <w:t> </w:t>
      </w:r>
      <w:r w:rsidRPr="00E1323E">
        <w:rPr>
          <w:lang w:val="fr-FR"/>
        </w:rPr>
        <w:t>14 (</w:t>
      </w:r>
      <w:r>
        <w:rPr>
          <w:lang w:val="fr-FR"/>
        </w:rPr>
        <w:t>par.</w:t>
      </w:r>
      <w:r w:rsidR="00CB5033">
        <w:rPr>
          <w:lang w:val="fr-FR"/>
        </w:rPr>
        <w:t> </w:t>
      </w:r>
      <w:r w:rsidRPr="00E1323E">
        <w:rPr>
          <w:lang w:val="fr-FR"/>
        </w:rPr>
        <w:t>3</w:t>
      </w:r>
      <w:r>
        <w:rPr>
          <w:lang w:val="fr-FR"/>
        </w:rPr>
        <w:t> </w:t>
      </w:r>
      <w:r w:rsidRPr="00E1323E">
        <w:rPr>
          <w:lang w:val="fr-FR"/>
        </w:rPr>
        <w:t>b) et d)</w:t>
      </w:r>
      <w:r>
        <w:rPr>
          <w:lang w:val="fr-FR"/>
        </w:rPr>
        <w:t>)</w:t>
      </w:r>
      <w:r w:rsidRPr="00E1323E">
        <w:rPr>
          <w:lang w:val="fr-FR"/>
        </w:rPr>
        <w:t xml:space="preserve"> du Pacte. Dans sa réponse tardive, le Gouvernement </w:t>
      </w:r>
      <w:r>
        <w:rPr>
          <w:lang w:val="fr-FR"/>
        </w:rPr>
        <w:t>soutient</w:t>
      </w:r>
      <w:r w:rsidRPr="00E1323E">
        <w:rPr>
          <w:lang w:val="fr-FR"/>
        </w:rPr>
        <w:t xml:space="preserve"> que les rapports d</w:t>
      </w:r>
      <w:r>
        <w:rPr>
          <w:lang w:val="fr-FR"/>
        </w:rPr>
        <w:t>’</w:t>
      </w:r>
      <w:r w:rsidRPr="00E1323E">
        <w:rPr>
          <w:lang w:val="fr-FR"/>
        </w:rPr>
        <w:t>enquête préliminaire indiquent que M.</w:t>
      </w:r>
      <w:r w:rsidR="00CB5033">
        <w:rPr>
          <w:lang w:val="fr-FR"/>
        </w:rPr>
        <w:t> </w:t>
      </w:r>
      <w:proofErr w:type="spellStart"/>
      <w:r w:rsidRPr="00E1323E">
        <w:rPr>
          <w:lang w:val="fr-FR"/>
        </w:rPr>
        <w:t>Zitout</w:t>
      </w:r>
      <w:proofErr w:type="spellEnd"/>
      <w:r w:rsidRPr="00E1323E">
        <w:rPr>
          <w:lang w:val="fr-FR"/>
        </w:rPr>
        <w:t xml:space="preserve"> a été avisé de ses droits mais a refusé de </w:t>
      </w:r>
      <w:r>
        <w:rPr>
          <w:lang w:val="fr-FR"/>
        </w:rPr>
        <w:t>joindre</w:t>
      </w:r>
      <w:r w:rsidRPr="00E1323E">
        <w:rPr>
          <w:lang w:val="fr-FR"/>
        </w:rPr>
        <w:t xml:space="preserve"> son avocat et qu</w:t>
      </w:r>
      <w:r>
        <w:rPr>
          <w:lang w:val="fr-FR"/>
        </w:rPr>
        <w:t>’</w:t>
      </w:r>
      <w:r w:rsidRPr="00E1323E">
        <w:rPr>
          <w:lang w:val="fr-FR"/>
        </w:rPr>
        <w:t xml:space="preserve">il a signé des procès-verbaux sur lesquels il a apposé ses empreintes digitales. </w:t>
      </w:r>
    </w:p>
    <w:p w14:paraId="3B1654CA" w14:textId="518D3849" w:rsidR="00C91D59" w:rsidRPr="00E1323E" w:rsidRDefault="00C91D59" w:rsidP="00C91D59">
      <w:pPr>
        <w:pStyle w:val="SingleTxtG"/>
        <w:rPr>
          <w:lang w:val="fr-FR"/>
        </w:rPr>
      </w:pPr>
      <w:r w:rsidRPr="00E1323E">
        <w:rPr>
          <w:lang w:val="fr-FR"/>
        </w:rPr>
        <w:lastRenderedPageBreak/>
        <w:t>60.</w:t>
      </w:r>
      <w:r w:rsidRPr="00E1323E">
        <w:rPr>
          <w:lang w:val="fr-FR"/>
        </w:rPr>
        <w:tab/>
      </w:r>
      <w:r w:rsidRPr="00E1323E">
        <w:t>Le Groupe de travail rappelle que toute personne privée de liberté a le droit d</w:t>
      </w:r>
      <w:r>
        <w:t>’</w:t>
      </w:r>
      <w:r w:rsidRPr="00E1323E">
        <w:t xml:space="preserve">être assistée par le conseil de son choix, </w:t>
      </w:r>
      <w:r>
        <w:t>comme le</w:t>
      </w:r>
      <w:r w:rsidRPr="00E1323E">
        <w:rPr>
          <w:lang w:val="fr-FR"/>
        </w:rPr>
        <w:t xml:space="preserve"> garanti</w:t>
      </w:r>
      <w:r>
        <w:rPr>
          <w:lang w:val="fr-FR"/>
        </w:rPr>
        <w:t>t</w:t>
      </w:r>
      <w:r w:rsidRPr="00E1323E">
        <w:rPr>
          <w:lang w:val="fr-FR"/>
        </w:rPr>
        <w:t xml:space="preserve"> l</w:t>
      </w:r>
      <w:r>
        <w:rPr>
          <w:lang w:val="fr-FR"/>
        </w:rPr>
        <w:t>’</w:t>
      </w:r>
      <w:r w:rsidRPr="00E1323E">
        <w:rPr>
          <w:lang w:val="fr-FR"/>
        </w:rPr>
        <w:t>article</w:t>
      </w:r>
      <w:r w:rsidR="00CB5033">
        <w:rPr>
          <w:lang w:val="fr-FR"/>
        </w:rPr>
        <w:t> </w:t>
      </w:r>
      <w:r w:rsidRPr="00E1323E">
        <w:rPr>
          <w:lang w:val="fr-FR"/>
        </w:rPr>
        <w:t>14 (par.</w:t>
      </w:r>
      <w:r w:rsidR="00CB5033">
        <w:rPr>
          <w:lang w:val="fr-FR"/>
        </w:rPr>
        <w:t> </w:t>
      </w:r>
      <w:r w:rsidRPr="00E1323E">
        <w:rPr>
          <w:lang w:val="fr-FR"/>
        </w:rPr>
        <w:t>3</w:t>
      </w:r>
      <w:r>
        <w:rPr>
          <w:lang w:val="fr-FR"/>
        </w:rPr>
        <w:t> </w:t>
      </w:r>
      <w:r w:rsidRPr="00E1323E">
        <w:rPr>
          <w:lang w:val="fr-FR"/>
        </w:rPr>
        <w:t>b) et d)) du Pacte. Ce droit s</w:t>
      </w:r>
      <w:r>
        <w:rPr>
          <w:lang w:val="fr-FR"/>
        </w:rPr>
        <w:t>’</w:t>
      </w:r>
      <w:r w:rsidRPr="00E1323E">
        <w:rPr>
          <w:lang w:val="fr-FR"/>
        </w:rPr>
        <w:t>applique</w:t>
      </w:r>
      <w:r w:rsidRPr="00E1323E">
        <w:t xml:space="preserve"> à tout moment durant la détention, y compris immédiatement après l</w:t>
      </w:r>
      <w:r>
        <w:t>’</w:t>
      </w:r>
      <w:r w:rsidRPr="00E1323E">
        <w:t>arrestation, et cet accès doit être accordé sans délai</w:t>
      </w:r>
      <w:r w:rsidRPr="00C91D59">
        <w:rPr>
          <w:rStyle w:val="FootnoteReference"/>
        </w:rPr>
        <w:footnoteReference w:id="22"/>
      </w:r>
      <w:r w:rsidRPr="00E1323E">
        <w:t xml:space="preserve">. </w:t>
      </w:r>
      <w:r w:rsidRPr="00E1323E">
        <w:rPr>
          <w:lang w:val="fr-FR"/>
        </w:rPr>
        <w:t>Toute législation qui prétend supprimer le droit à un avocat est intrinsèquement contraire aux normes internationales des droits humains</w:t>
      </w:r>
      <w:r w:rsidRPr="00C91D59">
        <w:rPr>
          <w:rStyle w:val="FootnoteReference"/>
        </w:rPr>
        <w:footnoteReference w:id="23"/>
      </w:r>
      <w:r>
        <w:rPr>
          <w:lang w:val="fr-FR"/>
        </w:rPr>
        <w:t>.</w:t>
      </w:r>
    </w:p>
    <w:p w14:paraId="62BF91FD" w14:textId="18992B0B" w:rsidR="00C91D59" w:rsidRPr="00E1323E" w:rsidRDefault="00C91D59" w:rsidP="00C91D59">
      <w:pPr>
        <w:pStyle w:val="SingleTxtG"/>
        <w:rPr>
          <w:lang w:val="fr-FR"/>
        </w:rPr>
      </w:pPr>
      <w:r w:rsidRPr="00E1323E">
        <w:rPr>
          <w:lang w:val="fr-FR"/>
        </w:rPr>
        <w:t>61.</w:t>
      </w:r>
      <w:r w:rsidRPr="00E1323E">
        <w:rPr>
          <w:lang w:val="fr-FR"/>
        </w:rPr>
        <w:tab/>
        <w:t>Le Groupe de travail considère que les allégations de la source sont détaillées et cohérentes et que la réponse tardive du Gouvernement ne parvient pas à les réfuter de manière convaincante. Bien que le Gouvernement affirme que M.</w:t>
      </w:r>
      <w:r w:rsidR="00CB5033">
        <w:rPr>
          <w:lang w:val="fr-FR"/>
        </w:rPr>
        <w:t> </w:t>
      </w:r>
      <w:proofErr w:type="spellStart"/>
      <w:r w:rsidRPr="00E1323E">
        <w:rPr>
          <w:lang w:val="fr-FR"/>
        </w:rPr>
        <w:t>Zitout</w:t>
      </w:r>
      <w:proofErr w:type="spellEnd"/>
      <w:r w:rsidRPr="00E1323E">
        <w:rPr>
          <w:lang w:val="fr-FR"/>
        </w:rPr>
        <w:t xml:space="preserve"> a été assisté par cinq avocats, il ne fournit aucune information tendant à établir l</w:t>
      </w:r>
      <w:r>
        <w:rPr>
          <w:lang w:val="fr-FR"/>
        </w:rPr>
        <w:t>’</w:t>
      </w:r>
      <w:r w:rsidRPr="00E1323E">
        <w:rPr>
          <w:lang w:val="fr-FR"/>
        </w:rPr>
        <w:t>accès de M.</w:t>
      </w:r>
      <w:r w:rsidR="00CB5033">
        <w:rPr>
          <w:lang w:val="fr-FR"/>
        </w:rPr>
        <w:t> </w:t>
      </w:r>
      <w:proofErr w:type="spellStart"/>
      <w:r w:rsidRPr="00E1323E">
        <w:rPr>
          <w:lang w:val="fr-FR"/>
        </w:rPr>
        <w:t>Zitout</w:t>
      </w:r>
      <w:proofErr w:type="spellEnd"/>
      <w:r w:rsidRPr="00E1323E">
        <w:rPr>
          <w:lang w:val="fr-FR"/>
        </w:rPr>
        <w:t xml:space="preserve"> à un avocat immédiatement après son arrestation. Dans ces circonstances, le Groupe de travail considère que les autorités ont violé </w:t>
      </w:r>
      <w:r w:rsidRPr="00E1323E">
        <w:t>le droit de M.</w:t>
      </w:r>
      <w:r w:rsidR="00CB5033">
        <w:t> </w:t>
      </w:r>
      <w:proofErr w:type="spellStart"/>
      <w:r w:rsidRPr="00E1323E">
        <w:t>Zitout</w:t>
      </w:r>
      <w:proofErr w:type="spellEnd"/>
      <w:r w:rsidRPr="00E1323E">
        <w:t xml:space="preserve"> d</w:t>
      </w:r>
      <w:r>
        <w:t>’</w:t>
      </w:r>
      <w:r w:rsidRPr="00E1323E">
        <w:t xml:space="preserve">être assisté par le conseil de son choix, </w:t>
      </w:r>
      <w:r w:rsidRPr="00E1323E">
        <w:rPr>
          <w:lang w:val="fr-FR"/>
        </w:rPr>
        <w:t>garanti par l</w:t>
      </w:r>
      <w:r>
        <w:rPr>
          <w:lang w:val="fr-FR"/>
        </w:rPr>
        <w:t>’</w:t>
      </w:r>
      <w:r w:rsidRPr="00E1323E">
        <w:rPr>
          <w:lang w:val="fr-FR"/>
        </w:rPr>
        <w:t>article</w:t>
      </w:r>
      <w:r w:rsidR="00CB5033">
        <w:rPr>
          <w:lang w:val="fr-FR"/>
        </w:rPr>
        <w:t> </w:t>
      </w:r>
      <w:r w:rsidRPr="00E1323E">
        <w:rPr>
          <w:lang w:val="fr-FR"/>
        </w:rPr>
        <w:t>14 (par.</w:t>
      </w:r>
      <w:r w:rsidR="00CB5033">
        <w:rPr>
          <w:lang w:val="fr-FR"/>
        </w:rPr>
        <w:t> </w:t>
      </w:r>
      <w:r w:rsidRPr="00E1323E">
        <w:rPr>
          <w:lang w:val="fr-FR"/>
        </w:rPr>
        <w:t>3</w:t>
      </w:r>
      <w:r>
        <w:rPr>
          <w:lang w:val="fr-FR"/>
        </w:rPr>
        <w:t> </w:t>
      </w:r>
      <w:r w:rsidRPr="00E1323E">
        <w:rPr>
          <w:lang w:val="fr-FR"/>
        </w:rPr>
        <w:t xml:space="preserve">b) et d)) du Pacte. </w:t>
      </w:r>
    </w:p>
    <w:p w14:paraId="6A50711F" w14:textId="524C7113" w:rsidR="00C91D59" w:rsidRPr="00E1323E" w:rsidRDefault="00C91D59" w:rsidP="00C91D59">
      <w:pPr>
        <w:pStyle w:val="SingleTxtG"/>
        <w:rPr>
          <w:lang w:val="fr-FR"/>
        </w:rPr>
      </w:pPr>
      <w:r w:rsidRPr="00E1323E">
        <w:rPr>
          <w:lang w:val="fr-FR"/>
        </w:rPr>
        <w:t>62.</w:t>
      </w:r>
      <w:r w:rsidRPr="00E1323E">
        <w:rPr>
          <w:lang w:val="fr-FR"/>
        </w:rPr>
        <w:tab/>
        <w:t>Selon la source, les accusations contre M.</w:t>
      </w:r>
      <w:r w:rsidR="00CB5033">
        <w:rPr>
          <w:lang w:val="fr-FR"/>
        </w:rPr>
        <w:t> </w:t>
      </w:r>
      <w:proofErr w:type="spellStart"/>
      <w:r w:rsidRPr="00E1323E">
        <w:rPr>
          <w:lang w:val="fr-FR"/>
        </w:rPr>
        <w:t>Zitout</w:t>
      </w:r>
      <w:proofErr w:type="spellEnd"/>
      <w:r w:rsidRPr="00E1323E">
        <w:rPr>
          <w:lang w:val="fr-FR"/>
        </w:rPr>
        <w:t xml:space="preserve"> et son arrestation sont fondées sur le témoignage d</w:t>
      </w:r>
      <w:r>
        <w:rPr>
          <w:lang w:val="fr-FR"/>
        </w:rPr>
        <w:t>’</w:t>
      </w:r>
      <w:r w:rsidRPr="00E1323E">
        <w:rPr>
          <w:lang w:val="fr-FR"/>
        </w:rPr>
        <w:t>un ancien militaire obtenu après qu</w:t>
      </w:r>
      <w:r>
        <w:rPr>
          <w:lang w:val="fr-FR"/>
        </w:rPr>
        <w:t>’</w:t>
      </w:r>
      <w:r w:rsidRPr="00E1323E">
        <w:rPr>
          <w:lang w:val="fr-FR"/>
        </w:rPr>
        <w:t xml:space="preserve">il a subi de graves actes de torture. Dans sa réponse tardive, le Gouvernement </w:t>
      </w:r>
      <w:r>
        <w:rPr>
          <w:lang w:val="fr-FR"/>
        </w:rPr>
        <w:t>soutient</w:t>
      </w:r>
      <w:r w:rsidRPr="00E1323E">
        <w:rPr>
          <w:lang w:val="fr-FR"/>
        </w:rPr>
        <w:t xml:space="preserve"> qu</w:t>
      </w:r>
      <w:r>
        <w:rPr>
          <w:lang w:val="fr-FR"/>
        </w:rPr>
        <w:t>’</w:t>
      </w:r>
      <w:r w:rsidRPr="00E1323E">
        <w:rPr>
          <w:lang w:val="fr-FR"/>
        </w:rPr>
        <w:t>il n</w:t>
      </w:r>
      <w:r>
        <w:rPr>
          <w:lang w:val="fr-FR"/>
        </w:rPr>
        <w:t>’</w:t>
      </w:r>
      <w:r w:rsidRPr="00E1323E">
        <w:rPr>
          <w:lang w:val="fr-FR"/>
        </w:rPr>
        <w:t>appartient pas au Groupe</w:t>
      </w:r>
      <w:r>
        <w:rPr>
          <w:lang w:val="fr-FR"/>
        </w:rPr>
        <w:t xml:space="preserve"> de travail</w:t>
      </w:r>
      <w:r w:rsidRPr="00E1323E">
        <w:rPr>
          <w:lang w:val="fr-FR"/>
        </w:rPr>
        <w:t xml:space="preserve"> d</w:t>
      </w:r>
      <w:r>
        <w:rPr>
          <w:lang w:val="fr-FR"/>
        </w:rPr>
        <w:t>’</w:t>
      </w:r>
      <w:r w:rsidRPr="00E1323E">
        <w:rPr>
          <w:lang w:val="fr-FR"/>
        </w:rPr>
        <w:t>apprécier les faits et les éléments de preuve dans une affaire, pas plus qu</w:t>
      </w:r>
      <w:r>
        <w:rPr>
          <w:lang w:val="fr-FR"/>
        </w:rPr>
        <w:t>’</w:t>
      </w:r>
      <w:r w:rsidRPr="00E1323E">
        <w:rPr>
          <w:lang w:val="fr-FR"/>
        </w:rPr>
        <w:t>il ne peut se substituer aux juridictions d</w:t>
      </w:r>
      <w:r>
        <w:rPr>
          <w:lang w:val="fr-FR"/>
        </w:rPr>
        <w:t>’</w:t>
      </w:r>
      <w:r w:rsidRPr="00E1323E">
        <w:rPr>
          <w:lang w:val="fr-FR"/>
        </w:rPr>
        <w:t>appel nationales. Néanmoins, la question n</w:t>
      </w:r>
      <w:r>
        <w:rPr>
          <w:lang w:val="fr-FR"/>
        </w:rPr>
        <w:t>’</w:t>
      </w:r>
      <w:r w:rsidRPr="00E1323E">
        <w:rPr>
          <w:lang w:val="fr-FR"/>
        </w:rPr>
        <w:t xml:space="preserve">est pas de savoir si le Groupe de travail peut apprécier les faits et les éléments de preuve mais plutôt si le Gouvernement a utilisé des preuves soutirées </w:t>
      </w:r>
      <w:r>
        <w:rPr>
          <w:lang w:val="fr-FR"/>
        </w:rPr>
        <w:t>par</w:t>
      </w:r>
      <w:r w:rsidRPr="00E1323E">
        <w:rPr>
          <w:lang w:val="fr-FR"/>
        </w:rPr>
        <w:t xml:space="preserve"> la torture. Prenant en compte </w:t>
      </w:r>
      <w:r>
        <w:rPr>
          <w:lang w:val="fr-FR"/>
        </w:rPr>
        <w:t xml:space="preserve">le fait </w:t>
      </w:r>
      <w:r w:rsidRPr="00E1323E">
        <w:rPr>
          <w:lang w:val="fr-FR"/>
        </w:rPr>
        <w:t>que le Gouvernement n</w:t>
      </w:r>
      <w:r>
        <w:rPr>
          <w:lang w:val="fr-FR"/>
        </w:rPr>
        <w:t>’</w:t>
      </w:r>
      <w:r w:rsidRPr="00E1323E">
        <w:rPr>
          <w:lang w:val="fr-FR"/>
        </w:rPr>
        <w:t>aborde pas directement cette question et notant les informations détaillées fournies par la source, le Groupe de travail considère que ce risque est avéré. Le Groupe de travail rappelle que l</w:t>
      </w:r>
      <w:r>
        <w:rPr>
          <w:lang w:val="fr-FR"/>
        </w:rPr>
        <w:t>’</w:t>
      </w:r>
      <w:r w:rsidRPr="00E1323E">
        <w:rPr>
          <w:lang w:val="fr-FR"/>
        </w:rPr>
        <w:t>utilisation d</w:t>
      </w:r>
      <w:r>
        <w:rPr>
          <w:lang w:val="fr-FR"/>
        </w:rPr>
        <w:t>’</w:t>
      </w:r>
      <w:r w:rsidRPr="00E1323E">
        <w:rPr>
          <w:lang w:val="fr-FR"/>
        </w:rPr>
        <w:t xml:space="preserve">aveux obtenus </w:t>
      </w:r>
      <w:r>
        <w:rPr>
          <w:lang w:val="fr-FR"/>
        </w:rPr>
        <w:t>par</w:t>
      </w:r>
      <w:r w:rsidRPr="00E1323E">
        <w:rPr>
          <w:lang w:val="fr-FR"/>
        </w:rPr>
        <w:t xml:space="preserve"> la torture est contraire à l</w:t>
      </w:r>
      <w:r>
        <w:rPr>
          <w:lang w:val="fr-FR"/>
        </w:rPr>
        <w:t>’</w:t>
      </w:r>
      <w:r w:rsidRPr="00E1323E">
        <w:rPr>
          <w:lang w:val="fr-FR"/>
        </w:rPr>
        <w:t>article</w:t>
      </w:r>
      <w:r w:rsidR="00CB5033">
        <w:rPr>
          <w:lang w:val="fr-FR"/>
        </w:rPr>
        <w:t> </w:t>
      </w:r>
      <w:r w:rsidRPr="00E1323E">
        <w:rPr>
          <w:lang w:val="fr-FR"/>
        </w:rPr>
        <w:t xml:space="preserve">15 de la Convention contre la torture </w:t>
      </w:r>
      <w:r>
        <w:rPr>
          <w:lang w:val="fr-FR"/>
        </w:rPr>
        <w:t xml:space="preserve">et autres peines ou traitements cruels, inhumains ou dégradants, </w:t>
      </w:r>
      <w:r w:rsidRPr="00E1323E">
        <w:rPr>
          <w:lang w:val="fr-FR"/>
        </w:rPr>
        <w:t>et entache l</w:t>
      </w:r>
      <w:r>
        <w:rPr>
          <w:lang w:val="fr-FR"/>
        </w:rPr>
        <w:t>’</w:t>
      </w:r>
      <w:r w:rsidRPr="00E1323E">
        <w:rPr>
          <w:lang w:val="fr-FR"/>
        </w:rPr>
        <w:t>ensemble de la procédure. En outre, l</w:t>
      </w:r>
      <w:r>
        <w:rPr>
          <w:lang w:val="fr-FR"/>
        </w:rPr>
        <w:t>’</w:t>
      </w:r>
      <w:r w:rsidRPr="00E1323E">
        <w:rPr>
          <w:lang w:val="fr-FR"/>
        </w:rPr>
        <w:t>admission comme preuve d</w:t>
      </w:r>
      <w:r>
        <w:rPr>
          <w:lang w:val="fr-FR"/>
        </w:rPr>
        <w:t>’</w:t>
      </w:r>
      <w:r w:rsidRPr="00E1323E">
        <w:rPr>
          <w:lang w:val="fr-FR"/>
        </w:rPr>
        <w:t>une déclaration obtenue par la torture rend l</w:t>
      </w:r>
      <w:r>
        <w:rPr>
          <w:lang w:val="fr-FR"/>
        </w:rPr>
        <w:t>’</w:t>
      </w:r>
      <w:r w:rsidRPr="00E1323E">
        <w:rPr>
          <w:lang w:val="fr-FR"/>
        </w:rPr>
        <w:t>ensemble de la procédure inéquitable et contraire à l</w:t>
      </w:r>
      <w:r>
        <w:rPr>
          <w:lang w:val="fr-FR"/>
        </w:rPr>
        <w:t>’</w:t>
      </w:r>
      <w:r w:rsidRPr="00E1323E">
        <w:rPr>
          <w:lang w:val="fr-FR"/>
        </w:rPr>
        <w:t>article</w:t>
      </w:r>
      <w:r w:rsidR="00CB5033">
        <w:rPr>
          <w:lang w:val="fr-FR"/>
        </w:rPr>
        <w:t> </w:t>
      </w:r>
      <w:r w:rsidRPr="00E1323E">
        <w:rPr>
          <w:lang w:val="fr-FR"/>
        </w:rPr>
        <w:t xml:space="preserve">14 du Pacte et </w:t>
      </w:r>
      <w:r>
        <w:rPr>
          <w:lang w:val="fr-FR"/>
        </w:rPr>
        <w:t xml:space="preserve">à </w:t>
      </w:r>
      <w:r w:rsidRPr="00E1323E">
        <w:rPr>
          <w:lang w:val="fr-FR"/>
        </w:rPr>
        <w:t>l</w:t>
      </w:r>
      <w:r>
        <w:rPr>
          <w:lang w:val="fr-FR"/>
        </w:rPr>
        <w:t>’</w:t>
      </w:r>
      <w:r w:rsidRPr="00E1323E">
        <w:rPr>
          <w:lang w:val="fr-FR"/>
        </w:rPr>
        <w:t>article</w:t>
      </w:r>
      <w:r w:rsidR="00CB5033">
        <w:rPr>
          <w:lang w:val="fr-FR"/>
        </w:rPr>
        <w:t> </w:t>
      </w:r>
      <w:r w:rsidRPr="00E1323E">
        <w:rPr>
          <w:lang w:val="fr-FR"/>
        </w:rPr>
        <w:t>10 de la Déclaration universelle des droits de l</w:t>
      </w:r>
      <w:r>
        <w:rPr>
          <w:lang w:val="fr-FR"/>
        </w:rPr>
        <w:t>’</w:t>
      </w:r>
      <w:r w:rsidRPr="00E1323E">
        <w:rPr>
          <w:lang w:val="fr-FR"/>
        </w:rPr>
        <w:t>homme.</w:t>
      </w:r>
    </w:p>
    <w:p w14:paraId="2B10A6C7" w14:textId="51A0078C" w:rsidR="00C91D59" w:rsidRPr="00E1323E" w:rsidRDefault="00C91D59" w:rsidP="00C91D59">
      <w:pPr>
        <w:pStyle w:val="SingleTxtG"/>
        <w:rPr>
          <w:lang w:val="fr-FR"/>
        </w:rPr>
      </w:pPr>
      <w:r w:rsidRPr="00E1323E">
        <w:rPr>
          <w:lang w:val="fr-FR"/>
        </w:rPr>
        <w:t>63.</w:t>
      </w:r>
      <w:r w:rsidRPr="00E1323E">
        <w:rPr>
          <w:lang w:val="fr-FR"/>
        </w:rPr>
        <w:tab/>
        <w:t>Le Groupe de travail conclut que les violations du droit de M.</w:t>
      </w:r>
      <w:r w:rsidR="00CB5033">
        <w:rPr>
          <w:lang w:val="fr-FR"/>
        </w:rPr>
        <w:t> </w:t>
      </w:r>
      <w:proofErr w:type="spellStart"/>
      <w:r w:rsidRPr="00E1323E">
        <w:rPr>
          <w:lang w:val="fr-FR"/>
        </w:rPr>
        <w:t>Zitout</w:t>
      </w:r>
      <w:proofErr w:type="spellEnd"/>
      <w:r w:rsidRPr="00E1323E">
        <w:rPr>
          <w:lang w:val="fr-FR"/>
        </w:rPr>
        <w:t xml:space="preserve"> à un procès équitable sont d</w:t>
      </w:r>
      <w:r>
        <w:rPr>
          <w:lang w:val="fr-FR"/>
        </w:rPr>
        <w:t>’</w:t>
      </w:r>
      <w:r w:rsidRPr="00E1323E">
        <w:rPr>
          <w:lang w:val="fr-FR"/>
        </w:rPr>
        <w:t>une gravité telle que sa privation de liberté est arbitraire au titre de la catégorie</w:t>
      </w:r>
      <w:r w:rsidR="00CB5033">
        <w:rPr>
          <w:lang w:val="fr-FR"/>
        </w:rPr>
        <w:t> </w:t>
      </w:r>
      <w:r w:rsidRPr="00E1323E">
        <w:rPr>
          <w:lang w:val="fr-FR"/>
        </w:rPr>
        <w:t>III.</w:t>
      </w:r>
    </w:p>
    <w:p w14:paraId="38DAE514" w14:textId="77777777" w:rsidR="00C91D59" w:rsidRPr="00E1323E" w:rsidRDefault="00C91D59" w:rsidP="00CB5033">
      <w:pPr>
        <w:pStyle w:val="H23G"/>
        <w:rPr>
          <w:lang w:val="fr-FR"/>
        </w:rPr>
      </w:pPr>
      <w:r>
        <w:rPr>
          <w:lang w:val="fr-FR"/>
        </w:rPr>
        <w:tab/>
        <w:t>d)</w:t>
      </w:r>
      <w:r>
        <w:rPr>
          <w:lang w:val="fr-FR"/>
        </w:rPr>
        <w:tab/>
      </w:r>
      <w:r w:rsidRPr="00E1323E">
        <w:rPr>
          <w:lang w:val="fr-FR"/>
        </w:rPr>
        <w:t>Catégorie V</w:t>
      </w:r>
    </w:p>
    <w:p w14:paraId="4093005D" w14:textId="1E0A142A" w:rsidR="00C91D59" w:rsidRPr="00E1323E" w:rsidRDefault="00C91D59" w:rsidP="00C91D59">
      <w:pPr>
        <w:pStyle w:val="SingleTxtG"/>
        <w:rPr>
          <w:lang w:val="fr-FR"/>
        </w:rPr>
      </w:pPr>
      <w:r w:rsidRPr="00E1323E">
        <w:rPr>
          <w:lang w:val="fr-FR"/>
        </w:rPr>
        <w:t>64.</w:t>
      </w:r>
      <w:r w:rsidRPr="00E1323E">
        <w:rPr>
          <w:lang w:val="fr-FR"/>
        </w:rPr>
        <w:tab/>
        <w:t>Selon la source, M.</w:t>
      </w:r>
      <w:r w:rsidR="003C35EC">
        <w:rPr>
          <w:lang w:val="fr-FR"/>
        </w:rPr>
        <w:t> </w:t>
      </w:r>
      <w:proofErr w:type="spellStart"/>
      <w:r w:rsidRPr="00E1323E">
        <w:rPr>
          <w:lang w:val="fr-FR"/>
        </w:rPr>
        <w:t>Zitout</w:t>
      </w:r>
      <w:proofErr w:type="spellEnd"/>
      <w:r w:rsidRPr="00E1323E">
        <w:rPr>
          <w:lang w:val="fr-FR"/>
        </w:rPr>
        <w:t xml:space="preserve"> ferait partie de la famille proche d</w:t>
      </w:r>
      <w:r>
        <w:rPr>
          <w:lang w:val="fr-FR"/>
        </w:rPr>
        <w:t>’</w:t>
      </w:r>
      <w:r w:rsidRPr="00E1323E">
        <w:rPr>
          <w:lang w:val="fr-FR"/>
        </w:rPr>
        <w:t xml:space="preserve">un ancien diplomate algérien exilé </w:t>
      </w:r>
      <w:r>
        <w:rPr>
          <w:lang w:val="fr-FR"/>
        </w:rPr>
        <w:t>depuis</w:t>
      </w:r>
      <w:r w:rsidRPr="00E1323E">
        <w:rPr>
          <w:lang w:val="fr-FR"/>
        </w:rPr>
        <w:t xml:space="preserve"> 1995, </w:t>
      </w:r>
      <w:r>
        <w:rPr>
          <w:lang w:val="fr-FR"/>
        </w:rPr>
        <w:t>lequel</w:t>
      </w:r>
      <w:r w:rsidRPr="00E1323E">
        <w:rPr>
          <w:lang w:val="fr-FR"/>
        </w:rPr>
        <w:t xml:space="preserve"> aurait obtenu le statut de réfugié politique après avoir révélé et dénoncé de graves violations des droits humains commises par les autorités algériennes dans le cadre de la guerre civile. La source </w:t>
      </w:r>
      <w:r>
        <w:rPr>
          <w:lang w:val="fr-FR"/>
        </w:rPr>
        <w:t>affirme</w:t>
      </w:r>
      <w:r w:rsidRPr="00E1323E">
        <w:rPr>
          <w:lang w:val="fr-FR"/>
        </w:rPr>
        <w:t xml:space="preserve"> que </w:t>
      </w:r>
      <w:r>
        <w:rPr>
          <w:lang w:val="fr-FR"/>
        </w:rPr>
        <w:t xml:space="preserve">les autorités ont arrêté et placé en détention </w:t>
      </w:r>
      <w:r w:rsidRPr="00E1323E">
        <w:rPr>
          <w:lang w:val="fr-FR"/>
        </w:rPr>
        <w:t>M.</w:t>
      </w:r>
      <w:r w:rsidR="003C35EC">
        <w:rPr>
          <w:lang w:val="fr-FR"/>
        </w:rPr>
        <w:t> </w:t>
      </w:r>
      <w:proofErr w:type="spellStart"/>
      <w:r w:rsidRPr="00E1323E">
        <w:rPr>
          <w:lang w:val="fr-FR"/>
        </w:rPr>
        <w:t>Zitout</w:t>
      </w:r>
      <w:proofErr w:type="spellEnd"/>
      <w:r w:rsidRPr="00E1323E">
        <w:rPr>
          <w:lang w:val="fr-FR"/>
        </w:rPr>
        <w:t xml:space="preserve"> pour faire pression sur le membre de sa famille exilé. Dans sa réponse tardive, le Gouvernement fait valoir que l</w:t>
      </w:r>
      <w:r>
        <w:rPr>
          <w:lang w:val="fr-FR"/>
        </w:rPr>
        <w:t>’</w:t>
      </w:r>
      <w:r w:rsidRPr="00E1323E">
        <w:rPr>
          <w:lang w:val="fr-FR"/>
        </w:rPr>
        <w:t>incarcération de M.</w:t>
      </w:r>
      <w:r w:rsidR="003C35EC">
        <w:rPr>
          <w:lang w:val="fr-FR"/>
        </w:rPr>
        <w:t> </w:t>
      </w:r>
      <w:proofErr w:type="spellStart"/>
      <w:r w:rsidRPr="00E1323E">
        <w:rPr>
          <w:lang w:val="fr-FR"/>
        </w:rPr>
        <w:t>Zitout</w:t>
      </w:r>
      <w:proofErr w:type="spellEnd"/>
      <w:r w:rsidRPr="00E1323E">
        <w:rPr>
          <w:lang w:val="fr-FR"/>
        </w:rPr>
        <w:t xml:space="preserve"> est liée à ses propres actes et que son proche </w:t>
      </w:r>
      <w:r>
        <w:rPr>
          <w:lang w:val="fr-FR"/>
        </w:rPr>
        <w:t>vit</w:t>
      </w:r>
      <w:r w:rsidRPr="00E1323E">
        <w:rPr>
          <w:lang w:val="fr-FR"/>
        </w:rPr>
        <w:t xml:space="preserve"> à l</w:t>
      </w:r>
      <w:r>
        <w:rPr>
          <w:lang w:val="fr-FR"/>
        </w:rPr>
        <w:t>’</w:t>
      </w:r>
      <w:r w:rsidRPr="00E1323E">
        <w:rPr>
          <w:lang w:val="fr-FR"/>
        </w:rPr>
        <w:t xml:space="preserve">étranger depuis </w:t>
      </w:r>
      <w:r>
        <w:rPr>
          <w:lang w:val="fr-FR"/>
        </w:rPr>
        <w:t>vingt-sept</w:t>
      </w:r>
      <w:r w:rsidRPr="00E1323E">
        <w:rPr>
          <w:lang w:val="fr-FR"/>
        </w:rPr>
        <w:t xml:space="preserve"> ans, ce qui contredirait l</w:t>
      </w:r>
      <w:r>
        <w:rPr>
          <w:lang w:val="fr-FR"/>
        </w:rPr>
        <w:t>’</w:t>
      </w:r>
      <w:r w:rsidRPr="00E1323E">
        <w:rPr>
          <w:lang w:val="fr-FR"/>
        </w:rPr>
        <w:t>affirmation de la source selon laquelle l</w:t>
      </w:r>
      <w:r>
        <w:rPr>
          <w:lang w:val="fr-FR"/>
        </w:rPr>
        <w:t>’</w:t>
      </w:r>
      <w:r w:rsidRPr="00E1323E">
        <w:rPr>
          <w:lang w:val="fr-FR"/>
        </w:rPr>
        <w:t>arrestation de M.</w:t>
      </w:r>
      <w:r w:rsidR="003C35EC">
        <w:rPr>
          <w:lang w:val="fr-FR"/>
        </w:rPr>
        <w:t> </w:t>
      </w:r>
      <w:proofErr w:type="spellStart"/>
      <w:r w:rsidRPr="00E1323E">
        <w:rPr>
          <w:lang w:val="fr-FR"/>
        </w:rPr>
        <w:t>Zitout</w:t>
      </w:r>
      <w:proofErr w:type="spellEnd"/>
      <w:r w:rsidRPr="00E1323E">
        <w:rPr>
          <w:lang w:val="fr-FR"/>
        </w:rPr>
        <w:t xml:space="preserve"> est liée à ce proche.</w:t>
      </w:r>
    </w:p>
    <w:p w14:paraId="6281D04A" w14:textId="25168999" w:rsidR="00C91D59" w:rsidRPr="00E1323E" w:rsidRDefault="00C91D59" w:rsidP="00C91D59">
      <w:pPr>
        <w:pStyle w:val="SingleTxtG"/>
        <w:rPr>
          <w:lang w:val="fr-FR"/>
        </w:rPr>
      </w:pPr>
      <w:r w:rsidRPr="00E1323E">
        <w:rPr>
          <w:lang w:val="fr-FR"/>
        </w:rPr>
        <w:t>65.</w:t>
      </w:r>
      <w:r w:rsidRPr="00E1323E">
        <w:rPr>
          <w:lang w:val="fr-FR"/>
        </w:rPr>
        <w:tab/>
        <w:t>Le Groupe de travail note les allégations de la source selon lesquelles, durant son interrogatoire, M.</w:t>
      </w:r>
      <w:r w:rsidR="003C35EC">
        <w:rPr>
          <w:lang w:val="fr-FR"/>
        </w:rPr>
        <w:t> </w:t>
      </w:r>
      <w:proofErr w:type="spellStart"/>
      <w:r w:rsidRPr="00E1323E">
        <w:rPr>
          <w:lang w:val="fr-FR"/>
        </w:rPr>
        <w:t>Zitout</w:t>
      </w:r>
      <w:proofErr w:type="spellEnd"/>
      <w:r w:rsidRPr="00E1323E">
        <w:rPr>
          <w:lang w:val="fr-FR"/>
        </w:rPr>
        <w:t xml:space="preserve"> a été longuement interrogé par des agents de la police judiciaire à propos de ses liens avec le membre de sa famille exilé et du type de relation qu</w:t>
      </w:r>
      <w:r>
        <w:rPr>
          <w:lang w:val="fr-FR"/>
        </w:rPr>
        <w:t>’</w:t>
      </w:r>
      <w:r w:rsidRPr="00E1323E">
        <w:rPr>
          <w:lang w:val="fr-FR"/>
        </w:rPr>
        <w:t>ils entretenaient. Il lui aurait aussi été demandé s</w:t>
      </w:r>
      <w:r>
        <w:rPr>
          <w:lang w:val="fr-FR"/>
        </w:rPr>
        <w:t>’</w:t>
      </w:r>
      <w:r w:rsidRPr="00E1323E">
        <w:rPr>
          <w:lang w:val="fr-FR"/>
        </w:rPr>
        <w:t>il partageait les convictions politiques du membre de sa famille exilé. En outre, la source affirme que depuis juillet 2022, plusieurs autres membres de la famille de M.</w:t>
      </w:r>
      <w:r w:rsidR="003C35EC">
        <w:rPr>
          <w:lang w:val="fr-FR"/>
        </w:rPr>
        <w:t> </w:t>
      </w:r>
      <w:proofErr w:type="spellStart"/>
      <w:r w:rsidRPr="00E1323E">
        <w:rPr>
          <w:lang w:val="fr-FR"/>
        </w:rPr>
        <w:t>Zitout</w:t>
      </w:r>
      <w:proofErr w:type="spellEnd"/>
      <w:r w:rsidRPr="00E1323E">
        <w:rPr>
          <w:lang w:val="fr-FR"/>
        </w:rPr>
        <w:t xml:space="preserve"> seraient fréquemment convoqués au poste de police pour des interrogatoires portant sur leur relation avec </w:t>
      </w:r>
      <w:r>
        <w:rPr>
          <w:lang w:val="fr-FR"/>
        </w:rPr>
        <w:t>ce proche</w:t>
      </w:r>
      <w:r w:rsidRPr="00E1323E">
        <w:rPr>
          <w:lang w:val="fr-FR"/>
        </w:rPr>
        <w:t xml:space="preserve"> exilé, ce que le Gouvernement ne nie pas. De plus, le Groupe de travail note que, dans sa réponse tardive, le </w:t>
      </w:r>
      <w:r w:rsidRPr="00E1323E">
        <w:rPr>
          <w:lang w:val="fr-FR"/>
        </w:rPr>
        <w:lastRenderedPageBreak/>
        <w:t>Gouvernement ne fournit aucun élément tendant à établir la responsabilité pénale de M.</w:t>
      </w:r>
      <w:r w:rsidR="003C35EC">
        <w:rPr>
          <w:lang w:val="fr-FR"/>
        </w:rPr>
        <w:t> </w:t>
      </w:r>
      <w:proofErr w:type="spellStart"/>
      <w:r w:rsidRPr="00E1323E">
        <w:rPr>
          <w:lang w:val="fr-FR"/>
        </w:rPr>
        <w:t>Zitout</w:t>
      </w:r>
      <w:proofErr w:type="spellEnd"/>
      <w:r w:rsidRPr="00E1323E">
        <w:rPr>
          <w:lang w:val="fr-FR"/>
        </w:rPr>
        <w:t xml:space="preserve"> pour les faits reprochés. </w:t>
      </w:r>
    </w:p>
    <w:p w14:paraId="2920A54A" w14:textId="3BF92563" w:rsidR="00C91D59" w:rsidRPr="00E1323E" w:rsidRDefault="00C91D59" w:rsidP="00C91D59">
      <w:pPr>
        <w:pStyle w:val="SingleTxtG"/>
        <w:rPr>
          <w:lang w:val="fr-FR"/>
        </w:rPr>
      </w:pPr>
      <w:r w:rsidRPr="00E1323E">
        <w:rPr>
          <w:lang w:val="fr-FR"/>
        </w:rPr>
        <w:t>66.</w:t>
      </w:r>
      <w:r w:rsidRPr="00E1323E">
        <w:rPr>
          <w:lang w:val="fr-FR"/>
        </w:rPr>
        <w:tab/>
        <w:t>Partant, le Groupe de travail considère que M.</w:t>
      </w:r>
      <w:r w:rsidR="003C35EC">
        <w:rPr>
          <w:lang w:val="fr-FR"/>
        </w:rPr>
        <w:t> </w:t>
      </w:r>
      <w:proofErr w:type="spellStart"/>
      <w:r w:rsidRPr="00E1323E">
        <w:rPr>
          <w:lang w:val="fr-FR"/>
        </w:rPr>
        <w:t>Zitout</w:t>
      </w:r>
      <w:proofErr w:type="spellEnd"/>
      <w:r w:rsidRPr="00E1323E">
        <w:rPr>
          <w:lang w:val="fr-FR"/>
        </w:rPr>
        <w:t xml:space="preserve"> est détenu sur une base discriminatoire, notamment en raison de ses liens familiaux et en mesure de représailles </w:t>
      </w:r>
      <w:r>
        <w:rPr>
          <w:lang w:val="fr-FR"/>
        </w:rPr>
        <w:t>au</w:t>
      </w:r>
      <w:r w:rsidRPr="00E1323E">
        <w:rPr>
          <w:lang w:val="fr-FR"/>
        </w:rPr>
        <w:t xml:space="preserve"> militantisme et </w:t>
      </w:r>
      <w:r>
        <w:rPr>
          <w:lang w:val="fr-FR"/>
        </w:rPr>
        <w:t>aux</w:t>
      </w:r>
      <w:r w:rsidRPr="00E1323E">
        <w:rPr>
          <w:lang w:val="fr-FR"/>
        </w:rPr>
        <w:t xml:space="preserve"> opinions politiques</w:t>
      </w:r>
      <w:r>
        <w:rPr>
          <w:lang w:val="fr-FR"/>
        </w:rPr>
        <w:t xml:space="preserve"> du membre de sa famille exilé</w:t>
      </w:r>
      <w:r w:rsidRPr="00E1323E">
        <w:rPr>
          <w:lang w:val="fr-FR"/>
        </w:rPr>
        <w:t>. Il s</w:t>
      </w:r>
      <w:r>
        <w:rPr>
          <w:lang w:val="fr-FR"/>
        </w:rPr>
        <w:t>’</w:t>
      </w:r>
      <w:r w:rsidRPr="00E1323E">
        <w:rPr>
          <w:lang w:val="fr-FR"/>
        </w:rPr>
        <w:t>agit d</w:t>
      </w:r>
      <w:r>
        <w:rPr>
          <w:lang w:val="fr-FR"/>
        </w:rPr>
        <w:t>’</w:t>
      </w:r>
      <w:r w:rsidRPr="00E1323E">
        <w:rPr>
          <w:lang w:val="fr-FR"/>
        </w:rPr>
        <w:t>un cas de culpabilité par association</w:t>
      </w:r>
      <w:r w:rsidRPr="00C91D59">
        <w:rPr>
          <w:rStyle w:val="FootnoteReference"/>
        </w:rPr>
        <w:footnoteReference w:id="24"/>
      </w:r>
      <w:r>
        <w:rPr>
          <w:lang w:val="fr-FR"/>
        </w:rPr>
        <w:t>.</w:t>
      </w:r>
      <w:r w:rsidRPr="00E1323E">
        <w:rPr>
          <w:lang w:val="fr-FR"/>
        </w:rPr>
        <w:t xml:space="preserve"> Le Groupe de travail réaffirme que nul ne peut être privé de sa liberté pour des crimes, réels ou non, commis par un membre de sa famille par naissance ou par mariage, dans une société libre et démocratique</w:t>
      </w:r>
      <w:r w:rsidRPr="00C91D59">
        <w:rPr>
          <w:rStyle w:val="FootnoteReference"/>
        </w:rPr>
        <w:footnoteReference w:id="25"/>
      </w:r>
      <w:r>
        <w:rPr>
          <w:lang w:val="fr-FR"/>
        </w:rPr>
        <w:t>.</w:t>
      </w:r>
    </w:p>
    <w:p w14:paraId="6471CBC4" w14:textId="74AE8321" w:rsidR="00C91D59" w:rsidRPr="00286D58" w:rsidRDefault="00C91D59" w:rsidP="00C91D59">
      <w:pPr>
        <w:pStyle w:val="SingleTxtG"/>
        <w:rPr>
          <w:sz w:val="24"/>
          <w:szCs w:val="24"/>
          <w:lang w:val="fr-FR"/>
        </w:rPr>
      </w:pPr>
      <w:r w:rsidRPr="00286D58">
        <w:rPr>
          <w:lang w:val="fr-FR"/>
        </w:rPr>
        <w:t>67.</w:t>
      </w:r>
      <w:r w:rsidRPr="00286D58">
        <w:rPr>
          <w:lang w:val="fr-FR"/>
        </w:rPr>
        <w:tab/>
      </w:r>
      <w:r w:rsidRPr="00E1323E">
        <w:rPr>
          <w:lang w:val="fr-FR"/>
        </w:rPr>
        <w:t>Le Groupe de travail conclu</w:t>
      </w:r>
      <w:r>
        <w:rPr>
          <w:lang w:val="fr-FR"/>
        </w:rPr>
        <w:t>t</w:t>
      </w:r>
      <w:r w:rsidRPr="00E1323E">
        <w:rPr>
          <w:lang w:val="fr-FR"/>
        </w:rPr>
        <w:t xml:space="preserve"> que M.</w:t>
      </w:r>
      <w:r w:rsidR="003C35EC">
        <w:rPr>
          <w:lang w:val="fr-FR"/>
        </w:rPr>
        <w:t> </w:t>
      </w:r>
      <w:proofErr w:type="spellStart"/>
      <w:r w:rsidRPr="00E1323E">
        <w:rPr>
          <w:lang w:val="fr-FR"/>
        </w:rPr>
        <w:t>Zitout</w:t>
      </w:r>
      <w:proofErr w:type="spellEnd"/>
      <w:r w:rsidRPr="00E1323E">
        <w:rPr>
          <w:lang w:val="fr-FR"/>
        </w:rPr>
        <w:t xml:space="preserve"> a été privé de liberté pour des motifs discriminatoires, en violation des articles</w:t>
      </w:r>
      <w:r w:rsidR="003C35EC">
        <w:rPr>
          <w:lang w:val="fr-FR"/>
        </w:rPr>
        <w:t> </w:t>
      </w:r>
      <w:r w:rsidRPr="00E1323E">
        <w:rPr>
          <w:lang w:val="fr-FR"/>
        </w:rPr>
        <w:t>2 et 7 de la Déclaration universelle des droits de l</w:t>
      </w:r>
      <w:r>
        <w:rPr>
          <w:lang w:val="fr-FR"/>
        </w:rPr>
        <w:t>’</w:t>
      </w:r>
      <w:r w:rsidRPr="00E1323E">
        <w:rPr>
          <w:lang w:val="fr-FR"/>
        </w:rPr>
        <w:t>homme et des articles</w:t>
      </w:r>
      <w:r w:rsidR="003C35EC">
        <w:rPr>
          <w:lang w:val="fr-FR"/>
        </w:rPr>
        <w:t> </w:t>
      </w:r>
      <w:r w:rsidRPr="00E1323E">
        <w:rPr>
          <w:lang w:val="fr-FR"/>
        </w:rPr>
        <w:t>2 (</w:t>
      </w:r>
      <w:r>
        <w:rPr>
          <w:lang w:val="fr-FR"/>
        </w:rPr>
        <w:t>par.</w:t>
      </w:r>
      <w:r w:rsidR="003C35EC">
        <w:rPr>
          <w:lang w:val="fr-FR"/>
        </w:rPr>
        <w:t> </w:t>
      </w:r>
      <w:r w:rsidRPr="00E1323E">
        <w:rPr>
          <w:lang w:val="fr-FR"/>
        </w:rPr>
        <w:t>1) et 26 du Pacte. Sa détention est donc arbitraire au titre de la catégorie</w:t>
      </w:r>
      <w:r w:rsidR="003C35EC">
        <w:rPr>
          <w:lang w:val="fr-FR"/>
        </w:rPr>
        <w:t> </w:t>
      </w:r>
      <w:r w:rsidRPr="00E1323E">
        <w:rPr>
          <w:lang w:val="fr-FR"/>
        </w:rPr>
        <w:t>V</w:t>
      </w:r>
      <w:r w:rsidRPr="00286D58">
        <w:rPr>
          <w:sz w:val="24"/>
          <w:szCs w:val="24"/>
          <w:lang w:val="fr-FR"/>
        </w:rPr>
        <w:t>.</w:t>
      </w:r>
    </w:p>
    <w:p w14:paraId="7CA30DC5" w14:textId="77777777" w:rsidR="00C91D59" w:rsidRPr="00286D58" w:rsidRDefault="00C91D59" w:rsidP="00C91D59">
      <w:pPr>
        <w:pStyle w:val="H23G"/>
        <w:rPr>
          <w:lang w:val="fr-FR"/>
        </w:rPr>
      </w:pPr>
      <w:r>
        <w:rPr>
          <w:lang w:val="fr-FR"/>
        </w:rPr>
        <w:tab/>
        <w:t>e)</w:t>
      </w:r>
      <w:r>
        <w:rPr>
          <w:lang w:val="fr-FR"/>
        </w:rPr>
        <w:tab/>
      </w:r>
      <w:r w:rsidRPr="00286D58">
        <w:rPr>
          <w:lang w:val="fr-FR"/>
        </w:rPr>
        <w:t>Observations finales</w:t>
      </w:r>
    </w:p>
    <w:p w14:paraId="16542A2B" w14:textId="1CC41D00" w:rsidR="00C91D59" w:rsidRPr="00A35E52" w:rsidRDefault="00C91D59" w:rsidP="00C91D59">
      <w:pPr>
        <w:pStyle w:val="SingleTxtG"/>
        <w:rPr>
          <w:lang w:val="fr-FR"/>
        </w:rPr>
      </w:pPr>
      <w:r w:rsidRPr="00A35E52">
        <w:rPr>
          <w:lang w:val="fr-FR"/>
        </w:rPr>
        <w:t>68.</w:t>
      </w:r>
      <w:r w:rsidRPr="00A35E52">
        <w:rPr>
          <w:lang w:val="fr-FR"/>
        </w:rPr>
        <w:tab/>
        <w:t>Le Groupe de travail est préoccupé par les allégations de la source selon lesquelles M.</w:t>
      </w:r>
      <w:r>
        <w:rPr>
          <w:lang w:val="fr-FR"/>
        </w:rPr>
        <w:t> </w:t>
      </w:r>
      <w:proofErr w:type="spellStart"/>
      <w:r w:rsidRPr="00A35E52">
        <w:rPr>
          <w:lang w:val="fr-FR"/>
        </w:rPr>
        <w:t>Zitout</w:t>
      </w:r>
      <w:proofErr w:type="spellEnd"/>
      <w:r w:rsidRPr="00A35E52">
        <w:rPr>
          <w:lang w:val="fr-FR"/>
        </w:rPr>
        <w:t xml:space="preserve"> aurait </w:t>
      </w:r>
      <w:r>
        <w:rPr>
          <w:lang w:val="fr-FR"/>
        </w:rPr>
        <w:t>effectué</w:t>
      </w:r>
      <w:r w:rsidRPr="00A35E52">
        <w:rPr>
          <w:lang w:val="fr-FR"/>
        </w:rPr>
        <w:t xml:space="preserve"> une grève de la faim du 14</w:t>
      </w:r>
      <w:r>
        <w:rPr>
          <w:lang w:val="fr-FR"/>
        </w:rPr>
        <w:t> </w:t>
      </w:r>
      <w:r w:rsidRPr="00A35E52">
        <w:rPr>
          <w:lang w:val="fr-FR"/>
        </w:rPr>
        <w:t>août au 1</w:t>
      </w:r>
      <w:r w:rsidRPr="00DC1964">
        <w:rPr>
          <w:vertAlign w:val="superscript"/>
          <w:lang w:val="fr-FR"/>
        </w:rPr>
        <w:t>er</w:t>
      </w:r>
      <w:r>
        <w:rPr>
          <w:lang w:val="fr-FR"/>
        </w:rPr>
        <w:t> </w:t>
      </w:r>
      <w:r w:rsidRPr="00A35E52">
        <w:rPr>
          <w:lang w:val="fr-FR"/>
        </w:rPr>
        <w:t xml:space="preserve">septembre 2022. Durant cette période, il aurait été placé en isolement dans une petite cellule sans lumière </w:t>
      </w:r>
      <w:r>
        <w:rPr>
          <w:lang w:val="fr-FR"/>
        </w:rPr>
        <w:t>naturelle</w:t>
      </w:r>
      <w:r w:rsidRPr="00A35E52">
        <w:rPr>
          <w:lang w:val="fr-FR"/>
        </w:rPr>
        <w:t>. Le 11</w:t>
      </w:r>
      <w:r>
        <w:rPr>
          <w:lang w:val="fr-FR"/>
        </w:rPr>
        <w:t> </w:t>
      </w:r>
      <w:r w:rsidRPr="00A35E52">
        <w:rPr>
          <w:lang w:val="fr-FR"/>
        </w:rPr>
        <w:t>septembre 2022, M.</w:t>
      </w:r>
      <w:r w:rsidR="003C35EC">
        <w:rPr>
          <w:lang w:val="fr-FR"/>
        </w:rPr>
        <w:t> </w:t>
      </w:r>
      <w:proofErr w:type="spellStart"/>
      <w:r w:rsidRPr="00A35E52">
        <w:rPr>
          <w:lang w:val="fr-FR"/>
        </w:rPr>
        <w:t>Zitout</w:t>
      </w:r>
      <w:proofErr w:type="spellEnd"/>
      <w:r w:rsidRPr="00A35E52">
        <w:rPr>
          <w:lang w:val="fr-FR"/>
        </w:rPr>
        <w:t xml:space="preserve"> aurait été évacué d</w:t>
      </w:r>
      <w:r>
        <w:rPr>
          <w:lang w:val="fr-FR"/>
        </w:rPr>
        <w:t>’</w:t>
      </w:r>
      <w:r w:rsidRPr="00A35E52">
        <w:rPr>
          <w:lang w:val="fr-FR"/>
        </w:rPr>
        <w:t>urgence à l</w:t>
      </w:r>
      <w:r>
        <w:rPr>
          <w:lang w:val="fr-FR"/>
        </w:rPr>
        <w:t>’</w:t>
      </w:r>
      <w:r w:rsidRPr="00A35E52">
        <w:rPr>
          <w:lang w:val="fr-FR"/>
        </w:rPr>
        <w:t>hôpital à la suite de la dégradation de son état de santé. Le 16</w:t>
      </w:r>
      <w:r>
        <w:rPr>
          <w:lang w:val="fr-FR"/>
        </w:rPr>
        <w:t> </w:t>
      </w:r>
      <w:r w:rsidRPr="00A35E52">
        <w:rPr>
          <w:lang w:val="fr-FR"/>
        </w:rPr>
        <w:t>février 2023, M.</w:t>
      </w:r>
      <w:r w:rsidR="003C35EC">
        <w:rPr>
          <w:lang w:val="fr-FR"/>
        </w:rPr>
        <w:t> </w:t>
      </w:r>
      <w:proofErr w:type="spellStart"/>
      <w:r w:rsidRPr="00A35E52">
        <w:rPr>
          <w:lang w:val="fr-FR"/>
        </w:rPr>
        <w:t>Zitout</w:t>
      </w:r>
      <w:proofErr w:type="spellEnd"/>
      <w:r w:rsidRPr="00A35E52">
        <w:rPr>
          <w:lang w:val="fr-FR"/>
        </w:rPr>
        <w:t xml:space="preserve"> aurait à nouveau entamé une grève de la faim pour protester contre son maintien prolongé en détention provisoire, lequel durait depuis près d</w:t>
      </w:r>
      <w:r>
        <w:rPr>
          <w:lang w:val="fr-FR"/>
        </w:rPr>
        <w:t>’</w:t>
      </w:r>
      <w:r w:rsidRPr="00A35E52">
        <w:rPr>
          <w:lang w:val="fr-FR"/>
        </w:rPr>
        <w:t>un an. Le Groupe de travail note le manque d</w:t>
      </w:r>
      <w:r>
        <w:rPr>
          <w:lang w:val="fr-FR"/>
        </w:rPr>
        <w:t>’</w:t>
      </w:r>
      <w:r w:rsidRPr="00A35E52">
        <w:rPr>
          <w:lang w:val="fr-FR"/>
        </w:rPr>
        <w:t>informations détaillées fournies par le Gouvernement tendant à réfuter ces allégations</w:t>
      </w:r>
      <w:r>
        <w:rPr>
          <w:lang w:val="fr-FR"/>
        </w:rPr>
        <w:t>.</w:t>
      </w:r>
    </w:p>
    <w:p w14:paraId="35E260CE" w14:textId="41614CF9" w:rsidR="00C91D59" w:rsidRDefault="00C91D59" w:rsidP="00C91D59">
      <w:pPr>
        <w:pStyle w:val="SingleTxtG"/>
        <w:rPr>
          <w:lang w:val="fr-FR"/>
        </w:rPr>
      </w:pPr>
      <w:r>
        <w:rPr>
          <w:lang w:val="fr-FR"/>
        </w:rPr>
        <w:t>69.</w:t>
      </w:r>
      <w:r>
        <w:rPr>
          <w:lang w:val="fr-FR"/>
        </w:rPr>
        <w:tab/>
      </w:r>
      <w:r w:rsidRPr="00A35E52">
        <w:rPr>
          <w:lang w:val="fr-FR"/>
        </w:rPr>
        <w:t xml:space="preserve">Le Groupe de travail rappelle que, selon la règle 45 </w:t>
      </w:r>
      <w:r>
        <w:rPr>
          <w:lang w:val="fr-FR"/>
        </w:rPr>
        <w:t>de l’</w:t>
      </w:r>
      <w:r w:rsidRPr="00772A8D">
        <w:rPr>
          <w:lang w:val="fr-FR"/>
        </w:rPr>
        <w:t>Ensemble de</w:t>
      </w:r>
      <w:r>
        <w:rPr>
          <w:lang w:val="fr-FR"/>
        </w:rPr>
        <w:t xml:space="preserve"> règles </w:t>
      </w:r>
      <w:r w:rsidRPr="00772A8D">
        <w:rPr>
          <w:lang w:val="fr-FR"/>
        </w:rPr>
        <w:t>minima des Nations Unies pour le traitement des détenus</w:t>
      </w:r>
      <w:r w:rsidRPr="00A35E52">
        <w:rPr>
          <w:lang w:val="fr-FR"/>
        </w:rPr>
        <w:t xml:space="preserve"> </w:t>
      </w:r>
      <w:r>
        <w:rPr>
          <w:lang w:val="fr-FR"/>
        </w:rPr>
        <w:t>(</w:t>
      </w:r>
      <w:r w:rsidRPr="00A35E52">
        <w:rPr>
          <w:lang w:val="fr-FR"/>
        </w:rPr>
        <w:t>Règles Nelson Mandela</w:t>
      </w:r>
      <w:r>
        <w:rPr>
          <w:lang w:val="fr-FR"/>
        </w:rPr>
        <w:t>)</w:t>
      </w:r>
      <w:r w:rsidRPr="00A35E52">
        <w:rPr>
          <w:lang w:val="fr-FR"/>
        </w:rPr>
        <w:t>, l</w:t>
      </w:r>
      <w:r>
        <w:rPr>
          <w:lang w:val="fr-FR"/>
        </w:rPr>
        <w:t>’</w:t>
      </w:r>
      <w:r w:rsidRPr="00A35E52">
        <w:rPr>
          <w:lang w:val="fr-FR"/>
        </w:rPr>
        <w:t>imposition de l</w:t>
      </w:r>
      <w:r>
        <w:rPr>
          <w:lang w:val="fr-FR"/>
        </w:rPr>
        <w:t>’</w:t>
      </w:r>
      <w:r w:rsidRPr="00A35E52">
        <w:rPr>
          <w:lang w:val="fr-FR"/>
        </w:rPr>
        <w:t>isolement cellulaire doit être accompagnée de certaines garanties. L</w:t>
      </w:r>
      <w:r>
        <w:rPr>
          <w:lang w:val="fr-FR"/>
        </w:rPr>
        <w:t>’</w:t>
      </w:r>
      <w:r w:rsidRPr="00A35E52">
        <w:rPr>
          <w:lang w:val="fr-FR"/>
        </w:rPr>
        <w:t>isolement cellulaire ne doit être utilisé que dans des cas exceptionnels, en dernier recours, pour une durée aussi courte que possible, et doit être soumis à un examen indépendant et autorisé par une autorité compétente. L</w:t>
      </w:r>
      <w:r>
        <w:rPr>
          <w:lang w:val="fr-FR"/>
        </w:rPr>
        <w:t>’</w:t>
      </w:r>
      <w:r w:rsidRPr="00A35E52">
        <w:rPr>
          <w:lang w:val="fr-FR"/>
        </w:rPr>
        <w:t xml:space="preserve">isolement cellulaire prolongé au-delà de </w:t>
      </w:r>
      <w:r>
        <w:rPr>
          <w:lang w:val="fr-FR"/>
        </w:rPr>
        <w:t>quinze</w:t>
      </w:r>
      <w:r w:rsidRPr="00A35E52">
        <w:rPr>
          <w:lang w:val="fr-FR"/>
        </w:rPr>
        <w:t xml:space="preserve"> jours consécutifs est interdit en vertu des règles 43 (</w:t>
      </w:r>
      <w:r>
        <w:rPr>
          <w:lang w:val="fr-FR"/>
        </w:rPr>
        <w:t>par.</w:t>
      </w:r>
      <w:r w:rsidR="003C35EC">
        <w:rPr>
          <w:lang w:val="fr-FR"/>
        </w:rPr>
        <w:t> </w:t>
      </w:r>
      <w:r w:rsidRPr="00A35E52">
        <w:rPr>
          <w:lang w:val="fr-FR"/>
        </w:rPr>
        <w:t>1</w:t>
      </w:r>
      <w:r>
        <w:rPr>
          <w:lang w:val="fr-FR"/>
        </w:rPr>
        <w:t> </w:t>
      </w:r>
      <w:r w:rsidRPr="00A35E52">
        <w:rPr>
          <w:lang w:val="fr-FR"/>
        </w:rPr>
        <w:t>b)</w:t>
      </w:r>
      <w:r>
        <w:rPr>
          <w:lang w:val="fr-FR"/>
        </w:rPr>
        <w:t>)</w:t>
      </w:r>
      <w:r w:rsidRPr="00A35E52">
        <w:rPr>
          <w:lang w:val="fr-FR"/>
        </w:rPr>
        <w:t xml:space="preserve"> (interdisant l</w:t>
      </w:r>
      <w:r>
        <w:rPr>
          <w:lang w:val="fr-FR"/>
        </w:rPr>
        <w:t>’</w:t>
      </w:r>
      <w:r w:rsidRPr="00A35E52">
        <w:rPr>
          <w:lang w:val="fr-FR"/>
        </w:rPr>
        <w:t>usage de l</w:t>
      </w:r>
      <w:r>
        <w:rPr>
          <w:lang w:val="fr-FR"/>
        </w:rPr>
        <w:t>’</w:t>
      </w:r>
      <w:r w:rsidRPr="00A35E52">
        <w:rPr>
          <w:lang w:val="fr-FR"/>
        </w:rPr>
        <w:t>isolement cellulaire en guise de punition), 44 et 45 des Règles Nelson Mandela. En outre, le Groupe de travail rappelle que le mauvais état de santé d</w:t>
      </w:r>
      <w:r>
        <w:rPr>
          <w:lang w:val="fr-FR"/>
        </w:rPr>
        <w:t>’</w:t>
      </w:r>
      <w:r w:rsidRPr="00A35E52">
        <w:rPr>
          <w:lang w:val="fr-FR"/>
        </w:rPr>
        <w:t>une personne détenue ou des mauvaises conditions de détention peuvent compromettre sa capacité à participer à une procédure judiciaire et à préparer sa défense, en violation de l</w:t>
      </w:r>
      <w:r>
        <w:rPr>
          <w:lang w:val="fr-FR"/>
        </w:rPr>
        <w:t>’</w:t>
      </w:r>
      <w:r w:rsidRPr="00A35E52">
        <w:rPr>
          <w:lang w:val="fr-FR"/>
        </w:rPr>
        <w:t>article</w:t>
      </w:r>
      <w:r w:rsidR="003C35EC">
        <w:rPr>
          <w:lang w:val="fr-FR"/>
        </w:rPr>
        <w:t> </w:t>
      </w:r>
      <w:r w:rsidRPr="00A35E52">
        <w:rPr>
          <w:lang w:val="fr-FR"/>
        </w:rPr>
        <w:t>14 du Pacte et de l</w:t>
      </w:r>
      <w:r>
        <w:rPr>
          <w:lang w:val="fr-FR"/>
        </w:rPr>
        <w:t>’</w:t>
      </w:r>
      <w:r w:rsidRPr="00A35E52">
        <w:rPr>
          <w:lang w:val="fr-FR"/>
        </w:rPr>
        <w:t>article</w:t>
      </w:r>
      <w:r w:rsidR="003C35EC">
        <w:rPr>
          <w:lang w:val="fr-FR"/>
        </w:rPr>
        <w:t> </w:t>
      </w:r>
      <w:r w:rsidRPr="00A35E52">
        <w:rPr>
          <w:lang w:val="fr-FR"/>
        </w:rPr>
        <w:t>10 de la Déclaration universelle des droits de l</w:t>
      </w:r>
      <w:r>
        <w:rPr>
          <w:lang w:val="fr-FR"/>
        </w:rPr>
        <w:t>’</w:t>
      </w:r>
      <w:r w:rsidRPr="00A35E52">
        <w:rPr>
          <w:lang w:val="fr-FR"/>
        </w:rPr>
        <w:t>homme</w:t>
      </w:r>
      <w:r w:rsidRPr="00C91D59">
        <w:rPr>
          <w:rStyle w:val="FootnoteReference"/>
        </w:rPr>
        <w:footnoteReference w:id="26"/>
      </w:r>
      <w:r>
        <w:rPr>
          <w:lang w:val="fr-FR"/>
        </w:rPr>
        <w:t>.</w:t>
      </w:r>
    </w:p>
    <w:p w14:paraId="48A8869E" w14:textId="02F29658" w:rsidR="00C91D59" w:rsidRDefault="00C91D59" w:rsidP="00C91D59">
      <w:pPr>
        <w:pStyle w:val="SingleTxtG"/>
        <w:rPr>
          <w:lang w:val="fr-FR"/>
        </w:rPr>
      </w:pPr>
      <w:r>
        <w:rPr>
          <w:lang w:val="fr-FR"/>
        </w:rPr>
        <w:t>70.</w:t>
      </w:r>
      <w:r>
        <w:rPr>
          <w:lang w:val="fr-FR"/>
        </w:rPr>
        <w:tab/>
      </w:r>
      <w:r w:rsidRPr="00A35E52">
        <w:rPr>
          <w:lang w:val="fr-FR"/>
        </w:rPr>
        <w:t xml:space="preserve">Le Groupe de travail saisit cette occasion pour rappeler au Gouvernement son obligation, </w:t>
      </w:r>
      <w:r>
        <w:rPr>
          <w:lang w:val="fr-FR"/>
        </w:rPr>
        <w:t>au titre</w:t>
      </w:r>
      <w:r w:rsidRPr="00A35E52">
        <w:rPr>
          <w:lang w:val="fr-FR"/>
        </w:rPr>
        <w:t xml:space="preserve"> de l</w:t>
      </w:r>
      <w:r>
        <w:rPr>
          <w:lang w:val="fr-FR"/>
        </w:rPr>
        <w:t>’</w:t>
      </w:r>
      <w:r w:rsidRPr="00A35E52">
        <w:rPr>
          <w:lang w:val="fr-FR"/>
        </w:rPr>
        <w:t>article</w:t>
      </w:r>
      <w:r w:rsidR="003C35EC">
        <w:rPr>
          <w:lang w:val="fr-FR"/>
        </w:rPr>
        <w:t> </w:t>
      </w:r>
      <w:r w:rsidRPr="00A35E52">
        <w:rPr>
          <w:lang w:val="fr-FR"/>
        </w:rPr>
        <w:t>10 (par.</w:t>
      </w:r>
      <w:r w:rsidR="003C35EC">
        <w:rPr>
          <w:lang w:val="fr-FR"/>
        </w:rPr>
        <w:t> </w:t>
      </w:r>
      <w:r w:rsidRPr="00A35E52">
        <w:rPr>
          <w:lang w:val="fr-FR"/>
        </w:rPr>
        <w:t xml:space="preserve">1) du Pacte, de veiller </w:t>
      </w:r>
      <w:proofErr w:type="spellStart"/>
      <w:r w:rsidRPr="00A35E52">
        <w:rPr>
          <w:lang w:val="fr-FR"/>
        </w:rPr>
        <w:t>a</w:t>
      </w:r>
      <w:proofErr w:type="spellEnd"/>
      <w:r w:rsidRPr="00A35E52">
        <w:rPr>
          <w:lang w:val="fr-FR"/>
        </w:rPr>
        <w:t>̀ ce que toutes les personnes priv</w:t>
      </w:r>
      <w:r>
        <w:rPr>
          <w:lang w:val="fr-FR"/>
        </w:rPr>
        <w:t>é</w:t>
      </w:r>
      <w:r w:rsidRPr="00A35E52">
        <w:rPr>
          <w:lang w:val="fr-FR"/>
        </w:rPr>
        <w:t>es de libert</w:t>
      </w:r>
      <w:r>
        <w:rPr>
          <w:lang w:val="fr-FR"/>
        </w:rPr>
        <w:t>é</w:t>
      </w:r>
      <w:r w:rsidRPr="00A35E52">
        <w:rPr>
          <w:lang w:val="fr-FR"/>
        </w:rPr>
        <w:t xml:space="preserve"> soient trait</w:t>
      </w:r>
      <w:r>
        <w:rPr>
          <w:lang w:val="fr-FR"/>
        </w:rPr>
        <w:t>é</w:t>
      </w:r>
      <w:r w:rsidRPr="00A35E52">
        <w:rPr>
          <w:lang w:val="fr-FR"/>
        </w:rPr>
        <w:t>es avec humanit</w:t>
      </w:r>
      <w:r>
        <w:rPr>
          <w:lang w:val="fr-FR"/>
        </w:rPr>
        <w:t>é</w:t>
      </w:r>
      <w:r w:rsidRPr="00A35E52">
        <w:rPr>
          <w:lang w:val="fr-FR"/>
        </w:rPr>
        <w:t xml:space="preserve"> et dans le respect de la dignit</w:t>
      </w:r>
      <w:r>
        <w:rPr>
          <w:lang w:val="fr-FR"/>
        </w:rPr>
        <w:t>é</w:t>
      </w:r>
      <w:r w:rsidRPr="00A35E52">
        <w:rPr>
          <w:lang w:val="fr-FR"/>
        </w:rPr>
        <w:t xml:space="preserve"> inh</w:t>
      </w:r>
      <w:r>
        <w:rPr>
          <w:lang w:val="fr-FR"/>
        </w:rPr>
        <w:t>é</w:t>
      </w:r>
      <w:r w:rsidRPr="00A35E52">
        <w:rPr>
          <w:lang w:val="fr-FR"/>
        </w:rPr>
        <w:t xml:space="preserve">rente </w:t>
      </w:r>
      <w:proofErr w:type="spellStart"/>
      <w:r w:rsidRPr="00A35E52">
        <w:rPr>
          <w:lang w:val="fr-FR"/>
        </w:rPr>
        <w:t>a</w:t>
      </w:r>
      <w:proofErr w:type="spellEnd"/>
      <w:r w:rsidRPr="00A35E52">
        <w:rPr>
          <w:lang w:val="fr-FR"/>
        </w:rPr>
        <w:t>̀ la personne humaine. Il rappelle aussi qu</w:t>
      </w:r>
      <w:r>
        <w:rPr>
          <w:lang w:val="fr-FR"/>
        </w:rPr>
        <w:t>’</w:t>
      </w:r>
      <w:r w:rsidRPr="00A35E52">
        <w:rPr>
          <w:lang w:val="fr-FR"/>
        </w:rPr>
        <w:t>aux termes des r</w:t>
      </w:r>
      <w:r>
        <w:rPr>
          <w:lang w:val="fr-FR"/>
        </w:rPr>
        <w:t>è</w:t>
      </w:r>
      <w:r w:rsidRPr="00A35E52">
        <w:rPr>
          <w:lang w:val="fr-FR"/>
        </w:rPr>
        <w:t xml:space="preserve">gles 24 et 118 </w:t>
      </w:r>
      <w:r>
        <w:rPr>
          <w:lang w:val="fr-FR"/>
        </w:rPr>
        <w:t xml:space="preserve">des </w:t>
      </w:r>
      <w:r w:rsidRPr="00A35E52">
        <w:rPr>
          <w:lang w:val="fr-FR"/>
        </w:rPr>
        <w:t>R</w:t>
      </w:r>
      <w:r>
        <w:rPr>
          <w:lang w:val="fr-FR"/>
        </w:rPr>
        <w:t>è</w:t>
      </w:r>
      <w:r w:rsidRPr="00A35E52">
        <w:rPr>
          <w:lang w:val="fr-FR"/>
        </w:rPr>
        <w:t>gles Nelson</w:t>
      </w:r>
      <w:r w:rsidR="003C35EC">
        <w:rPr>
          <w:lang w:val="fr-FR"/>
        </w:rPr>
        <w:t> </w:t>
      </w:r>
      <w:r w:rsidRPr="00A35E52">
        <w:rPr>
          <w:lang w:val="fr-FR"/>
        </w:rPr>
        <w:t>Mandela, toute personne priv</w:t>
      </w:r>
      <w:r>
        <w:rPr>
          <w:lang w:val="fr-FR"/>
        </w:rPr>
        <w:t>é</w:t>
      </w:r>
      <w:r w:rsidRPr="00A35E52">
        <w:rPr>
          <w:lang w:val="fr-FR"/>
        </w:rPr>
        <w:t>e de sa libert</w:t>
      </w:r>
      <w:r>
        <w:rPr>
          <w:lang w:val="fr-FR"/>
        </w:rPr>
        <w:t>é</w:t>
      </w:r>
      <w:r w:rsidRPr="00A35E52">
        <w:rPr>
          <w:lang w:val="fr-FR"/>
        </w:rPr>
        <w:t xml:space="preserve"> doit </w:t>
      </w:r>
      <w:r>
        <w:rPr>
          <w:lang w:val="fr-FR"/>
        </w:rPr>
        <w:t>ê</w:t>
      </w:r>
      <w:r w:rsidRPr="00A35E52">
        <w:rPr>
          <w:lang w:val="fr-FR"/>
        </w:rPr>
        <w:t>tre autoris</w:t>
      </w:r>
      <w:r>
        <w:rPr>
          <w:lang w:val="fr-FR"/>
        </w:rPr>
        <w:t>é</w:t>
      </w:r>
      <w:r w:rsidRPr="00A35E52">
        <w:rPr>
          <w:lang w:val="fr-FR"/>
        </w:rPr>
        <w:t xml:space="preserve">e </w:t>
      </w:r>
      <w:proofErr w:type="spellStart"/>
      <w:r w:rsidRPr="00A35E52">
        <w:rPr>
          <w:lang w:val="fr-FR"/>
        </w:rPr>
        <w:t>a</w:t>
      </w:r>
      <w:proofErr w:type="spellEnd"/>
      <w:r w:rsidRPr="00A35E52">
        <w:rPr>
          <w:lang w:val="fr-FR"/>
        </w:rPr>
        <w:t>̀ recevoir des soins de m</w:t>
      </w:r>
      <w:r>
        <w:rPr>
          <w:lang w:val="fr-FR"/>
        </w:rPr>
        <w:t>ê</w:t>
      </w:r>
      <w:r w:rsidRPr="00A35E52">
        <w:rPr>
          <w:lang w:val="fr-FR"/>
        </w:rPr>
        <w:t>me qualit</w:t>
      </w:r>
      <w:r>
        <w:rPr>
          <w:lang w:val="fr-FR"/>
        </w:rPr>
        <w:t>é</w:t>
      </w:r>
      <w:r w:rsidRPr="00A35E52">
        <w:rPr>
          <w:lang w:val="fr-FR"/>
        </w:rPr>
        <w:t xml:space="preserve"> que ceux disponibles dans la soci</w:t>
      </w:r>
      <w:r>
        <w:rPr>
          <w:lang w:val="fr-FR"/>
        </w:rPr>
        <w:t>é</w:t>
      </w:r>
      <w:r w:rsidRPr="00A35E52">
        <w:rPr>
          <w:lang w:val="fr-FR"/>
        </w:rPr>
        <w:t>t</w:t>
      </w:r>
      <w:r>
        <w:rPr>
          <w:lang w:val="fr-FR"/>
        </w:rPr>
        <w:t>é,</w:t>
      </w:r>
      <w:r w:rsidRPr="00A35E52">
        <w:rPr>
          <w:lang w:val="fr-FR"/>
        </w:rPr>
        <w:t xml:space="preserve"> et doit </w:t>
      </w:r>
      <w:r>
        <w:rPr>
          <w:lang w:val="fr-FR"/>
        </w:rPr>
        <w:t>ê</w:t>
      </w:r>
      <w:r w:rsidRPr="00A35E52">
        <w:rPr>
          <w:lang w:val="fr-FR"/>
        </w:rPr>
        <w:t>tre autoris</w:t>
      </w:r>
      <w:r>
        <w:rPr>
          <w:lang w:val="fr-FR"/>
        </w:rPr>
        <w:t>é</w:t>
      </w:r>
      <w:r w:rsidRPr="00A35E52">
        <w:rPr>
          <w:lang w:val="fr-FR"/>
        </w:rPr>
        <w:t xml:space="preserve">e </w:t>
      </w:r>
      <w:proofErr w:type="spellStart"/>
      <w:r w:rsidRPr="00A35E52">
        <w:rPr>
          <w:lang w:val="fr-FR"/>
        </w:rPr>
        <w:t>a</w:t>
      </w:r>
      <w:proofErr w:type="spellEnd"/>
      <w:r w:rsidRPr="00A35E52">
        <w:rPr>
          <w:lang w:val="fr-FR"/>
        </w:rPr>
        <w:t>̀ recevoir la visite et les soins de son propre m</w:t>
      </w:r>
      <w:r>
        <w:rPr>
          <w:lang w:val="fr-FR"/>
        </w:rPr>
        <w:t>é</w:t>
      </w:r>
      <w:r w:rsidRPr="00A35E52">
        <w:rPr>
          <w:lang w:val="fr-FR"/>
        </w:rPr>
        <w:t>decin si sa demande est raisonnablement fond</w:t>
      </w:r>
      <w:r>
        <w:rPr>
          <w:lang w:val="fr-FR"/>
        </w:rPr>
        <w:t>é</w:t>
      </w:r>
      <w:r w:rsidRPr="00A35E52">
        <w:rPr>
          <w:lang w:val="fr-FR"/>
        </w:rPr>
        <w:t>e et si elle a les moyens d</w:t>
      </w:r>
      <w:r>
        <w:rPr>
          <w:lang w:val="fr-FR"/>
        </w:rPr>
        <w:t>’</w:t>
      </w:r>
      <w:r w:rsidRPr="00A35E52">
        <w:rPr>
          <w:lang w:val="fr-FR"/>
        </w:rPr>
        <w:t>assumer les d</w:t>
      </w:r>
      <w:r>
        <w:rPr>
          <w:lang w:val="fr-FR"/>
        </w:rPr>
        <w:t>é</w:t>
      </w:r>
      <w:r w:rsidRPr="00A35E52">
        <w:rPr>
          <w:lang w:val="fr-FR"/>
        </w:rPr>
        <w:t>penses qui en d</w:t>
      </w:r>
      <w:r>
        <w:rPr>
          <w:lang w:val="fr-FR"/>
        </w:rPr>
        <w:t>é</w:t>
      </w:r>
      <w:r w:rsidRPr="00A35E52">
        <w:rPr>
          <w:lang w:val="fr-FR"/>
        </w:rPr>
        <w:t xml:space="preserve">coulent. Le Groupe de travail exhorte le Gouvernement à veiller </w:t>
      </w:r>
      <w:proofErr w:type="spellStart"/>
      <w:r w:rsidRPr="00A35E52">
        <w:rPr>
          <w:lang w:val="fr-FR"/>
        </w:rPr>
        <w:t>a</w:t>
      </w:r>
      <w:proofErr w:type="spellEnd"/>
      <w:r w:rsidRPr="00A35E52">
        <w:rPr>
          <w:lang w:val="fr-FR"/>
        </w:rPr>
        <w:t>̀ ce que les conditions dans tous les lieux de privation de libert</w:t>
      </w:r>
      <w:r>
        <w:rPr>
          <w:lang w:val="fr-FR"/>
        </w:rPr>
        <w:t>é</w:t>
      </w:r>
      <w:r w:rsidRPr="00A35E52">
        <w:rPr>
          <w:lang w:val="fr-FR"/>
        </w:rPr>
        <w:t xml:space="preserve"> en Algérie soient conformes aux normes internationales</w:t>
      </w:r>
      <w:r>
        <w:rPr>
          <w:lang w:val="fr-FR"/>
        </w:rPr>
        <w:t>.</w:t>
      </w:r>
    </w:p>
    <w:p w14:paraId="044135B1" w14:textId="10E387E3" w:rsidR="00C91D59" w:rsidRDefault="00C91D59" w:rsidP="00C91D59">
      <w:pPr>
        <w:pStyle w:val="SingleTxtG"/>
        <w:rPr>
          <w:lang w:val="fr-FR"/>
        </w:rPr>
      </w:pPr>
      <w:r>
        <w:rPr>
          <w:lang w:val="fr-FR"/>
        </w:rPr>
        <w:t>71.</w:t>
      </w:r>
      <w:r>
        <w:rPr>
          <w:lang w:val="fr-FR"/>
        </w:rPr>
        <w:tab/>
      </w:r>
      <w:r w:rsidRPr="00081924">
        <w:rPr>
          <w:lang w:val="fr-FR"/>
        </w:rPr>
        <w:t>Enfin, le Groupe de travail est préoccupé par les allégations de la source selon lesquelles, depuis juillet 2022, plusieurs autres membres de la famille de M.</w:t>
      </w:r>
      <w:r w:rsidR="003C35EC">
        <w:rPr>
          <w:lang w:val="fr-FR"/>
        </w:rPr>
        <w:t> </w:t>
      </w:r>
      <w:proofErr w:type="spellStart"/>
      <w:r w:rsidRPr="00081924">
        <w:rPr>
          <w:lang w:val="fr-FR"/>
        </w:rPr>
        <w:t>Zitout</w:t>
      </w:r>
      <w:proofErr w:type="spellEnd"/>
      <w:r w:rsidRPr="00081924">
        <w:rPr>
          <w:lang w:val="fr-FR"/>
        </w:rPr>
        <w:t xml:space="preserve"> sont persécutés et fréquemment convoqués au poste de police pour des interrogatoires portant sur leur relation avec le membre de la famille de M.</w:t>
      </w:r>
      <w:r w:rsidR="003C35EC">
        <w:rPr>
          <w:lang w:val="fr-FR"/>
        </w:rPr>
        <w:t> </w:t>
      </w:r>
      <w:proofErr w:type="spellStart"/>
      <w:r w:rsidRPr="00081924">
        <w:rPr>
          <w:lang w:val="fr-FR"/>
        </w:rPr>
        <w:t>Zitout</w:t>
      </w:r>
      <w:proofErr w:type="spellEnd"/>
      <w:r w:rsidRPr="00081924">
        <w:rPr>
          <w:lang w:val="fr-FR"/>
        </w:rPr>
        <w:t xml:space="preserve"> exilé. Bien que le Gouvernement affirme que ledit proche s</w:t>
      </w:r>
      <w:r>
        <w:rPr>
          <w:lang w:val="fr-FR"/>
        </w:rPr>
        <w:t>’</w:t>
      </w:r>
      <w:r w:rsidRPr="00081924">
        <w:rPr>
          <w:lang w:val="fr-FR"/>
        </w:rPr>
        <w:t>oppose au pouvoir depuis l</w:t>
      </w:r>
      <w:r>
        <w:rPr>
          <w:lang w:val="fr-FR"/>
        </w:rPr>
        <w:t>’</w:t>
      </w:r>
      <w:r w:rsidRPr="00081924">
        <w:rPr>
          <w:lang w:val="fr-FR"/>
        </w:rPr>
        <w:t xml:space="preserve">étranger depuis </w:t>
      </w:r>
      <w:r>
        <w:rPr>
          <w:lang w:val="fr-FR"/>
        </w:rPr>
        <w:t>vingt-sept</w:t>
      </w:r>
      <w:r w:rsidRPr="00081924">
        <w:rPr>
          <w:lang w:val="fr-FR"/>
        </w:rPr>
        <w:t xml:space="preserve"> ans, période au cours de laquelle aucun de ses proches n</w:t>
      </w:r>
      <w:r>
        <w:rPr>
          <w:lang w:val="fr-FR"/>
        </w:rPr>
        <w:t>’</w:t>
      </w:r>
      <w:r w:rsidRPr="00081924">
        <w:rPr>
          <w:lang w:val="fr-FR"/>
        </w:rPr>
        <w:t>a été harcelé ou poursuivi, il ne conteste pas directement cette allégation de représailles contre la famille de M.</w:t>
      </w:r>
      <w:r w:rsidR="003C35EC">
        <w:rPr>
          <w:lang w:val="fr-FR"/>
        </w:rPr>
        <w:t> </w:t>
      </w:r>
      <w:proofErr w:type="spellStart"/>
      <w:r w:rsidRPr="00081924">
        <w:rPr>
          <w:lang w:val="fr-FR"/>
        </w:rPr>
        <w:t>Zitout</w:t>
      </w:r>
      <w:proofErr w:type="spellEnd"/>
      <w:r w:rsidRPr="00081924">
        <w:rPr>
          <w:lang w:val="fr-FR"/>
        </w:rPr>
        <w:t xml:space="preserve"> depuis juillet 2022. </w:t>
      </w:r>
      <w:r w:rsidRPr="00081924">
        <w:rPr>
          <w:lang w:val="fr-FR"/>
        </w:rPr>
        <w:lastRenderedPageBreak/>
        <w:t>Le Groupe de travail saisit cette occasion pour réaffirmer que toute forme de représailles est inacceptable et qu</w:t>
      </w:r>
      <w:r>
        <w:rPr>
          <w:lang w:val="fr-FR"/>
        </w:rPr>
        <w:t>’</w:t>
      </w:r>
      <w:r w:rsidRPr="00081924">
        <w:rPr>
          <w:lang w:val="fr-FR"/>
        </w:rPr>
        <w:t>il est du devoir des États de protéger les individus et les groupes avec la diligence voulue. Le Groupe de travail exhorte le Gouvernement à faire cesser tout acte d</w:t>
      </w:r>
      <w:r>
        <w:rPr>
          <w:lang w:val="fr-FR"/>
        </w:rPr>
        <w:t>’</w:t>
      </w:r>
      <w:r w:rsidRPr="00081924">
        <w:rPr>
          <w:lang w:val="fr-FR"/>
        </w:rPr>
        <w:t>intimidation ou de représailles à l</w:t>
      </w:r>
      <w:r>
        <w:rPr>
          <w:lang w:val="fr-FR"/>
        </w:rPr>
        <w:t>’</w:t>
      </w:r>
      <w:r w:rsidRPr="00081924">
        <w:rPr>
          <w:lang w:val="fr-FR"/>
        </w:rPr>
        <w:t>encontre des membres de la famille de M.</w:t>
      </w:r>
      <w:r w:rsidR="003C35EC">
        <w:rPr>
          <w:lang w:val="fr-FR"/>
        </w:rPr>
        <w:t> </w:t>
      </w:r>
      <w:proofErr w:type="spellStart"/>
      <w:r w:rsidRPr="00081924">
        <w:rPr>
          <w:lang w:val="fr-FR"/>
        </w:rPr>
        <w:t>Zitout</w:t>
      </w:r>
      <w:proofErr w:type="spellEnd"/>
      <w:r>
        <w:rPr>
          <w:lang w:val="fr-FR"/>
        </w:rPr>
        <w:t>.</w:t>
      </w:r>
    </w:p>
    <w:p w14:paraId="54B5760E" w14:textId="77777777" w:rsidR="00C91D59" w:rsidRPr="00286D58" w:rsidRDefault="00C91D59" w:rsidP="00C91D59">
      <w:pPr>
        <w:pStyle w:val="H23G"/>
        <w:rPr>
          <w:lang w:val="fr-FR"/>
        </w:rPr>
      </w:pPr>
      <w:r>
        <w:rPr>
          <w:lang w:val="fr-FR"/>
        </w:rPr>
        <w:tab/>
        <w:t>3.</w:t>
      </w:r>
      <w:r>
        <w:rPr>
          <w:lang w:val="fr-FR"/>
        </w:rPr>
        <w:tab/>
      </w:r>
      <w:r w:rsidRPr="00286D58">
        <w:rPr>
          <w:lang w:val="fr-FR"/>
        </w:rPr>
        <w:t>Dispositif</w:t>
      </w:r>
    </w:p>
    <w:p w14:paraId="507EDE1D" w14:textId="77777777" w:rsidR="00C91D59" w:rsidRPr="00B86531" w:rsidRDefault="00C91D59" w:rsidP="00C91D59">
      <w:pPr>
        <w:pStyle w:val="SingleTxtG"/>
        <w:rPr>
          <w:lang w:val="fr-FR"/>
        </w:rPr>
      </w:pPr>
      <w:r w:rsidRPr="00B86531">
        <w:rPr>
          <w:lang w:val="fr-FR"/>
        </w:rPr>
        <w:t>72.</w:t>
      </w:r>
      <w:r w:rsidRPr="00B86531">
        <w:rPr>
          <w:lang w:val="fr-FR"/>
        </w:rPr>
        <w:tab/>
        <w:t>Compte tenu de ce qui précède, le Groupe de travail rend l</w:t>
      </w:r>
      <w:r>
        <w:rPr>
          <w:lang w:val="fr-FR"/>
        </w:rPr>
        <w:t>’</w:t>
      </w:r>
      <w:r w:rsidRPr="00B86531">
        <w:rPr>
          <w:lang w:val="fr-FR"/>
        </w:rPr>
        <w:t>avis suivant :</w:t>
      </w:r>
    </w:p>
    <w:p w14:paraId="2E1BCF02" w14:textId="0BE69D38" w:rsidR="00C91D59" w:rsidRPr="00B86531" w:rsidRDefault="002E35DE" w:rsidP="00C91D59">
      <w:pPr>
        <w:pStyle w:val="SingleTxtG"/>
        <w:ind w:left="1701"/>
        <w:rPr>
          <w:lang w:val="fr-FR"/>
        </w:rPr>
      </w:pPr>
      <w:r>
        <w:rPr>
          <w:lang w:val="fr-FR"/>
        </w:rPr>
        <w:tab/>
      </w:r>
      <w:r w:rsidR="00C91D59" w:rsidRPr="00870E39">
        <w:rPr>
          <w:lang w:val="fr-FR"/>
        </w:rPr>
        <w:t xml:space="preserve">La privation de liberté de </w:t>
      </w:r>
      <w:r w:rsidR="00C91D59" w:rsidRPr="00870E39">
        <w:rPr>
          <w:bCs/>
          <w:szCs w:val="24"/>
          <w:lang w:val="fr-FR"/>
        </w:rPr>
        <w:t>Abderrahmane</w:t>
      </w:r>
      <w:r w:rsidR="00C91D59" w:rsidRPr="00870E39">
        <w:rPr>
          <w:lang w:val="fr-FR"/>
        </w:rPr>
        <w:t xml:space="preserve"> </w:t>
      </w:r>
      <w:proofErr w:type="spellStart"/>
      <w:r w:rsidR="00C91D59" w:rsidRPr="00870E39">
        <w:rPr>
          <w:lang w:val="fr-FR"/>
        </w:rPr>
        <w:t>Zitout</w:t>
      </w:r>
      <w:proofErr w:type="spellEnd"/>
      <w:r w:rsidR="00C91D59" w:rsidRPr="00870E39">
        <w:rPr>
          <w:lang w:val="fr-FR"/>
        </w:rPr>
        <w:t xml:space="preserve"> est arbitraire en ce qu</w:t>
      </w:r>
      <w:r w:rsidR="00C91D59">
        <w:rPr>
          <w:lang w:val="fr-FR"/>
        </w:rPr>
        <w:t>’</w:t>
      </w:r>
      <w:r w:rsidR="00C91D59" w:rsidRPr="00870E39">
        <w:rPr>
          <w:lang w:val="fr-FR"/>
        </w:rPr>
        <w:t>elle est contraire aux articles</w:t>
      </w:r>
      <w:r>
        <w:rPr>
          <w:lang w:val="fr-FR"/>
        </w:rPr>
        <w:t> </w:t>
      </w:r>
      <w:r w:rsidR="00C91D59" w:rsidRPr="00870E39">
        <w:rPr>
          <w:lang w:val="fr-FR"/>
        </w:rPr>
        <w:t>2, 3, 6, 7, 8, 9, 10 et 19 de la Déclaration universelle des droits de l</w:t>
      </w:r>
      <w:r w:rsidR="00C91D59">
        <w:rPr>
          <w:lang w:val="fr-FR"/>
        </w:rPr>
        <w:t>’</w:t>
      </w:r>
      <w:r w:rsidR="00C91D59" w:rsidRPr="00870E39">
        <w:rPr>
          <w:lang w:val="fr-FR"/>
        </w:rPr>
        <w:t>homme et aux articles</w:t>
      </w:r>
      <w:r>
        <w:rPr>
          <w:lang w:val="fr-FR"/>
        </w:rPr>
        <w:t> </w:t>
      </w:r>
      <w:r w:rsidR="00C91D59" w:rsidRPr="00870E39">
        <w:rPr>
          <w:lang w:val="fr-FR"/>
        </w:rPr>
        <w:t>2, 9, 14, 16, 19 et 26 du Pacte international relatif aux droits civils et politiques et relève des catégories</w:t>
      </w:r>
      <w:r>
        <w:rPr>
          <w:lang w:val="fr-FR"/>
        </w:rPr>
        <w:t> </w:t>
      </w:r>
      <w:r w:rsidR="00C91D59" w:rsidRPr="00870E39">
        <w:rPr>
          <w:lang w:val="fr-FR"/>
        </w:rPr>
        <w:t>I, II, III et V.</w:t>
      </w:r>
      <w:r w:rsidR="00C91D59" w:rsidRPr="00B86531">
        <w:rPr>
          <w:lang w:val="fr-FR"/>
        </w:rPr>
        <w:t xml:space="preserve"> </w:t>
      </w:r>
    </w:p>
    <w:p w14:paraId="7BE15CB6" w14:textId="4F933176" w:rsidR="00C91D59" w:rsidRPr="00B86531" w:rsidRDefault="00C91D59" w:rsidP="00C91D59">
      <w:pPr>
        <w:pStyle w:val="SingleTxtG"/>
        <w:rPr>
          <w:lang w:val="fr-FR"/>
        </w:rPr>
      </w:pPr>
      <w:r w:rsidRPr="00B86531">
        <w:rPr>
          <w:lang w:val="fr-FR"/>
        </w:rPr>
        <w:t>73.</w:t>
      </w:r>
      <w:r w:rsidRPr="00B86531">
        <w:rPr>
          <w:lang w:val="fr-FR"/>
        </w:rPr>
        <w:tab/>
        <w:t>Le Groupe de travail demande au Gouvernement algérien de prendre les mesures qui s</w:t>
      </w:r>
      <w:r>
        <w:rPr>
          <w:lang w:val="fr-FR"/>
        </w:rPr>
        <w:t>’</w:t>
      </w:r>
      <w:r w:rsidRPr="00B86531">
        <w:rPr>
          <w:lang w:val="fr-FR"/>
        </w:rPr>
        <w:t>imposent pour remédier sans tarder à la situation de M.</w:t>
      </w:r>
      <w:r w:rsidR="002E35DE">
        <w:rPr>
          <w:lang w:val="fr-FR"/>
        </w:rPr>
        <w:t> </w:t>
      </w:r>
      <w:proofErr w:type="spellStart"/>
      <w:r w:rsidRPr="00B86531">
        <w:rPr>
          <w:lang w:val="fr-FR"/>
        </w:rPr>
        <w:t>Zitout</w:t>
      </w:r>
      <w:proofErr w:type="spellEnd"/>
      <w:r w:rsidRPr="00B86531">
        <w:rPr>
          <w:lang w:val="fr-FR"/>
        </w:rPr>
        <w:t xml:space="preserve"> et la rendre compatible avec les normes internationales applicables, notamment celles énoncées dans la Déclaration universelle des droits de l</w:t>
      </w:r>
      <w:r>
        <w:rPr>
          <w:lang w:val="fr-FR"/>
        </w:rPr>
        <w:t>’</w:t>
      </w:r>
      <w:r w:rsidRPr="00B86531">
        <w:rPr>
          <w:lang w:val="fr-FR"/>
        </w:rPr>
        <w:t>homme et dans le Pacte.</w:t>
      </w:r>
    </w:p>
    <w:p w14:paraId="0FAE9BEB" w14:textId="336FC3F1" w:rsidR="00C91D59" w:rsidRPr="00B86531" w:rsidRDefault="00C91D59" w:rsidP="00C91D59">
      <w:pPr>
        <w:pStyle w:val="SingleTxtG"/>
        <w:rPr>
          <w:lang w:val="fr-FR"/>
        </w:rPr>
      </w:pPr>
      <w:r w:rsidRPr="00B86531">
        <w:rPr>
          <w:lang w:val="fr-FR"/>
        </w:rPr>
        <w:t>74.</w:t>
      </w:r>
      <w:r w:rsidRPr="00B86531">
        <w:rPr>
          <w:lang w:val="fr-FR"/>
        </w:rPr>
        <w:tab/>
        <w:t>Le Groupe de travail estime que, compte tenu de toutes les circonstances de l</w:t>
      </w:r>
      <w:r>
        <w:rPr>
          <w:lang w:val="fr-FR"/>
        </w:rPr>
        <w:t>’</w:t>
      </w:r>
      <w:r w:rsidRPr="00B86531">
        <w:rPr>
          <w:lang w:val="fr-FR"/>
        </w:rPr>
        <w:t>espèce, la mesure appropriée consisterait à libérer immédiatement M.</w:t>
      </w:r>
      <w:r w:rsidR="002E35DE">
        <w:rPr>
          <w:lang w:val="fr-FR"/>
        </w:rPr>
        <w:t> </w:t>
      </w:r>
      <w:proofErr w:type="spellStart"/>
      <w:r w:rsidRPr="00B86531">
        <w:rPr>
          <w:lang w:val="fr-FR"/>
        </w:rPr>
        <w:t>Zitout</w:t>
      </w:r>
      <w:proofErr w:type="spellEnd"/>
      <w:r w:rsidRPr="00B86531">
        <w:rPr>
          <w:lang w:val="fr-FR"/>
        </w:rPr>
        <w:t xml:space="preserve"> et à lui accorder le droit d</w:t>
      </w:r>
      <w:r>
        <w:rPr>
          <w:lang w:val="fr-FR"/>
        </w:rPr>
        <w:t>’</w:t>
      </w:r>
      <w:r w:rsidRPr="00B86531">
        <w:rPr>
          <w:lang w:val="fr-FR"/>
        </w:rPr>
        <w:t>obtenir réparation, notamment sous la forme d</w:t>
      </w:r>
      <w:r>
        <w:rPr>
          <w:lang w:val="fr-FR"/>
        </w:rPr>
        <w:t>’</w:t>
      </w:r>
      <w:r w:rsidRPr="00B86531">
        <w:rPr>
          <w:lang w:val="fr-FR"/>
        </w:rPr>
        <w:t xml:space="preserve">une indemnisation, conformément au droit international. </w:t>
      </w:r>
    </w:p>
    <w:p w14:paraId="38A04C21" w14:textId="230766D9" w:rsidR="00C91D59" w:rsidRPr="00B86531" w:rsidRDefault="00C91D59" w:rsidP="00C91D59">
      <w:pPr>
        <w:pStyle w:val="SingleTxtG"/>
        <w:rPr>
          <w:lang w:val="fr-FR"/>
        </w:rPr>
      </w:pPr>
      <w:r w:rsidRPr="00B86531">
        <w:rPr>
          <w:lang w:val="fr-FR"/>
        </w:rPr>
        <w:t>75.</w:t>
      </w:r>
      <w:r w:rsidRPr="00B86531">
        <w:rPr>
          <w:lang w:val="fr-FR"/>
        </w:rPr>
        <w:tab/>
        <w:t>Le Groupe de travail demande instamment au Gouvernement de veiller à ce qu</w:t>
      </w:r>
      <w:r>
        <w:rPr>
          <w:lang w:val="fr-FR"/>
        </w:rPr>
        <w:t>’</w:t>
      </w:r>
      <w:r w:rsidRPr="00B86531">
        <w:rPr>
          <w:lang w:val="fr-FR"/>
        </w:rPr>
        <w:t>une enquête approfondie et indépendante soit menée sur les circonstances de la privation arbitraire de liberté de M.</w:t>
      </w:r>
      <w:r w:rsidR="002E35DE">
        <w:rPr>
          <w:lang w:val="fr-FR"/>
        </w:rPr>
        <w:t> </w:t>
      </w:r>
      <w:proofErr w:type="spellStart"/>
      <w:r w:rsidRPr="00B86531">
        <w:rPr>
          <w:lang w:val="fr-FR"/>
        </w:rPr>
        <w:t>Zitout</w:t>
      </w:r>
      <w:proofErr w:type="spellEnd"/>
      <w:r w:rsidRPr="00B86531">
        <w:rPr>
          <w:lang w:val="fr-FR"/>
        </w:rPr>
        <w:t>, et de prendre les mesures qui s</w:t>
      </w:r>
      <w:r>
        <w:rPr>
          <w:lang w:val="fr-FR"/>
        </w:rPr>
        <w:t>’</w:t>
      </w:r>
      <w:r w:rsidRPr="00B86531">
        <w:rPr>
          <w:lang w:val="fr-FR"/>
        </w:rPr>
        <w:t>imposent contre les responsables de la violation des droits de celui-ci</w:t>
      </w:r>
      <w:r w:rsidRPr="00B86531">
        <w:rPr>
          <w:lang w:val="fr-FR" w:eastAsia="zh-CN"/>
        </w:rPr>
        <w:t xml:space="preserve">. </w:t>
      </w:r>
    </w:p>
    <w:p w14:paraId="78956BF2" w14:textId="77777777" w:rsidR="00C91D59" w:rsidRPr="00B86531" w:rsidRDefault="00C91D59" w:rsidP="00C91D59">
      <w:pPr>
        <w:pStyle w:val="SingleTxtG"/>
        <w:rPr>
          <w:lang w:val="fr-FR"/>
        </w:rPr>
      </w:pPr>
      <w:r w:rsidRPr="00B86531">
        <w:rPr>
          <w:lang w:val="fr-FR"/>
        </w:rPr>
        <w:t>76.</w:t>
      </w:r>
      <w:r w:rsidRPr="00B86531">
        <w:rPr>
          <w:lang w:val="fr-FR"/>
        </w:rPr>
        <w:tab/>
        <w:t>Le Groupe de travail demande au Gouvernement d</w:t>
      </w:r>
      <w:r>
        <w:rPr>
          <w:lang w:val="fr-FR"/>
        </w:rPr>
        <w:t>’</w:t>
      </w:r>
      <w:r w:rsidRPr="00B86531">
        <w:rPr>
          <w:lang w:val="fr-FR"/>
        </w:rPr>
        <w:t xml:space="preserve">user de tous les moyens à sa disposition pour diffuser le présent avis aussi largement que possible. </w:t>
      </w:r>
    </w:p>
    <w:p w14:paraId="175B1A94" w14:textId="77777777" w:rsidR="00C91D59" w:rsidRPr="00286D58" w:rsidRDefault="00C91D59" w:rsidP="00C91D59">
      <w:pPr>
        <w:pStyle w:val="H23G"/>
        <w:rPr>
          <w:lang w:val="fr-FR"/>
        </w:rPr>
      </w:pPr>
      <w:r>
        <w:rPr>
          <w:lang w:val="fr-FR"/>
        </w:rPr>
        <w:tab/>
        <w:t>4.</w:t>
      </w:r>
      <w:r>
        <w:rPr>
          <w:lang w:val="fr-FR"/>
        </w:rPr>
        <w:tab/>
      </w:r>
      <w:r w:rsidRPr="00286D58">
        <w:rPr>
          <w:lang w:val="fr-FR"/>
        </w:rPr>
        <w:t>Procédure de suivi</w:t>
      </w:r>
    </w:p>
    <w:p w14:paraId="1D175664" w14:textId="43F87F18" w:rsidR="00C91D59" w:rsidRPr="00B86531" w:rsidRDefault="00C91D59" w:rsidP="00C91D59">
      <w:pPr>
        <w:pStyle w:val="SingleTxtG"/>
        <w:rPr>
          <w:lang w:val="fr-FR"/>
        </w:rPr>
      </w:pPr>
      <w:r w:rsidRPr="00B86531">
        <w:rPr>
          <w:lang w:val="fr-FR"/>
        </w:rPr>
        <w:t>77.</w:t>
      </w:r>
      <w:r w:rsidRPr="00B86531">
        <w:rPr>
          <w:lang w:val="fr-FR"/>
        </w:rPr>
        <w:tab/>
        <w:t>Conformément au paragraphe</w:t>
      </w:r>
      <w:r w:rsidR="002E35DE">
        <w:rPr>
          <w:lang w:val="fr-FR"/>
        </w:rPr>
        <w:t> </w:t>
      </w:r>
      <w:r w:rsidRPr="00B86531">
        <w:rPr>
          <w:lang w:val="fr-FR"/>
        </w:rPr>
        <w:t>20 de ses méthodes de travail, le Groupe de travail prie la source et le Gouvernement de l</w:t>
      </w:r>
      <w:r>
        <w:rPr>
          <w:lang w:val="fr-FR"/>
        </w:rPr>
        <w:t>’</w:t>
      </w:r>
      <w:r w:rsidRPr="00B86531">
        <w:rPr>
          <w:lang w:val="fr-FR"/>
        </w:rPr>
        <w:t>informer de la suite donnée aux recommandations formulées dans le présent avis, et notamment de lui faire savoir :</w:t>
      </w:r>
    </w:p>
    <w:p w14:paraId="2359FDC4" w14:textId="6B5DBBC7" w:rsidR="00C91D59" w:rsidRPr="00B86531" w:rsidRDefault="00C91D59" w:rsidP="00C91D59">
      <w:pPr>
        <w:pStyle w:val="SingleTxtG"/>
        <w:ind w:right="1133" w:firstLine="567"/>
        <w:rPr>
          <w:lang w:val="fr-FR"/>
        </w:rPr>
      </w:pPr>
      <w:r w:rsidRPr="00B86531">
        <w:rPr>
          <w:lang w:val="fr-FR"/>
        </w:rPr>
        <w:t>a)</w:t>
      </w:r>
      <w:r w:rsidRPr="00B86531">
        <w:rPr>
          <w:lang w:val="fr-FR"/>
        </w:rPr>
        <w:tab/>
        <w:t>Si M.</w:t>
      </w:r>
      <w:r w:rsidR="002E35DE">
        <w:rPr>
          <w:lang w:val="fr-FR"/>
        </w:rPr>
        <w:t> </w:t>
      </w:r>
      <w:proofErr w:type="spellStart"/>
      <w:r w:rsidRPr="00B86531">
        <w:rPr>
          <w:lang w:val="fr-FR"/>
        </w:rPr>
        <w:t>Zitout</w:t>
      </w:r>
      <w:proofErr w:type="spellEnd"/>
      <w:r w:rsidRPr="00B86531">
        <w:rPr>
          <w:lang w:val="fr-FR"/>
        </w:rPr>
        <w:t xml:space="preserve"> a été mis en liberté et, le cas échéant, à quelle date ;</w:t>
      </w:r>
    </w:p>
    <w:p w14:paraId="4E690DF6" w14:textId="73EC7761" w:rsidR="00C91D59" w:rsidRPr="00B86531" w:rsidRDefault="00C91D59" w:rsidP="00C91D59">
      <w:pPr>
        <w:pStyle w:val="SingleTxtG"/>
        <w:ind w:right="1133" w:firstLine="567"/>
        <w:rPr>
          <w:lang w:val="fr-FR"/>
        </w:rPr>
      </w:pPr>
      <w:r w:rsidRPr="00B86531">
        <w:rPr>
          <w:lang w:val="fr-FR"/>
        </w:rPr>
        <w:t>b)</w:t>
      </w:r>
      <w:r w:rsidRPr="00B86531">
        <w:rPr>
          <w:lang w:val="fr-FR"/>
        </w:rPr>
        <w:tab/>
        <w:t>Si M.</w:t>
      </w:r>
      <w:r w:rsidR="002E35DE">
        <w:rPr>
          <w:lang w:val="fr-FR"/>
        </w:rPr>
        <w:t> </w:t>
      </w:r>
      <w:proofErr w:type="spellStart"/>
      <w:r w:rsidRPr="00B86531">
        <w:rPr>
          <w:lang w:val="fr-FR"/>
        </w:rPr>
        <w:t>Zitout</w:t>
      </w:r>
      <w:proofErr w:type="spellEnd"/>
      <w:r w:rsidRPr="00B86531">
        <w:rPr>
          <w:lang w:val="fr-FR"/>
        </w:rPr>
        <w:t xml:space="preserve"> a obtenu réparation, notamment sous la forme d</w:t>
      </w:r>
      <w:r>
        <w:rPr>
          <w:lang w:val="fr-FR"/>
        </w:rPr>
        <w:t>’</w:t>
      </w:r>
      <w:r w:rsidRPr="00B86531">
        <w:rPr>
          <w:lang w:val="fr-FR"/>
        </w:rPr>
        <w:t>une indemnisation ;</w:t>
      </w:r>
    </w:p>
    <w:p w14:paraId="2F497454" w14:textId="5955D8BF" w:rsidR="00C91D59" w:rsidRPr="00B86531" w:rsidRDefault="00C91D59" w:rsidP="00C91D59">
      <w:pPr>
        <w:pStyle w:val="SingleTxtG"/>
        <w:ind w:right="1133" w:firstLine="567"/>
        <w:rPr>
          <w:lang w:val="fr-FR"/>
        </w:rPr>
      </w:pPr>
      <w:r w:rsidRPr="00B86531">
        <w:rPr>
          <w:lang w:val="fr-FR"/>
        </w:rPr>
        <w:t>c)</w:t>
      </w:r>
      <w:r w:rsidRPr="00B86531">
        <w:rPr>
          <w:lang w:val="fr-FR"/>
        </w:rPr>
        <w:tab/>
        <w:t>Si la violation des droits de M.</w:t>
      </w:r>
      <w:r w:rsidR="002E35DE">
        <w:rPr>
          <w:lang w:val="fr-FR"/>
        </w:rPr>
        <w:t> </w:t>
      </w:r>
      <w:proofErr w:type="spellStart"/>
      <w:r w:rsidRPr="00B86531">
        <w:rPr>
          <w:lang w:val="fr-FR"/>
        </w:rPr>
        <w:t>Zitout</w:t>
      </w:r>
      <w:proofErr w:type="spellEnd"/>
      <w:r w:rsidRPr="00B86531">
        <w:rPr>
          <w:lang w:val="fr-FR"/>
        </w:rPr>
        <w:t xml:space="preserve"> a fait l</w:t>
      </w:r>
      <w:r>
        <w:rPr>
          <w:lang w:val="fr-FR"/>
        </w:rPr>
        <w:t>’</w:t>
      </w:r>
      <w:r w:rsidRPr="00B86531">
        <w:rPr>
          <w:lang w:val="fr-FR"/>
        </w:rPr>
        <w:t>objet d</w:t>
      </w:r>
      <w:r>
        <w:rPr>
          <w:lang w:val="fr-FR"/>
        </w:rPr>
        <w:t>’</w:t>
      </w:r>
      <w:r w:rsidRPr="00B86531">
        <w:rPr>
          <w:lang w:val="fr-FR"/>
        </w:rPr>
        <w:t>une enquête et, dans l</w:t>
      </w:r>
      <w:r>
        <w:rPr>
          <w:lang w:val="fr-FR"/>
        </w:rPr>
        <w:t>’</w:t>
      </w:r>
      <w:r w:rsidRPr="00B86531">
        <w:rPr>
          <w:lang w:val="fr-FR"/>
        </w:rPr>
        <w:t>affirmative, quelle a été l</w:t>
      </w:r>
      <w:r>
        <w:rPr>
          <w:lang w:val="fr-FR"/>
        </w:rPr>
        <w:t>’</w:t>
      </w:r>
      <w:r w:rsidRPr="00B86531">
        <w:rPr>
          <w:lang w:val="fr-FR"/>
        </w:rPr>
        <w:t xml:space="preserve">issue de celle-ci ; </w:t>
      </w:r>
    </w:p>
    <w:p w14:paraId="30008BD0" w14:textId="77777777" w:rsidR="00C91D59" w:rsidRPr="00B86531" w:rsidRDefault="00C91D59" w:rsidP="00C91D59">
      <w:pPr>
        <w:pStyle w:val="SingleTxtG"/>
        <w:ind w:right="1133" w:firstLine="567"/>
        <w:rPr>
          <w:lang w:val="fr-FR"/>
        </w:rPr>
      </w:pPr>
      <w:r w:rsidRPr="00B86531">
        <w:rPr>
          <w:lang w:val="fr-FR"/>
        </w:rPr>
        <w:t>d)</w:t>
      </w:r>
      <w:r w:rsidRPr="00B86531">
        <w:rPr>
          <w:lang w:val="fr-FR"/>
        </w:rPr>
        <w:tab/>
        <w:t>Si l</w:t>
      </w:r>
      <w:r>
        <w:rPr>
          <w:lang w:val="fr-FR"/>
        </w:rPr>
        <w:t>’</w:t>
      </w:r>
      <w:r w:rsidRPr="00B86531">
        <w:rPr>
          <w:lang w:val="fr-FR"/>
        </w:rPr>
        <w:t xml:space="preserve">Algérie a modifié sa législation ou sa pratique afin de les rendre conformes aux obligations mises à sa charge par le droit international, dans le droit fil du présent avis ; </w:t>
      </w:r>
    </w:p>
    <w:p w14:paraId="2000877A" w14:textId="77777777" w:rsidR="00C91D59" w:rsidRPr="00B86531" w:rsidRDefault="00C91D59" w:rsidP="00C91D59">
      <w:pPr>
        <w:pStyle w:val="SingleTxtG"/>
        <w:ind w:right="1133" w:firstLine="567"/>
        <w:rPr>
          <w:lang w:val="fr-FR"/>
        </w:rPr>
      </w:pPr>
      <w:r w:rsidRPr="00B86531">
        <w:rPr>
          <w:lang w:val="fr-FR"/>
        </w:rPr>
        <w:t>e)</w:t>
      </w:r>
      <w:r w:rsidRPr="00B86531">
        <w:rPr>
          <w:lang w:val="fr-FR"/>
        </w:rPr>
        <w:tab/>
        <w:t>Si d</w:t>
      </w:r>
      <w:r>
        <w:rPr>
          <w:lang w:val="fr-FR"/>
        </w:rPr>
        <w:t>’</w:t>
      </w:r>
      <w:r w:rsidRPr="00B86531">
        <w:rPr>
          <w:lang w:val="fr-FR"/>
        </w:rPr>
        <w:t>autres mesures ont été prises en vue de donner suite au présent avis.</w:t>
      </w:r>
    </w:p>
    <w:p w14:paraId="4F5A0FC9" w14:textId="77777777" w:rsidR="00C91D59" w:rsidRPr="00B86531" w:rsidRDefault="00C91D59" w:rsidP="00C91D59">
      <w:pPr>
        <w:pStyle w:val="SingleTxtG"/>
        <w:rPr>
          <w:lang w:val="fr-FR"/>
        </w:rPr>
      </w:pPr>
      <w:r w:rsidRPr="00B86531">
        <w:rPr>
          <w:lang w:val="fr-FR"/>
        </w:rPr>
        <w:t>78.</w:t>
      </w:r>
      <w:r w:rsidRPr="00B86531">
        <w:rPr>
          <w:lang w:val="fr-FR"/>
        </w:rPr>
        <w:tab/>
        <w:t>Le Gouvernement est invité à informer le Groupe de travail de toute difficulté rencontrée dans l</w:t>
      </w:r>
      <w:r>
        <w:rPr>
          <w:lang w:val="fr-FR"/>
        </w:rPr>
        <w:t>’</w:t>
      </w:r>
      <w:r w:rsidRPr="00B86531">
        <w:rPr>
          <w:lang w:val="fr-FR"/>
        </w:rPr>
        <w:t>application des recommandations formulées dans le présent avis et à lui faire savoir s</w:t>
      </w:r>
      <w:r>
        <w:rPr>
          <w:lang w:val="fr-FR"/>
        </w:rPr>
        <w:t>’</w:t>
      </w:r>
      <w:r w:rsidRPr="00B86531">
        <w:rPr>
          <w:lang w:val="fr-FR"/>
        </w:rPr>
        <w:t>il a besoin qu</w:t>
      </w:r>
      <w:r>
        <w:rPr>
          <w:lang w:val="fr-FR"/>
        </w:rPr>
        <w:t>’</w:t>
      </w:r>
      <w:r w:rsidRPr="00B86531">
        <w:rPr>
          <w:lang w:val="fr-FR"/>
        </w:rPr>
        <w:t>une assistance technique supplémentaire lui soit fournie, par exemple dans le cadre d</w:t>
      </w:r>
      <w:r>
        <w:rPr>
          <w:lang w:val="fr-FR"/>
        </w:rPr>
        <w:t>’</w:t>
      </w:r>
      <w:r w:rsidRPr="00B86531">
        <w:rPr>
          <w:lang w:val="fr-FR"/>
        </w:rPr>
        <w:t>une visite du Groupe de travail.</w:t>
      </w:r>
    </w:p>
    <w:p w14:paraId="4D1C8243" w14:textId="77777777" w:rsidR="00C91D59" w:rsidRPr="00B86531" w:rsidRDefault="00C91D59" w:rsidP="00C91D59">
      <w:pPr>
        <w:pStyle w:val="SingleTxtG"/>
        <w:rPr>
          <w:lang w:val="fr-FR"/>
        </w:rPr>
      </w:pPr>
      <w:r w:rsidRPr="00B86531">
        <w:rPr>
          <w:lang w:val="fr-FR"/>
        </w:rPr>
        <w:t>79.</w:t>
      </w:r>
      <w:r w:rsidRPr="00B86531">
        <w:rPr>
          <w:lang w:val="fr-FR"/>
        </w:rPr>
        <w:tab/>
        <w:t>Le Groupe de travail prie la source et le Gouvernement de lui fournir les informations demandées dans les six mois suivant la communication du présent avis. Il se réserve néanmoins le droit de prendre des mesures de suivi si de nouvelles informations préoccupantes concernant l</w:t>
      </w:r>
      <w:r>
        <w:rPr>
          <w:lang w:val="fr-FR"/>
        </w:rPr>
        <w:t>’</w:t>
      </w:r>
      <w:r w:rsidRPr="00B86531">
        <w:rPr>
          <w:lang w:val="fr-FR"/>
        </w:rPr>
        <w:t>affaire sont portées à son attention. Cela lui permettra de faire savoir au Conseil des droits de l</w:t>
      </w:r>
      <w:r>
        <w:rPr>
          <w:lang w:val="fr-FR"/>
        </w:rPr>
        <w:t>’</w:t>
      </w:r>
      <w:r w:rsidRPr="00B86531">
        <w:rPr>
          <w:lang w:val="fr-FR"/>
        </w:rPr>
        <w:t>homme si des progrès ont été accomplis dans l</w:t>
      </w:r>
      <w:r>
        <w:rPr>
          <w:lang w:val="fr-FR"/>
        </w:rPr>
        <w:t>’</w:t>
      </w:r>
      <w:r w:rsidRPr="00B86531">
        <w:rPr>
          <w:lang w:val="fr-FR"/>
        </w:rPr>
        <w:t>application de ses recommandations ou si, au contraire, rien n</w:t>
      </w:r>
      <w:r>
        <w:rPr>
          <w:lang w:val="fr-FR"/>
        </w:rPr>
        <w:t>’</w:t>
      </w:r>
      <w:r w:rsidRPr="00B86531">
        <w:rPr>
          <w:lang w:val="fr-FR"/>
        </w:rPr>
        <w:t>a été fait en ce sens.</w:t>
      </w:r>
    </w:p>
    <w:p w14:paraId="59BE21ED" w14:textId="77777777" w:rsidR="00C91D59" w:rsidRPr="00B86531" w:rsidRDefault="00C91D59" w:rsidP="00C91D59">
      <w:pPr>
        <w:pStyle w:val="SingleTxtG"/>
        <w:rPr>
          <w:lang w:val="fr-FR"/>
        </w:rPr>
      </w:pPr>
      <w:r w:rsidRPr="00B86531">
        <w:rPr>
          <w:lang w:val="fr-FR"/>
        </w:rPr>
        <w:t>80.</w:t>
      </w:r>
      <w:r w:rsidRPr="00B86531">
        <w:rPr>
          <w:lang w:val="fr-FR"/>
        </w:rPr>
        <w:tab/>
        <w:t>Le Groupe de travail rappelle que le Conseil des droits de l</w:t>
      </w:r>
      <w:r>
        <w:rPr>
          <w:lang w:val="fr-FR"/>
        </w:rPr>
        <w:t>’</w:t>
      </w:r>
      <w:r w:rsidRPr="00B86531">
        <w:rPr>
          <w:lang w:val="fr-FR"/>
        </w:rPr>
        <w:t xml:space="preserve">homme a engagé tous les États à coopérer avec lui et les a priés de tenir compte de ses avis, de faire le nécessaire pour </w:t>
      </w:r>
      <w:r w:rsidRPr="00B86531">
        <w:rPr>
          <w:lang w:val="fr-FR"/>
        </w:rPr>
        <w:lastRenderedPageBreak/>
        <w:t>remédier à la situation de toutes personnes arbitrairement privées de liberté et de l</w:t>
      </w:r>
      <w:r>
        <w:rPr>
          <w:lang w:val="fr-FR"/>
        </w:rPr>
        <w:t>’</w:t>
      </w:r>
      <w:r w:rsidRPr="00B86531">
        <w:rPr>
          <w:lang w:val="fr-FR"/>
        </w:rPr>
        <w:t>informer des mesures prises à cette fin</w:t>
      </w:r>
      <w:r w:rsidRPr="00C91D59">
        <w:rPr>
          <w:rStyle w:val="FootnoteReference"/>
        </w:rPr>
        <w:footnoteReference w:id="27"/>
      </w:r>
      <w:r w:rsidRPr="00B86531">
        <w:rPr>
          <w:lang w:val="fr-FR"/>
        </w:rPr>
        <w:t xml:space="preserve">. </w:t>
      </w:r>
    </w:p>
    <w:p w14:paraId="6E2855EA" w14:textId="652BE7D0" w:rsidR="00C91D59" w:rsidRPr="00B86531" w:rsidRDefault="00C91D59" w:rsidP="00C91D59">
      <w:pPr>
        <w:pStyle w:val="SingleTxtG"/>
        <w:ind w:right="1133"/>
        <w:jc w:val="right"/>
        <w:rPr>
          <w:lang w:val="fr-FR"/>
        </w:rPr>
      </w:pPr>
      <w:r w:rsidRPr="00B86531">
        <w:rPr>
          <w:lang w:val="fr-FR"/>
        </w:rPr>
        <w:t>[</w:t>
      </w:r>
      <w:r w:rsidRPr="00B86531">
        <w:rPr>
          <w:i/>
          <w:lang w:val="fr-FR"/>
        </w:rPr>
        <w:t>Adopté le 31</w:t>
      </w:r>
      <w:r>
        <w:rPr>
          <w:i/>
          <w:lang w:val="fr-FR"/>
        </w:rPr>
        <w:t> </w:t>
      </w:r>
      <w:r w:rsidRPr="00B86531">
        <w:rPr>
          <w:i/>
          <w:lang w:val="fr-FR"/>
        </w:rPr>
        <w:t>août 2023</w:t>
      </w:r>
      <w:r w:rsidRPr="00B86531">
        <w:rPr>
          <w:lang w:val="fr-FR"/>
        </w:rPr>
        <w:t>]</w:t>
      </w:r>
    </w:p>
    <w:p w14:paraId="056CB7FB" w14:textId="1038DE37" w:rsidR="00552797" w:rsidRDefault="00C91D59" w:rsidP="00C91D59">
      <w:pPr>
        <w:pStyle w:val="SingleTxtG"/>
        <w:spacing w:before="240" w:after="0"/>
        <w:ind w:right="1133"/>
        <w:jc w:val="center"/>
      </w:pPr>
      <w:r w:rsidRPr="00DC1964">
        <w:rPr>
          <w:u w:val="single"/>
          <w:lang w:val="fr-FR"/>
        </w:rPr>
        <w:tab/>
      </w:r>
      <w:r w:rsidRPr="00DC1964">
        <w:rPr>
          <w:u w:val="single"/>
          <w:lang w:val="fr-FR"/>
        </w:rPr>
        <w:tab/>
      </w:r>
      <w:r w:rsidRPr="00DC1964">
        <w:rPr>
          <w:u w:val="single"/>
          <w:lang w:val="fr-FR"/>
        </w:rPr>
        <w:tab/>
      </w:r>
      <w:r w:rsidRPr="00DC1964">
        <w:rPr>
          <w:u w:val="single"/>
          <w:lang w:val="fr-FR"/>
        </w:rPr>
        <w:tab/>
      </w:r>
    </w:p>
    <w:sectPr w:rsidR="00552797" w:rsidSect="00C91D59">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8AA16" w14:textId="77777777" w:rsidR="00BB45D4" w:rsidRPr="00EF7F30" w:rsidRDefault="00BB45D4" w:rsidP="00EF7F30">
      <w:pPr>
        <w:pStyle w:val="Footer"/>
      </w:pPr>
    </w:p>
  </w:endnote>
  <w:endnote w:type="continuationSeparator" w:id="0">
    <w:p w14:paraId="64B1D381" w14:textId="77777777" w:rsidR="00BB45D4" w:rsidRPr="00EF7F30" w:rsidRDefault="00BB45D4" w:rsidP="00EF7F30">
      <w:pPr>
        <w:pStyle w:val="Footer"/>
      </w:pPr>
    </w:p>
  </w:endnote>
  <w:endnote w:type="continuationNotice" w:id="1">
    <w:p w14:paraId="028AE6A3" w14:textId="77777777" w:rsidR="00BB45D4" w:rsidRDefault="00BB45D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09A98" w14:textId="06BA2F0D" w:rsidR="00C91D59" w:rsidRPr="00C91D59" w:rsidRDefault="00C91D59" w:rsidP="00C91D59">
    <w:pPr>
      <w:pStyle w:val="Footer"/>
      <w:tabs>
        <w:tab w:val="right" w:pos="9638"/>
      </w:tabs>
    </w:pPr>
    <w:r w:rsidRPr="00C91D59">
      <w:rPr>
        <w:b/>
        <w:sz w:val="18"/>
      </w:rPr>
      <w:fldChar w:fldCharType="begin"/>
    </w:r>
    <w:r w:rsidRPr="00C91D59">
      <w:rPr>
        <w:b/>
        <w:sz w:val="18"/>
      </w:rPr>
      <w:instrText xml:space="preserve"> PAGE  \* MERGEFORMAT </w:instrText>
    </w:r>
    <w:r w:rsidRPr="00C91D59">
      <w:rPr>
        <w:b/>
        <w:sz w:val="18"/>
      </w:rPr>
      <w:fldChar w:fldCharType="separate"/>
    </w:r>
    <w:r w:rsidRPr="00C91D59">
      <w:rPr>
        <w:b/>
        <w:noProof/>
        <w:sz w:val="18"/>
      </w:rPr>
      <w:t>2</w:t>
    </w:r>
    <w:r w:rsidRPr="00C91D59">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9306B" w14:textId="2FABC94F" w:rsidR="00C91D59" w:rsidRPr="00C91D59" w:rsidRDefault="00C91D59" w:rsidP="00C91D59">
    <w:pPr>
      <w:pStyle w:val="Footer"/>
      <w:tabs>
        <w:tab w:val="right" w:pos="9638"/>
      </w:tabs>
      <w:rPr>
        <w:b/>
        <w:sz w:val="18"/>
      </w:rPr>
    </w:pPr>
    <w:r>
      <w:tab/>
    </w:r>
    <w:r w:rsidRPr="00C91D59">
      <w:rPr>
        <w:b/>
        <w:sz w:val="18"/>
      </w:rPr>
      <w:fldChar w:fldCharType="begin"/>
    </w:r>
    <w:r w:rsidRPr="00C91D59">
      <w:rPr>
        <w:b/>
        <w:sz w:val="18"/>
      </w:rPr>
      <w:instrText xml:space="preserve"> PAGE  \* MERGEFORMAT </w:instrText>
    </w:r>
    <w:r w:rsidRPr="00C91D59">
      <w:rPr>
        <w:b/>
        <w:sz w:val="18"/>
      </w:rPr>
      <w:fldChar w:fldCharType="separate"/>
    </w:r>
    <w:r w:rsidRPr="00C91D59">
      <w:rPr>
        <w:b/>
        <w:noProof/>
        <w:sz w:val="18"/>
      </w:rPr>
      <w:t>3</w:t>
    </w:r>
    <w:r w:rsidRPr="00C91D5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B8D5A" w14:textId="77777777" w:rsidR="00C403AC" w:rsidRDefault="00C403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977B6" w14:textId="77777777" w:rsidR="00BB45D4" w:rsidRPr="00EF7F30" w:rsidRDefault="00BB45D4" w:rsidP="00EF7F30">
      <w:pPr>
        <w:pStyle w:val="Footer"/>
        <w:tabs>
          <w:tab w:val="right" w:pos="2155"/>
        </w:tabs>
        <w:spacing w:after="80" w:line="240" w:lineRule="atLeast"/>
        <w:ind w:left="680"/>
        <w:rPr>
          <w:u w:val="single"/>
        </w:rPr>
      </w:pPr>
      <w:r w:rsidRPr="00EF7F30">
        <w:rPr>
          <w:u w:val="single"/>
        </w:rPr>
        <w:tab/>
      </w:r>
    </w:p>
  </w:footnote>
  <w:footnote w:type="continuationSeparator" w:id="0">
    <w:p w14:paraId="0209B1B7" w14:textId="77777777" w:rsidR="00BB45D4" w:rsidRPr="00EF7F30" w:rsidRDefault="00BB45D4" w:rsidP="000E5ADA">
      <w:pPr>
        <w:pStyle w:val="Footer"/>
        <w:tabs>
          <w:tab w:val="right" w:pos="2155"/>
        </w:tabs>
        <w:spacing w:after="80" w:line="240" w:lineRule="atLeast"/>
        <w:ind w:left="680"/>
      </w:pPr>
      <w:r w:rsidRPr="00EF7F30">
        <w:rPr>
          <w:u w:val="single"/>
        </w:rPr>
        <w:tab/>
      </w:r>
    </w:p>
  </w:footnote>
  <w:footnote w:type="continuationNotice" w:id="1">
    <w:p w14:paraId="3F4891ED" w14:textId="77777777" w:rsidR="00BB45D4" w:rsidRPr="000F2457" w:rsidRDefault="00BB45D4">
      <w:pPr>
        <w:spacing w:line="240" w:lineRule="auto"/>
        <w:rPr>
          <w:sz w:val="2"/>
          <w:szCs w:val="2"/>
        </w:rPr>
      </w:pPr>
    </w:p>
  </w:footnote>
  <w:footnote w:id="2">
    <w:p w14:paraId="4B496CB6" w14:textId="76B445E2" w:rsidR="00C91D59" w:rsidRPr="00D43DF2" w:rsidRDefault="00C91D59" w:rsidP="00C91D59">
      <w:pPr>
        <w:pStyle w:val="FootnoteText"/>
        <w:rPr>
          <w:lang w:val="fr-CA"/>
        </w:rPr>
      </w:pPr>
      <w:r w:rsidRPr="00D43DF2">
        <w:tab/>
      </w:r>
      <w:r w:rsidRPr="00C91D59">
        <w:rPr>
          <w:rStyle w:val="FootnoteReference"/>
        </w:rPr>
        <w:footnoteRef/>
      </w:r>
      <w:r w:rsidRPr="00D43DF2">
        <w:tab/>
      </w:r>
      <w:hyperlink r:id="rId1" w:history="1">
        <w:r w:rsidRPr="00C91D59">
          <w:rPr>
            <w:rStyle w:val="Hyperlink"/>
          </w:rPr>
          <w:t>A/HRC/36/38</w:t>
        </w:r>
      </w:hyperlink>
      <w:r w:rsidRPr="00D43DF2">
        <w:t>.</w:t>
      </w:r>
    </w:p>
  </w:footnote>
  <w:footnote w:id="3">
    <w:p w14:paraId="5ADC6492" w14:textId="6B30BAAC" w:rsidR="00C91D59" w:rsidRPr="00FF16BF" w:rsidRDefault="00C91D59" w:rsidP="00C91D59">
      <w:pPr>
        <w:pStyle w:val="FootnoteText"/>
      </w:pPr>
      <w:r w:rsidRPr="00D43DF2">
        <w:tab/>
      </w:r>
      <w:r w:rsidRPr="00C91D59">
        <w:rPr>
          <w:rStyle w:val="FootnoteReference"/>
        </w:rPr>
        <w:footnoteRef/>
      </w:r>
      <w:r w:rsidRPr="00FF16BF">
        <w:tab/>
        <w:t>Voir la communication DZA 12/2021, disponible à l</w:t>
      </w:r>
      <w:r w:rsidRPr="00CC390D">
        <w:rPr>
          <w:lang w:val="fr-FR"/>
        </w:rPr>
        <w:t>’</w:t>
      </w:r>
      <w:r w:rsidRPr="00FF16BF">
        <w:t xml:space="preserve">adresse suivante : </w:t>
      </w:r>
      <w:hyperlink r:id="rId2" w:history="1">
        <w:r w:rsidR="00075500" w:rsidRPr="00DD5DF8">
          <w:rPr>
            <w:rStyle w:val="Hyperlink"/>
          </w:rPr>
          <w:t>https://spcommreports.ohchr.org/TMResultsBase/DownLoadPublicCommunicationFile?gId=26905</w:t>
        </w:r>
      </w:hyperlink>
      <w:r w:rsidRPr="00FF16BF">
        <w:t>.</w:t>
      </w:r>
    </w:p>
  </w:footnote>
  <w:footnote w:id="4">
    <w:p w14:paraId="540B28CD" w14:textId="77777777" w:rsidR="00C91D59" w:rsidRPr="00450020" w:rsidRDefault="00C91D59" w:rsidP="00C91D59">
      <w:pPr>
        <w:pStyle w:val="FootnoteText"/>
      </w:pPr>
      <w:r w:rsidRPr="00DC1964">
        <w:tab/>
      </w:r>
      <w:r w:rsidRPr="00C91D59">
        <w:rPr>
          <w:rStyle w:val="FootnoteReference"/>
        </w:rPr>
        <w:footnoteRef/>
      </w:r>
      <w:r w:rsidRPr="00450020">
        <w:tab/>
        <w:t xml:space="preserve">Communication DZA 12/2021, p. 3. </w:t>
      </w:r>
    </w:p>
  </w:footnote>
  <w:footnote w:id="5">
    <w:p w14:paraId="4B2932AA" w14:textId="34C2A853" w:rsidR="00C91D59" w:rsidRPr="00DC1964" w:rsidRDefault="00C91D59" w:rsidP="00C91D59">
      <w:pPr>
        <w:pStyle w:val="FootnoteText"/>
        <w:rPr>
          <w:lang w:val="fr-CA"/>
        </w:rPr>
      </w:pPr>
      <w:r w:rsidRPr="00450020">
        <w:tab/>
      </w:r>
      <w:r w:rsidRPr="00C91D59">
        <w:rPr>
          <w:rStyle w:val="FootnoteReference"/>
        </w:rPr>
        <w:footnoteRef/>
      </w:r>
      <w:r w:rsidRPr="00DC1964">
        <w:tab/>
      </w:r>
      <w:hyperlink r:id="rId3" w:history="1">
        <w:r w:rsidRPr="00C91D59">
          <w:rPr>
            <w:rStyle w:val="Hyperlink"/>
            <w:lang w:val="fr-FR"/>
          </w:rPr>
          <w:t>A/HRC/19/57</w:t>
        </w:r>
      </w:hyperlink>
      <w:r w:rsidRPr="00DC1964">
        <w:rPr>
          <w:lang w:val="fr-FR"/>
        </w:rPr>
        <w:t>, par.</w:t>
      </w:r>
      <w:r>
        <w:rPr>
          <w:lang w:val="fr-FR"/>
        </w:rPr>
        <w:t xml:space="preserve"> </w:t>
      </w:r>
      <w:r w:rsidRPr="00DC1964">
        <w:rPr>
          <w:lang w:val="fr-FR"/>
        </w:rPr>
        <w:t>68.</w:t>
      </w:r>
    </w:p>
  </w:footnote>
  <w:footnote w:id="6">
    <w:p w14:paraId="068976B5" w14:textId="6A9A5E3D" w:rsidR="00C91D59" w:rsidRPr="00450020" w:rsidRDefault="00C91D59" w:rsidP="00C91D59">
      <w:pPr>
        <w:pStyle w:val="FootnoteText"/>
        <w:rPr>
          <w:b/>
          <w:bCs/>
          <w:lang w:val="fr-FR"/>
        </w:rPr>
      </w:pPr>
      <w:r w:rsidRPr="00DC1964">
        <w:rPr>
          <w:lang w:val="fr-FR"/>
        </w:rPr>
        <w:tab/>
      </w:r>
      <w:r w:rsidRPr="00C91D59">
        <w:rPr>
          <w:rStyle w:val="FootnoteReference"/>
        </w:rPr>
        <w:footnoteRef/>
      </w:r>
      <w:r w:rsidRPr="00DC1964">
        <w:rPr>
          <w:lang w:val="fr-FR"/>
        </w:rPr>
        <w:tab/>
        <w:t>Comité des droits de l</w:t>
      </w:r>
      <w:r>
        <w:rPr>
          <w:lang w:val="fr-FR"/>
        </w:rPr>
        <w:t>’</w:t>
      </w:r>
      <w:r w:rsidRPr="00DC1964">
        <w:rPr>
          <w:lang w:val="fr-FR"/>
        </w:rPr>
        <w:t xml:space="preserve">homme, observation générale </w:t>
      </w:r>
      <w:r w:rsidR="00075500" w:rsidRPr="00075500">
        <w:rPr>
          <w:rFonts w:eastAsia="MS Mincho"/>
          <w:lang w:val="fr-FR"/>
        </w:rPr>
        <w:t>n</w:t>
      </w:r>
      <w:r w:rsidR="00075500" w:rsidRPr="00075500">
        <w:rPr>
          <w:rFonts w:eastAsia="MS Mincho"/>
          <w:vertAlign w:val="superscript"/>
          <w:lang w:val="fr-FR"/>
        </w:rPr>
        <w:t>o</w:t>
      </w:r>
      <w:r w:rsidR="00075500">
        <w:rPr>
          <w:lang w:val="fr-FR"/>
        </w:rPr>
        <w:t xml:space="preserve"> </w:t>
      </w:r>
      <w:r w:rsidRPr="00DC1964">
        <w:rPr>
          <w:lang w:val="fr-FR"/>
        </w:rPr>
        <w:t xml:space="preserve">35 (2014), par. 23 ; voir également les avis </w:t>
      </w:r>
      <w:r w:rsidR="00075500" w:rsidRPr="00075500">
        <w:rPr>
          <w:rFonts w:eastAsia="MS Mincho"/>
          <w:lang w:val="fr-FR"/>
        </w:rPr>
        <w:t>n</w:t>
      </w:r>
      <w:r w:rsidR="00075500" w:rsidRPr="00075500">
        <w:rPr>
          <w:rFonts w:eastAsia="MS Mincho"/>
          <w:vertAlign w:val="superscript"/>
          <w:lang w:val="fr-FR"/>
        </w:rPr>
        <w:t>o</w:t>
      </w:r>
      <w:r w:rsidR="00075500">
        <w:rPr>
          <w:lang w:val="fr-FR"/>
        </w:rPr>
        <w:t> </w:t>
      </w:r>
      <w:r w:rsidRPr="00DC1964">
        <w:rPr>
          <w:lang w:val="fr-FR"/>
        </w:rPr>
        <w:t>88/2017, par. 27 ; n</w:t>
      </w:r>
      <w:r w:rsidRPr="00450020">
        <w:rPr>
          <w:vertAlign w:val="superscript"/>
          <w:lang w:val="fr-FR"/>
        </w:rPr>
        <w:t>o</w:t>
      </w:r>
      <w:r w:rsidRPr="00450020">
        <w:rPr>
          <w:lang w:val="fr-FR"/>
        </w:rPr>
        <w:t xml:space="preserve"> 3/2018, par. 43 ; et </w:t>
      </w:r>
      <w:r w:rsidR="00075500" w:rsidRPr="00DC1964">
        <w:rPr>
          <w:lang w:val="fr-FR"/>
        </w:rPr>
        <w:t>n</w:t>
      </w:r>
      <w:r w:rsidR="00075500" w:rsidRPr="00450020">
        <w:rPr>
          <w:vertAlign w:val="superscript"/>
          <w:lang w:val="fr-FR"/>
        </w:rPr>
        <w:t>o</w:t>
      </w:r>
      <w:r w:rsidR="00075500" w:rsidRPr="00450020">
        <w:rPr>
          <w:lang w:val="fr-FR"/>
        </w:rPr>
        <w:t> </w:t>
      </w:r>
      <w:r w:rsidRPr="00450020">
        <w:rPr>
          <w:lang w:val="fr-FR"/>
        </w:rPr>
        <w:t>30/2018, par. 39. Voir aussi Charte arabe des droits de l</w:t>
      </w:r>
      <w:r>
        <w:rPr>
          <w:lang w:val="fr-FR"/>
        </w:rPr>
        <w:t>’</w:t>
      </w:r>
      <w:r w:rsidRPr="00450020">
        <w:rPr>
          <w:lang w:val="fr-FR"/>
        </w:rPr>
        <w:t>homme, art. 14, par.</w:t>
      </w:r>
      <w:r>
        <w:rPr>
          <w:lang w:val="fr-FR"/>
        </w:rPr>
        <w:t xml:space="preserve"> </w:t>
      </w:r>
      <w:r w:rsidRPr="00450020">
        <w:rPr>
          <w:lang w:val="fr-FR"/>
        </w:rPr>
        <w:t>1.</w:t>
      </w:r>
    </w:p>
  </w:footnote>
  <w:footnote w:id="7">
    <w:p w14:paraId="629BB426" w14:textId="45560734" w:rsidR="00C91D59" w:rsidRPr="00450020" w:rsidRDefault="00C91D59" w:rsidP="00C91D59">
      <w:pPr>
        <w:pStyle w:val="FootnoteText"/>
        <w:rPr>
          <w:szCs w:val="18"/>
        </w:rPr>
      </w:pPr>
      <w:r w:rsidRPr="00450020">
        <w:rPr>
          <w:szCs w:val="18"/>
        </w:rPr>
        <w:tab/>
      </w:r>
      <w:r w:rsidRPr="00C91D59">
        <w:rPr>
          <w:rStyle w:val="FootnoteReference"/>
        </w:rPr>
        <w:footnoteRef/>
      </w:r>
      <w:r w:rsidRPr="00DC1964">
        <w:rPr>
          <w:szCs w:val="18"/>
        </w:rPr>
        <w:tab/>
        <w:t xml:space="preserve">Comité des droits de l’homme, observation générale </w:t>
      </w:r>
      <w:r w:rsidR="00075500" w:rsidRPr="00DC1964">
        <w:rPr>
          <w:lang w:val="fr-FR"/>
        </w:rPr>
        <w:t>n</w:t>
      </w:r>
      <w:r w:rsidR="00075500" w:rsidRPr="00450020">
        <w:rPr>
          <w:vertAlign w:val="superscript"/>
          <w:lang w:val="fr-FR"/>
        </w:rPr>
        <w:t>o</w:t>
      </w:r>
      <w:r w:rsidR="00075500" w:rsidRPr="00450020">
        <w:rPr>
          <w:lang w:val="fr-FR"/>
        </w:rPr>
        <w:t> </w:t>
      </w:r>
      <w:r w:rsidRPr="00450020">
        <w:rPr>
          <w:szCs w:val="18"/>
        </w:rPr>
        <w:t xml:space="preserve">35 (2014), par. 33. Voir aussi </w:t>
      </w:r>
      <w:r>
        <w:rPr>
          <w:szCs w:val="18"/>
        </w:rPr>
        <w:t>l</w:t>
      </w:r>
      <w:r w:rsidRPr="00450020">
        <w:rPr>
          <w:szCs w:val="18"/>
        </w:rPr>
        <w:t xml:space="preserve">’avis </w:t>
      </w:r>
      <w:r w:rsidR="00075500" w:rsidRPr="00DC1964">
        <w:rPr>
          <w:lang w:val="fr-FR"/>
        </w:rPr>
        <w:t>n</w:t>
      </w:r>
      <w:r w:rsidR="00075500" w:rsidRPr="00450020">
        <w:rPr>
          <w:vertAlign w:val="superscript"/>
          <w:lang w:val="fr-FR"/>
        </w:rPr>
        <w:t>o</w:t>
      </w:r>
      <w:r w:rsidR="00075500" w:rsidRPr="00450020">
        <w:rPr>
          <w:lang w:val="fr-FR"/>
        </w:rPr>
        <w:t> </w:t>
      </w:r>
      <w:r w:rsidRPr="00450020">
        <w:rPr>
          <w:szCs w:val="18"/>
        </w:rPr>
        <w:t>67/2019, par. 64.</w:t>
      </w:r>
    </w:p>
  </w:footnote>
  <w:footnote w:id="8">
    <w:p w14:paraId="0A5B1111" w14:textId="6EFB8F35" w:rsidR="00C91D59" w:rsidRPr="00450020" w:rsidRDefault="00C91D59" w:rsidP="00C91D59">
      <w:pPr>
        <w:pStyle w:val="FootnoteText"/>
        <w:rPr>
          <w:szCs w:val="18"/>
        </w:rPr>
      </w:pPr>
      <w:r w:rsidRPr="00450020">
        <w:rPr>
          <w:szCs w:val="18"/>
          <w:lang w:val="fr-FR"/>
        </w:rPr>
        <w:tab/>
      </w:r>
      <w:r w:rsidRPr="00C91D59">
        <w:rPr>
          <w:rStyle w:val="FootnoteReference"/>
        </w:rPr>
        <w:footnoteRef/>
      </w:r>
      <w:r w:rsidRPr="00DC1964">
        <w:rPr>
          <w:szCs w:val="18"/>
          <w:lang w:val="fr-FR"/>
        </w:rPr>
        <w:tab/>
        <w:t>Avis n</w:t>
      </w:r>
      <w:r w:rsidRPr="00DC1964">
        <w:rPr>
          <w:szCs w:val="18"/>
          <w:vertAlign w:val="superscript"/>
          <w:lang w:val="fr-FR"/>
        </w:rPr>
        <w:t>o</w:t>
      </w:r>
      <w:r w:rsidRPr="00DC1964">
        <w:rPr>
          <w:szCs w:val="18"/>
          <w:lang w:val="fr-FR"/>
        </w:rPr>
        <w:t> 64/2020, par.</w:t>
      </w:r>
      <w:r>
        <w:rPr>
          <w:szCs w:val="18"/>
          <w:lang w:val="fr-FR"/>
        </w:rPr>
        <w:t xml:space="preserve"> </w:t>
      </w:r>
      <w:r w:rsidRPr="00DC1964">
        <w:rPr>
          <w:szCs w:val="18"/>
          <w:lang w:val="fr-FR"/>
        </w:rPr>
        <w:t xml:space="preserve">56 ; et </w:t>
      </w:r>
      <w:r w:rsidR="00075500" w:rsidRPr="00DC1964">
        <w:rPr>
          <w:lang w:val="fr-FR"/>
        </w:rPr>
        <w:t>n</w:t>
      </w:r>
      <w:r w:rsidR="00075500" w:rsidRPr="00450020">
        <w:rPr>
          <w:vertAlign w:val="superscript"/>
          <w:lang w:val="fr-FR"/>
        </w:rPr>
        <w:t>o</w:t>
      </w:r>
      <w:r w:rsidR="00075500" w:rsidRPr="00450020">
        <w:rPr>
          <w:lang w:val="fr-FR"/>
        </w:rPr>
        <w:t> </w:t>
      </w:r>
      <w:r w:rsidRPr="00450020">
        <w:rPr>
          <w:szCs w:val="18"/>
          <w:lang w:val="fr-FR"/>
        </w:rPr>
        <w:t xml:space="preserve">31/2022, par. 81 ; </w:t>
      </w:r>
      <w:r w:rsidRPr="00450020">
        <w:rPr>
          <w:lang w:val="fr-FR"/>
        </w:rPr>
        <w:t>Comité des droits de l’homme, observation générale n</w:t>
      </w:r>
      <w:r w:rsidRPr="00450020">
        <w:rPr>
          <w:vertAlign w:val="superscript"/>
          <w:lang w:val="fr-FR"/>
        </w:rPr>
        <w:t>o</w:t>
      </w:r>
      <w:r w:rsidRPr="00450020">
        <w:rPr>
          <w:lang w:val="fr-FR"/>
        </w:rPr>
        <w:t> 35 (2014)</w:t>
      </w:r>
      <w:r w:rsidRPr="00450020">
        <w:rPr>
          <w:szCs w:val="18"/>
        </w:rPr>
        <w:t xml:space="preserve">, par. 32 ; et </w:t>
      </w:r>
      <w:hyperlink r:id="rId4" w:history="1">
        <w:r w:rsidRPr="00C91D59">
          <w:rPr>
            <w:rStyle w:val="Hyperlink"/>
            <w:szCs w:val="18"/>
          </w:rPr>
          <w:t>A/HRC/45/16/Add.1</w:t>
        </w:r>
      </w:hyperlink>
      <w:r w:rsidRPr="00450020">
        <w:rPr>
          <w:szCs w:val="18"/>
        </w:rPr>
        <w:t>, par. 35 (notant qu’un organe de poursuite n’a pas l’indépendance requise pour apprécier la nécessité et la proportionnalité de la détention).</w:t>
      </w:r>
    </w:p>
  </w:footnote>
  <w:footnote w:id="9">
    <w:p w14:paraId="62AA64EF" w14:textId="1357AFDB" w:rsidR="00C91D59" w:rsidRPr="00DC1964" w:rsidRDefault="00C91D59" w:rsidP="00C91D59">
      <w:pPr>
        <w:pStyle w:val="FootnoteText"/>
        <w:rPr>
          <w:lang w:val="fr-FR"/>
        </w:rPr>
      </w:pPr>
      <w:r w:rsidRPr="00450020">
        <w:rPr>
          <w:lang w:val="fr-FR"/>
        </w:rPr>
        <w:tab/>
      </w:r>
      <w:r w:rsidRPr="00C91D59">
        <w:rPr>
          <w:rStyle w:val="FootnoteReference"/>
        </w:rPr>
        <w:footnoteRef/>
      </w:r>
      <w:r w:rsidRPr="00DC1964">
        <w:tab/>
      </w:r>
      <w:hyperlink r:id="rId5" w:history="1">
        <w:r w:rsidRPr="00C91D59">
          <w:rPr>
            <w:rStyle w:val="Hyperlink"/>
          </w:rPr>
          <w:t>A/HRC/19/57</w:t>
        </w:r>
      </w:hyperlink>
      <w:r w:rsidRPr="00DC1964">
        <w:t>, par. 48 à 58 ; et avis n</w:t>
      </w:r>
      <w:r w:rsidRPr="00DC1964">
        <w:rPr>
          <w:vertAlign w:val="superscript"/>
        </w:rPr>
        <w:t>o</w:t>
      </w:r>
      <w:r w:rsidRPr="00DC1964">
        <w:t> 5/2019, par.</w:t>
      </w:r>
      <w:r>
        <w:t xml:space="preserve"> </w:t>
      </w:r>
      <w:r w:rsidRPr="00DC1964">
        <w:t>26 ; n</w:t>
      </w:r>
      <w:r w:rsidRPr="00DC1964">
        <w:rPr>
          <w:vertAlign w:val="superscript"/>
        </w:rPr>
        <w:t>o</w:t>
      </w:r>
      <w:r w:rsidRPr="00DC1964">
        <w:t> 62/2019, par.</w:t>
      </w:r>
      <w:r>
        <w:t xml:space="preserve"> </w:t>
      </w:r>
      <w:r w:rsidRPr="00DC1964">
        <w:t xml:space="preserve">27 à 29 ; et </w:t>
      </w:r>
      <w:r w:rsidR="00075500" w:rsidRPr="00DC1964">
        <w:rPr>
          <w:lang w:val="fr-FR"/>
        </w:rPr>
        <w:t>n</w:t>
      </w:r>
      <w:r w:rsidR="00075500" w:rsidRPr="00450020">
        <w:rPr>
          <w:vertAlign w:val="superscript"/>
          <w:lang w:val="fr-FR"/>
        </w:rPr>
        <w:t>o</w:t>
      </w:r>
      <w:r w:rsidR="00075500" w:rsidRPr="00450020">
        <w:rPr>
          <w:lang w:val="fr-FR"/>
        </w:rPr>
        <w:t> </w:t>
      </w:r>
      <w:r w:rsidRPr="00DC1964">
        <w:t>64/2020, par.</w:t>
      </w:r>
      <w:r w:rsidR="00075500">
        <w:t> </w:t>
      </w:r>
      <w:r w:rsidRPr="00DC1964">
        <w:t xml:space="preserve">58. </w:t>
      </w:r>
    </w:p>
  </w:footnote>
  <w:footnote w:id="10">
    <w:p w14:paraId="3DEF01A9" w14:textId="258C0DD9" w:rsidR="00C91D59" w:rsidRPr="00DC1964" w:rsidRDefault="00C91D59" w:rsidP="00C91D59">
      <w:pPr>
        <w:pStyle w:val="FootnoteText"/>
        <w:rPr>
          <w:lang w:val="fr-FR"/>
        </w:rPr>
      </w:pPr>
      <w:r w:rsidRPr="00DC1964">
        <w:tab/>
      </w:r>
      <w:r w:rsidRPr="00C91D59">
        <w:rPr>
          <w:rStyle w:val="FootnoteReference"/>
        </w:rPr>
        <w:footnoteRef/>
      </w:r>
      <w:r w:rsidRPr="00DC1964">
        <w:tab/>
      </w:r>
      <w:r w:rsidRPr="0004189C">
        <w:t>Comité des droits de l’homme, o</w:t>
      </w:r>
      <w:r w:rsidRPr="00DC1964">
        <w:t xml:space="preserve">bservation générale </w:t>
      </w:r>
      <w:r w:rsidR="00075500" w:rsidRPr="00DC1964">
        <w:rPr>
          <w:lang w:val="fr-FR"/>
        </w:rPr>
        <w:t>n</w:t>
      </w:r>
      <w:r w:rsidR="00075500" w:rsidRPr="00450020">
        <w:rPr>
          <w:vertAlign w:val="superscript"/>
          <w:lang w:val="fr-FR"/>
        </w:rPr>
        <w:t>o</w:t>
      </w:r>
      <w:r w:rsidR="00075500" w:rsidRPr="00450020">
        <w:rPr>
          <w:lang w:val="fr-FR"/>
        </w:rPr>
        <w:t> </w:t>
      </w:r>
      <w:r w:rsidRPr="00DC1964">
        <w:t>35 (2014), par. 38.</w:t>
      </w:r>
    </w:p>
  </w:footnote>
  <w:footnote w:id="11">
    <w:p w14:paraId="151F8C42" w14:textId="38945530" w:rsidR="00C91D59" w:rsidRPr="00450020" w:rsidRDefault="00C91D59" w:rsidP="00C91D59">
      <w:pPr>
        <w:pStyle w:val="FootnoteText"/>
        <w:rPr>
          <w:lang w:val="fr-FR"/>
        </w:rPr>
      </w:pPr>
      <w:r w:rsidRPr="00DC1964">
        <w:tab/>
      </w:r>
      <w:r w:rsidRPr="00C91D59">
        <w:rPr>
          <w:rStyle w:val="FootnoteReference"/>
        </w:rPr>
        <w:footnoteRef/>
      </w:r>
      <w:r w:rsidRPr="00DC1964">
        <w:tab/>
      </w:r>
      <w:r>
        <w:t>Voir, par exemple, a</w:t>
      </w:r>
      <w:r w:rsidRPr="00584323">
        <w:t>vis</w:t>
      </w:r>
      <w:r>
        <w:t xml:space="preserve"> </w:t>
      </w:r>
      <w:r w:rsidR="00075500" w:rsidRPr="00DC1964">
        <w:rPr>
          <w:lang w:val="fr-FR"/>
        </w:rPr>
        <w:t>n</w:t>
      </w:r>
      <w:r w:rsidR="00075500" w:rsidRPr="00450020">
        <w:rPr>
          <w:vertAlign w:val="superscript"/>
          <w:lang w:val="fr-FR"/>
        </w:rPr>
        <w:t>o</w:t>
      </w:r>
      <w:r w:rsidR="00075500" w:rsidRPr="00450020">
        <w:rPr>
          <w:lang w:val="fr-FR"/>
        </w:rPr>
        <w:t> </w:t>
      </w:r>
      <w:r w:rsidRPr="00E368F8">
        <w:t>6</w:t>
      </w:r>
      <w:r>
        <w:t>4</w:t>
      </w:r>
      <w:r w:rsidRPr="00E368F8">
        <w:t>/20</w:t>
      </w:r>
      <w:r>
        <w:t>20</w:t>
      </w:r>
      <w:r w:rsidRPr="00E368F8">
        <w:t>, par.</w:t>
      </w:r>
      <w:r>
        <w:t xml:space="preserve"> 58</w:t>
      </w:r>
      <w:r w:rsidRPr="00450020">
        <w:t>.</w:t>
      </w:r>
    </w:p>
  </w:footnote>
  <w:footnote w:id="12">
    <w:p w14:paraId="76548DF9" w14:textId="6B1667A7" w:rsidR="00C91D59" w:rsidRPr="00450020" w:rsidRDefault="00C91D59" w:rsidP="00C91D59">
      <w:pPr>
        <w:pStyle w:val="FootnoteText"/>
        <w:rPr>
          <w:lang w:val="fr-FR"/>
        </w:rPr>
      </w:pPr>
      <w:r w:rsidRPr="00450020">
        <w:tab/>
      </w:r>
      <w:r w:rsidRPr="00C91D59">
        <w:rPr>
          <w:rStyle w:val="FootnoteReference"/>
        </w:rPr>
        <w:footnoteRef/>
      </w:r>
      <w:r w:rsidRPr="00DC1964">
        <w:tab/>
      </w:r>
      <w:r w:rsidRPr="00DC1964">
        <w:rPr>
          <w:rFonts w:eastAsiaTheme="minorEastAsia"/>
          <w:szCs w:val="18"/>
          <w:lang w:val="fr-FR" w:eastAsia="zh-CN"/>
        </w:rPr>
        <w:t xml:space="preserve">Avis </w:t>
      </w:r>
      <w:r>
        <w:rPr>
          <w:rFonts w:eastAsiaTheme="minorEastAsia"/>
          <w:szCs w:val="18"/>
          <w:lang w:val="fr-FR" w:eastAsia="zh-CN"/>
        </w:rPr>
        <w:t>n</w:t>
      </w:r>
      <w:r w:rsidRPr="00450020">
        <w:rPr>
          <w:rFonts w:eastAsiaTheme="minorEastAsia"/>
          <w:szCs w:val="18"/>
          <w:vertAlign w:val="superscript"/>
          <w:lang w:val="fr-FR" w:eastAsia="zh-CN"/>
        </w:rPr>
        <w:t>o</w:t>
      </w:r>
      <w:r>
        <w:rPr>
          <w:rFonts w:eastAsiaTheme="minorEastAsia"/>
          <w:szCs w:val="18"/>
          <w:lang w:val="fr-FR" w:eastAsia="zh-CN"/>
        </w:rPr>
        <w:t xml:space="preserve"> 46/2020, par. 62 ; </w:t>
      </w:r>
      <w:r w:rsidRPr="00450020">
        <w:rPr>
          <w:rFonts w:eastAsiaTheme="minorEastAsia"/>
          <w:szCs w:val="18"/>
          <w:lang w:val="fr-FR" w:eastAsia="zh-CN"/>
        </w:rPr>
        <w:t>n</w:t>
      </w:r>
      <w:r w:rsidRPr="00450020">
        <w:rPr>
          <w:rFonts w:eastAsiaTheme="minorEastAsia"/>
          <w:szCs w:val="18"/>
          <w:vertAlign w:val="superscript"/>
          <w:lang w:val="fr-FR" w:eastAsia="zh-CN"/>
        </w:rPr>
        <w:t>o</w:t>
      </w:r>
      <w:r>
        <w:rPr>
          <w:rFonts w:eastAsiaTheme="minorEastAsia"/>
          <w:szCs w:val="18"/>
          <w:lang w:val="fr-FR" w:eastAsia="zh-CN"/>
        </w:rPr>
        <w:t> </w:t>
      </w:r>
      <w:r w:rsidRPr="00450020">
        <w:rPr>
          <w:rFonts w:eastAsiaTheme="minorEastAsia"/>
          <w:szCs w:val="18"/>
          <w:lang w:val="fr-FR" w:eastAsia="zh-CN"/>
        </w:rPr>
        <w:t>37/2021, par.</w:t>
      </w:r>
      <w:r>
        <w:rPr>
          <w:rFonts w:eastAsiaTheme="minorEastAsia"/>
          <w:szCs w:val="18"/>
          <w:lang w:val="fr-FR" w:eastAsia="zh-CN"/>
        </w:rPr>
        <w:t xml:space="preserve"> </w:t>
      </w:r>
      <w:r w:rsidRPr="00450020">
        <w:rPr>
          <w:rFonts w:eastAsiaTheme="minorEastAsia"/>
          <w:szCs w:val="18"/>
          <w:lang w:val="fr-FR" w:eastAsia="zh-CN"/>
        </w:rPr>
        <w:t>72</w:t>
      </w:r>
      <w:r>
        <w:rPr>
          <w:rFonts w:eastAsiaTheme="minorEastAsia"/>
          <w:szCs w:val="18"/>
          <w:lang w:val="fr-FR" w:eastAsia="zh-CN"/>
        </w:rPr>
        <w:t> </w:t>
      </w:r>
      <w:r w:rsidRPr="00450020">
        <w:rPr>
          <w:rFonts w:eastAsiaTheme="minorEastAsia"/>
          <w:szCs w:val="18"/>
          <w:lang w:val="fr-FR" w:eastAsia="zh-CN"/>
        </w:rPr>
        <w:t xml:space="preserve">; </w:t>
      </w:r>
      <w:r>
        <w:rPr>
          <w:rFonts w:eastAsiaTheme="minorEastAsia"/>
          <w:szCs w:val="18"/>
          <w:lang w:val="fr-FR" w:eastAsia="zh-CN"/>
        </w:rPr>
        <w:t>et</w:t>
      </w:r>
      <w:r w:rsidRPr="00450020">
        <w:rPr>
          <w:rFonts w:eastAsiaTheme="minorEastAsia"/>
          <w:szCs w:val="18"/>
          <w:lang w:val="fr-FR" w:eastAsia="zh-CN"/>
        </w:rPr>
        <w:t xml:space="preserve"> </w:t>
      </w:r>
      <w:r>
        <w:rPr>
          <w:rFonts w:eastAsiaTheme="minorEastAsia"/>
          <w:szCs w:val="18"/>
          <w:lang w:val="fr-FR" w:eastAsia="zh-CN"/>
        </w:rPr>
        <w:t>n</w:t>
      </w:r>
      <w:r w:rsidRPr="00D732B1">
        <w:rPr>
          <w:rFonts w:eastAsiaTheme="minorEastAsia"/>
          <w:szCs w:val="18"/>
          <w:vertAlign w:val="superscript"/>
          <w:lang w:val="fr-FR" w:eastAsia="zh-CN"/>
        </w:rPr>
        <w:t>o</w:t>
      </w:r>
      <w:r>
        <w:rPr>
          <w:rFonts w:eastAsiaTheme="minorEastAsia"/>
          <w:szCs w:val="18"/>
          <w:lang w:val="fr-FR" w:eastAsia="zh-CN"/>
        </w:rPr>
        <w:t> </w:t>
      </w:r>
      <w:r w:rsidRPr="00450020">
        <w:rPr>
          <w:rFonts w:eastAsiaTheme="minorEastAsia"/>
          <w:szCs w:val="18"/>
          <w:lang w:val="fr-FR" w:eastAsia="zh-CN"/>
        </w:rPr>
        <w:t>15/2022, par.</w:t>
      </w:r>
      <w:r>
        <w:rPr>
          <w:rFonts w:eastAsiaTheme="minorEastAsia"/>
          <w:szCs w:val="18"/>
          <w:lang w:val="fr-FR" w:eastAsia="zh-CN"/>
        </w:rPr>
        <w:t xml:space="preserve"> </w:t>
      </w:r>
      <w:r w:rsidRPr="00450020">
        <w:rPr>
          <w:rFonts w:eastAsiaTheme="minorEastAsia"/>
          <w:szCs w:val="18"/>
          <w:lang w:val="fr-FR" w:eastAsia="zh-CN"/>
        </w:rPr>
        <w:t xml:space="preserve">66. </w:t>
      </w:r>
    </w:p>
  </w:footnote>
  <w:footnote w:id="13">
    <w:p w14:paraId="24D78D08" w14:textId="7D939194" w:rsidR="00C91D59" w:rsidRPr="00450020" w:rsidRDefault="00C91D59" w:rsidP="00C91D59">
      <w:pPr>
        <w:pStyle w:val="FootnoteText"/>
        <w:rPr>
          <w:lang w:val="fr-FR"/>
        </w:rPr>
      </w:pPr>
      <w:r w:rsidRPr="00450020">
        <w:tab/>
      </w:r>
      <w:r w:rsidRPr="00C91D59">
        <w:rPr>
          <w:rStyle w:val="FootnoteReference"/>
        </w:rPr>
        <w:footnoteRef/>
      </w:r>
      <w:r w:rsidRPr="00450020">
        <w:tab/>
        <w:t xml:space="preserve">Voir </w:t>
      </w:r>
      <w:r>
        <w:t>les a</w:t>
      </w:r>
      <w:r w:rsidRPr="00450020">
        <w:t xml:space="preserve">vis </w:t>
      </w:r>
      <w:r w:rsidR="00075500" w:rsidRPr="00DC1964">
        <w:rPr>
          <w:lang w:val="fr-FR"/>
        </w:rPr>
        <w:t>n</w:t>
      </w:r>
      <w:r w:rsidR="00075500" w:rsidRPr="00450020">
        <w:rPr>
          <w:vertAlign w:val="superscript"/>
          <w:lang w:val="fr-FR"/>
        </w:rPr>
        <w:t>o</w:t>
      </w:r>
      <w:r w:rsidR="00075500" w:rsidRPr="00450020">
        <w:rPr>
          <w:lang w:val="fr-FR"/>
        </w:rPr>
        <w:t> </w:t>
      </w:r>
      <w:r w:rsidRPr="00450020">
        <w:t xml:space="preserve">1/1998, par. 13 ; </w:t>
      </w:r>
      <w:r>
        <w:rPr>
          <w:rFonts w:eastAsiaTheme="minorEastAsia"/>
          <w:szCs w:val="18"/>
          <w:lang w:val="fr-FR" w:eastAsia="zh-CN"/>
        </w:rPr>
        <w:t>n</w:t>
      </w:r>
      <w:r w:rsidRPr="00D732B1">
        <w:rPr>
          <w:rFonts w:eastAsiaTheme="minorEastAsia"/>
          <w:szCs w:val="18"/>
          <w:vertAlign w:val="superscript"/>
          <w:lang w:val="fr-FR" w:eastAsia="zh-CN"/>
        </w:rPr>
        <w:t>o</w:t>
      </w:r>
      <w:r>
        <w:rPr>
          <w:rFonts w:eastAsiaTheme="minorEastAsia"/>
          <w:szCs w:val="18"/>
          <w:lang w:val="fr-FR" w:eastAsia="zh-CN"/>
        </w:rPr>
        <w:t> </w:t>
      </w:r>
      <w:r w:rsidRPr="00450020">
        <w:t>76/2019, par. 36 ;</w:t>
      </w:r>
      <w:r>
        <w:t xml:space="preserve"> et</w:t>
      </w:r>
      <w:r w:rsidRPr="00450020">
        <w:t xml:space="preserve"> </w:t>
      </w:r>
      <w:r>
        <w:rPr>
          <w:rFonts w:eastAsiaTheme="minorEastAsia"/>
          <w:szCs w:val="18"/>
          <w:lang w:val="fr-FR" w:eastAsia="zh-CN"/>
        </w:rPr>
        <w:t>n</w:t>
      </w:r>
      <w:r w:rsidRPr="00D732B1">
        <w:rPr>
          <w:rFonts w:eastAsiaTheme="minorEastAsia"/>
          <w:szCs w:val="18"/>
          <w:vertAlign w:val="superscript"/>
          <w:lang w:val="fr-FR" w:eastAsia="zh-CN"/>
        </w:rPr>
        <w:t>o</w:t>
      </w:r>
      <w:r>
        <w:rPr>
          <w:rFonts w:eastAsiaTheme="minorEastAsia"/>
          <w:szCs w:val="18"/>
          <w:lang w:val="fr-FR" w:eastAsia="zh-CN"/>
        </w:rPr>
        <w:t> </w:t>
      </w:r>
      <w:r w:rsidRPr="00450020">
        <w:t>6/2020, par.</w:t>
      </w:r>
      <w:r>
        <w:t xml:space="preserve"> </w:t>
      </w:r>
      <w:r w:rsidRPr="00450020">
        <w:t>36.</w:t>
      </w:r>
    </w:p>
  </w:footnote>
  <w:footnote w:id="14">
    <w:p w14:paraId="7C4A443E" w14:textId="022237E9" w:rsidR="00C91D59" w:rsidRPr="00DC1964" w:rsidRDefault="00C91D59" w:rsidP="00C91D59">
      <w:pPr>
        <w:pStyle w:val="FootnoteText"/>
        <w:rPr>
          <w:lang w:val="es-ES"/>
        </w:rPr>
      </w:pPr>
      <w:r w:rsidRPr="00450020">
        <w:tab/>
      </w:r>
      <w:r w:rsidRPr="00C91D59">
        <w:rPr>
          <w:rStyle w:val="FootnoteReference"/>
        </w:rPr>
        <w:footnoteRef/>
      </w:r>
      <w:r w:rsidRPr="00C403AC">
        <w:tab/>
      </w:r>
      <w:hyperlink r:id="rId6" w:history="1">
        <w:r w:rsidRPr="00C403AC">
          <w:rPr>
            <w:rStyle w:val="Hyperlink"/>
          </w:rPr>
          <w:t>A/HRC/51/29</w:t>
        </w:r>
      </w:hyperlink>
      <w:r w:rsidRPr="00C403AC">
        <w:t xml:space="preserve">, par. 47. </w:t>
      </w:r>
      <w:proofErr w:type="spellStart"/>
      <w:r w:rsidRPr="00DC1964">
        <w:rPr>
          <w:lang w:val="es-ES"/>
        </w:rPr>
        <w:t>Voir</w:t>
      </w:r>
      <w:proofErr w:type="spellEnd"/>
      <w:r w:rsidRPr="00DC1964">
        <w:rPr>
          <w:lang w:val="es-ES"/>
        </w:rPr>
        <w:t xml:space="preserve"> </w:t>
      </w:r>
      <w:proofErr w:type="spellStart"/>
      <w:r w:rsidRPr="00DC1964">
        <w:rPr>
          <w:lang w:val="es-ES"/>
        </w:rPr>
        <w:t>aussi</w:t>
      </w:r>
      <w:proofErr w:type="spellEnd"/>
      <w:r w:rsidRPr="00DC1964">
        <w:rPr>
          <w:lang w:val="es-ES"/>
        </w:rPr>
        <w:t xml:space="preserve">, par </w:t>
      </w:r>
      <w:proofErr w:type="spellStart"/>
      <w:r w:rsidRPr="00DC1964">
        <w:rPr>
          <w:lang w:val="es-ES"/>
        </w:rPr>
        <w:t>exemple</w:t>
      </w:r>
      <w:proofErr w:type="spellEnd"/>
      <w:r w:rsidRPr="00DC1964">
        <w:rPr>
          <w:lang w:val="es-ES"/>
        </w:rPr>
        <w:t xml:space="preserve">, les avis </w:t>
      </w:r>
      <w:r w:rsidRPr="00DC1964">
        <w:rPr>
          <w:rFonts w:eastAsiaTheme="minorEastAsia"/>
          <w:szCs w:val="18"/>
          <w:lang w:val="es-ES" w:eastAsia="zh-CN"/>
        </w:rPr>
        <w:t>n</w:t>
      </w:r>
      <w:r w:rsidRPr="00DC1964">
        <w:rPr>
          <w:rFonts w:eastAsiaTheme="minorEastAsia"/>
          <w:szCs w:val="18"/>
          <w:vertAlign w:val="superscript"/>
          <w:lang w:val="es-ES" w:eastAsia="zh-CN"/>
        </w:rPr>
        <w:t>o</w:t>
      </w:r>
      <w:r w:rsidRPr="00DC1964">
        <w:rPr>
          <w:rFonts w:eastAsiaTheme="minorEastAsia"/>
          <w:szCs w:val="18"/>
          <w:lang w:val="es-ES" w:eastAsia="zh-CN"/>
        </w:rPr>
        <w:t> </w:t>
      </w:r>
      <w:r w:rsidRPr="00DC1964">
        <w:rPr>
          <w:lang w:val="es-ES"/>
        </w:rPr>
        <w:t xml:space="preserve">25/2021, </w:t>
      </w:r>
      <w:r w:rsidRPr="00DC1964">
        <w:rPr>
          <w:rFonts w:eastAsiaTheme="minorEastAsia"/>
          <w:szCs w:val="18"/>
          <w:lang w:val="es-ES" w:eastAsia="zh-CN"/>
        </w:rPr>
        <w:t>n</w:t>
      </w:r>
      <w:r w:rsidRPr="00DC1964">
        <w:rPr>
          <w:rFonts w:eastAsiaTheme="minorEastAsia"/>
          <w:szCs w:val="18"/>
          <w:vertAlign w:val="superscript"/>
          <w:lang w:val="es-ES" w:eastAsia="zh-CN"/>
        </w:rPr>
        <w:t>o</w:t>
      </w:r>
      <w:r w:rsidRPr="00DC1964">
        <w:rPr>
          <w:rFonts w:eastAsiaTheme="minorEastAsia"/>
          <w:szCs w:val="18"/>
          <w:lang w:val="es-ES" w:eastAsia="zh-CN"/>
        </w:rPr>
        <w:t> </w:t>
      </w:r>
      <w:r w:rsidRPr="00DC1964">
        <w:rPr>
          <w:lang w:val="es-ES"/>
        </w:rPr>
        <w:t xml:space="preserve">30/2021, </w:t>
      </w:r>
      <w:r w:rsidRPr="00DC1964">
        <w:rPr>
          <w:rFonts w:eastAsiaTheme="minorEastAsia"/>
          <w:szCs w:val="18"/>
          <w:lang w:val="es-ES" w:eastAsia="zh-CN"/>
        </w:rPr>
        <w:t>n</w:t>
      </w:r>
      <w:r w:rsidRPr="00DC1964">
        <w:rPr>
          <w:rFonts w:eastAsiaTheme="minorEastAsia"/>
          <w:szCs w:val="18"/>
          <w:vertAlign w:val="superscript"/>
          <w:lang w:val="es-ES" w:eastAsia="zh-CN"/>
        </w:rPr>
        <w:t>o</w:t>
      </w:r>
      <w:r w:rsidRPr="00DC1964">
        <w:rPr>
          <w:rFonts w:eastAsiaTheme="minorEastAsia"/>
          <w:szCs w:val="18"/>
          <w:lang w:val="es-ES" w:eastAsia="zh-CN"/>
        </w:rPr>
        <w:t> </w:t>
      </w:r>
      <w:r w:rsidRPr="00DC1964">
        <w:rPr>
          <w:lang w:val="es-ES"/>
        </w:rPr>
        <w:t xml:space="preserve">32/2021, </w:t>
      </w:r>
      <w:r w:rsidRPr="00DC1964">
        <w:rPr>
          <w:rFonts w:eastAsiaTheme="minorEastAsia"/>
          <w:szCs w:val="18"/>
          <w:lang w:val="es-ES" w:eastAsia="zh-CN"/>
        </w:rPr>
        <w:t>n</w:t>
      </w:r>
      <w:r w:rsidRPr="00DC1964">
        <w:rPr>
          <w:rFonts w:eastAsiaTheme="minorEastAsia"/>
          <w:szCs w:val="18"/>
          <w:vertAlign w:val="superscript"/>
          <w:lang w:val="es-ES" w:eastAsia="zh-CN"/>
        </w:rPr>
        <w:t>o</w:t>
      </w:r>
      <w:r w:rsidRPr="00DC1964">
        <w:rPr>
          <w:rFonts w:eastAsiaTheme="minorEastAsia"/>
          <w:szCs w:val="18"/>
          <w:lang w:val="es-ES" w:eastAsia="zh-CN"/>
        </w:rPr>
        <w:t> </w:t>
      </w:r>
      <w:r w:rsidRPr="00DC1964">
        <w:rPr>
          <w:lang w:val="es-ES"/>
        </w:rPr>
        <w:t xml:space="preserve">42/2021, </w:t>
      </w:r>
      <w:r w:rsidRPr="00DC1964">
        <w:rPr>
          <w:rFonts w:eastAsiaTheme="minorEastAsia"/>
          <w:szCs w:val="18"/>
          <w:lang w:val="es-ES" w:eastAsia="zh-CN"/>
        </w:rPr>
        <w:t>n</w:t>
      </w:r>
      <w:r w:rsidRPr="00DC1964">
        <w:rPr>
          <w:rFonts w:eastAsiaTheme="minorEastAsia"/>
          <w:szCs w:val="18"/>
          <w:vertAlign w:val="superscript"/>
          <w:lang w:val="es-ES" w:eastAsia="zh-CN"/>
        </w:rPr>
        <w:t>o</w:t>
      </w:r>
      <w:r w:rsidRPr="00DC1964">
        <w:rPr>
          <w:rFonts w:eastAsiaTheme="minorEastAsia"/>
          <w:szCs w:val="18"/>
          <w:lang w:val="es-ES" w:eastAsia="zh-CN"/>
        </w:rPr>
        <w:t> </w:t>
      </w:r>
      <w:r w:rsidRPr="00DC1964">
        <w:rPr>
          <w:lang w:val="es-ES"/>
        </w:rPr>
        <w:t xml:space="preserve">45/2021, </w:t>
      </w:r>
      <w:r w:rsidRPr="00DC1964">
        <w:rPr>
          <w:rFonts w:eastAsiaTheme="minorEastAsia"/>
          <w:szCs w:val="18"/>
          <w:lang w:val="es-ES" w:eastAsia="zh-CN"/>
        </w:rPr>
        <w:t>n</w:t>
      </w:r>
      <w:r w:rsidRPr="00DC1964">
        <w:rPr>
          <w:rFonts w:eastAsiaTheme="minorEastAsia"/>
          <w:szCs w:val="18"/>
          <w:vertAlign w:val="superscript"/>
          <w:lang w:val="es-ES" w:eastAsia="zh-CN"/>
        </w:rPr>
        <w:t>o</w:t>
      </w:r>
      <w:r w:rsidRPr="00DC1964">
        <w:rPr>
          <w:rFonts w:eastAsiaTheme="minorEastAsia"/>
          <w:szCs w:val="18"/>
          <w:lang w:val="es-ES" w:eastAsia="zh-CN"/>
        </w:rPr>
        <w:t> </w:t>
      </w:r>
      <w:r w:rsidRPr="00DC1964">
        <w:rPr>
          <w:lang w:val="es-ES"/>
        </w:rPr>
        <w:t xml:space="preserve">47/2021, </w:t>
      </w:r>
      <w:r w:rsidRPr="00DC1964">
        <w:rPr>
          <w:rFonts w:eastAsiaTheme="minorEastAsia"/>
          <w:szCs w:val="18"/>
          <w:lang w:val="es-ES" w:eastAsia="zh-CN"/>
        </w:rPr>
        <w:t>n</w:t>
      </w:r>
      <w:r w:rsidRPr="00DC1964">
        <w:rPr>
          <w:rFonts w:eastAsiaTheme="minorEastAsia"/>
          <w:szCs w:val="18"/>
          <w:vertAlign w:val="superscript"/>
          <w:lang w:val="es-ES" w:eastAsia="zh-CN"/>
        </w:rPr>
        <w:t>o</w:t>
      </w:r>
      <w:r w:rsidRPr="00DC1964">
        <w:rPr>
          <w:rFonts w:eastAsiaTheme="minorEastAsia"/>
          <w:szCs w:val="18"/>
          <w:lang w:val="es-ES" w:eastAsia="zh-CN"/>
        </w:rPr>
        <w:t> </w:t>
      </w:r>
      <w:r w:rsidRPr="00DC1964">
        <w:rPr>
          <w:lang w:val="es-ES"/>
        </w:rPr>
        <w:t xml:space="preserve">48/2021, </w:t>
      </w:r>
      <w:r w:rsidRPr="00DC1964">
        <w:rPr>
          <w:rFonts w:eastAsiaTheme="minorEastAsia"/>
          <w:szCs w:val="18"/>
          <w:lang w:val="es-ES" w:eastAsia="zh-CN"/>
        </w:rPr>
        <w:t>n</w:t>
      </w:r>
      <w:r w:rsidRPr="00DC1964">
        <w:rPr>
          <w:rFonts w:eastAsiaTheme="minorEastAsia"/>
          <w:szCs w:val="18"/>
          <w:vertAlign w:val="superscript"/>
          <w:lang w:val="es-ES" w:eastAsia="zh-CN"/>
        </w:rPr>
        <w:t>o</w:t>
      </w:r>
      <w:r w:rsidRPr="00DC1964">
        <w:rPr>
          <w:rFonts w:eastAsiaTheme="minorEastAsia"/>
          <w:szCs w:val="18"/>
          <w:lang w:val="es-ES" w:eastAsia="zh-CN"/>
        </w:rPr>
        <w:t> </w:t>
      </w:r>
      <w:r w:rsidRPr="00DC1964">
        <w:rPr>
          <w:lang w:val="es-ES"/>
        </w:rPr>
        <w:t xml:space="preserve">51/2021, </w:t>
      </w:r>
      <w:r w:rsidRPr="00DC1964">
        <w:rPr>
          <w:rFonts w:eastAsiaTheme="minorEastAsia"/>
          <w:szCs w:val="18"/>
          <w:lang w:val="es-ES" w:eastAsia="zh-CN"/>
        </w:rPr>
        <w:t>n</w:t>
      </w:r>
      <w:r w:rsidRPr="00DC1964">
        <w:rPr>
          <w:rFonts w:eastAsiaTheme="minorEastAsia"/>
          <w:szCs w:val="18"/>
          <w:vertAlign w:val="superscript"/>
          <w:lang w:val="es-ES" w:eastAsia="zh-CN"/>
        </w:rPr>
        <w:t>o</w:t>
      </w:r>
      <w:r w:rsidRPr="00DC1964">
        <w:rPr>
          <w:rFonts w:eastAsiaTheme="minorEastAsia"/>
          <w:szCs w:val="18"/>
          <w:lang w:val="es-ES" w:eastAsia="zh-CN"/>
        </w:rPr>
        <w:t> </w:t>
      </w:r>
      <w:r w:rsidRPr="00DC1964">
        <w:rPr>
          <w:lang w:val="es-ES"/>
        </w:rPr>
        <w:t xml:space="preserve">53/2021, </w:t>
      </w:r>
      <w:r w:rsidRPr="00DC1964">
        <w:rPr>
          <w:rFonts w:eastAsiaTheme="minorEastAsia"/>
          <w:szCs w:val="18"/>
          <w:lang w:val="es-ES" w:eastAsia="zh-CN"/>
        </w:rPr>
        <w:t>n</w:t>
      </w:r>
      <w:r w:rsidRPr="00DC1964">
        <w:rPr>
          <w:rFonts w:eastAsiaTheme="minorEastAsia"/>
          <w:szCs w:val="18"/>
          <w:vertAlign w:val="superscript"/>
          <w:lang w:val="es-ES" w:eastAsia="zh-CN"/>
        </w:rPr>
        <w:t>o</w:t>
      </w:r>
      <w:r w:rsidRPr="00DC1964">
        <w:rPr>
          <w:rFonts w:eastAsiaTheme="minorEastAsia"/>
          <w:szCs w:val="18"/>
          <w:lang w:val="es-ES" w:eastAsia="zh-CN"/>
        </w:rPr>
        <w:t> </w:t>
      </w:r>
      <w:r w:rsidRPr="00DC1964">
        <w:rPr>
          <w:lang w:val="es-ES"/>
        </w:rPr>
        <w:t xml:space="preserve">59/2021, </w:t>
      </w:r>
      <w:r w:rsidRPr="00DC1964">
        <w:rPr>
          <w:rFonts w:eastAsiaTheme="minorEastAsia"/>
          <w:szCs w:val="18"/>
          <w:lang w:val="es-ES" w:eastAsia="zh-CN"/>
        </w:rPr>
        <w:t>n</w:t>
      </w:r>
      <w:r w:rsidRPr="00DC1964">
        <w:rPr>
          <w:rFonts w:eastAsiaTheme="minorEastAsia"/>
          <w:szCs w:val="18"/>
          <w:vertAlign w:val="superscript"/>
          <w:lang w:val="es-ES" w:eastAsia="zh-CN"/>
        </w:rPr>
        <w:t>o</w:t>
      </w:r>
      <w:r w:rsidRPr="00DC1964">
        <w:rPr>
          <w:rFonts w:eastAsiaTheme="minorEastAsia"/>
          <w:szCs w:val="18"/>
          <w:lang w:val="es-ES" w:eastAsia="zh-CN"/>
        </w:rPr>
        <w:t> </w:t>
      </w:r>
      <w:r w:rsidRPr="00DC1964">
        <w:rPr>
          <w:lang w:val="es-ES"/>
        </w:rPr>
        <w:t xml:space="preserve">70/2021, </w:t>
      </w:r>
      <w:r w:rsidRPr="00DC1964">
        <w:rPr>
          <w:rFonts w:eastAsiaTheme="minorEastAsia"/>
          <w:szCs w:val="18"/>
          <w:lang w:val="es-ES" w:eastAsia="zh-CN"/>
        </w:rPr>
        <w:t>n</w:t>
      </w:r>
      <w:r w:rsidRPr="00DC1964">
        <w:rPr>
          <w:rFonts w:eastAsiaTheme="minorEastAsia"/>
          <w:szCs w:val="18"/>
          <w:vertAlign w:val="superscript"/>
          <w:lang w:val="es-ES" w:eastAsia="zh-CN"/>
        </w:rPr>
        <w:t>o</w:t>
      </w:r>
      <w:r w:rsidRPr="00DC1964">
        <w:rPr>
          <w:rFonts w:eastAsiaTheme="minorEastAsia"/>
          <w:szCs w:val="18"/>
          <w:lang w:val="es-ES" w:eastAsia="zh-CN"/>
        </w:rPr>
        <w:t> </w:t>
      </w:r>
      <w:r w:rsidRPr="00DC1964">
        <w:rPr>
          <w:lang w:val="es-ES"/>
        </w:rPr>
        <w:t xml:space="preserve">80/2021 et </w:t>
      </w:r>
      <w:r w:rsidRPr="00DC1964">
        <w:rPr>
          <w:rFonts w:eastAsiaTheme="minorEastAsia"/>
          <w:szCs w:val="18"/>
          <w:lang w:val="es-ES" w:eastAsia="zh-CN"/>
        </w:rPr>
        <w:t>n</w:t>
      </w:r>
      <w:r w:rsidRPr="00DC1964">
        <w:rPr>
          <w:rFonts w:eastAsiaTheme="minorEastAsia"/>
          <w:szCs w:val="18"/>
          <w:vertAlign w:val="superscript"/>
          <w:lang w:val="es-ES" w:eastAsia="zh-CN"/>
        </w:rPr>
        <w:t>o</w:t>
      </w:r>
      <w:r w:rsidRPr="00DC1964">
        <w:rPr>
          <w:rFonts w:eastAsiaTheme="minorEastAsia"/>
          <w:szCs w:val="18"/>
          <w:lang w:val="es-ES" w:eastAsia="zh-CN"/>
        </w:rPr>
        <w:t> </w:t>
      </w:r>
      <w:r w:rsidRPr="00DC1964">
        <w:rPr>
          <w:lang w:val="es-ES"/>
        </w:rPr>
        <w:t>81/2021.</w:t>
      </w:r>
    </w:p>
  </w:footnote>
  <w:footnote w:id="15">
    <w:p w14:paraId="482904A5" w14:textId="6ED46483" w:rsidR="00C91D59" w:rsidRPr="00DC1964" w:rsidRDefault="00C91D59" w:rsidP="00C91D59">
      <w:pPr>
        <w:pStyle w:val="FootnoteText"/>
        <w:rPr>
          <w:lang w:val="fr-FR"/>
        </w:rPr>
      </w:pPr>
      <w:r w:rsidRPr="00DC1964">
        <w:rPr>
          <w:lang w:val="es-ES"/>
        </w:rPr>
        <w:tab/>
      </w:r>
      <w:r w:rsidRPr="00C91D59">
        <w:rPr>
          <w:rStyle w:val="FootnoteReference"/>
        </w:rPr>
        <w:footnoteRef/>
      </w:r>
      <w:r w:rsidRPr="00DC1964">
        <w:tab/>
      </w:r>
      <w:r w:rsidRPr="0004189C">
        <w:t>Comité des droits de l’homme, o</w:t>
      </w:r>
      <w:r w:rsidRPr="00D732B1">
        <w:t xml:space="preserve">bservation générale </w:t>
      </w:r>
      <w:r w:rsidR="00075500" w:rsidRPr="00DC1964">
        <w:rPr>
          <w:lang w:val="fr-FR"/>
        </w:rPr>
        <w:t>n</w:t>
      </w:r>
      <w:r w:rsidR="00075500" w:rsidRPr="00450020">
        <w:rPr>
          <w:vertAlign w:val="superscript"/>
          <w:lang w:val="fr-FR"/>
        </w:rPr>
        <w:t>o</w:t>
      </w:r>
      <w:r w:rsidR="00075500" w:rsidRPr="00450020">
        <w:rPr>
          <w:lang w:val="fr-FR"/>
        </w:rPr>
        <w:t> </w:t>
      </w:r>
      <w:r w:rsidRPr="00D732B1">
        <w:t>35 (2014)</w:t>
      </w:r>
      <w:r w:rsidRPr="00DC1964">
        <w:t>, par. 17</w:t>
      </w:r>
      <w:r>
        <w:t> </w:t>
      </w:r>
      <w:r w:rsidRPr="00DC1964">
        <w:t>;</w:t>
      </w:r>
      <w:r>
        <w:t xml:space="preserve"> et</w:t>
      </w:r>
      <w:r w:rsidRPr="00DC1964">
        <w:t xml:space="preserve"> avis </w:t>
      </w:r>
      <w:r>
        <w:rPr>
          <w:rFonts w:eastAsiaTheme="minorEastAsia"/>
          <w:szCs w:val="18"/>
          <w:lang w:val="fr-FR" w:eastAsia="zh-CN"/>
        </w:rPr>
        <w:t>n</w:t>
      </w:r>
      <w:r w:rsidRPr="00D732B1">
        <w:rPr>
          <w:rFonts w:eastAsiaTheme="minorEastAsia"/>
          <w:szCs w:val="18"/>
          <w:vertAlign w:val="superscript"/>
          <w:lang w:val="fr-FR" w:eastAsia="zh-CN"/>
        </w:rPr>
        <w:t>o</w:t>
      </w:r>
      <w:r>
        <w:rPr>
          <w:rFonts w:eastAsiaTheme="minorEastAsia"/>
          <w:szCs w:val="18"/>
          <w:lang w:val="fr-FR" w:eastAsia="zh-CN"/>
        </w:rPr>
        <w:t> </w:t>
      </w:r>
      <w:r w:rsidRPr="00D732B1">
        <w:t>11/2020, par.</w:t>
      </w:r>
      <w:r w:rsidR="00075500">
        <w:t> </w:t>
      </w:r>
      <w:r w:rsidRPr="00D732B1">
        <w:t>41</w:t>
      </w:r>
      <w:r>
        <w:t> ;</w:t>
      </w:r>
      <w:r w:rsidRPr="00C13B98">
        <w:rPr>
          <w:rFonts w:eastAsiaTheme="minorEastAsia"/>
          <w:szCs w:val="18"/>
          <w:lang w:val="fr-FR" w:eastAsia="zh-CN"/>
        </w:rPr>
        <w:t xml:space="preserve"> </w:t>
      </w:r>
      <w:r>
        <w:rPr>
          <w:rFonts w:eastAsiaTheme="minorEastAsia"/>
          <w:szCs w:val="18"/>
          <w:lang w:val="fr-FR" w:eastAsia="zh-CN"/>
        </w:rPr>
        <w:t>n</w:t>
      </w:r>
      <w:r w:rsidRPr="00D732B1">
        <w:rPr>
          <w:rFonts w:eastAsiaTheme="minorEastAsia"/>
          <w:szCs w:val="18"/>
          <w:vertAlign w:val="superscript"/>
          <w:lang w:val="fr-FR" w:eastAsia="zh-CN"/>
        </w:rPr>
        <w:t>o</w:t>
      </w:r>
      <w:r>
        <w:rPr>
          <w:rFonts w:eastAsiaTheme="minorEastAsia"/>
          <w:szCs w:val="18"/>
          <w:lang w:val="fr-FR" w:eastAsia="zh-CN"/>
        </w:rPr>
        <w:t> 4</w:t>
      </w:r>
      <w:r w:rsidRPr="00D732B1">
        <w:t>1/2020, par.</w:t>
      </w:r>
      <w:r>
        <w:t xml:space="preserve"> 6</w:t>
      </w:r>
      <w:r w:rsidRPr="00D732B1">
        <w:t>1</w:t>
      </w:r>
      <w:r>
        <w:t> ;</w:t>
      </w:r>
      <w:r w:rsidRPr="00D732B1">
        <w:t xml:space="preserve"> </w:t>
      </w:r>
      <w:r>
        <w:rPr>
          <w:rFonts w:eastAsiaTheme="minorEastAsia"/>
          <w:szCs w:val="18"/>
          <w:lang w:val="fr-FR" w:eastAsia="zh-CN"/>
        </w:rPr>
        <w:t>n</w:t>
      </w:r>
      <w:r w:rsidRPr="00D732B1">
        <w:rPr>
          <w:rFonts w:eastAsiaTheme="minorEastAsia"/>
          <w:szCs w:val="18"/>
          <w:vertAlign w:val="superscript"/>
          <w:lang w:val="fr-FR" w:eastAsia="zh-CN"/>
        </w:rPr>
        <w:t>o</w:t>
      </w:r>
      <w:r>
        <w:rPr>
          <w:rFonts w:eastAsiaTheme="minorEastAsia"/>
          <w:szCs w:val="18"/>
          <w:lang w:val="fr-FR" w:eastAsia="zh-CN"/>
        </w:rPr>
        <w:t> </w:t>
      </w:r>
      <w:r w:rsidRPr="00DC1964">
        <w:t>37/2021, par. 65</w:t>
      </w:r>
      <w:r>
        <w:t> </w:t>
      </w:r>
      <w:r w:rsidRPr="00DC1964">
        <w:t xml:space="preserve">; et </w:t>
      </w:r>
      <w:r>
        <w:rPr>
          <w:rFonts w:eastAsiaTheme="minorEastAsia"/>
          <w:szCs w:val="18"/>
          <w:lang w:val="fr-FR" w:eastAsia="zh-CN"/>
        </w:rPr>
        <w:t>n</w:t>
      </w:r>
      <w:r w:rsidRPr="00D732B1">
        <w:rPr>
          <w:rFonts w:eastAsiaTheme="minorEastAsia"/>
          <w:szCs w:val="18"/>
          <w:vertAlign w:val="superscript"/>
          <w:lang w:val="fr-FR" w:eastAsia="zh-CN"/>
        </w:rPr>
        <w:t>o</w:t>
      </w:r>
      <w:r>
        <w:rPr>
          <w:rFonts w:eastAsiaTheme="minorEastAsia"/>
          <w:szCs w:val="18"/>
          <w:lang w:val="fr-FR" w:eastAsia="zh-CN"/>
        </w:rPr>
        <w:t> </w:t>
      </w:r>
      <w:r w:rsidRPr="00DC1964">
        <w:t>15/2022, par. 62.</w:t>
      </w:r>
    </w:p>
  </w:footnote>
  <w:footnote w:id="16">
    <w:p w14:paraId="68A40D2C" w14:textId="77777777" w:rsidR="00C91D59" w:rsidRPr="00DC1964" w:rsidRDefault="00C91D59" w:rsidP="00C91D59">
      <w:pPr>
        <w:pStyle w:val="FootnoteText"/>
        <w:rPr>
          <w:lang w:val="fr-FR"/>
        </w:rPr>
      </w:pPr>
      <w:r w:rsidRPr="00DC1964">
        <w:tab/>
      </w:r>
      <w:r w:rsidRPr="00C91D59">
        <w:rPr>
          <w:rStyle w:val="FootnoteReference"/>
        </w:rPr>
        <w:footnoteRef/>
      </w:r>
      <w:r w:rsidRPr="00DC1964">
        <w:tab/>
        <w:t xml:space="preserve">Voir les avis </w:t>
      </w:r>
      <w:r>
        <w:rPr>
          <w:rFonts w:eastAsiaTheme="minorEastAsia"/>
          <w:szCs w:val="18"/>
          <w:lang w:val="fr-FR" w:eastAsia="zh-CN"/>
        </w:rPr>
        <w:t>n</w:t>
      </w:r>
      <w:r w:rsidRPr="00D732B1">
        <w:rPr>
          <w:rFonts w:eastAsiaTheme="minorEastAsia"/>
          <w:szCs w:val="18"/>
          <w:vertAlign w:val="superscript"/>
          <w:lang w:val="fr-FR" w:eastAsia="zh-CN"/>
        </w:rPr>
        <w:t>o</w:t>
      </w:r>
      <w:r>
        <w:rPr>
          <w:rFonts w:eastAsiaTheme="minorEastAsia"/>
          <w:szCs w:val="18"/>
          <w:lang w:val="fr-FR" w:eastAsia="zh-CN"/>
        </w:rPr>
        <w:t> </w:t>
      </w:r>
      <w:r w:rsidRPr="00DC1964">
        <w:t xml:space="preserve">32/2019, </w:t>
      </w:r>
      <w:r>
        <w:rPr>
          <w:rFonts w:eastAsiaTheme="minorEastAsia"/>
          <w:szCs w:val="18"/>
          <w:lang w:val="fr-FR" w:eastAsia="zh-CN"/>
        </w:rPr>
        <w:t>n</w:t>
      </w:r>
      <w:r w:rsidRPr="00D732B1">
        <w:rPr>
          <w:rFonts w:eastAsiaTheme="minorEastAsia"/>
          <w:szCs w:val="18"/>
          <w:vertAlign w:val="superscript"/>
          <w:lang w:val="fr-FR" w:eastAsia="zh-CN"/>
        </w:rPr>
        <w:t>o</w:t>
      </w:r>
      <w:r>
        <w:rPr>
          <w:rFonts w:eastAsiaTheme="minorEastAsia"/>
          <w:szCs w:val="18"/>
          <w:lang w:val="fr-FR" w:eastAsia="zh-CN"/>
        </w:rPr>
        <w:t> </w:t>
      </w:r>
      <w:r w:rsidRPr="00DC1964">
        <w:t xml:space="preserve">33/2019 et </w:t>
      </w:r>
      <w:r>
        <w:rPr>
          <w:rFonts w:eastAsiaTheme="minorEastAsia"/>
          <w:szCs w:val="18"/>
          <w:lang w:val="fr-FR" w:eastAsia="zh-CN"/>
        </w:rPr>
        <w:t>n</w:t>
      </w:r>
      <w:r w:rsidRPr="00D732B1">
        <w:rPr>
          <w:rFonts w:eastAsiaTheme="minorEastAsia"/>
          <w:szCs w:val="18"/>
          <w:vertAlign w:val="superscript"/>
          <w:lang w:val="fr-FR" w:eastAsia="zh-CN"/>
        </w:rPr>
        <w:t>o</w:t>
      </w:r>
      <w:r>
        <w:rPr>
          <w:rFonts w:eastAsiaTheme="minorEastAsia"/>
          <w:szCs w:val="18"/>
          <w:lang w:val="fr-FR" w:eastAsia="zh-CN"/>
        </w:rPr>
        <w:t> </w:t>
      </w:r>
      <w:r w:rsidRPr="00DC1964">
        <w:t>45/2019.</w:t>
      </w:r>
    </w:p>
  </w:footnote>
  <w:footnote w:id="17">
    <w:p w14:paraId="789A4C03" w14:textId="78937C13" w:rsidR="00C91D59" w:rsidRPr="00DC1964" w:rsidRDefault="00C91D59" w:rsidP="00C91D59">
      <w:pPr>
        <w:pStyle w:val="FootnoteText"/>
        <w:rPr>
          <w:lang w:val="fr-FR"/>
        </w:rPr>
      </w:pPr>
      <w:r w:rsidRPr="00DC1964">
        <w:tab/>
      </w:r>
      <w:r w:rsidRPr="00C91D59">
        <w:rPr>
          <w:rStyle w:val="FootnoteReference"/>
        </w:rPr>
        <w:footnoteRef/>
      </w:r>
      <w:r w:rsidRPr="00DC1964">
        <w:tab/>
      </w:r>
      <w:hyperlink r:id="rId7" w:history="1">
        <w:r w:rsidRPr="00C91D59">
          <w:rPr>
            <w:rStyle w:val="Hyperlink"/>
          </w:rPr>
          <w:t>CCPR/C/DZA/CO/4</w:t>
        </w:r>
      </w:hyperlink>
      <w:r w:rsidRPr="00DC1964">
        <w:t xml:space="preserve">, par. 17 ; </w:t>
      </w:r>
      <w:r>
        <w:t>v</w:t>
      </w:r>
      <w:r w:rsidRPr="00DC1964">
        <w:t xml:space="preserve">oir aussi </w:t>
      </w:r>
      <w:r>
        <w:t>l</w:t>
      </w:r>
      <w:r w:rsidRPr="00E1323E">
        <w:rPr>
          <w:lang w:val="fr-FR"/>
        </w:rPr>
        <w:t>’</w:t>
      </w:r>
      <w:r>
        <w:t>a</w:t>
      </w:r>
      <w:r w:rsidRPr="00DC1964">
        <w:t>vis nº 15/2022, par.</w:t>
      </w:r>
      <w:r>
        <w:t xml:space="preserve"> </w:t>
      </w:r>
      <w:r w:rsidRPr="00DC1964">
        <w:t>77.</w:t>
      </w:r>
    </w:p>
  </w:footnote>
  <w:footnote w:id="18">
    <w:p w14:paraId="52631908" w14:textId="1EC90663" w:rsidR="00C91D59" w:rsidRPr="00DC1964" w:rsidRDefault="00C91D59" w:rsidP="00C91D59">
      <w:pPr>
        <w:pStyle w:val="FootnoteText"/>
      </w:pPr>
      <w:r w:rsidRPr="00DC1964">
        <w:rPr>
          <w:lang w:val="fr-FR"/>
        </w:rPr>
        <w:tab/>
      </w:r>
      <w:r w:rsidRPr="00C91D59">
        <w:rPr>
          <w:rStyle w:val="FootnoteReference"/>
        </w:rPr>
        <w:footnoteRef/>
      </w:r>
      <w:r w:rsidRPr="00DC1964">
        <w:tab/>
      </w:r>
      <w:hyperlink r:id="rId8" w:history="1">
        <w:r w:rsidRPr="00C91D59">
          <w:rPr>
            <w:rStyle w:val="Hyperlink"/>
          </w:rPr>
          <w:t>CCPR/C/DZA/CO/4</w:t>
        </w:r>
      </w:hyperlink>
      <w:r w:rsidRPr="00DC1964">
        <w:t>, par. 17 et 18.</w:t>
      </w:r>
    </w:p>
  </w:footnote>
  <w:footnote w:id="19">
    <w:p w14:paraId="3EC4312E" w14:textId="77777777" w:rsidR="00C91D59" w:rsidRPr="00DC1964" w:rsidRDefault="00C91D59" w:rsidP="00C91D59">
      <w:pPr>
        <w:pStyle w:val="FootnoteText"/>
        <w:rPr>
          <w:lang w:val="es-ES"/>
        </w:rPr>
      </w:pPr>
      <w:r w:rsidRPr="00DC1964">
        <w:tab/>
      </w:r>
      <w:r w:rsidRPr="00C91D59">
        <w:rPr>
          <w:rStyle w:val="FootnoteReference"/>
        </w:rPr>
        <w:footnoteRef/>
      </w:r>
      <w:r w:rsidRPr="00DC1964">
        <w:rPr>
          <w:lang w:val="es-ES"/>
        </w:rPr>
        <w:tab/>
      </w:r>
      <w:proofErr w:type="spellStart"/>
      <w:r w:rsidRPr="00DC1964">
        <w:rPr>
          <w:lang w:val="es-ES"/>
        </w:rPr>
        <w:t>Voir</w:t>
      </w:r>
      <w:proofErr w:type="spellEnd"/>
      <w:r w:rsidRPr="00DC1964">
        <w:rPr>
          <w:lang w:val="es-ES"/>
        </w:rPr>
        <w:t xml:space="preserve"> la </w:t>
      </w:r>
      <w:proofErr w:type="spellStart"/>
      <w:r w:rsidRPr="00DC1964">
        <w:rPr>
          <w:lang w:val="es-ES"/>
        </w:rPr>
        <w:t>communication</w:t>
      </w:r>
      <w:proofErr w:type="spellEnd"/>
      <w:r w:rsidRPr="00DC1964">
        <w:rPr>
          <w:lang w:val="es-ES"/>
        </w:rPr>
        <w:t xml:space="preserve"> DZA 12/2021.</w:t>
      </w:r>
    </w:p>
  </w:footnote>
  <w:footnote w:id="20">
    <w:p w14:paraId="079F936C" w14:textId="5E6ACB3A" w:rsidR="00C91D59" w:rsidRPr="00DC1964" w:rsidRDefault="00C91D59" w:rsidP="00C91D59">
      <w:pPr>
        <w:pStyle w:val="FootnoteText"/>
        <w:rPr>
          <w:lang w:val="es-ES"/>
        </w:rPr>
      </w:pPr>
      <w:r w:rsidRPr="00DC1964">
        <w:rPr>
          <w:lang w:val="es-ES"/>
        </w:rPr>
        <w:tab/>
      </w:r>
      <w:r w:rsidRPr="00C91D59">
        <w:rPr>
          <w:rStyle w:val="FootnoteReference"/>
        </w:rPr>
        <w:footnoteRef/>
      </w:r>
      <w:r w:rsidRPr="00DC1964">
        <w:rPr>
          <w:lang w:val="es-ES"/>
        </w:rPr>
        <w:tab/>
        <w:t xml:space="preserve">Avis </w:t>
      </w:r>
      <w:r>
        <w:rPr>
          <w:lang w:val="es-ES"/>
        </w:rPr>
        <w:t>n</w:t>
      </w:r>
      <w:r w:rsidRPr="00D36F31">
        <w:rPr>
          <w:vertAlign w:val="superscript"/>
          <w:lang w:val="es-ES"/>
        </w:rPr>
        <w:t>o</w:t>
      </w:r>
      <w:r>
        <w:rPr>
          <w:lang w:val="es-ES"/>
        </w:rPr>
        <w:t> </w:t>
      </w:r>
      <w:r w:rsidRPr="00D36F31">
        <w:rPr>
          <w:lang w:val="es-ES"/>
        </w:rPr>
        <w:t>36/2017, par.</w:t>
      </w:r>
      <w:r>
        <w:rPr>
          <w:lang w:val="es-ES"/>
        </w:rPr>
        <w:t xml:space="preserve"> </w:t>
      </w:r>
      <w:proofErr w:type="gramStart"/>
      <w:r w:rsidRPr="00D36F31">
        <w:rPr>
          <w:lang w:val="es-ES"/>
        </w:rPr>
        <w:t>102</w:t>
      </w:r>
      <w:r>
        <w:rPr>
          <w:lang w:val="es-ES"/>
        </w:rPr>
        <w:t> </w:t>
      </w:r>
      <w:r w:rsidRPr="00D36F31">
        <w:rPr>
          <w:lang w:val="es-ES"/>
        </w:rPr>
        <w:t>;</w:t>
      </w:r>
      <w:proofErr w:type="gramEnd"/>
      <w:r w:rsidRPr="00D36F31">
        <w:rPr>
          <w:lang w:val="es-ES"/>
        </w:rPr>
        <w:t xml:space="preserve"> </w:t>
      </w:r>
      <w:r>
        <w:rPr>
          <w:lang w:val="es-ES"/>
        </w:rPr>
        <w:t>n</w:t>
      </w:r>
      <w:r w:rsidRPr="00D36F31">
        <w:rPr>
          <w:vertAlign w:val="superscript"/>
          <w:lang w:val="es-ES"/>
        </w:rPr>
        <w:t>o</w:t>
      </w:r>
      <w:r>
        <w:rPr>
          <w:lang w:val="es-ES"/>
        </w:rPr>
        <w:t> 41</w:t>
      </w:r>
      <w:r w:rsidRPr="00D36F31">
        <w:rPr>
          <w:lang w:val="es-ES"/>
        </w:rPr>
        <w:t>/2017, par.</w:t>
      </w:r>
      <w:r>
        <w:rPr>
          <w:lang w:val="es-ES"/>
        </w:rPr>
        <w:t xml:space="preserve"> </w:t>
      </w:r>
      <w:proofErr w:type="gramStart"/>
      <w:r>
        <w:rPr>
          <w:lang w:val="es-ES"/>
        </w:rPr>
        <w:t>98 </w:t>
      </w:r>
      <w:r w:rsidRPr="00D36F31">
        <w:rPr>
          <w:lang w:val="es-ES"/>
        </w:rPr>
        <w:t>;</w:t>
      </w:r>
      <w:proofErr w:type="gramEnd"/>
      <w:r w:rsidRPr="00D36F31">
        <w:rPr>
          <w:lang w:val="es-ES"/>
        </w:rPr>
        <w:t xml:space="preserve"> </w:t>
      </w:r>
      <w:r>
        <w:rPr>
          <w:lang w:val="es-ES"/>
        </w:rPr>
        <w:t>n</w:t>
      </w:r>
      <w:r w:rsidRPr="00D36F31">
        <w:rPr>
          <w:vertAlign w:val="superscript"/>
          <w:lang w:val="es-ES"/>
        </w:rPr>
        <w:t>o</w:t>
      </w:r>
      <w:r>
        <w:rPr>
          <w:lang w:val="es-ES"/>
        </w:rPr>
        <w:t> 51</w:t>
      </w:r>
      <w:r w:rsidRPr="00D36F31">
        <w:rPr>
          <w:lang w:val="es-ES"/>
        </w:rPr>
        <w:t>/2017, par.</w:t>
      </w:r>
      <w:r>
        <w:rPr>
          <w:lang w:val="es-ES"/>
        </w:rPr>
        <w:t xml:space="preserve"> </w:t>
      </w:r>
      <w:proofErr w:type="gramStart"/>
      <w:r>
        <w:rPr>
          <w:lang w:val="es-ES"/>
        </w:rPr>
        <w:t>56 </w:t>
      </w:r>
      <w:r w:rsidRPr="00D36F31">
        <w:rPr>
          <w:lang w:val="es-ES"/>
        </w:rPr>
        <w:t>;</w:t>
      </w:r>
      <w:proofErr w:type="gramEnd"/>
      <w:r w:rsidRPr="00D36F31">
        <w:rPr>
          <w:lang w:val="es-ES"/>
        </w:rPr>
        <w:t xml:space="preserve"> </w:t>
      </w:r>
      <w:r>
        <w:rPr>
          <w:lang w:val="es-ES"/>
        </w:rPr>
        <w:t>n</w:t>
      </w:r>
      <w:r w:rsidRPr="00D36F31">
        <w:rPr>
          <w:vertAlign w:val="superscript"/>
          <w:lang w:val="es-ES"/>
        </w:rPr>
        <w:t>o</w:t>
      </w:r>
      <w:r>
        <w:rPr>
          <w:lang w:val="es-ES"/>
        </w:rPr>
        <w:t> 5</w:t>
      </w:r>
      <w:r w:rsidRPr="00D36F31">
        <w:rPr>
          <w:lang w:val="es-ES"/>
        </w:rPr>
        <w:t>6/2017, par.</w:t>
      </w:r>
      <w:r>
        <w:rPr>
          <w:lang w:val="es-ES"/>
        </w:rPr>
        <w:t xml:space="preserve"> </w:t>
      </w:r>
      <w:proofErr w:type="gramStart"/>
      <w:r>
        <w:rPr>
          <w:lang w:val="es-ES"/>
        </w:rPr>
        <w:t>71 </w:t>
      </w:r>
      <w:r w:rsidRPr="00D36F31">
        <w:rPr>
          <w:lang w:val="es-ES"/>
        </w:rPr>
        <w:t>;</w:t>
      </w:r>
      <w:proofErr w:type="gramEnd"/>
      <w:r w:rsidRPr="00D36F31">
        <w:rPr>
          <w:lang w:val="es-ES"/>
        </w:rPr>
        <w:t xml:space="preserve"> </w:t>
      </w:r>
      <w:r>
        <w:rPr>
          <w:lang w:val="es-ES"/>
        </w:rPr>
        <w:t>n</w:t>
      </w:r>
      <w:r w:rsidRPr="00D36F31">
        <w:rPr>
          <w:vertAlign w:val="superscript"/>
          <w:lang w:val="es-ES"/>
        </w:rPr>
        <w:t>o</w:t>
      </w:r>
      <w:r>
        <w:rPr>
          <w:lang w:val="es-ES"/>
        </w:rPr>
        <w:t> 57</w:t>
      </w:r>
      <w:r w:rsidRPr="00D36F31">
        <w:rPr>
          <w:lang w:val="es-ES"/>
        </w:rPr>
        <w:t>/2017, par.</w:t>
      </w:r>
      <w:r>
        <w:rPr>
          <w:lang w:val="es-ES"/>
        </w:rPr>
        <w:t xml:space="preserve"> </w:t>
      </w:r>
      <w:proofErr w:type="gramStart"/>
      <w:r>
        <w:rPr>
          <w:lang w:val="es-ES"/>
        </w:rPr>
        <w:t>65 </w:t>
      </w:r>
      <w:r w:rsidRPr="00D36F31">
        <w:rPr>
          <w:lang w:val="es-ES"/>
        </w:rPr>
        <w:t>;</w:t>
      </w:r>
      <w:proofErr w:type="gramEnd"/>
      <w:r w:rsidRPr="00D36F31">
        <w:rPr>
          <w:lang w:val="es-ES"/>
        </w:rPr>
        <w:t xml:space="preserve"> </w:t>
      </w:r>
      <w:r>
        <w:rPr>
          <w:lang w:val="es-ES"/>
        </w:rPr>
        <w:t>n</w:t>
      </w:r>
      <w:r w:rsidRPr="00DC1964">
        <w:rPr>
          <w:vertAlign w:val="superscript"/>
          <w:lang w:val="es-ES"/>
        </w:rPr>
        <w:t>o</w:t>
      </w:r>
      <w:r>
        <w:rPr>
          <w:lang w:val="es-ES"/>
        </w:rPr>
        <w:t> </w:t>
      </w:r>
      <w:r w:rsidRPr="00DC1964">
        <w:rPr>
          <w:lang w:val="es-ES"/>
        </w:rPr>
        <w:t>88/2017, par.</w:t>
      </w:r>
      <w:r>
        <w:rPr>
          <w:lang w:val="es-ES"/>
        </w:rPr>
        <w:t xml:space="preserve"> </w:t>
      </w:r>
      <w:proofErr w:type="gramStart"/>
      <w:r w:rsidRPr="00DC1964">
        <w:rPr>
          <w:lang w:val="es-ES"/>
        </w:rPr>
        <w:t>50</w:t>
      </w:r>
      <w:r>
        <w:rPr>
          <w:lang w:val="es-ES"/>
        </w:rPr>
        <w:t> </w:t>
      </w:r>
      <w:r w:rsidRPr="00DC1964">
        <w:rPr>
          <w:lang w:val="es-ES"/>
        </w:rPr>
        <w:t>;</w:t>
      </w:r>
      <w:proofErr w:type="gramEnd"/>
      <w:r w:rsidRPr="00DC1964">
        <w:rPr>
          <w:lang w:val="es-ES"/>
        </w:rPr>
        <w:t xml:space="preserve"> et </w:t>
      </w:r>
      <w:r>
        <w:rPr>
          <w:lang w:val="es-ES"/>
        </w:rPr>
        <w:t>n</w:t>
      </w:r>
      <w:r w:rsidRPr="00D36F31">
        <w:rPr>
          <w:vertAlign w:val="superscript"/>
          <w:lang w:val="es-ES"/>
        </w:rPr>
        <w:t>o</w:t>
      </w:r>
      <w:r>
        <w:rPr>
          <w:lang w:val="es-ES"/>
        </w:rPr>
        <w:t> </w:t>
      </w:r>
      <w:r w:rsidRPr="00DC1964">
        <w:rPr>
          <w:lang w:val="es-ES"/>
        </w:rPr>
        <w:t>10/2018, par. 55.</w:t>
      </w:r>
    </w:p>
  </w:footnote>
  <w:footnote w:id="21">
    <w:p w14:paraId="0FE74452" w14:textId="77777777" w:rsidR="00C91D59" w:rsidRPr="00DC1964" w:rsidRDefault="00C91D59" w:rsidP="00C91D59">
      <w:pPr>
        <w:pStyle w:val="FootnoteText"/>
        <w:rPr>
          <w:lang w:val="fr-FR"/>
        </w:rPr>
      </w:pPr>
      <w:r w:rsidRPr="00DC1964">
        <w:rPr>
          <w:lang w:val="es-ES"/>
        </w:rPr>
        <w:tab/>
      </w:r>
      <w:r w:rsidRPr="00C91D59">
        <w:rPr>
          <w:rStyle w:val="FootnoteReference"/>
        </w:rPr>
        <w:footnoteRef/>
      </w:r>
      <w:r w:rsidRPr="00DC1964">
        <w:tab/>
        <w:t>Avis n</w:t>
      </w:r>
      <w:r w:rsidRPr="00DC1964">
        <w:rPr>
          <w:vertAlign w:val="superscript"/>
        </w:rPr>
        <w:t>o</w:t>
      </w:r>
      <w:r>
        <w:t> </w:t>
      </w:r>
      <w:r w:rsidRPr="00DC1964">
        <w:t>41/2017, par. 98 à 101. Voir aussi l’avis n</w:t>
      </w:r>
      <w:r w:rsidRPr="00DC1964">
        <w:rPr>
          <w:vertAlign w:val="superscript"/>
        </w:rPr>
        <w:t>o</w:t>
      </w:r>
      <w:r>
        <w:t> </w:t>
      </w:r>
      <w:r w:rsidRPr="00DC1964">
        <w:t>62/2018, par. 57 à 59.</w:t>
      </w:r>
    </w:p>
  </w:footnote>
  <w:footnote w:id="22">
    <w:p w14:paraId="3634A61A" w14:textId="37AB5629" w:rsidR="00C91D59" w:rsidRPr="00DC1964" w:rsidRDefault="00C91D59" w:rsidP="00C91D59">
      <w:pPr>
        <w:pStyle w:val="FootnoteText"/>
        <w:rPr>
          <w:lang w:val="fr-FR"/>
        </w:rPr>
      </w:pPr>
      <w:r w:rsidRPr="00DC1964">
        <w:tab/>
      </w:r>
      <w:r w:rsidRPr="00C91D59">
        <w:rPr>
          <w:rStyle w:val="FootnoteReference"/>
        </w:rPr>
        <w:footnoteRef/>
      </w:r>
      <w:r w:rsidRPr="00DC1964">
        <w:tab/>
      </w:r>
      <w:r w:rsidRPr="00F00958">
        <w:rPr>
          <w:rFonts w:eastAsiaTheme="minorEastAsia"/>
          <w:szCs w:val="18"/>
          <w:lang w:val="fr-FR" w:eastAsia="zh-CN"/>
        </w:rPr>
        <w:t>Principes de base et lignes directrices des Nations Unies sur les voies et procédures permettant aux personnes privées de liberté d’introduire un recours devant un tribunal</w:t>
      </w:r>
      <w:r>
        <w:rPr>
          <w:rFonts w:eastAsiaTheme="minorEastAsia"/>
          <w:szCs w:val="18"/>
          <w:lang w:val="fr-FR" w:eastAsia="zh-CN"/>
        </w:rPr>
        <w:t xml:space="preserve"> (</w:t>
      </w:r>
      <w:hyperlink r:id="rId9" w:history="1">
        <w:r w:rsidRPr="00C91D59">
          <w:rPr>
            <w:rStyle w:val="Hyperlink"/>
            <w:rFonts w:eastAsiaTheme="minorEastAsia"/>
            <w:szCs w:val="18"/>
            <w:lang w:val="fr-FR" w:eastAsia="zh-CN"/>
          </w:rPr>
          <w:t>A/HRC/30/37</w:t>
        </w:r>
      </w:hyperlink>
      <w:r>
        <w:rPr>
          <w:rFonts w:eastAsiaTheme="minorEastAsia"/>
          <w:szCs w:val="18"/>
          <w:lang w:val="fr-FR" w:eastAsia="zh-CN"/>
        </w:rPr>
        <w:t>, annexe)</w:t>
      </w:r>
      <w:r w:rsidRPr="00DC1964">
        <w:rPr>
          <w:rFonts w:eastAsiaTheme="minorEastAsia"/>
          <w:szCs w:val="18"/>
          <w:lang w:val="fr-FR" w:eastAsia="zh-CN"/>
        </w:rPr>
        <w:t>, principe</w:t>
      </w:r>
      <w:r w:rsidR="00075500">
        <w:rPr>
          <w:rFonts w:eastAsiaTheme="minorEastAsia"/>
          <w:szCs w:val="18"/>
          <w:lang w:val="fr-FR" w:eastAsia="zh-CN"/>
        </w:rPr>
        <w:t> </w:t>
      </w:r>
      <w:r w:rsidRPr="00DC1964">
        <w:rPr>
          <w:rFonts w:eastAsiaTheme="minorEastAsia"/>
          <w:szCs w:val="18"/>
          <w:lang w:val="fr-FR" w:eastAsia="zh-CN"/>
        </w:rPr>
        <w:t>9</w:t>
      </w:r>
      <w:r>
        <w:rPr>
          <w:rFonts w:eastAsiaTheme="minorEastAsia"/>
          <w:szCs w:val="18"/>
          <w:lang w:val="fr-FR" w:eastAsia="zh-CN"/>
        </w:rPr>
        <w:t xml:space="preserve"> et</w:t>
      </w:r>
      <w:r w:rsidRPr="00DC1964">
        <w:rPr>
          <w:rFonts w:eastAsiaTheme="minorEastAsia"/>
          <w:szCs w:val="18"/>
          <w:lang w:val="fr-FR" w:eastAsia="zh-CN"/>
        </w:rPr>
        <w:t xml:space="preserve"> ligne directrice 8</w:t>
      </w:r>
      <w:r>
        <w:rPr>
          <w:rFonts w:eastAsiaTheme="minorEastAsia"/>
          <w:szCs w:val="18"/>
          <w:lang w:val="fr-FR" w:eastAsia="zh-CN"/>
        </w:rPr>
        <w:t> </w:t>
      </w:r>
      <w:r w:rsidRPr="00DC1964">
        <w:rPr>
          <w:rFonts w:eastAsiaTheme="minorEastAsia"/>
          <w:szCs w:val="18"/>
          <w:lang w:val="fr-FR" w:eastAsia="zh-CN"/>
        </w:rPr>
        <w:t xml:space="preserve">; </w:t>
      </w:r>
      <w:hyperlink r:id="rId10" w:history="1">
        <w:r w:rsidRPr="00C91D59">
          <w:rPr>
            <w:rStyle w:val="Hyperlink"/>
            <w:rFonts w:eastAsiaTheme="minorEastAsia"/>
            <w:szCs w:val="18"/>
            <w:lang w:val="fr-FR" w:eastAsia="zh-CN"/>
          </w:rPr>
          <w:t>A/HRC/45/16</w:t>
        </w:r>
      </w:hyperlink>
      <w:r w:rsidRPr="00DC1964">
        <w:rPr>
          <w:rFonts w:eastAsiaTheme="minorEastAsia"/>
          <w:szCs w:val="18"/>
          <w:lang w:val="fr-FR" w:eastAsia="zh-CN"/>
        </w:rPr>
        <w:t>, par. 51</w:t>
      </w:r>
      <w:r>
        <w:rPr>
          <w:rFonts w:eastAsiaTheme="minorEastAsia"/>
          <w:szCs w:val="18"/>
          <w:lang w:val="fr-FR" w:eastAsia="zh-CN"/>
        </w:rPr>
        <w:t> </w:t>
      </w:r>
      <w:r w:rsidRPr="00DC1964">
        <w:rPr>
          <w:rFonts w:eastAsiaTheme="minorEastAsia"/>
          <w:szCs w:val="18"/>
          <w:lang w:val="fr-FR" w:eastAsia="zh-CN"/>
        </w:rPr>
        <w:t xml:space="preserve">; </w:t>
      </w:r>
      <w:r>
        <w:rPr>
          <w:rFonts w:eastAsiaTheme="minorEastAsia"/>
          <w:szCs w:val="18"/>
          <w:lang w:val="fr-FR" w:eastAsia="zh-CN"/>
        </w:rPr>
        <w:t>et Comité des droits de l</w:t>
      </w:r>
      <w:r w:rsidRPr="00E1323E">
        <w:rPr>
          <w:lang w:val="fr-FR"/>
        </w:rPr>
        <w:t>’</w:t>
      </w:r>
      <w:r>
        <w:rPr>
          <w:rFonts w:eastAsiaTheme="minorEastAsia"/>
          <w:szCs w:val="18"/>
          <w:lang w:val="fr-FR" w:eastAsia="zh-CN"/>
        </w:rPr>
        <w:t>homme, observation générale n</w:t>
      </w:r>
      <w:r w:rsidRPr="00DC1964">
        <w:rPr>
          <w:rFonts w:eastAsiaTheme="minorEastAsia"/>
          <w:szCs w:val="18"/>
          <w:vertAlign w:val="superscript"/>
          <w:lang w:val="fr-FR" w:eastAsia="zh-CN"/>
        </w:rPr>
        <w:t>o</w:t>
      </w:r>
      <w:r>
        <w:rPr>
          <w:rFonts w:eastAsiaTheme="minorEastAsia"/>
          <w:szCs w:val="18"/>
          <w:lang w:val="fr-FR" w:eastAsia="zh-CN"/>
        </w:rPr>
        <w:t> 35 (2014)</w:t>
      </w:r>
      <w:r w:rsidRPr="00DC1964">
        <w:rPr>
          <w:rFonts w:eastAsiaTheme="minorEastAsia"/>
          <w:szCs w:val="18"/>
          <w:lang w:val="fr-FR" w:eastAsia="zh-CN"/>
        </w:rPr>
        <w:t>, par. 35.</w:t>
      </w:r>
    </w:p>
  </w:footnote>
  <w:footnote w:id="23">
    <w:p w14:paraId="1CD502A6" w14:textId="77777777" w:rsidR="00C91D59" w:rsidRPr="00DC1964" w:rsidRDefault="00C91D59" w:rsidP="00C91D59">
      <w:pPr>
        <w:pStyle w:val="FootnoteText"/>
        <w:rPr>
          <w:szCs w:val="18"/>
          <w:lang w:val="fr-FR"/>
        </w:rPr>
      </w:pPr>
      <w:r w:rsidRPr="00DC1964">
        <w:rPr>
          <w:szCs w:val="18"/>
        </w:rPr>
        <w:tab/>
      </w:r>
      <w:r w:rsidRPr="00C91D59">
        <w:rPr>
          <w:rStyle w:val="FootnoteReference"/>
        </w:rPr>
        <w:footnoteRef/>
      </w:r>
      <w:r w:rsidRPr="00DC1964">
        <w:rPr>
          <w:szCs w:val="18"/>
        </w:rPr>
        <w:tab/>
      </w:r>
      <w:r>
        <w:rPr>
          <w:szCs w:val="18"/>
        </w:rPr>
        <w:t>A</w:t>
      </w:r>
      <w:r w:rsidRPr="00DC1964">
        <w:rPr>
          <w:szCs w:val="18"/>
        </w:rPr>
        <w:t>vis n</w:t>
      </w:r>
      <w:r w:rsidRPr="00DC1964">
        <w:rPr>
          <w:szCs w:val="18"/>
          <w:vertAlign w:val="superscript"/>
        </w:rPr>
        <w:t>o</w:t>
      </w:r>
      <w:r>
        <w:rPr>
          <w:szCs w:val="18"/>
        </w:rPr>
        <w:t> </w:t>
      </w:r>
      <w:r w:rsidRPr="00DC1964">
        <w:rPr>
          <w:szCs w:val="18"/>
        </w:rPr>
        <w:t>40/2021, par. 84.</w:t>
      </w:r>
    </w:p>
  </w:footnote>
  <w:footnote w:id="24">
    <w:p w14:paraId="32D34D8F" w14:textId="5A9CBA12" w:rsidR="00C91D59" w:rsidRPr="00DC1964" w:rsidRDefault="00C91D59" w:rsidP="00C91D59">
      <w:pPr>
        <w:pStyle w:val="FootnoteText"/>
        <w:rPr>
          <w:lang w:val="fr-FR"/>
        </w:rPr>
      </w:pPr>
      <w:r w:rsidRPr="00DC1964">
        <w:tab/>
      </w:r>
      <w:r w:rsidRPr="00C91D59">
        <w:rPr>
          <w:rStyle w:val="FootnoteReference"/>
        </w:rPr>
        <w:footnoteRef/>
      </w:r>
      <w:r w:rsidRPr="00DC1964">
        <w:tab/>
        <w:t xml:space="preserve">Avis </w:t>
      </w:r>
      <w:r>
        <w:t>n</w:t>
      </w:r>
      <w:r w:rsidRPr="00DC1964">
        <w:rPr>
          <w:vertAlign w:val="superscript"/>
        </w:rPr>
        <w:t>o</w:t>
      </w:r>
      <w:r>
        <w:t> </w:t>
      </w:r>
      <w:r w:rsidRPr="00D36F31">
        <w:t>1/2017, par.</w:t>
      </w:r>
      <w:r>
        <w:t xml:space="preserve"> </w:t>
      </w:r>
      <w:r w:rsidRPr="00D36F31">
        <w:t>59</w:t>
      </w:r>
      <w:r>
        <w:t> ; n</w:t>
      </w:r>
      <w:r w:rsidRPr="00D36F31">
        <w:rPr>
          <w:vertAlign w:val="superscript"/>
        </w:rPr>
        <w:t>o</w:t>
      </w:r>
      <w:r>
        <w:t> 33</w:t>
      </w:r>
      <w:r w:rsidRPr="00D36F31">
        <w:t>/2017, par.</w:t>
      </w:r>
      <w:r>
        <w:t xml:space="preserve"> 98 ; n</w:t>
      </w:r>
      <w:r w:rsidRPr="00D36F31">
        <w:rPr>
          <w:vertAlign w:val="superscript"/>
        </w:rPr>
        <w:t>o</w:t>
      </w:r>
      <w:r>
        <w:t> 83</w:t>
      </w:r>
      <w:r w:rsidRPr="00D36F31">
        <w:t>/2017, par.</w:t>
      </w:r>
      <w:r>
        <w:t xml:space="preserve"> 87 et 88 ; n</w:t>
      </w:r>
      <w:r w:rsidRPr="00D36F31">
        <w:rPr>
          <w:vertAlign w:val="superscript"/>
        </w:rPr>
        <w:t>o</w:t>
      </w:r>
      <w:r>
        <w:t> 65</w:t>
      </w:r>
      <w:r w:rsidRPr="00D36F31">
        <w:t>/201</w:t>
      </w:r>
      <w:r>
        <w:t>9</w:t>
      </w:r>
      <w:r w:rsidRPr="00D36F31">
        <w:t>, par.</w:t>
      </w:r>
      <w:r>
        <w:t xml:space="preserve"> 85 ; et </w:t>
      </w:r>
      <w:r w:rsidR="00075500" w:rsidRPr="00DC1964">
        <w:rPr>
          <w:lang w:val="fr-FR"/>
        </w:rPr>
        <w:t>n</w:t>
      </w:r>
      <w:r w:rsidR="00075500" w:rsidRPr="00450020">
        <w:rPr>
          <w:vertAlign w:val="superscript"/>
          <w:lang w:val="fr-FR"/>
        </w:rPr>
        <w:t>o</w:t>
      </w:r>
      <w:r w:rsidR="00075500" w:rsidRPr="00450020">
        <w:rPr>
          <w:lang w:val="fr-FR"/>
        </w:rPr>
        <w:t> </w:t>
      </w:r>
      <w:r w:rsidRPr="00DC1964">
        <w:t>2/2021, par. 82. Voir également les avis n</w:t>
      </w:r>
      <w:r w:rsidRPr="00DC1964">
        <w:rPr>
          <w:vertAlign w:val="superscript"/>
        </w:rPr>
        <w:t>o</w:t>
      </w:r>
      <w:r>
        <w:t> 34/2013, n</w:t>
      </w:r>
      <w:r w:rsidRPr="00D36F31">
        <w:rPr>
          <w:vertAlign w:val="superscript"/>
        </w:rPr>
        <w:t>o</w:t>
      </w:r>
      <w:r>
        <w:t> 35/2013 et n</w:t>
      </w:r>
      <w:r w:rsidRPr="00D36F31">
        <w:rPr>
          <w:vertAlign w:val="superscript"/>
        </w:rPr>
        <w:t>o</w:t>
      </w:r>
      <w:r>
        <w:t> </w:t>
      </w:r>
      <w:r w:rsidRPr="00DC1964">
        <w:t>36/2013.</w:t>
      </w:r>
    </w:p>
  </w:footnote>
  <w:footnote w:id="25">
    <w:p w14:paraId="6F5323B7" w14:textId="77777777" w:rsidR="00C91D59" w:rsidRPr="00C403AC" w:rsidRDefault="00C91D59" w:rsidP="00C91D59">
      <w:pPr>
        <w:pStyle w:val="FootnoteText"/>
        <w:rPr>
          <w:lang w:val="es-ES"/>
        </w:rPr>
      </w:pPr>
      <w:r w:rsidRPr="00DC1964">
        <w:tab/>
      </w:r>
      <w:r w:rsidRPr="00C91D59">
        <w:rPr>
          <w:rStyle w:val="FootnoteReference"/>
        </w:rPr>
        <w:footnoteRef/>
      </w:r>
      <w:r w:rsidRPr="00C403AC">
        <w:rPr>
          <w:lang w:val="es-ES"/>
        </w:rPr>
        <w:tab/>
        <w:t>Avis n</w:t>
      </w:r>
      <w:r w:rsidRPr="00C403AC">
        <w:rPr>
          <w:vertAlign w:val="superscript"/>
          <w:lang w:val="es-ES"/>
        </w:rPr>
        <w:t>o</w:t>
      </w:r>
      <w:r w:rsidRPr="00C403AC">
        <w:rPr>
          <w:lang w:val="es-ES"/>
        </w:rPr>
        <w:t> 65/2019, par. 83.</w:t>
      </w:r>
    </w:p>
  </w:footnote>
  <w:footnote w:id="26">
    <w:p w14:paraId="638E093B" w14:textId="03BFE1D9" w:rsidR="00C91D59" w:rsidRPr="00075500" w:rsidRDefault="00C91D59" w:rsidP="00C91D59">
      <w:pPr>
        <w:pStyle w:val="FootnoteText"/>
        <w:rPr>
          <w:lang w:val="es-ES"/>
        </w:rPr>
      </w:pPr>
      <w:r w:rsidRPr="00C403AC">
        <w:rPr>
          <w:lang w:val="es-ES"/>
        </w:rPr>
        <w:tab/>
      </w:r>
      <w:r w:rsidRPr="00C91D59">
        <w:rPr>
          <w:rStyle w:val="FootnoteReference"/>
        </w:rPr>
        <w:footnoteRef/>
      </w:r>
      <w:r w:rsidRPr="00075500">
        <w:rPr>
          <w:lang w:val="es-ES"/>
        </w:rPr>
        <w:tab/>
        <w:t xml:space="preserve">Avis </w:t>
      </w:r>
      <w:r w:rsidR="00075500" w:rsidRPr="00075500">
        <w:rPr>
          <w:lang w:val="es-ES"/>
        </w:rPr>
        <w:t>n</w:t>
      </w:r>
      <w:r w:rsidR="00075500" w:rsidRPr="00075500">
        <w:rPr>
          <w:vertAlign w:val="superscript"/>
          <w:lang w:val="es-ES"/>
        </w:rPr>
        <w:t>o</w:t>
      </w:r>
      <w:r w:rsidR="00075500" w:rsidRPr="00075500">
        <w:rPr>
          <w:lang w:val="es-ES"/>
        </w:rPr>
        <w:t> </w:t>
      </w:r>
      <w:r w:rsidRPr="00075500">
        <w:rPr>
          <w:lang w:val="es-ES"/>
        </w:rPr>
        <w:t xml:space="preserve">46/2014, par. </w:t>
      </w:r>
      <w:proofErr w:type="gramStart"/>
      <w:r w:rsidRPr="00075500">
        <w:rPr>
          <w:lang w:val="es-ES"/>
        </w:rPr>
        <w:t>37 ;</w:t>
      </w:r>
      <w:proofErr w:type="gramEnd"/>
      <w:r w:rsidRPr="00075500">
        <w:rPr>
          <w:lang w:val="es-ES"/>
        </w:rPr>
        <w:t xml:space="preserve"> </w:t>
      </w:r>
      <w:r w:rsidR="00075500" w:rsidRPr="00075500">
        <w:rPr>
          <w:lang w:val="es-ES"/>
        </w:rPr>
        <w:t>n</w:t>
      </w:r>
      <w:r w:rsidR="00075500" w:rsidRPr="00075500">
        <w:rPr>
          <w:vertAlign w:val="superscript"/>
          <w:lang w:val="es-ES"/>
        </w:rPr>
        <w:t>o</w:t>
      </w:r>
      <w:r w:rsidR="00075500" w:rsidRPr="00075500">
        <w:rPr>
          <w:lang w:val="es-ES"/>
        </w:rPr>
        <w:t> </w:t>
      </w:r>
      <w:r w:rsidRPr="00075500">
        <w:rPr>
          <w:lang w:val="es-ES"/>
        </w:rPr>
        <w:t xml:space="preserve">29/2017, par. </w:t>
      </w:r>
      <w:proofErr w:type="gramStart"/>
      <w:r w:rsidRPr="00075500">
        <w:rPr>
          <w:lang w:val="es-ES"/>
        </w:rPr>
        <w:t>63 ;</w:t>
      </w:r>
      <w:proofErr w:type="gramEnd"/>
      <w:r w:rsidRPr="00075500">
        <w:rPr>
          <w:lang w:val="es-ES"/>
        </w:rPr>
        <w:t xml:space="preserve"> </w:t>
      </w:r>
      <w:r w:rsidR="00075500" w:rsidRPr="00075500">
        <w:rPr>
          <w:lang w:val="es-ES"/>
        </w:rPr>
        <w:t>n</w:t>
      </w:r>
      <w:r w:rsidR="00075500" w:rsidRPr="00075500">
        <w:rPr>
          <w:vertAlign w:val="superscript"/>
          <w:lang w:val="es-ES"/>
        </w:rPr>
        <w:t>o</w:t>
      </w:r>
      <w:r w:rsidR="00075500" w:rsidRPr="00075500">
        <w:rPr>
          <w:lang w:val="es-ES"/>
        </w:rPr>
        <w:t> </w:t>
      </w:r>
      <w:r w:rsidRPr="00075500">
        <w:rPr>
          <w:lang w:val="es-ES"/>
        </w:rPr>
        <w:t xml:space="preserve">59/2019, par. </w:t>
      </w:r>
      <w:proofErr w:type="gramStart"/>
      <w:r w:rsidRPr="00075500">
        <w:rPr>
          <w:lang w:val="es-ES"/>
        </w:rPr>
        <w:t>69 ;</w:t>
      </w:r>
      <w:proofErr w:type="gramEnd"/>
      <w:r w:rsidRPr="00075500">
        <w:rPr>
          <w:lang w:val="es-ES"/>
        </w:rPr>
        <w:t xml:space="preserve"> et </w:t>
      </w:r>
      <w:r w:rsidR="00075500" w:rsidRPr="00075500">
        <w:rPr>
          <w:lang w:val="es-ES"/>
        </w:rPr>
        <w:t>n</w:t>
      </w:r>
      <w:r w:rsidR="00075500" w:rsidRPr="00075500">
        <w:rPr>
          <w:vertAlign w:val="superscript"/>
          <w:lang w:val="es-ES"/>
        </w:rPr>
        <w:t>o</w:t>
      </w:r>
      <w:r w:rsidR="00075500" w:rsidRPr="00075500">
        <w:rPr>
          <w:lang w:val="es-ES"/>
        </w:rPr>
        <w:t> </w:t>
      </w:r>
      <w:r w:rsidRPr="00075500">
        <w:rPr>
          <w:lang w:val="es-ES"/>
        </w:rPr>
        <w:t>31/2022, par. 99.</w:t>
      </w:r>
    </w:p>
  </w:footnote>
  <w:footnote w:id="27">
    <w:p w14:paraId="5B05100C" w14:textId="54C35CC7" w:rsidR="00C91D59" w:rsidRPr="00DC1964" w:rsidRDefault="00C91D59" w:rsidP="00C91D59">
      <w:pPr>
        <w:pStyle w:val="FootnoteText"/>
      </w:pPr>
      <w:r w:rsidRPr="00075500">
        <w:rPr>
          <w:lang w:val="es-ES"/>
        </w:rPr>
        <w:tab/>
      </w:r>
      <w:r w:rsidRPr="00C91D59">
        <w:rPr>
          <w:rStyle w:val="FootnoteReference"/>
        </w:rPr>
        <w:footnoteRef/>
      </w:r>
      <w:r w:rsidRPr="00DC1964">
        <w:tab/>
        <w:t xml:space="preserve">Résolution </w:t>
      </w:r>
      <w:hyperlink r:id="rId11" w:history="1">
        <w:r w:rsidRPr="00C91D59">
          <w:rPr>
            <w:rStyle w:val="Hyperlink"/>
          </w:rPr>
          <w:t>51/8</w:t>
        </w:r>
      </w:hyperlink>
      <w:r w:rsidRPr="00DC1964">
        <w:t xml:space="preserve"> du Conseil des droits de l’homme, par.</w:t>
      </w:r>
      <w:r>
        <w:t xml:space="preserve"> </w:t>
      </w:r>
      <w:r w:rsidRPr="00DC1964">
        <w:t>6 et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1D84" w14:textId="787FEA94" w:rsidR="00C91D59" w:rsidRPr="00C91D59" w:rsidRDefault="00C403AC">
    <w:pPr>
      <w:pStyle w:val="Header"/>
    </w:pPr>
    <w:r>
      <w:rPr>
        <w:noProof/>
      </w:rPr>
      <w:pict w14:anchorId="671A56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8204" o:spid="_x0000_s1026" type="#_x0000_t136" style="position:absolute;margin-left:0;margin-top:0;width:708.75pt;height:81.75pt;rotation:315;z-index:-251655168;mso-position-horizontal:center;mso-position-horizontal-relative:margin;mso-position-vertical:center;mso-position-vertical-relative:margin" o:allowincell="f" fillcolor="silver" stroked="f">
          <v:fill opacity=".5"/>
          <v:textpath style="font-family:&quot;Times New Roman&quot;;font-size:1in" string="Advance Edited Version"/>
        </v:shape>
      </w:pict>
    </w:r>
    <w:r>
      <w:fldChar w:fldCharType="begin"/>
    </w:r>
    <w:r>
      <w:instrText xml:space="preserve"> TITLE  \* MERGEFORMAT </w:instrText>
    </w:r>
    <w:r>
      <w:fldChar w:fldCharType="separate"/>
    </w:r>
    <w:r w:rsidR="00C91D59">
      <w:t>A/HRC/WGAD/2023/53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C7948" w14:textId="3A0916BF" w:rsidR="00C91D59" w:rsidRPr="00C91D59" w:rsidRDefault="00C403AC" w:rsidP="00C91D59">
    <w:pPr>
      <w:pStyle w:val="Header"/>
      <w:jc w:val="right"/>
    </w:pPr>
    <w:r>
      <w:rPr>
        <w:noProof/>
      </w:rPr>
      <w:pict w14:anchorId="7B0CED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8205" o:spid="_x0000_s1027" type="#_x0000_t136" style="position:absolute;left:0;text-align:left;margin-left:0;margin-top:0;width:708.75pt;height:81.75pt;rotation:315;z-index:-251653120;mso-position-horizontal:center;mso-position-horizontal-relative:margin;mso-position-vertical:center;mso-position-vertical-relative:margin" o:allowincell="f" fillcolor="silver" stroked="f">
          <v:fill opacity=".5"/>
          <v:textpath style="font-family:&quot;Times New Roman&quot;;font-size:1in" string="Advance Edited Version"/>
        </v:shape>
      </w:pict>
    </w:r>
    <w:r>
      <w:fldChar w:fldCharType="begin"/>
    </w:r>
    <w:r>
      <w:instrText xml:space="preserve"> TITLE  \* MERGEFORMAT </w:instrText>
    </w:r>
    <w:r>
      <w:fldChar w:fldCharType="separate"/>
    </w:r>
    <w:r w:rsidR="00C91D59">
      <w:t>A/HRC/WGAD/2023/53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1D9D2" w14:textId="23EAA6DB" w:rsidR="00C403AC" w:rsidRDefault="00C403AC">
    <w:pPr>
      <w:pStyle w:val="Header"/>
    </w:pPr>
    <w:r>
      <w:rPr>
        <w:noProof/>
      </w:rPr>
      <w:pict w14:anchorId="1BD05F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8203" o:spid="_x0000_s1025" type="#_x0000_t136" style="position:absolute;margin-left:0;margin-top:0;width:708.75pt;height:81.75pt;rotation:315;z-index:-251657216;mso-position-horizontal:center;mso-position-horizontal-relative:margin;mso-position-vertical:center;mso-position-vertical-relative:margin" o:allowincell="f" fillcolor="silver" stroked="f">
          <v:fill opacity=".5"/>
          <v:textpath style="font-family:&quot;Times New Roman&quot;;font-size:1in" string="Advance Edited Vers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101422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0F903C57"/>
    <w:multiLevelType w:val="hybridMultilevel"/>
    <w:tmpl w:val="B8868D1C"/>
    <w:lvl w:ilvl="0" w:tplc="DA5C9D02">
      <w:start w:val="1"/>
      <w:numFmt w:val="bullet"/>
      <w:lvlText w:val="a"/>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36C537A"/>
    <w:multiLevelType w:val="hybridMultilevel"/>
    <w:tmpl w:val="59B26786"/>
    <w:lvl w:ilvl="0" w:tplc="FA3C7C1A">
      <w:start w:val="1"/>
      <w:numFmt w:val="decimal"/>
      <w:lvlText w:val="%1."/>
      <w:lvlJc w:val="left"/>
      <w:pPr>
        <w:ind w:left="1138" w:hanging="4"/>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13" w15:restartNumberingAfterBreak="0">
    <w:nsid w:val="1B4D002C"/>
    <w:multiLevelType w:val="hybridMultilevel"/>
    <w:tmpl w:val="696CE27E"/>
    <w:lvl w:ilvl="0" w:tplc="81260DAA">
      <w:start w:val="1"/>
      <w:numFmt w:val="decimal"/>
      <w:lvlText w:val="%1."/>
      <w:lvlJc w:val="left"/>
      <w:pPr>
        <w:ind w:left="240" w:firstLine="0"/>
      </w:pPr>
      <w:rPr>
        <w:rFonts w:ascii="Times New Roman" w:eastAsia="Times New Roman" w:hAnsi="Times New Roman" w:cs="Times New Roman"/>
        <w:b w:val="0"/>
        <w:bCs w:val="0"/>
        <w:i w:val="0"/>
        <w:strike w:val="0"/>
        <w:dstrike w:val="0"/>
        <w:color w:val="000000"/>
        <w:sz w:val="22"/>
        <w:szCs w:val="22"/>
        <w:u w:val="none" w:color="000000"/>
        <w:effect w:val="none"/>
        <w:bdr w:val="none" w:sz="0" w:space="0" w:color="auto" w:frame="1"/>
        <w:vertAlign w:val="baseli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D152B6A"/>
    <w:multiLevelType w:val="hybridMultilevel"/>
    <w:tmpl w:val="765E9368"/>
    <w:lvl w:ilvl="0" w:tplc="7C7295BC">
      <w:start w:val="1"/>
      <w:numFmt w:val="decimal"/>
      <w:pStyle w:val="Numberedparas"/>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4719C7"/>
    <w:multiLevelType w:val="hybridMultilevel"/>
    <w:tmpl w:val="7520D86C"/>
    <w:lvl w:ilvl="0" w:tplc="932C9CA8">
      <w:start w:val="1"/>
      <w:numFmt w:val="decimal"/>
      <w:lvlText w:val="%1."/>
      <w:lvlJc w:val="left"/>
      <w:pPr>
        <w:ind w:left="1704" w:hanging="570"/>
      </w:pPr>
      <w:rPr>
        <w:rFonts w:hint="default"/>
      </w:rPr>
    </w:lvl>
    <w:lvl w:ilvl="1" w:tplc="20000019">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16" w15:restartNumberingAfterBreak="0">
    <w:nsid w:val="38067A99"/>
    <w:multiLevelType w:val="hybridMultilevel"/>
    <w:tmpl w:val="F7BA50DC"/>
    <w:lvl w:ilvl="0" w:tplc="FFFFFFFF">
      <w:start w:val="1"/>
      <w:numFmt w:val="decimal"/>
      <w:lvlText w:val="%1."/>
      <w:lvlJc w:val="left"/>
      <w:pPr>
        <w:ind w:left="1494" w:hanging="360"/>
      </w:pPr>
    </w:lvl>
    <w:lvl w:ilvl="1" w:tplc="20000019">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17" w15:restartNumberingAfterBreak="0">
    <w:nsid w:val="3ACF4EB2"/>
    <w:multiLevelType w:val="hybridMultilevel"/>
    <w:tmpl w:val="DE6EBD0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3D3E469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B73F1C"/>
    <w:multiLevelType w:val="hybridMultilevel"/>
    <w:tmpl w:val="91DACFC8"/>
    <w:lvl w:ilvl="0" w:tplc="FFFFFFFF">
      <w:start w:val="1"/>
      <w:numFmt w:val="decimal"/>
      <w:lvlText w:val="%1."/>
      <w:lvlJc w:val="left"/>
      <w:pPr>
        <w:ind w:left="1494" w:hanging="360"/>
      </w:p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20" w15:restartNumberingAfterBreak="0">
    <w:nsid w:val="428B09E6"/>
    <w:multiLevelType w:val="hybridMultilevel"/>
    <w:tmpl w:val="E19A71E6"/>
    <w:lvl w:ilvl="0" w:tplc="FFFFFFFF">
      <w:start w:val="1"/>
      <w:numFmt w:val="decimal"/>
      <w:lvlText w:val="%1."/>
      <w:lvlJc w:val="left"/>
      <w:pPr>
        <w:ind w:left="1490" w:hanging="360"/>
      </w:pPr>
      <w:rPr>
        <w:rFonts w:ascii="Times New Roman" w:hAnsi="Times New Roman" w:hint="default"/>
        <w:vertAlign w:val="baseline"/>
      </w:rPr>
    </w:lvl>
    <w:lvl w:ilvl="1" w:tplc="20000019" w:tentative="1">
      <w:start w:val="1"/>
      <w:numFmt w:val="lowerLetter"/>
      <w:lvlText w:val="%2."/>
      <w:lvlJc w:val="left"/>
      <w:pPr>
        <w:ind w:left="2210" w:hanging="360"/>
      </w:pPr>
    </w:lvl>
    <w:lvl w:ilvl="2" w:tplc="2000001B" w:tentative="1">
      <w:start w:val="1"/>
      <w:numFmt w:val="lowerRoman"/>
      <w:lvlText w:val="%3."/>
      <w:lvlJc w:val="right"/>
      <w:pPr>
        <w:ind w:left="2930" w:hanging="180"/>
      </w:pPr>
    </w:lvl>
    <w:lvl w:ilvl="3" w:tplc="2000000F" w:tentative="1">
      <w:start w:val="1"/>
      <w:numFmt w:val="decimal"/>
      <w:lvlText w:val="%4."/>
      <w:lvlJc w:val="left"/>
      <w:pPr>
        <w:ind w:left="3650" w:hanging="360"/>
      </w:pPr>
    </w:lvl>
    <w:lvl w:ilvl="4" w:tplc="20000019" w:tentative="1">
      <w:start w:val="1"/>
      <w:numFmt w:val="lowerLetter"/>
      <w:lvlText w:val="%5."/>
      <w:lvlJc w:val="left"/>
      <w:pPr>
        <w:ind w:left="4370" w:hanging="360"/>
      </w:pPr>
    </w:lvl>
    <w:lvl w:ilvl="5" w:tplc="2000001B" w:tentative="1">
      <w:start w:val="1"/>
      <w:numFmt w:val="lowerRoman"/>
      <w:lvlText w:val="%6."/>
      <w:lvlJc w:val="right"/>
      <w:pPr>
        <w:ind w:left="5090" w:hanging="180"/>
      </w:pPr>
    </w:lvl>
    <w:lvl w:ilvl="6" w:tplc="2000000F" w:tentative="1">
      <w:start w:val="1"/>
      <w:numFmt w:val="decimal"/>
      <w:lvlText w:val="%7."/>
      <w:lvlJc w:val="left"/>
      <w:pPr>
        <w:ind w:left="5810" w:hanging="360"/>
      </w:pPr>
    </w:lvl>
    <w:lvl w:ilvl="7" w:tplc="20000019" w:tentative="1">
      <w:start w:val="1"/>
      <w:numFmt w:val="lowerLetter"/>
      <w:lvlText w:val="%8."/>
      <w:lvlJc w:val="left"/>
      <w:pPr>
        <w:ind w:left="6530" w:hanging="360"/>
      </w:pPr>
    </w:lvl>
    <w:lvl w:ilvl="8" w:tplc="2000001B" w:tentative="1">
      <w:start w:val="1"/>
      <w:numFmt w:val="lowerRoman"/>
      <w:lvlText w:val="%9."/>
      <w:lvlJc w:val="right"/>
      <w:pPr>
        <w:ind w:left="7250" w:hanging="180"/>
      </w:pPr>
    </w:lvl>
  </w:abstractNum>
  <w:abstractNum w:abstractNumId="21" w15:restartNumberingAfterBreak="0">
    <w:nsid w:val="51AF729C"/>
    <w:multiLevelType w:val="hybridMultilevel"/>
    <w:tmpl w:val="28DAB4EE"/>
    <w:lvl w:ilvl="0" w:tplc="B44EA184">
      <w:start w:val="1"/>
      <w:numFmt w:val="decimal"/>
      <w:lvlText w:val="%1."/>
      <w:lvlJc w:val="left"/>
      <w:pPr>
        <w:ind w:left="1494" w:hanging="360"/>
      </w:pPr>
      <w:rPr>
        <w:sz w:val="20"/>
        <w:szCs w:val="20"/>
      </w:rPr>
    </w:lvl>
    <w:lvl w:ilvl="1" w:tplc="20000019">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22" w15:restartNumberingAfterBreak="0">
    <w:nsid w:val="67F20BF5"/>
    <w:multiLevelType w:val="hybridMultilevel"/>
    <w:tmpl w:val="AEB4A958"/>
    <w:lvl w:ilvl="0" w:tplc="43A6897C">
      <w:start w:val="1"/>
      <w:numFmt w:val="decimal"/>
      <w:lvlText w:val="%1."/>
      <w:lvlJc w:val="left"/>
      <w:pPr>
        <w:ind w:left="644"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AD07B2"/>
    <w:multiLevelType w:val="hybridMultilevel"/>
    <w:tmpl w:val="7B26D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6AD70A3F"/>
    <w:multiLevelType w:val="hybridMultilevel"/>
    <w:tmpl w:val="D05A84A2"/>
    <w:lvl w:ilvl="0" w:tplc="FFFFFFFF">
      <w:start w:val="1"/>
      <w:numFmt w:val="decimal"/>
      <w:lvlText w:val="%1."/>
      <w:lvlJc w:val="left"/>
      <w:pPr>
        <w:ind w:left="1494" w:hanging="360"/>
      </w:pPr>
      <w:rPr>
        <w:sz w:val="20"/>
        <w:szCs w:val="20"/>
      </w:rPr>
    </w:lvl>
    <w:lvl w:ilvl="1" w:tplc="FFFFFFFF">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num w:numId="1" w16cid:durableId="1613516311">
    <w:abstractNumId w:val="23"/>
  </w:num>
  <w:num w:numId="2" w16cid:durableId="1013914655">
    <w:abstractNumId w:val="17"/>
  </w:num>
  <w:num w:numId="3" w16cid:durableId="1537543150">
    <w:abstractNumId w:val="10"/>
  </w:num>
  <w:num w:numId="4" w16cid:durableId="1945072870">
    <w:abstractNumId w:val="8"/>
  </w:num>
  <w:num w:numId="5" w16cid:durableId="1973364784">
    <w:abstractNumId w:val="3"/>
  </w:num>
  <w:num w:numId="6" w16cid:durableId="2046444967">
    <w:abstractNumId w:val="2"/>
  </w:num>
  <w:num w:numId="7" w16cid:durableId="1814830800">
    <w:abstractNumId w:val="1"/>
  </w:num>
  <w:num w:numId="8" w16cid:durableId="39790275">
    <w:abstractNumId w:val="0"/>
  </w:num>
  <w:num w:numId="9" w16cid:durableId="1457599080">
    <w:abstractNumId w:val="9"/>
  </w:num>
  <w:num w:numId="10" w16cid:durableId="528841248">
    <w:abstractNumId w:val="7"/>
  </w:num>
  <w:num w:numId="11" w16cid:durableId="680427314">
    <w:abstractNumId w:val="6"/>
  </w:num>
  <w:num w:numId="12" w16cid:durableId="864640458">
    <w:abstractNumId w:val="5"/>
  </w:num>
  <w:num w:numId="13" w16cid:durableId="25107885">
    <w:abstractNumId w:val="4"/>
  </w:num>
  <w:num w:numId="14" w16cid:durableId="286008762">
    <w:abstractNumId w:val="23"/>
  </w:num>
  <w:num w:numId="15" w16cid:durableId="845830283">
    <w:abstractNumId w:val="17"/>
  </w:num>
  <w:num w:numId="16" w16cid:durableId="201289834">
    <w:abstractNumId w:val="10"/>
  </w:num>
  <w:num w:numId="17" w16cid:durableId="1889759868">
    <w:abstractNumId w:val="13"/>
  </w:num>
  <w:num w:numId="18" w16cid:durableId="1073045708">
    <w:abstractNumId w:val="21"/>
  </w:num>
  <w:num w:numId="19" w16cid:durableId="1056395752">
    <w:abstractNumId w:val="12"/>
  </w:num>
  <w:num w:numId="20" w16cid:durableId="2096196124">
    <w:abstractNumId w:val="16"/>
  </w:num>
  <w:num w:numId="21" w16cid:durableId="156313995">
    <w:abstractNumId w:val="15"/>
  </w:num>
  <w:num w:numId="22" w16cid:durableId="1674452979">
    <w:abstractNumId w:val="20"/>
  </w:num>
  <w:num w:numId="23" w16cid:durableId="1861964531">
    <w:abstractNumId w:val="22"/>
  </w:num>
  <w:num w:numId="24" w16cid:durableId="2127116437">
    <w:abstractNumId w:val="19"/>
  </w:num>
  <w:num w:numId="25" w16cid:durableId="1485851912">
    <w:abstractNumId w:val="11"/>
  </w:num>
  <w:num w:numId="26" w16cid:durableId="1987736645">
    <w:abstractNumId w:val="18"/>
  </w:num>
  <w:num w:numId="27" w16cid:durableId="1233272825">
    <w:abstractNumId w:val="14"/>
  </w:num>
  <w:num w:numId="28" w16cid:durableId="213293800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567"/>
  <w:hyphenationZone w:val="425"/>
  <w:evenAndOddHeaders/>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BE0"/>
    <w:rsid w:val="00023842"/>
    <w:rsid w:val="00075500"/>
    <w:rsid w:val="0007796D"/>
    <w:rsid w:val="000E5ADA"/>
    <w:rsid w:val="000F2457"/>
    <w:rsid w:val="00111F2F"/>
    <w:rsid w:val="00131E73"/>
    <w:rsid w:val="0014365E"/>
    <w:rsid w:val="00176178"/>
    <w:rsid w:val="001F525A"/>
    <w:rsid w:val="00212168"/>
    <w:rsid w:val="002165E2"/>
    <w:rsid w:val="00260711"/>
    <w:rsid w:val="002E0D9C"/>
    <w:rsid w:val="002E35DE"/>
    <w:rsid w:val="003547BE"/>
    <w:rsid w:val="003C35EC"/>
    <w:rsid w:val="00446FE5"/>
    <w:rsid w:val="004D4CB4"/>
    <w:rsid w:val="00552797"/>
    <w:rsid w:val="00573BE5"/>
    <w:rsid w:val="00586ED3"/>
    <w:rsid w:val="00587A52"/>
    <w:rsid w:val="005A2A05"/>
    <w:rsid w:val="005B4E23"/>
    <w:rsid w:val="00617B29"/>
    <w:rsid w:val="0068446C"/>
    <w:rsid w:val="00695AED"/>
    <w:rsid w:val="006E0A98"/>
    <w:rsid w:val="00710BD6"/>
    <w:rsid w:val="0071601D"/>
    <w:rsid w:val="00721020"/>
    <w:rsid w:val="00731589"/>
    <w:rsid w:val="00787031"/>
    <w:rsid w:val="0080684C"/>
    <w:rsid w:val="00840FB4"/>
    <w:rsid w:val="00871C75"/>
    <w:rsid w:val="008776DC"/>
    <w:rsid w:val="008B386A"/>
    <w:rsid w:val="0094352E"/>
    <w:rsid w:val="00962015"/>
    <w:rsid w:val="009705C8"/>
    <w:rsid w:val="009A47AB"/>
    <w:rsid w:val="00A12E20"/>
    <w:rsid w:val="00A2307A"/>
    <w:rsid w:val="00AC7BEB"/>
    <w:rsid w:val="00AE323C"/>
    <w:rsid w:val="00B16AAF"/>
    <w:rsid w:val="00B22A9E"/>
    <w:rsid w:val="00B24C75"/>
    <w:rsid w:val="00B528BF"/>
    <w:rsid w:val="00BB45D4"/>
    <w:rsid w:val="00BE2FA2"/>
    <w:rsid w:val="00C02897"/>
    <w:rsid w:val="00C12613"/>
    <w:rsid w:val="00C403AC"/>
    <w:rsid w:val="00C91D59"/>
    <w:rsid w:val="00CB5033"/>
    <w:rsid w:val="00CD1BE0"/>
    <w:rsid w:val="00D45432"/>
    <w:rsid w:val="00DB1831"/>
    <w:rsid w:val="00DD3BFD"/>
    <w:rsid w:val="00E228A8"/>
    <w:rsid w:val="00E6618E"/>
    <w:rsid w:val="00EA2145"/>
    <w:rsid w:val="00ED7844"/>
    <w:rsid w:val="00EF7F30"/>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5ED43"/>
  <w15:docId w15:val="{D3A6BAB1-99EE-4D8B-96B6-5B070071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07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A2307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uiPriority w:val="99"/>
    <w:qFormat/>
    <w:rsid w:val="00A2307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A2307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A2307A"/>
    <w:pPr>
      <w:spacing w:line="240" w:lineRule="auto"/>
    </w:pPr>
    <w:rPr>
      <w:sz w:val="16"/>
    </w:rPr>
  </w:style>
  <w:style w:type="character" w:customStyle="1" w:styleId="FooterChar">
    <w:name w:val="Footer Char"/>
    <w:aliases w:val="3_G Char"/>
    <w:basedOn w:val="DefaultParagraphFont"/>
    <w:link w:val="Footer"/>
    <w:rsid w:val="00A2307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2307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A2307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A2307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A2307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A2307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A2307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A2307A"/>
    <w:pPr>
      <w:tabs>
        <w:tab w:val="left" w:pos="1701"/>
        <w:tab w:val="left" w:pos="2268"/>
        <w:tab w:val="left" w:pos="2835"/>
      </w:tabs>
      <w:spacing w:after="120"/>
      <w:ind w:left="1134" w:right="1134"/>
      <w:jc w:val="both"/>
    </w:pPr>
  </w:style>
  <w:style w:type="paragraph" w:customStyle="1" w:styleId="SLG">
    <w:name w:val="__S_L_G"/>
    <w:basedOn w:val="Normal"/>
    <w:next w:val="Normal"/>
    <w:rsid w:val="00A2307A"/>
    <w:pPr>
      <w:keepNext/>
      <w:keepLines/>
      <w:spacing w:before="240" w:after="240" w:line="580" w:lineRule="exact"/>
      <w:ind w:left="1134" w:right="1134"/>
    </w:pPr>
    <w:rPr>
      <w:b/>
      <w:sz w:val="56"/>
    </w:rPr>
  </w:style>
  <w:style w:type="paragraph" w:customStyle="1" w:styleId="SMG">
    <w:name w:val="__S_M_G"/>
    <w:basedOn w:val="Normal"/>
    <w:next w:val="Normal"/>
    <w:rsid w:val="00A2307A"/>
    <w:pPr>
      <w:keepNext/>
      <w:keepLines/>
      <w:spacing w:before="240" w:after="240" w:line="420" w:lineRule="exact"/>
      <w:ind w:left="1134" w:right="1134"/>
    </w:pPr>
    <w:rPr>
      <w:b/>
      <w:sz w:val="40"/>
    </w:rPr>
  </w:style>
  <w:style w:type="paragraph" w:customStyle="1" w:styleId="SSG">
    <w:name w:val="__S_S_G"/>
    <w:basedOn w:val="Normal"/>
    <w:next w:val="Normal"/>
    <w:rsid w:val="00A2307A"/>
    <w:pPr>
      <w:keepNext/>
      <w:keepLines/>
      <w:spacing w:before="240" w:after="240" w:line="300" w:lineRule="exact"/>
      <w:ind w:left="1134" w:right="1134"/>
    </w:pPr>
    <w:rPr>
      <w:b/>
      <w:sz w:val="28"/>
    </w:rPr>
  </w:style>
  <w:style w:type="paragraph" w:customStyle="1" w:styleId="XLargeG">
    <w:name w:val="__XLarge_G"/>
    <w:basedOn w:val="Normal"/>
    <w:next w:val="Normal"/>
    <w:rsid w:val="00A2307A"/>
    <w:pPr>
      <w:keepNext/>
      <w:keepLines/>
      <w:spacing w:before="240" w:after="240" w:line="420" w:lineRule="exact"/>
      <w:ind w:left="1134" w:right="1134"/>
    </w:pPr>
    <w:rPr>
      <w:b/>
      <w:sz w:val="40"/>
    </w:rPr>
  </w:style>
  <w:style w:type="paragraph" w:customStyle="1" w:styleId="Bullet1G">
    <w:name w:val="_Bullet 1_G"/>
    <w:basedOn w:val="Normal"/>
    <w:qFormat/>
    <w:rsid w:val="00A2307A"/>
    <w:pPr>
      <w:numPr>
        <w:numId w:val="14"/>
      </w:numPr>
      <w:spacing w:after="120"/>
      <w:ind w:right="1134"/>
      <w:jc w:val="both"/>
    </w:pPr>
  </w:style>
  <w:style w:type="paragraph" w:customStyle="1" w:styleId="Bullet2G">
    <w:name w:val="_Bullet 2_G"/>
    <w:basedOn w:val="Normal"/>
    <w:qFormat/>
    <w:rsid w:val="00A2307A"/>
    <w:pPr>
      <w:numPr>
        <w:numId w:val="15"/>
      </w:numPr>
      <w:spacing w:after="120"/>
      <w:ind w:right="1134"/>
      <w:jc w:val="both"/>
    </w:pPr>
  </w:style>
  <w:style w:type="paragraph" w:customStyle="1" w:styleId="ParNoG">
    <w:name w:val="_ParNo_G"/>
    <w:basedOn w:val="Normal"/>
    <w:qFormat/>
    <w:rsid w:val="00A2307A"/>
    <w:pPr>
      <w:numPr>
        <w:numId w:val="16"/>
      </w:numPr>
      <w:tabs>
        <w:tab w:val="left" w:pos="1701"/>
        <w:tab w:val="left" w:pos="2268"/>
        <w:tab w:val="left" w:pos="2835"/>
      </w:tabs>
      <w:spacing w:after="120"/>
      <w:ind w:right="1134"/>
      <w:jc w:val="both"/>
    </w:pPr>
  </w:style>
  <w:style w:type="character" w:styleId="FootnoteReference">
    <w:name w:val="footnote reference"/>
    <w:aliases w:val="4_G,4_G Char Char,Appel note de bas de page Char Char,Appel note de bas de page Char Char Char Char Char Char Char Char Char Char Char Char Char Char Char Char Char Char Char Char,Footnotes refss,Texto de nota al pie,BVI fnr,f"/>
    <w:basedOn w:val="DefaultParagraphFont"/>
    <w:qFormat/>
    <w:rsid w:val="00A2307A"/>
    <w:rPr>
      <w:rFonts w:ascii="Times New Roman" w:hAnsi="Times New Roman"/>
      <w:sz w:val="18"/>
      <w:vertAlign w:val="superscript"/>
      <w:lang w:val="fr-CH"/>
    </w:rPr>
  </w:style>
  <w:style w:type="character" w:styleId="EndnoteReference">
    <w:name w:val="endnote reference"/>
    <w:aliases w:val="1_G"/>
    <w:basedOn w:val="FootnoteReference"/>
    <w:qFormat/>
    <w:rsid w:val="00A2307A"/>
    <w:rPr>
      <w:rFonts w:ascii="Times New Roman" w:hAnsi="Times New Roman"/>
      <w:sz w:val="18"/>
      <w:vertAlign w:val="superscript"/>
      <w:lang w:val="fr-CH"/>
    </w:rPr>
  </w:style>
  <w:style w:type="table" w:styleId="TableGrid">
    <w:name w:val="Table Grid"/>
    <w:basedOn w:val="TableNormal"/>
    <w:rsid w:val="00A2307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A2307A"/>
    <w:rPr>
      <w:color w:val="0000FF"/>
      <w:u w:val="none"/>
    </w:rPr>
  </w:style>
  <w:style w:type="character" w:styleId="FollowedHyperlink">
    <w:name w:val="FollowedHyperlink"/>
    <w:basedOn w:val="DefaultParagraphFont"/>
    <w:unhideWhenUsed/>
    <w:rsid w:val="00A2307A"/>
    <w:rPr>
      <w:color w:val="0000FF"/>
      <w:u w:val="none"/>
    </w:rPr>
  </w:style>
  <w:style w:type="paragraph" w:styleId="FootnoteText">
    <w:name w:val="footnote text"/>
    <w:aliases w:val="5_G,Footnote Text Char Char Char Char Char Char,Footnote Text Char Char Char Char Char,FA,FA Fußnotentext,Footnote Text Char Char Char Char,Footnote Text Char Char,Footnote,Footnote Text Char1 Char3,Footnote Text Char Char Char,F,p"/>
    <w:basedOn w:val="Normal"/>
    <w:link w:val="FootnoteTextChar"/>
    <w:qFormat/>
    <w:rsid w:val="00A2307A"/>
    <w:pPr>
      <w:tabs>
        <w:tab w:val="right" w:pos="1021"/>
      </w:tabs>
      <w:spacing w:line="220" w:lineRule="exact"/>
      <w:ind w:left="1134" w:right="1134" w:hanging="1134"/>
    </w:pPr>
    <w:rPr>
      <w:sz w:val="18"/>
    </w:rPr>
  </w:style>
  <w:style w:type="character" w:customStyle="1" w:styleId="FootnoteTextChar">
    <w:name w:val="Footnote Text Char"/>
    <w:aliases w:val="5_G Char,Footnote Text Char Char Char Char Char Char Char,Footnote Text Char Char Char Char Char Char1,FA Char,FA Fußnotentext Char,Footnote Text Char Char Char Char Char1,Footnote Text Char Char Char1,Footnote Char,F Char,p Char"/>
    <w:basedOn w:val="DefaultParagraphFont"/>
    <w:link w:val="FootnoteText"/>
    <w:rsid w:val="00A2307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A2307A"/>
  </w:style>
  <w:style w:type="character" w:customStyle="1" w:styleId="EndnoteTextChar">
    <w:name w:val="Endnote Text Char"/>
    <w:aliases w:val="2_G Char"/>
    <w:basedOn w:val="DefaultParagraphFont"/>
    <w:link w:val="EndnoteText"/>
    <w:rsid w:val="00A2307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A2307A"/>
    <w:rPr>
      <w:rFonts w:ascii="Times New Roman" w:hAnsi="Times New Roman"/>
      <w:b/>
      <w:sz w:val="18"/>
      <w:lang w:val="fr-CH"/>
    </w:rPr>
  </w:style>
  <w:style w:type="character" w:customStyle="1" w:styleId="Heading1Char">
    <w:name w:val="Heading 1 Char"/>
    <w:aliases w:val="Table_G Char"/>
    <w:basedOn w:val="DefaultParagraphFont"/>
    <w:link w:val="Heading1"/>
    <w:rsid w:val="00A2307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A12E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E20"/>
    <w:rPr>
      <w:rFonts w:ascii="Tahoma" w:eastAsia="Times New Roman" w:hAnsi="Tahoma" w:cs="Tahoma"/>
      <w:sz w:val="16"/>
      <w:szCs w:val="16"/>
      <w:lang w:eastAsia="en-US"/>
    </w:rPr>
  </w:style>
  <w:style w:type="character" w:customStyle="1" w:styleId="SingleTxtGChar">
    <w:name w:val="_ Single Txt_G Char"/>
    <w:link w:val="SingleTxtG"/>
    <w:locked/>
    <w:rsid w:val="00C91D59"/>
    <w:rPr>
      <w:rFonts w:ascii="Times New Roman" w:eastAsiaTheme="minorHAnsi" w:hAnsi="Times New Roman" w:cs="Times New Roman"/>
      <w:sz w:val="20"/>
      <w:szCs w:val="20"/>
      <w:lang w:eastAsia="en-US"/>
    </w:rPr>
  </w:style>
  <w:style w:type="character" w:styleId="CommentReference">
    <w:name w:val="annotation reference"/>
    <w:basedOn w:val="DefaultParagraphFont"/>
    <w:uiPriority w:val="99"/>
    <w:semiHidden/>
    <w:unhideWhenUsed/>
    <w:rsid w:val="00C91D59"/>
    <w:rPr>
      <w:sz w:val="16"/>
      <w:szCs w:val="16"/>
    </w:rPr>
  </w:style>
  <w:style w:type="paragraph" w:styleId="CommentText">
    <w:name w:val="annotation text"/>
    <w:basedOn w:val="Normal"/>
    <w:link w:val="CommentTextChar"/>
    <w:uiPriority w:val="99"/>
    <w:unhideWhenUsed/>
    <w:rsid w:val="00C91D59"/>
    <w:pPr>
      <w:spacing w:line="240" w:lineRule="auto"/>
    </w:pPr>
  </w:style>
  <w:style w:type="character" w:customStyle="1" w:styleId="CommentTextChar">
    <w:name w:val="Comment Text Char"/>
    <w:basedOn w:val="DefaultParagraphFont"/>
    <w:link w:val="CommentText"/>
    <w:uiPriority w:val="99"/>
    <w:rsid w:val="00C91D59"/>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C91D59"/>
    <w:rPr>
      <w:b/>
      <w:bCs/>
    </w:rPr>
  </w:style>
  <w:style w:type="character" w:customStyle="1" w:styleId="CommentSubjectChar">
    <w:name w:val="Comment Subject Char"/>
    <w:basedOn w:val="CommentTextChar"/>
    <w:link w:val="CommentSubject"/>
    <w:uiPriority w:val="99"/>
    <w:semiHidden/>
    <w:rsid w:val="00C91D59"/>
    <w:rPr>
      <w:rFonts w:ascii="Times New Roman" w:eastAsiaTheme="minorHAnsi" w:hAnsi="Times New Roman" w:cs="Times New Roman"/>
      <w:b/>
      <w:bCs/>
      <w:sz w:val="20"/>
      <w:szCs w:val="20"/>
      <w:lang w:eastAsia="en-US"/>
    </w:rPr>
  </w:style>
  <w:style w:type="paragraph" w:styleId="ListParagraph">
    <w:name w:val="List Paragraph"/>
    <w:basedOn w:val="Normal"/>
    <w:uiPriority w:val="34"/>
    <w:qFormat/>
    <w:rsid w:val="00C91D59"/>
    <w:pPr>
      <w:suppressAutoHyphens w:val="0"/>
      <w:kinsoku/>
      <w:overflowPunct/>
      <w:autoSpaceDE/>
      <w:autoSpaceDN/>
      <w:adjustRightInd/>
      <w:snapToGrid/>
      <w:spacing w:line="276" w:lineRule="auto"/>
      <w:ind w:left="720"/>
      <w:contextualSpacing/>
    </w:pPr>
    <w:rPr>
      <w:rFonts w:ascii="Arial" w:eastAsia="Arial" w:hAnsi="Arial" w:cs="Arial"/>
      <w:sz w:val="22"/>
      <w:szCs w:val="22"/>
      <w:lang w:val="en"/>
    </w:rPr>
  </w:style>
  <w:style w:type="paragraph" w:customStyle="1" w:styleId="Numberedparas">
    <w:name w:val="Numbered paras"/>
    <w:basedOn w:val="ListParagraph"/>
    <w:qFormat/>
    <w:rsid w:val="00C91D59"/>
    <w:pPr>
      <w:numPr>
        <w:numId w:val="27"/>
      </w:numPr>
      <w:tabs>
        <w:tab w:val="num" w:pos="360"/>
        <w:tab w:val="num" w:pos="2268"/>
      </w:tabs>
      <w:adjustRightInd w:val="0"/>
      <w:spacing w:before="360" w:after="480"/>
      <w:ind w:left="2268" w:right="-357" w:firstLine="0"/>
      <w:contextualSpacing w:val="0"/>
      <w:jc w:val="both"/>
    </w:pPr>
    <w:rPr>
      <w:rFonts w:ascii="Times New Roman" w:eastAsiaTheme="minorHAnsi" w:hAnsi="Times New Roman" w:cstheme="minorBidi"/>
      <w:sz w:val="24"/>
      <w:lang w:val="en-GB"/>
    </w:rPr>
  </w:style>
  <w:style w:type="paragraph" w:styleId="Revision">
    <w:name w:val="Revision"/>
    <w:hidden/>
    <w:uiPriority w:val="99"/>
    <w:semiHidden/>
    <w:rsid w:val="00C91D59"/>
    <w:pPr>
      <w:spacing w:after="0" w:line="240" w:lineRule="auto"/>
    </w:pPr>
    <w:rPr>
      <w:rFonts w:ascii="Times New Roman" w:eastAsiaTheme="minorHAnsi" w:hAnsi="Times New Roman" w:cs="Times New Roman"/>
      <w:sz w:val="20"/>
      <w:szCs w:val="20"/>
      <w:lang w:eastAsia="en-US"/>
    </w:rPr>
  </w:style>
  <w:style w:type="character" w:styleId="UnresolvedMention">
    <w:name w:val="Unresolved Mention"/>
    <w:basedOn w:val="DefaultParagraphFont"/>
    <w:uiPriority w:val="99"/>
    <w:semiHidden/>
    <w:unhideWhenUsed/>
    <w:rsid w:val="00C91D59"/>
    <w:rPr>
      <w:color w:val="605E5C"/>
      <w:shd w:val="clear" w:color="auto" w:fill="E1DFDD"/>
    </w:rPr>
  </w:style>
  <w:style w:type="character" w:styleId="Emphasis">
    <w:name w:val="Emphasis"/>
    <w:basedOn w:val="DefaultParagraphFont"/>
    <w:uiPriority w:val="20"/>
    <w:qFormat/>
    <w:rsid w:val="00C91D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fr/A/RES/60/25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undocs.org/fr/A/HRC/RES/51/8"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undocs.org/fr/A/HRC/DEC/1/102"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undocs.org/fr/CCPR/C/DZA/CO/4" TargetMode="External"/><Relationship Id="rId3" Type="http://schemas.openxmlformats.org/officeDocument/2006/relationships/hyperlink" Target="http://undocs.org/fr/A/HRC/19/57" TargetMode="External"/><Relationship Id="rId7" Type="http://schemas.openxmlformats.org/officeDocument/2006/relationships/hyperlink" Target="http://undocs.org/fr/CCPR/C/DZA/CO/4" TargetMode="External"/><Relationship Id="rId2" Type="http://schemas.openxmlformats.org/officeDocument/2006/relationships/hyperlink" Target="https://spcommreports.ohchr.org/TMResultsBase/DownLoadPublicCommunicationFile?gId=26905" TargetMode="External"/><Relationship Id="rId1" Type="http://schemas.openxmlformats.org/officeDocument/2006/relationships/hyperlink" Target="http://undocs.org/fr/A/HRC/36/38" TargetMode="External"/><Relationship Id="rId6" Type="http://schemas.openxmlformats.org/officeDocument/2006/relationships/hyperlink" Target="http://undocs.org/fr/A/HRC/51/29" TargetMode="External"/><Relationship Id="rId11" Type="http://schemas.openxmlformats.org/officeDocument/2006/relationships/hyperlink" Target="http://undocs.org/fr/A/HRC/RES/51/8" TargetMode="External"/><Relationship Id="rId5" Type="http://schemas.openxmlformats.org/officeDocument/2006/relationships/hyperlink" Target="http://undocs.org/fr/A/HRC/19/57" TargetMode="External"/><Relationship Id="rId10" Type="http://schemas.openxmlformats.org/officeDocument/2006/relationships/hyperlink" Target="http://undocs.org/fr/A/HRC/45/16" TargetMode="External"/><Relationship Id="rId4" Type="http://schemas.openxmlformats.org/officeDocument/2006/relationships/hyperlink" Target="http://undocs.org/fr/A/HRC/45/16/Add.1" TargetMode="External"/><Relationship Id="rId9" Type="http://schemas.openxmlformats.org/officeDocument/2006/relationships/hyperlink" Target="http://undocs.org/fr/A/HRC/30/3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5AB59289BFBAB4F9FD152C776C60BDD" ma:contentTypeVersion="12" ma:contentTypeDescription="Create a new document." ma:contentTypeScope="" ma:versionID="dd020c2b76bd5cf67e6dfbf9215ef648">
  <xsd:schema xmlns:xsd="http://www.w3.org/2001/XMLSchema" xmlns:xs="http://www.w3.org/2001/XMLSchema" xmlns:p="http://schemas.microsoft.com/office/2006/metadata/properties" xmlns:ns2="fa1020ff-48ad-4b90-98f4-7161a6f3b630" xmlns:ns3="985ec44e-1bab-4c0b-9df0-6ba128686fc9" targetNamespace="http://schemas.microsoft.com/office/2006/metadata/properties" ma:root="true" ma:fieldsID="69822d2f6c9eb46d3b37a2d42054b039" ns2:_="" ns3:_="">
    <xsd:import namespace="fa1020ff-48ad-4b90-98f4-7161a6f3b630"/>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020ff-48ad-4b90-98f4-7161a6f3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fa1020ff-48ad-4b90-98f4-7161a6f3b6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3C4D617-A2D7-4690-9F2E-EACAD79E58EF}">
  <ds:schemaRefs>
    <ds:schemaRef ds:uri="http://schemas.openxmlformats.org/officeDocument/2006/bibliography"/>
  </ds:schemaRefs>
</ds:datastoreItem>
</file>

<file path=customXml/itemProps2.xml><?xml version="1.0" encoding="utf-8"?>
<ds:datastoreItem xmlns:ds="http://schemas.openxmlformats.org/officeDocument/2006/customXml" ds:itemID="{02322F92-7957-4140-9D9B-2DD144CF9A30}"/>
</file>

<file path=customXml/itemProps3.xml><?xml version="1.0" encoding="utf-8"?>
<ds:datastoreItem xmlns:ds="http://schemas.openxmlformats.org/officeDocument/2006/customXml" ds:itemID="{BF129466-595A-43A0-984B-43F8F4247DB1}"/>
</file>

<file path=customXml/itemProps4.xml><?xml version="1.0" encoding="utf-8"?>
<ds:datastoreItem xmlns:ds="http://schemas.openxmlformats.org/officeDocument/2006/customXml" ds:itemID="{9CD52F74-6DEE-4045-AC74-26C87C273110}"/>
</file>

<file path=docProps/app.xml><?xml version="1.0" encoding="utf-8"?>
<Properties xmlns="http://schemas.openxmlformats.org/officeDocument/2006/extended-properties" xmlns:vt="http://schemas.openxmlformats.org/officeDocument/2006/docPropsVTypes">
  <Template>A_HRC.dotm</Template>
  <TotalTime>1</TotalTime>
  <Pages>13</Pages>
  <Words>7076</Words>
  <Characters>40339</Characters>
  <Application>Microsoft Office Word</Application>
  <DocSecurity>0</DocSecurity>
  <Lines>336</Lines>
  <Paragraphs>94</Paragraphs>
  <ScaleCrop>false</ScaleCrop>
  <HeadingPairs>
    <vt:vector size="2" baseType="variant">
      <vt:variant>
        <vt:lpstr>Titre</vt:lpstr>
      </vt:variant>
      <vt:variant>
        <vt:i4>1</vt:i4>
      </vt:variant>
    </vt:vector>
  </HeadingPairs>
  <TitlesOfParts>
    <vt:vector size="1" baseType="lpstr">
      <vt:lpstr>A/HRC/WGAD/2023/53</vt:lpstr>
    </vt:vector>
  </TitlesOfParts>
  <Company>DCM</Company>
  <LinksUpToDate>false</LinksUpToDate>
  <CharactersWithSpaces>47321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Maria Vandoni</dc:title>
  <dc:subject/>
  <dc:creator>Sandrine CLERE</dc:creator>
  <cp:keywords/>
  <cp:lastModifiedBy>Juan Luis Barea Saavedra</cp:lastModifiedBy>
  <cp:revision>2</cp:revision>
  <dcterms:created xsi:type="dcterms:W3CDTF">2023-11-01T08:06:00Z</dcterms:created>
  <dcterms:modified xsi:type="dcterms:W3CDTF">2023-11-01T08:06:00Z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0x010100F5AB59289BFBAB4F9FD152C776C60BDD</vt:lpwstr>
  </property>
  <property fmtid="{D5CDD505-2E9C-101B-9397-08002B2CF9AE}" pid="3" name="_ExtendedDescription">
    <vt:lpwstr>Request to upload PDFs to WGAD 97th session</vt:lpwstr>
  </property>
</Properties>
</file>