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6F1FC" w14:textId="77777777" w:rsidR="002E71AA" w:rsidRDefault="002E71AA" w:rsidP="00D92197">
      <w:pPr>
        <w:jc w:val="center"/>
        <w:rPr>
          <w:rFonts w:ascii="Calibri" w:eastAsia="Times New Roman" w:hAnsi="Calibri" w:cs="Calibri"/>
          <w:b/>
          <w:bCs/>
        </w:rPr>
      </w:pPr>
      <w:bookmarkStart w:id="0" w:name="_GoBack"/>
      <w:bookmarkEnd w:id="0"/>
      <w:r w:rsidRPr="002E71AA">
        <w:rPr>
          <w:rFonts w:ascii="Calibri" w:eastAsia="Times New Roman" w:hAnsi="Calibri" w:cs="Calibri"/>
          <w:b/>
          <w:bCs/>
        </w:rPr>
        <w:t>Secretary-General’s report on a moratorium on the use of the death penalty</w:t>
      </w:r>
      <w:r>
        <w:rPr>
          <w:rFonts w:ascii="Calibri" w:eastAsia="Times New Roman" w:hAnsi="Calibri" w:cs="Calibri"/>
          <w:b/>
          <w:bCs/>
        </w:rPr>
        <w:t>:</w:t>
      </w:r>
    </w:p>
    <w:p w14:paraId="238B61C7" w14:textId="1A2D90C1" w:rsidR="002E71AA" w:rsidRPr="002E71AA" w:rsidRDefault="002E71AA" w:rsidP="002E71AA">
      <w:pPr>
        <w:jc w:val="center"/>
        <w:rPr>
          <w:rFonts w:ascii="Calibri" w:eastAsia="Times New Roman" w:hAnsi="Calibri" w:cs="Calibri"/>
          <w:b/>
          <w:bCs/>
        </w:rPr>
      </w:pPr>
      <w:r>
        <w:rPr>
          <w:rFonts w:ascii="Calibri" w:eastAsia="Times New Roman" w:hAnsi="Calibri" w:cs="Calibri"/>
          <w:b/>
          <w:bCs/>
        </w:rPr>
        <w:t xml:space="preserve"> the death penalty in Japan </w:t>
      </w:r>
    </w:p>
    <w:p w14:paraId="0ED5F704" w14:textId="02CE3DD8" w:rsidR="007C7E89" w:rsidRDefault="007C7E89" w:rsidP="00B13852">
      <w:pPr>
        <w:rPr>
          <w:rFonts w:ascii="Calibri" w:eastAsia="Times New Roman" w:hAnsi="Calibri" w:cs="Calibri"/>
          <w:u w:val="single"/>
        </w:rPr>
      </w:pPr>
    </w:p>
    <w:p w14:paraId="7093201F" w14:textId="4BC9889E" w:rsidR="002E71AA" w:rsidRPr="00016838" w:rsidRDefault="002E71AA" w:rsidP="002E71AA">
      <w:pPr>
        <w:rPr>
          <w:color w:val="000000" w:themeColor="text1"/>
        </w:rPr>
      </w:pPr>
      <w:r>
        <w:rPr>
          <w:color w:val="000000" w:themeColor="text1"/>
        </w:rPr>
        <w:t>22</w:t>
      </w:r>
      <w:r w:rsidRPr="00016838">
        <w:rPr>
          <w:color w:val="000000" w:themeColor="text1"/>
        </w:rPr>
        <w:t xml:space="preserve"> </w:t>
      </w:r>
      <w:r>
        <w:rPr>
          <w:color w:val="000000" w:themeColor="text1"/>
        </w:rPr>
        <w:t>April</w:t>
      </w:r>
      <w:r w:rsidRPr="00016838">
        <w:rPr>
          <w:color w:val="000000" w:themeColor="text1"/>
        </w:rPr>
        <w:t xml:space="preserve"> 2022</w:t>
      </w:r>
    </w:p>
    <w:p w14:paraId="4181180C" w14:textId="77777777" w:rsidR="002E71AA" w:rsidRPr="00016838" w:rsidRDefault="002E71AA" w:rsidP="002E71AA">
      <w:pPr>
        <w:rPr>
          <w:b/>
          <w:bCs/>
          <w:color w:val="000000" w:themeColor="text1"/>
        </w:rPr>
      </w:pPr>
    </w:p>
    <w:p w14:paraId="1084506A" w14:textId="004060EA" w:rsidR="002E71AA" w:rsidRPr="00016838" w:rsidRDefault="002E71AA" w:rsidP="002E71AA">
      <w:pPr>
        <w:rPr>
          <w:color w:val="000000" w:themeColor="text1"/>
        </w:rPr>
      </w:pPr>
      <w:r>
        <w:rPr>
          <w:color w:val="000000" w:themeColor="text1"/>
        </w:rPr>
        <w:t xml:space="preserve">This is a joint submission by </w:t>
      </w:r>
      <w:proofErr w:type="spellStart"/>
      <w:r>
        <w:rPr>
          <w:color w:val="000000" w:themeColor="text1"/>
        </w:rPr>
        <w:t>CrimeInfo</w:t>
      </w:r>
      <w:proofErr w:type="spellEnd"/>
      <w:r>
        <w:rPr>
          <w:color w:val="000000" w:themeColor="text1"/>
        </w:rPr>
        <w:t xml:space="preserve">, a Japanese NGO specialising in the provision of information concerning the death penalty and criminal justice issues in Japan, and </w:t>
      </w:r>
      <w:proofErr w:type="spellStart"/>
      <w:r>
        <w:rPr>
          <w:color w:val="000000" w:themeColor="text1"/>
        </w:rPr>
        <w:t>Eleos</w:t>
      </w:r>
      <w:proofErr w:type="spellEnd"/>
      <w:r>
        <w:rPr>
          <w:color w:val="000000" w:themeColor="text1"/>
        </w:rPr>
        <w:t xml:space="preserve"> Justice, Faculty of Law at Monash University, a new initiative on the death penalty in Asia.</w:t>
      </w:r>
    </w:p>
    <w:p w14:paraId="3A3EAF89" w14:textId="77777777" w:rsidR="002E71AA" w:rsidRDefault="002E71AA" w:rsidP="00B13852">
      <w:pPr>
        <w:rPr>
          <w:rFonts w:ascii="Calibri" w:eastAsia="Times New Roman" w:hAnsi="Calibri" w:cs="Calibri"/>
          <w:u w:val="single"/>
        </w:rPr>
      </w:pPr>
    </w:p>
    <w:p w14:paraId="3C6B1388" w14:textId="25C2FD3A" w:rsidR="00754AF3" w:rsidRPr="00D85532" w:rsidRDefault="0011752A" w:rsidP="00B13852">
      <w:pPr>
        <w:rPr>
          <w:rFonts w:ascii="Calibri" w:eastAsia="Times New Roman" w:hAnsi="Calibri" w:cs="Calibri"/>
          <w:u w:val="single"/>
        </w:rPr>
      </w:pPr>
      <w:r w:rsidRPr="00D85532">
        <w:rPr>
          <w:rFonts w:ascii="Calibri" w:eastAsia="Times New Roman" w:hAnsi="Calibri" w:cs="Calibri"/>
          <w:b/>
          <w:bCs/>
        </w:rPr>
        <w:t>Number of persons on death row</w:t>
      </w:r>
      <w:r w:rsidR="00D85532" w:rsidRPr="00D85532">
        <w:rPr>
          <w:rFonts w:ascii="Calibri" w:eastAsia="Times New Roman" w:hAnsi="Calibri" w:cs="Calibri"/>
        </w:rPr>
        <w:t xml:space="preserve">: </w:t>
      </w:r>
      <w:r w:rsidR="00754AF3">
        <w:rPr>
          <w:rFonts w:ascii="Calibri" w:eastAsia="Times New Roman" w:hAnsi="Calibri" w:cs="Calibri"/>
        </w:rPr>
        <w:t xml:space="preserve">As of </w:t>
      </w:r>
      <w:r w:rsidR="00636046">
        <w:rPr>
          <w:rFonts w:ascii="Calibri" w:eastAsia="Times New Roman" w:hAnsi="Calibri" w:cs="Calibri"/>
        </w:rPr>
        <w:t>21 December 2021</w:t>
      </w:r>
      <w:r w:rsidR="00636046" w:rsidRPr="00580DBD">
        <w:rPr>
          <w:rFonts w:ascii="Calibri" w:eastAsia="Times New Roman" w:hAnsi="Calibri" w:cs="Calibri"/>
        </w:rPr>
        <w:t xml:space="preserve">, </w:t>
      </w:r>
      <w:r w:rsidR="00754AF3" w:rsidRPr="00580DBD">
        <w:rPr>
          <w:rFonts w:ascii="Calibri" w:eastAsia="Times New Roman" w:hAnsi="Calibri" w:cs="Calibri"/>
        </w:rPr>
        <w:t>10</w:t>
      </w:r>
      <w:r w:rsidR="00580DBD" w:rsidRPr="00580DBD">
        <w:rPr>
          <w:rFonts w:ascii="Calibri" w:eastAsia="Times New Roman" w:hAnsi="Calibri" w:cs="Calibri"/>
        </w:rPr>
        <w:t>7</w:t>
      </w:r>
      <w:r w:rsidR="00754AF3" w:rsidRPr="00580DBD">
        <w:rPr>
          <w:rFonts w:ascii="Calibri" w:eastAsia="Times New Roman" w:hAnsi="Calibri" w:cs="Calibri"/>
          <w:color w:val="FF0000"/>
        </w:rPr>
        <w:t xml:space="preserve"> </w:t>
      </w:r>
      <w:r w:rsidR="00D85532" w:rsidRPr="00580DBD">
        <w:rPr>
          <w:rFonts w:ascii="Calibri" w:eastAsia="Times New Roman" w:hAnsi="Calibri" w:cs="Calibri"/>
        </w:rPr>
        <w:t>in</w:t>
      </w:r>
      <w:r w:rsidR="00D85532">
        <w:rPr>
          <w:rFonts w:ascii="Calibri" w:eastAsia="Times New Roman" w:hAnsi="Calibri" w:cs="Calibri"/>
        </w:rPr>
        <w:t>dividuals were</w:t>
      </w:r>
      <w:r w:rsidR="00754AF3">
        <w:rPr>
          <w:rFonts w:ascii="Calibri" w:eastAsia="Times New Roman" w:hAnsi="Calibri" w:cs="Calibri"/>
        </w:rPr>
        <w:t xml:space="preserve"> on death row</w:t>
      </w:r>
      <w:r w:rsidR="00235B22">
        <w:rPr>
          <w:rFonts w:ascii="Calibri" w:eastAsia="Times New Roman" w:hAnsi="Calibri" w:cs="Calibri"/>
        </w:rPr>
        <w:t>,</w:t>
      </w:r>
      <w:r w:rsidR="00754AF3">
        <w:rPr>
          <w:rStyle w:val="FootnoteReference"/>
          <w:rFonts w:ascii="Calibri" w:eastAsia="Times New Roman" w:hAnsi="Calibri" w:cs="Calibri"/>
        </w:rPr>
        <w:footnoteReference w:id="1"/>
      </w:r>
      <w:r w:rsidR="00235B22">
        <w:rPr>
          <w:rFonts w:ascii="Calibri" w:eastAsia="Times New Roman" w:hAnsi="Calibri" w:cs="Calibri" w:hint="eastAsia"/>
        </w:rPr>
        <w:t xml:space="preserve"> </w:t>
      </w:r>
      <w:r w:rsidR="00D85532">
        <w:rPr>
          <w:rFonts w:ascii="Calibri" w:eastAsia="Times New Roman" w:hAnsi="Calibri" w:cs="Calibri"/>
        </w:rPr>
        <w:t>8</w:t>
      </w:r>
      <w:r w:rsidR="00235B22">
        <w:rPr>
          <w:rFonts w:ascii="Calibri" w:eastAsia="Times New Roman" w:hAnsi="Calibri" w:cs="Calibri"/>
        </w:rPr>
        <w:t xml:space="preserve"> </w:t>
      </w:r>
      <w:r w:rsidR="00D85532">
        <w:rPr>
          <w:rFonts w:ascii="Calibri" w:eastAsia="Times New Roman" w:hAnsi="Calibri" w:cs="Calibri"/>
        </w:rPr>
        <w:t xml:space="preserve">of </w:t>
      </w:r>
      <w:r w:rsidR="00235B22">
        <w:rPr>
          <w:rFonts w:ascii="Calibri" w:eastAsia="Times New Roman" w:hAnsi="Calibri" w:cs="Calibri"/>
        </w:rPr>
        <w:t>whom are women.</w:t>
      </w:r>
      <w:r w:rsidR="00235B22">
        <w:rPr>
          <w:rStyle w:val="FootnoteReference"/>
          <w:rFonts w:ascii="Calibri" w:eastAsia="Times New Roman" w:hAnsi="Calibri" w:cs="Calibri"/>
        </w:rPr>
        <w:footnoteReference w:id="2"/>
      </w:r>
    </w:p>
    <w:p w14:paraId="0D996CDB" w14:textId="5563229E" w:rsidR="00754AF3" w:rsidRDefault="00754AF3" w:rsidP="00B13852">
      <w:pPr>
        <w:rPr>
          <w:rFonts w:ascii="Calibri" w:eastAsia="Times New Roman" w:hAnsi="Calibri" w:cs="Calibri"/>
          <w:u w:val="single"/>
        </w:rPr>
      </w:pPr>
    </w:p>
    <w:p w14:paraId="1F46F8C7" w14:textId="1FB2583E" w:rsidR="00EA2452" w:rsidRDefault="00EA2452" w:rsidP="00EA2452">
      <w:pPr>
        <w:rPr>
          <w:rFonts w:ascii="Calibri" w:eastAsia="Times New Roman" w:hAnsi="Calibri" w:cs="Calibri"/>
        </w:rPr>
      </w:pPr>
      <w:r w:rsidRPr="00595E6C">
        <w:rPr>
          <w:rFonts w:ascii="Calibri" w:eastAsia="Times New Roman" w:hAnsi="Calibri" w:cs="Calibri"/>
          <w:b/>
          <w:bCs/>
        </w:rPr>
        <w:t>Number of death sentences issued annually</w:t>
      </w:r>
      <w:r w:rsidR="00D85532">
        <w:rPr>
          <w:rFonts w:ascii="Calibri" w:eastAsia="Times New Roman" w:hAnsi="Calibri" w:cs="Calibri"/>
        </w:rPr>
        <w:t xml:space="preserve">: </w:t>
      </w:r>
      <w:r>
        <w:rPr>
          <w:rFonts w:ascii="Calibri" w:eastAsia="Times New Roman" w:hAnsi="Calibri" w:cs="Calibri"/>
        </w:rPr>
        <w:t>In 2020, three people were sentenced to death</w:t>
      </w:r>
      <w:r w:rsidR="00580DBD">
        <w:rPr>
          <w:rFonts w:ascii="Calibri" w:eastAsia="Times New Roman" w:hAnsi="Calibri" w:cs="Calibri"/>
        </w:rPr>
        <w:t xml:space="preserve"> at trial</w:t>
      </w:r>
      <w:r>
        <w:rPr>
          <w:rFonts w:ascii="Calibri" w:eastAsia="Times New Roman" w:hAnsi="Calibri" w:cs="Calibri"/>
        </w:rPr>
        <w:t>.</w:t>
      </w:r>
      <w:r>
        <w:rPr>
          <w:rStyle w:val="FootnoteReference"/>
          <w:rFonts w:ascii="Calibri" w:eastAsia="Times New Roman" w:hAnsi="Calibri" w:cs="Calibri"/>
        </w:rPr>
        <w:footnoteReference w:id="3"/>
      </w:r>
      <w:r>
        <w:rPr>
          <w:rFonts w:ascii="Calibri" w:eastAsia="Times New Roman" w:hAnsi="Calibri" w:cs="Calibri"/>
        </w:rPr>
        <w:t xml:space="preserve"> This figure has remained relatively consistent in recent years, with the number of death sentences imposed annually fluctuating between two and five over the last decade (i.e., since 2012).</w:t>
      </w:r>
      <w:r>
        <w:rPr>
          <w:rStyle w:val="FootnoteReference"/>
          <w:rFonts w:ascii="Calibri" w:eastAsia="Times New Roman" w:hAnsi="Calibri" w:cs="Calibri"/>
        </w:rPr>
        <w:footnoteReference w:id="4"/>
      </w:r>
      <w:r>
        <w:rPr>
          <w:rFonts w:ascii="Calibri" w:eastAsia="Times New Roman" w:hAnsi="Calibri" w:cs="Calibri"/>
        </w:rPr>
        <w:t xml:space="preserve"> </w:t>
      </w:r>
      <w:r w:rsidR="00BD38A4" w:rsidRPr="0059492B">
        <w:rPr>
          <w:rFonts w:ascii="Calibri" w:eastAsia="Times New Roman" w:hAnsi="Calibri" w:cs="Calibri"/>
        </w:rPr>
        <w:t>3</w:t>
      </w:r>
      <w:r w:rsidR="00C72C64">
        <w:rPr>
          <w:rFonts w:ascii="Calibri" w:eastAsia="Times New Roman" w:hAnsi="Calibri" w:cs="Calibri"/>
        </w:rPr>
        <w:t xml:space="preserve"> d</w:t>
      </w:r>
      <w:r w:rsidR="00E80559">
        <w:rPr>
          <w:rFonts w:ascii="Calibri" w:eastAsia="Times New Roman" w:hAnsi="Calibri" w:cs="Calibri"/>
        </w:rPr>
        <w:t xml:space="preserve">eath sentences have been imposed in 2021 - </w:t>
      </w:r>
    </w:p>
    <w:p w14:paraId="5733F970" w14:textId="77777777" w:rsidR="00EA2452" w:rsidRDefault="00EA2452" w:rsidP="00B13852">
      <w:pPr>
        <w:rPr>
          <w:rFonts w:ascii="Calibri" w:hAnsi="Calibri" w:cs="Calibri"/>
          <w:u w:val="single"/>
        </w:rPr>
      </w:pPr>
    </w:p>
    <w:p w14:paraId="6FF03F4D" w14:textId="77777777" w:rsidR="00AE3E71" w:rsidRPr="00AE3E71" w:rsidRDefault="00AE3E71" w:rsidP="00B13852">
      <w:pPr>
        <w:rPr>
          <w:rFonts w:ascii="Calibri" w:hAnsi="Calibri" w:cs="Calibri"/>
          <w:u w:val="single"/>
        </w:rPr>
      </w:pPr>
    </w:p>
    <w:p w14:paraId="57869100" w14:textId="6D3E593C" w:rsidR="00E80559" w:rsidRDefault="0011752A" w:rsidP="00B13852">
      <w:pPr>
        <w:rPr>
          <w:rFonts w:ascii="Calibri" w:eastAsia="Times New Roman" w:hAnsi="Calibri" w:cs="Calibri"/>
        </w:rPr>
      </w:pPr>
      <w:r w:rsidRPr="00E80559">
        <w:rPr>
          <w:rFonts w:ascii="Calibri" w:eastAsia="Times New Roman" w:hAnsi="Calibri" w:cs="Calibri"/>
          <w:b/>
          <w:bCs/>
        </w:rPr>
        <w:t>Number of executions carried out</w:t>
      </w:r>
      <w:r w:rsidR="00BA4093" w:rsidRPr="00E80559">
        <w:rPr>
          <w:rFonts w:ascii="Calibri" w:eastAsia="Times New Roman" w:hAnsi="Calibri" w:cs="Calibri"/>
          <w:b/>
          <w:bCs/>
        </w:rPr>
        <w:t xml:space="preserve"> annually</w:t>
      </w:r>
      <w:r w:rsidR="00E80559" w:rsidRPr="00E80559">
        <w:rPr>
          <w:rFonts w:ascii="Calibri" w:eastAsia="Times New Roman" w:hAnsi="Calibri" w:cs="Calibri"/>
        </w:rPr>
        <w:t>:</w:t>
      </w:r>
      <w:r w:rsidR="00E80559">
        <w:rPr>
          <w:rFonts w:ascii="Calibri" w:eastAsia="Times New Roman" w:hAnsi="Calibri" w:cs="Calibri"/>
          <w:b/>
          <w:bCs/>
        </w:rPr>
        <w:t xml:space="preserve"> </w:t>
      </w:r>
      <w:r w:rsidR="00BA4093">
        <w:rPr>
          <w:rFonts w:ascii="Calibri" w:eastAsia="Times New Roman" w:hAnsi="Calibri" w:cs="Calibri"/>
        </w:rPr>
        <w:t>No executions have been carried out in 2022 (as of 20 April 2022).</w:t>
      </w:r>
      <w:r w:rsidR="00E80559">
        <w:rPr>
          <w:rFonts w:ascii="Calibri" w:eastAsia="Times New Roman" w:hAnsi="Calibri" w:cs="Calibri"/>
          <w:b/>
          <w:bCs/>
        </w:rPr>
        <w:t xml:space="preserve"> </w:t>
      </w:r>
      <w:r w:rsidR="007C5F3F">
        <w:rPr>
          <w:rFonts w:ascii="Calibri" w:eastAsia="Times New Roman" w:hAnsi="Calibri" w:cs="Calibri"/>
        </w:rPr>
        <w:t>In 2021, Japan executed three people</w:t>
      </w:r>
      <w:r w:rsidR="00623196">
        <w:rPr>
          <w:rFonts w:ascii="Calibri" w:eastAsia="Times New Roman" w:hAnsi="Calibri" w:cs="Calibri"/>
        </w:rPr>
        <w:t>.</w:t>
      </w:r>
      <w:r w:rsidR="00623196">
        <w:rPr>
          <w:rStyle w:val="FootnoteReference"/>
          <w:rFonts w:ascii="Calibri" w:eastAsia="Times New Roman" w:hAnsi="Calibri" w:cs="Calibri"/>
        </w:rPr>
        <w:footnoteReference w:id="5"/>
      </w:r>
      <w:r w:rsidR="00E80559">
        <w:rPr>
          <w:rFonts w:ascii="Calibri" w:eastAsia="Times New Roman" w:hAnsi="Calibri" w:cs="Calibri"/>
        </w:rPr>
        <w:t xml:space="preserve"> The following executions were carried out on 21 December 2021. </w:t>
      </w:r>
    </w:p>
    <w:p w14:paraId="4E3AFCC8" w14:textId="0217C9F5" w:rsidR="00E80559" w:rsidRPr="00E80559" w:rsidRDefault="00323B48" w:rsidP="00E80559">
      <w:pPr>
        <w:pStyle w:val="ListParagraph"/>
        <w:numPr>
          <w:ilvl w:val="0"/>
          <w:numId w:val="5"/>
        </w:numPr>
        <w:rPr>
          <w:rFonts w:ascii="Calibri" w:eastAsia="Times New Roman" w:hAnsi="Calibri" w:cs="Calibri"/>
          <w:b/>
          <w:bCs/>
        </w:rPr>
      </w:pPr>
      <w:r w:rsidRPr="00E80559">
        <w:rPr>
          <w:rFonts w:ascii="Calibri" w:eastAsia="Times New Roman" w:hAnsi="Calibri" w:cs="Calibri"/>
        </w:rPr>
        <w:t xml:space="preserve">Yasutaka </w:t>
      </w:r>
      <w:proofErr w:type="spellStart"/>
      <w:r w:rsidRPr="00E80559">
        <w:rPr>
          <w:rFonts w:ascii="Calibri" w:eastAsia="Times New Roman" w:hAnsi="Calibri" w:cs="Calibri"/>
        </w:rPr>
        <w:t>Fujishiro</w:t>
      </w:r>
      <w:proofErr w:type="spellEnd"/>
      <w:r w:rsidRPr="00E80559">
        <w:rPr>
          <w:rFonts w:ascii="Calibri" w:eastAsia="Times New Roman" w:hAnsi="Calibri" w:cs="Calibri"/>
        </w:rPr>
        <w:t xml:space="preserve"> was convicted of killing</w:t>
      </w:r>
      <w:r w:rsidR="006B41CE">
        <w:rPr>
          <w:rFonts w:ascii="Calibri" w:eastAsia="Times New Roman" w:hAnsi="Calibri" w:cs="Calibri"/>
        </w:rPr>
        <w:t xml:space="preserve"> </w:t>
      </w:r>
      <w:r w:rsidR="006B41CE" w:rsidRPr="006B41CE">
        <w:rPr>
          <w:rFonts w:ascii="Calibri" w:eastAsia="Times New Roman" w:hAnsi="Calibri" w:cs="Calibri"/>
        </w:rPr>
        <w:t>murdered his 80-year-old aunt, two cousins and four others</w:t>
      </w:r>
      <w:r w:rsidRPr="00E80559">
        <w:rPr>
          <w:rFonts w:ascii="Calibri" w:eastAsia="Times New Roman" w:hAnsi="Calibri" w:cs="Calibri"/>
        </w:rPr>
        <w:t xml:space="preserve"> after a court ruled that he could be held criminally responsible for the murders despite a personality disorder.</w:t>
      </w:r>
      <w:r>
        <w:rPr>
          <w:rStyle w:val="FootnoteReference"/>
          <w:rFonts w:ascii="Calibri" w:eastAsia="Times New Roman" w:hAnsi="Calibri" w:cs="Calibri"/>
        </w:rPr>
        <w:footnoteReference w:id="6"/>
      </w:r>
    </w:p>
    <w:p w14:paraId="3C488193" w14:textId="5F03E1D9" w:rsidR="00E80559" w:rsidRPr="00E80559" w:rsidRDefault="00E103D9" w:rsidP="00E80559">
      <w:pPr>
        <w:pStyle w:val="ListParagraph"/>
        <w:numPr>
          <w:ilvl w:val="0"/>
          <w:numId w:val="5"/>
        </w:numPr>
        <w:rPr>
          <w:rFonts w:ascii="Calibri" w:eastAsia="Times New Roman" w:hAnsi="Calibri" w:cs="Calibri"/>
          <w:b/>
          <w:bCs/>
        </w:rPr>
      </w:pPr>
      <w:proofErr w:type="spellStart"/>
      <w:r>
        <w:rPr>
          <w:rFonts w:ascii="Calibri" w:eastAsia="Times New Roman" w:hAnsi="Calibri" w:cs="Calibri"/>
        </w:rPr>
        <w:t>Mits</w:t>
      </w:r>
      <w:r w:rsidR="00580DBD">
        <w:rPr>
          <w:rFonts w:ascii="Calibri" w:eastAsia="Times New Roman" w:hAnsi="Calibri" w:cs="Calibri"/>
        </w:rPr>
        <w:t>unori</w:t>
      </w:r>
      <w:proofErr w:type="spellEnd"/>
      <w:r>
        <w:rPr>
          <w:rFonts w:ascii="Calibri" w:eastAsia="Times New Roman" w:hAnsi="Calibri" w:cs="Calibri"/>
        </w:rPr>
        <w:t xml:space="preserve"> </w:t>
      </w:r>
      <w:proofErr w:type="spellStart"/>
      <w:r w:rsidR="00323B48" w:rsidRPr="00E80559">
        <w:rPr>
          <w:rFonts w:ascii="Calibri" w:eastAsia="Times New Roman" w:hAnsi="Calibri" w:cs="Calibri"/>
        </w:rPr>
        <w:t>Onogawa</w:t>
      </w:r>
      <w:proofErr w:type="spellEnd"/>
      <w:r w:rsidR="00323B48" w:rsidRPr="00E80559">
        <w:rPr>
          <w:rFonts w:ascii="Calibri" w:eastAsia="Times New Roman" w:hAnsi="Calibri" w:cs="Calibri"/>
        </w:rPr>
        <w:t xml:space="preserve"> and </w:t>
      </w:r>
      <w:proofErr w:type="spellStart"/>
      <w:r w:rsidR="00323B48" w:rsidRPr="00E80559">
        <w:rPr>
          <w:rFonts w:ascii="Calibri" w:eastAsia="Times New Roman" w:hAnsi="Calibri" w:cs="Calibri"/>
        </w:rPr>
        <w:t>Tomoaki</w:t>
      </w:r>
      <w:proofErr w:type="spellEnd"/>
      <w:r w:rsidR="00323B48" w:rsidRPr="00E80559">
        <w:rPr>
          <w:rFonts w:ascii="Calibri" w:eastAsia="Times New Roman" w:hAnsi="Calibri" w:cs="Calibri"/>
        </w:rPr>
        <w:t xml:space="preserve"> </w:t>
      </w:r>
      <w:proofErr w:type="spellStart"/>
      <w:r w:rsidR="00323B48" w:rsidRPr="00E80559">
        <w:rPr>
          <w:rFonts w:ascii="Calibri" w:eastAsia="Times New Roman" w:hAnsi="Calibri" w:cs="Calibri"/>
        </w:rPr>
        <w:t>Takanezawa</w:t>
      </w:r>
      <w:proofErr w:type="spellEnd"/>
      <w:r w:rsidR="00323B48" w:rsidRPr="00E80559">
        <w:rPr>
          <w:rFonts w:ascii="Calibri" w:eastAsia="Times New Roman" w:hAnsi="Calibri" w:cs="Calibri"/>
        </w:rPr>
        <w:t xml:space="preserve"> were convicted of two murders in 2003</w:t>
      </w:r>
      <w:r>
        <w:rPr>
          <w:rFonts w:ascii="Calibri" w:eastAsia="Times New Roman" w:hAnsi="Calibri" w:cs="Calibri"/>
        </w:rPr>
        <w:t>.</w:t>
      </w:r>
    </w:p>
    <w:p w14:paraId="05A1283F" w14:textId="5C07D853" w:rsidR="00DA1155" w:rsidRPr="00E103D9" w:rsidRDefault="00E103D9" w:rsidP="00B13852">
      <w:pPr>
        <w:pStyle w:val="ListParagraph"/>
        <w:numPr>
          <w:ilvl w:val="0"/>
          <w:numId w:val="5"/>
        </w:numPr>
        <w:rPr>
          <w:rFonts w:ascii="Calibri" w:eastAsia="Times New Roman" w:hAnsi="Calibri" w:cs="Calibri"/>
          <w:b/>
          <w:bCs/>
        </w:rPr>
      </w:pPr>
      <w:proofErr w:type="spellStart"/>
      <w:r w:rsidRPr="00E80559">
        <w:rPr>
          <w:rFonts w:ascii="Calibri" w:eastAsia="Times New Roman" w:hAnsi="Calibri" w:cs="Calibri"/>
        </w:rPr>
        <w:t>Tomoaki</w:t>
      </w:r>
      <w:proofErr w:type="spellEnd"/>
      <w:r w:rsidRPr="00E80559">
        <w:rPr>
          <w:rFonts w:ascii="Calibri" w:eastAsia="Times New Roman" w:hAnsi="Calibri" w:cs="Calibri"/>
        </w:rPr>
        <w:t xml:space="preserve"> </w:t>
      </w:r>
      <w:proofErr w:type="spellStart"/>
      <w:r w:rsidR="00323B48" w:rsidRPr="00E80559">
        <w:rPr>
          <w:rFonts w:ascii="Calibri" w:eastAsia="Times New Roman" w:hAnsi="Calibri" w:cs="Calibri"/>
        </w:rPr>
        <w:t>Takanezawa’s</w:t>
      </w:r>
      <w:proofErr w:type="spellEnd"/>
      <w:r w:rsidR="00323B48" w:rsidRPr="00E80559">
        <w:rPr>
          <w:rFonts w:ascii="Calibri" w:eastAsia="Times New Roman" w:hAnsi="Calibri" w:cs="Calibri"/>
        </w:rPr>
        <w:t xml:space="preserve"> </w:t>
      </w:r>
      <w:r w:rsidR="00CD6D4F" w:rsidRPr="00E80559">
        <w:rPr>
          <w:rFonts w:ascii="Calibri" w:eastAsia="Times New Roman" w:hAnsi="Calibri" w:cs="Calibri"/>
        </w:rPr>
        <w:t>execution was carried out while his request</w:t>
      </w:r>
      <w:r w:rsidR="00323B48" w:rsidRPr="00E80559">
        <w:rPr>
          <w:rFonts w:ascii="Calibri" w:eastAsia="Times New Roman" w:hAnsi="Calibri" w:cs="Calibri"/>
        </w:rPr>
        <w:t xml:space="preserve"> for retrial </w:t>
      </w:r>
      <w:r w:rsidR="00CD6D4F" w:rsidRPr="00E80559">
        <w:rPr>
          <w:rFonts w:ascii="Calibri" w:eastAsia="Times New Roman" w:hAnsi="Calibri" w:cs="Calibri"/>
        </w:rPr>
        <w:t>remained</w:t>
      </w:r>
      <w:r w:rsidR="00323B48" w:rsidRPr="00E80559">
        <w:rPr>
          <w:rFonts w:ascii="Calibri" w:eastAsia="Times New Roman" w:hAnsi="Calibri" w:cs="Calibri"/>
        </w:rPr>
        <w:t xml:space="preserve"> pending before the court.</w:t>
      </w:r>
      <w:r w:rsidR="00323B48">
        <w:rPr>
          <w:rStyle w:val="FootnoteReference"/>
          <w:rFonts w:ascii="Calibri" w:eastAsia="Times New Roman" w:hAnsi="Calibri" w:cs="Calibri"/>
        </w:rPr>
        <w:footnoteReference w:id="7"/>
      </w:r>
    </w:p>
    <w:p w14:paraId="15B66B50" w14:textId="01FF4F6B" w:rsidR="007C5F3F" w:rsidRPr="007C5F3F" w:rsidRDefault="007C5F3F" w:rsidP="00B13852">
      <w:pPr>
        <w:rPr>
          <w:rFonts w:ascii="Calibri" w:eastAsia="Times New Roman" w:hAnsi="Calibri" w:cs="Calibri"/>
        </w:rPr>
      </w:pPr>
      <w:r>
        <w:rPr>
          <w:rFonts w:ascii="Calibri" w:eastAsia="Times New Roman" w:hAnsi="Calibri" w:cs="Calibri"/>
        </w:rPr>
        <w:t>In 2020, no executions were carried out.</w:t>
      </w:r>
      <w:r w:rsidR="00623196">
        <w:rPr>
          <w:rStyle w:val="FootnoteReference"/>
          <w:rFonts w:ascii="Calibri" w:eastAsia="Times New Roman" w:hAnsi="Calibri" w:cs="Calibri"/>
        </w:rPr>
        <w:footnoteReference w:id="8"/>
      </w:r>
    </w:p>
    <w:p w14:paraId="2C5E2834" w14:textId="77777777" w:rsidR="007C5F3F" w:rsidRDefault="007C5F3F" w:rsidP="00B13852">
      <w:pPr>
        <w:rPr>
          <w:rFonts w:ascii="Calibri" w:eastAsia="Times New Roman" w:hAnsi="Calibri" w:cs="Calibri"/>
          <w:u w:val="single"/>
        </w:rPr>
      </w:pPr>
    </w:p>
    <w:p w14:paraId="2F368A7D" w14:textId="0E4E7B07" w:rsidR="0074535E" w:rsidRPr="00A70608" w:rsidRDefault="00B13852" w:rsidP="0074535E">
      <w:pPr>
        <w:rPr>
          <w:rFonts w:ascii="Calibri" w:eastAsia="Times New Roman" w:hAnsi="Calibri" w:cs="Calibri"/>
          <w:b/>
          <w:bCs/>
        </w:rPr>
      </w:pPr>
      <w:r w:rsidRPr="00E103D9">
        <w:rPr>
          <w:rFonts w:ascii="Calibri" w:eastAsia="Times New Roman" w:hAnsi="Calibri" w:cs="Calibri"/>
          <w:b/>
          <w:bCs/>
        </w:rPr>
        <w:t>N</w:t>
      </w:r>
      <w:r w:rsidR="0011752A" w:rsidRPr="00E103D9">
        <w:rPr>
          <w:rFonts w:ascii="Calibri" w:eastAsia="Times New Roman" w:hAnsi="Calibri" w:cs="Calibri"/>
          <w:b/>
          <w:bCs/>
        </w:rPr>
        <w:t>umber of death sentences reversed or commuted on appeal</w:t>
      </w:r>
      <w:r w:rsidR="00E103D9" w:rsidRPr="00E103D9">
        <w:rPr>
          <w:rFonts w:ascii="Calibri" w:eastAsia="Times New Roman" w:hAnsi="Calibri" w:cs="Calibri"/>
          <w:b/>
          <w:bCs/>
        </w:rPr>
        <w:t xml:space="preserve">: </w:t>
      </w:r>
      <w:r w:rsidR="0011752A" w:rsidRPr="00E103D9">
        <w:rPr>
          <w:rFonts w:ascii="Calibri" w:eastAsia="Times New Roman" w:hAnsi="Calibri" w:cs="Calibri"/>
          <w:b/>
          <w:bCs/>
        </w:rPr>
        <w:t xml:space="preserve"> </w:t>
      </w:r>
      <w:r w:rsidR="0074535E" w:rsidRPr="0074535E">
        <w:rPr>
          <w:rFonts w:ascii="Calibri" w:eastAsia="Times New Roman" w:hAnsi="Calibri" w:cs="Calibri"/>
        </w:rPr>
        <w:t>In 202</w:t>
      </w:r>
      <w:r w:rsidR="00A77B55">
        <w:rPr>
          <w:rFonts w:ascii="Calibri" w:eastAsia="Times New Roman" w:hAnsi="Calibri" w:cs="Calibri"/>
        </w:rPr>
        <w:t>0</w:t>
      </w:r>
      <w:r w:rsidR="0074535E" w:rsidRPr="0074535E">
        <w:rPr>
          <w:rFonts w:ascii="Calibri" w:eastAsia="Times New Roman" w:hAnsi="Calibri" w:cs="Calibri"/>
        </w:rPr>
        <w:t xml:space="preserve">, </w:t>
      </w:r>
      <w:r w:rsidR="00A70608">
        <w:rPr>
          <w:rFonts w:ascii="Calibri" w:eastAsia="Times New Roman" w:hAnsi="Calibri" w:cs="Calibri"/>
          <w:color w:val="000000" w:themeColor="text1"/>
        </w:rPr>
        <w:t xml:space="preserve">one death sentence was commuted </w:t>
      </w:r>
      <w:r w:rsidR="00A77B55">
        <w:rPr>
          <w:rFonts w:ascii="Calibri" w:eastAsia="Times New Roman" w:hAnsi="Calibri" w:cs="Calibri"/>
          <w:color w:val="000000" w:themeColor="text1"/>
        </w:rPr>
        <w:t>to life imprisonment with parole.</w:t>
      </w:r>
      <w:r w:rsidR="00A77B55">
        <w:rPr>
          <w:rStyle w:val="FootnoteReference"/>
          <w:rFonts w:ascii="Calibri" w:eastAsia="Times New Roman" w:hAnsi="Calibri" w:cs="Calibri"/>
          <w:color w:val="000000" w:themeColor="text1"/>
        </w:rPr>
        <w:footnoteReference w:id="9"/>
      </w:r>
      <w:r w:rsidR="00A77B55">
        <w:rPr>
          <w:rFonts w:ascii="Calibri" w:eastAsia="Times New Roman" w:hAnsi="Calibri" w:cs="Calibri"/>
          <w:color w:val="000000" w:themeColor="text1"/>
        </w:rPr>
        <w:t xml:space="preserve"> </w:t>
      </w:r>
    </w:p>
    <w:p w14:paraId="249229EB" w14:textId="165EE641" w:rsidR="00F7738B" w:rsidRDefault="00F7738B" w:rsidP="0074535E">
      <w:pPr>
        <w:rPr>
          <w:rFonts w:ascii="Calibri" w:eastAsia="Times New Roman" w:hAnsi="Calibri" w:cs="Calibri"/>
        </w:rPr>
      </w:pPr>
    </w:p>
    <w:p w14:paraId="2B815F2B" w14:textId="7407B95F" w:rsidR="001E084D" w:rsidRPr="001E084D" w:rsidRDefault="00F7738B" w:rsidP="001E084D">
      <w:pPr>
        <w:rPr>
          <w:rFonts w:ascii="Calibri" w:eastAsia="Times New Roman" w:hAnsi="Calibri" w:cs="Calibri"/>
        </w:rPr>
      </w:pPr>
      <w:r w:rsidRPr="001E084D">
        <w:rPr>
          <w:rFonts w:ascii="Calibri" w:eastAsia="Times New Roman" w:hAnsi="Calibri" w:cs="Calibri"/>
          <w:b/>
          <w:bCs/>
        </w:rPr>
        <w:t>Number of amnesties, commutations, or pardons granted</w:t>
      </w:r>
      <w:r w:rsidR="001E084D" w:rsidRPr="001E084D">
        <w:rPr>
          <w:rFonts w:ascii="Calibri" w:eastAsia="Times New Roman" w:hAnsi="Calibri" w:cs="Calibri"/>
        </w:rPr>
        <w:t xml:space="preserve">: </w:t>
      </w:r>
      <w:r>
        <w:rPr>
          <w:rFonts w:ascii="Calibri" w:eastAsia="Times New Roman" w:hAnsi="Calibri" w:cs="Calibri"/>
        </w:rPr>
        <w:t xml:space="preserve">There have been no amnesties, pardons, or commutations </w:t>
      </w:r>
      <w:r w:rsidR="001E084D">
        <w:rPr>
          <w:rFonts w:ascii="Calibri" w:eastAsia="Times New Roman" w:hAnsi="Calibri" w:cs="Calibri"/>
        </w:rPr>
        <w:t>in 2021 and 2022</w:t>
      </w:r>
      <w:r w:rsidR="006B41CE">
        <w:rPr>
          <w:rFonts w:ascii="Calibri" w:eastAsia="Times New Roman" w:hAnsi="Calibri" w:cs="Calibri"/>
        </w:rPr>
        <w:t xml:space="preserve"> for individuals on death row</w:t>
      </w:r>
      <w:r w:rsidR="001E084D">
        <w:rPr>
          <w:rFonts w:ascii="Calibri" w:eastAsia="Times New Roman" w:hAnsi="Calibri" w:cs="Calibri"/>
        </w:rPr>
        <w:t>. In fact, s</w:t>
      </w:r>
      <w:r w:rsidR="001E084D" w:rsidRPr="001E084D">
        <w:rPr>
          <w:rFonts w:ascii="Calibri" w:eastAsia="Times New Roman" w:hAnsi="Calibri" w:cs="Calibri"/>
        </w:rPr>
        <w:t xml:space="preserve">ince Mr </w:t>
      </w:r>
      <w:proofErr w:type="spellStart"/>
      <w:r w:rsidR="001E084D" w:rsidRPr="001E084D">
        <w:rPr>
          <w:rFonts w:ascii="Calibri" w:eastAsia="Times New Roman" w:hAnsi="Calibri" w:cs="Calibri"/>
        </w:rPr>
        <w:lastRenderedPageBreak/>
        <w:t>Kenjiro</w:t>
      </w:r>
      <w:proofErr w:type="spellEnd"/>
      <w:r w:rsidR="001E084D" w:rsidRPr="001E084D">
        <w:rPr>
          <w:rFonts w:ascii="Calibri" w:eastAsia="Times New Roman" w:hAnsi="Calibri" w:cs="Calibri"/>
        </w:rPr>
        <w:t xml:space="preserve"> Ishii had his death sentence commuted to life imprisonment in </w:t>
      </w:r>
      <w:r w:rsidR="001E084D">
        <w:rPr>
          <w:rFonts w:ascii="Calibri" w:eastAsia="Times New Roman" w:hAnsi="Calibri" w:cs="Calibri"/>
        </w:rPr>
        <w:t>1975</w:t>
      </w:r>
      <w:r w:rsidR="001E084D" w:rsidRPr="001E084D">
        <w:rPr>
          <w:rFonts w:ascii="Calibri" w:eastAsia="Times New Roman" w:hAnsi="Calibri" w:cs="Calibri"/>
        </w:rPr>
        <w:t>, no other inmate has received a commutation of a death sentence.</w:t>
      </w:r>
      <w:r w:rsidR="001E084D">
        <w:rPr>
          <w:rStyle w:val="FootnoteReference"/>
          <w:rFonts w:ascii="Calibri" w:eastAsia="Times New Roman" w:hAnsi="Calibri" w:cs="Calibri"/>
        </w:rPr>
        <w:footnoteReference w:id="10"/>
      </w:r>
      <w:r w:rsidR="001E084D" w:rsidRPr="001E084D">
        <w:rPr>
          <w:rFonts w:ascii="Calibri" w:eastAsia="Times New Roman" w:hAnsi="Calibri" w:cs="Calibri"/>
        </w:rPr>
        <w:t xml:space="preserve"> </w:t>
      </w:r>
    </w:p>
    <w:p w14:paraId="2B826EF4" w14:textId="77777777" w:rsidR="00AB4DC0" w:rsidRPr="0011752A" w:rsidRDefault="00AB4DC0" w:rsidP="00B13852">
      <w:pPr>
        <w:rPr>
          <w:rFonts w:ascii="Calibri" w:eastAsia="Times New Roman" w:hAnsi="Calibri" w:cs="Calibri"/>
        </w:rPr>
      </w:pPr>
    </w:p>
    <w:p w14:paraId="37293738" w14:textId="6E75B389" w:rsidR="00F7738B" w:rsidRDefault="00C72C64" w:rsidP="00F7738B">
      <w:pPr>
        <w:rPr>
          <w:rFonts w:ascii="Calibri" w:eastAsia="Times New Roman" w:hAnsi="Calibri" w:cs="Calibri"/>
        </w:rPr>
      </w:pPr>
      <w:r>
        <w:rPr>
          <w:rFonts w:ascii="Calibri" w:eastAsia="Times New Roman" w:hAnsi="Calibri" w:cs="Calibri"/>
          <w:b/>
          <w:bCs/>
        </w:rPr>
        <w:t xml:space="preserve">Restrictions on the use of the death penalty, and safeguards protecting the rights of those facing the death penalty: </w:t>
      </w:r>
      <w:r w:rsidR="00F7738B" w:rsidRPr="003C1823">
        <w:rPr>
          <w:rFonts w:ascii="Calibri" w:eastAsia="Times New Roman" w:hAnsi="Calibri" w:cs="Calibri"/>
        </w:rPr>
        <w:t xml:space="preserve">Japan </w:t>
      </w:r>
      <w:r>
        <w:rPr>
          <w:rFonts w:ascii="Calibri" w:eastAsia="Times New Roman" w:hAnsi="Calibri" w:cs="Calibri"/>
        </w:rPr>
        <w:t>ratified</w:t>
      </w:r>
      <w:r w:rsidR="00F7738B" w:rsidRPr="003C1823">
        <w:rPr>
          <w:rFonts w:ascii="Calibri" w:eastAsia="Times New Roman" w:hAnsi="Calibri" w:cs="Calibri"/>
        </w:rPr>
        <w:t xml:space="preserve"> the</w:t>
      </w:r>
      <w:r w:rsidR="00F7738B">
        <w:rPr>
          <w:rFonts w:ascii="Calibri" w:eastAsia="Times New Roman" w:hAnsi="Calibri" w:cs="Calibri"/>
        </w:rPr>
        <w:t xml:space="preserve"> ICCPR </w:t>
      </w:r>
      <w:r w:rsidR="00F7738B" w:rsidRPr="003C1823">
        <w:rPr>
          <w:rFonts w:ascii="Calibri" w:eastAsia="Times New Roman" w:hAnsi="Calibri" w:cs="Calibri"/>
        </w:rPr>
        <w:t>in 1979</w:t>
      </w:r>
      <w:r>
        <w:rPr>
          <w:rFonts w:ascii="Calibri" w:eastAsia="Times New Roman" w:hAnsi="Calibri" w:cs="Calibri"/>
        </w:rPr>
        <w:t xml:space="preserve">. </w:t>
      </w:r>
    </w:p>
    <w:p w14:paraId="34758216" w14:textId="77777777" w:rsidR="00BA105D" w:rsidRPr="00C72C64" w:rsidRDefault="00BA105D" w:rsidP="00F7738B">
      <w:pPr>
        <w:rPr>
          <w:rFonts w:ascii="Calibri" w:eastAsia="Times New Roman" w:hAnsi="Calibri" w:cs="Calibri"/>
          <w:b/>
          <w:bCs/>
        </w:rPr>
      </w:pPr>
    </w:p>
    <w:p w14:paraId="50EC20E5" w14:textId="0C6D515F" w:rsidR="00F7738B" w:rsidRPr="00C72C64" w:rsidRDefault="00F7738B" w:rsidP="00F7738B">
      <w:pPr>
        <w:rPr>
          <w:rFonts w:ascii="Calibri" w:eastAsia="Times New Roman" w:hAnsi="Calibri" w:cs="Calibri"/>
          <w:b/>
          <w:bCs/>
        </w:rPr>
      </w:pPr>
      <w:r w:rsidRPr="00F7738B">
        <w:rPr>
          <w:rFonts w:ascii="Calibri" w:eastAsia="Times New Roman" w:hAnsi="Calibri" w:cs="Calibri"/>
          <w:u w:val="single"/>
        </w:rPr>
        <w:t>‘Most serious crimes’</w:t>
      </w:r>
      <w:r w:rsidR="00C72C64" w:rsidRPr="00C72C64">
        <w:rPr>
          <w:rFonts w:ascii="Calibri" w:eastAsia="Times New Roman" w:hAnsi="Calibri" w:cs="Calibri"/>
        </w:rPr>
        <w:t xml:space="preserve">: </w:t>
      </w:r>
      <w:r>
        <w:rPr>
          <w:rFonts w:ascii="Calibri" w:eastAsia="Times New Roman" w:hAnsi="Calibri" w:cs="Calibri"/>
        </w:rPr>
        <w:t xml:space="preserve">At present, Japanese law allows for the use of the death penalty upon conviction of </w:t>
      </w:r>
      <w:r w:rsidR="00C72C64" w:rsidRPr="006B41CE">
        <w:rPr>
          <w:rFonts w:ascii="Calibri" w:eastAsia="Times New Roman" w:hAnsi="Calibri" w:cs="Calibri"/>
        </w:rPr>
        <w:t>1</w:t>
      </w:r>
      <w:r w:rsidR="00BA4CA7" w:rsidRPr="006B41CE">
        <w:rPr>
          <w:rFonts w:ascii="Calibri" w:eastAsia="Times New Roman" w:hAnsi="Calibri" w:cs="Calibri"/>
        </w:rPr>
        <w:t>9</w:t>
      </w:r>
      <w:r w:rsidR="006B41CE">
        <w:rPr>
          <w:rFonts w:ascii="Calibri" w:eastAsia="Times New Roman" w:hAnsi="Calibri" w:cs="Calibri"/>
        </w:rPr>
        <w:t xml:space="preserve"> </w:t>
      </w:r>
      <w:r w:rsidRPr="006B41CE">
        <w:rPr>
          <w:rFonts w:ascii="Calibri" w:eastAsia="Times New Roman" w:hAnsi="Calibri" w:cs="Calibri"/>
        </w:rPr>
        <w:t>o</w:t>
      </w:r>
      <w:r>
        <w:rPr>
          <w:rFonts w:ascii="Calibri" w:eastAsia="Times New Roman" w:hAnsi="Calibri" w:cs="Calibri"/>
        </w:rPr>
        <w:t>ffences which fall s</w:t>
      </w:r>
      <w:r w:rsidR="00BA105D">
        <w:rPr>
          <w:rFonts w:ascii="Calibri" w:eastAsia="Times New Roman" w:hAnsi="Calibri" w:cs="Calibri"/>
        </w:rPr>
        <w:t>hort fall of the definition of most serious crimes understood as ‘intentional killing’. They include</w:t>
      </w:r>
      <w:r>
        <w:rPr>
          <w:rFonts w:ascii="Calibri" w:eastAsia="Times New Roman" w:hAnsi="Calibri" w:cs="Calibri"/>
        </w:rPr>
        <w:t xml:space="preserve"> treason,</w:t>
      </w:r>
      <w:r>
        <w:rPr>
          <w:rStyle w:val="FootnoteReference"/>
          <w:rFonts w:ascii="Calibri" w:eastAsia="Times New Roman" w:hAnsi="Calibri" w:cs="Calibri"/>
        </w:rPr>
        <w:footnoteReference w:id="11"/>
      </w:r>
      <w:r>
        <w:rPr>
          <w:rFonts w:ascii="Calibri" w:eastAsia="Times New Roman" w:hAnsi="Calibri" w:cs="Calibri"/>
        </w:rPr>
        <w:t xml:space="preserve"> arson,</w:t>
      </w:r>
      <w:r>
        <w:rPr>
          <w:rStyle w:val="FootnoteReference"/>
          <w:rFonts w:ascii="Calibri" w:eastAsia="Times New Roman" w:hAnsi="Calibri" w:cs="Calibri"/>
        </w:rPr>
        <w:footnoteReference w:id="12"/>
      </w:r>
      <w:r>
        <w:rPr>
          <w:rFonts w:ascii="Calibri" w:eastAsia="Times New Roman" w:hAnsi="Calibri" w:cs="Calibri"/>
        </w:rPr>
        <w:t xml:space="preserve"> and illegal use of explosives,</w:t>
      </w:r>
      <w:r>
        <w:rPr>
          <w:rStyle w:val="FootnoteReference"/>
          <w:rFonts w:ascii="Calibri" w:eastAsia="Times New Roman" w:hAnsi="Calibri" w:cs="Calibri"/>
        </w:rPr>
        <w:footnoteReference w:id="13"/>
      </w:r>
      <w:r>
        <w:rPr>
          <w:rFonts w:ascii="Calibri" w:eastAsia="Times New Roman" w:hAnsi="Calibri" w:cs="Calibri"/>
        </w:rPr>
        <w:t xml:space="preserve"> including in instances where such acts do not result in death. In practice, however, Japan only uses the death penalty for </w:t>
      </w:r>
      <w:r w:rsidR="00BA105D">
        <w:rPr>
          <w:rFonts w:ascii="Calibri" w:eastAsia="Times New Roman" w:hAnsi="Calibri" w:cs="Calibri"/>
        </w:rPr>
        <w:t>murder.</w:t>
      </w:r>
      <w:r>
        <w:rPr>
          <w:rFonts w:ascii="Calibri" w:eastAsia="Times New Roman" w:hAnsi="Calibri" w:cs="Calibri"/>
        </w:rPr>
        <w:t xml:space="preserve"> There has been no change to the number of capital offences </w:t>
      </w:r>
      <w:r w:rsidR="006B41CE">
        <w:rPr>
          <w:rFonts w:ascii="Calibri" w:eastAsia="Times New Roman" w:hAnsi="Calibri" w:cs="Calibri"/>
        </w:rPr>
        <w:t>since 2009</w:t>
      </w:r>
      <w:r>
        <w:rPr>
          <w:rFonts w:ascii="Calibri" w:eastAsia="Times New Roman" w:hAnsi="Calibri" w:cs="Calibri"/>
        </w:rPr>
        <w:t>.</w:t>
      </w:r>
    </w:p>
    <w:p w14:paraId="148B27ED" w14:textId="77777777" w:rsidR="00F7738B" w:rsidRDefault="00F7738B" w:rsidP="00F7738B">
      <w:pPr>
        <w:rPr>
          <w:rFonts w:ascii="Calibri" w:eastAsia="Times New Roman" w:hAnsi="Calibri" w:cs="Calibri"/>
          <w:b/>
          <w:bCs/>
        </w:rPr>
      </w:pPr>
    </w:p>
    <w:p w14:paraId="10B53948" w14:textId="514AF6AB" w:rsidR="00F7738B" w:rsidRPr="00C72C64" w:rsidRDefault="00F7738B" w:rsidP="00F7738B">
      <w:pPr>
        <w:rPr>
          <w:rFonts w:ascii="Calibri" w:eastAsia="Times New Roman" w:hAnsi="Calibri" w:cs="Calibri"/>
          <w:u w:val="single"/>
        </w:rPr>
      </w:pPr>
      <w:r w:rsidRPr="0008005D">
        <w:rPr>
          <w:rFonts w:ascii="Calibri" w:eastAsia="Times New Roman" w:hAnsi="Calibri" w:cs="Calibri"/>
          <w:u w:val="single"/>
        </w:rPr>
        <w:t>Right to appeal</w:t>
      </w:r>
      <w:r w:rsidR="00C72C64">
        <w:rPr>
          <w:rFonts w:ascii="Calibri" w:eastAsia="Times New Roman" w:hAnsi="Calibri" w:cs="Calibri"/>
          <w:u w:val="single"/>
        </w:rPr>
        <w:t xml:space="preserve">: </w:t>
      </w:r>
      <w:r>
        <w:rPr>
          <w:rFonts w:ascii="Calibri" w:eastAsia="Times New Roman" w:hAnsi="Calibri" w:cs="Calibri"/>
        </w:rPr>
        <w:t>Despite repeated recommendations by the Committee Against Torture and the Human Rights Committee, appeals against death sentence are not mandatory under Japanese law.</w:t>
      </w:r>
    </w:p>
    <w:p w14:paraId="13633BA0" w14:textId="77777777" w:rsidR="00F7738B" w:rsidRPr="0008005D" w:rsidRDefault="00F7738B" w:rsidP="00F7738B">
      <w:pPr>
        <w:rPr>
          <w:rFonts w:ascii="Calibri" w:eastAsia="Times New Roman" w:hAnsi="Calibri" w:cs="Calibri"/>
          <w:u w:val="single"/>
        </w:rPr>
      </w:pPr>
    </w:p>
    <w:p w14:paraId="256C29C2" w14:textId="708FD534" w:rsidR="00F7738B" w:rsidRPr="00BA105D" w:rsidRDefault="00F7738B" w:rsidP="00F7738B">
      <w:pPr>
        <w:rPr>
          <w:rFonts w:ascii="Calibri" w:eastAsia="Times New Roman" w:hAnsi="Calibri" w:cs="Calibri"/>
        </w:rPr>
      </w:pPr>
      <w:r w:rsidRPr="0008005D">
        <w:rPr>
          <w:rFonts w:ascii="Calibri" w:eastAsia="Times New Roman" w:hAnsi="Calibri" w:cs="Calibri"/>
          <w:u w:val="single"/>
        </w:rPr>
        <w:t>Right to pardon</w:t>
      </w:r>
      <w:r w:rsidR="00C72C64">
        <w:rPr>
          <w:rFonts w:ascii="Calibri" w:eastAsia="Times New Roman" w:hAnsi="Calibri" w:cs="Calibri"/>
          <w:u w:val="single"/>
        </w:rPr>
        <w:t xml:space="preserve">: </w:t>
      </w:r>
      <w:r>
        <w:rPr>
          <w:rFonts w:ascii="Calibri" w:eastAsia="Times New Roman" w:hAnsi="Calibri" w:cs="Calibri"/>
        </w:rPr>
        <w:t>Japanese law allows for amnesties, pardons, and commutations</w:t>
      </w:r>
      <w:r w:rsidR="00BA105D">
        <w:rPr>
          <w:rFonts w:ascii="Calibri" w:eastAsia="Times New Roman" w:hAnsi="Calibri" w:cs="Calibri"/>
        </w:rPr>
        <w:t>;</w:t>
      </w:r>
      <w:r>
        <w:rPr>
          <w:rStyle w:val="FootnoteReference"/>
          <w:rFonts w:ascii="Calibri" w:eastAsia="Times New Roman" w:hAnsi="Calibri" w:cs="Calibri"/>
        </w:rPr>
        <w:footnoteReference w:id="14"/>
      </w:r>
      <w:r>
        <w:rPr>
          <w:rFonts w:ascii="Calibri" w:eastAsia="Times New Roman" w:hAnsi="Calibri" w:cs="Calibri"/>
        </w:rPr>
        <w:t xml:space="preserve"> </w:t>
      </w:r>
      <w:r w:rsidR="00BA105D">
        <w:rPr>
          <w:rFonts w:ascii="Calibri" w:eastAsia="Times New Roman" w:hAnsi="Calibri" w:cs="Calibri"/>
        </w:rPr>
        <w:t xml:space="preserve">however, </w:t>
      </w:r>
      <w:r>
        <w:rPr>
          <w:rFonts w:ascii="Calibri" w:eastAsia="Times New Roman" w:hAnsi="Calibri" w:cs="Calibri"/>
        </w:rPr>
        <w:t>there have been no amnesties, pardons, or commutations since 1975 suggests that in practice, avenues for mercy are inadequate.</w:t>
      </w:r>
      <w:r w:rsidRPr="00F7738B">
        <w:rPr>
          <w:rStyle w:val="FootnoteReference"/>
          <w:rFonts w:ascii="Calibri" w:eastAsia="Times New Roman" w:hAnsi="Calibri" w:cs="Calibri"/>
        </w:rPr>
        <w:t xml:space="preserve"> </w:t>
      </w:r>
      <w:r>
        <w:rPr>
          <w:rFonts w:ascii="Calibri" w:eastAsia="Times New Roman" w:hAnsi="Calibri" w:cs="Calibri"/>
        </w:rPr>
        <w:t>Indeed, the lack of an effective process for consideration mercy petitions is a failure to comply with the ICCPR and the Safeguards.</w:t>
      </w:r>
      <w:r>
        <w:rPr>
          <w:rStyle w:val="FootnoteReference"/>
          <w:rFonts w:ascii="Calibri" w:eastAsia="Times New Roman" w:hAnsi="Calibri" w:cs="Calibri"/>
        </w:rPr>
        <w:footnoteReference w:id="15"/>
      </w:r>
    </w:p>
    <w:p w14:paraId="418AAC9A" w14:textId="77777777" w:rsidR="00F7738B" w:rsidRDefault="00F7738B" w:rsidP="00F7738B">
      <w:pPr>
        <w:rPr>
          <w:rFonts w:ascii="Calibri" w:eastAsia="Times New Roman" w:hAnsi="Calibri" w:cs="Calibri"/>
          <w:b/>
          <w:bCs/>
        </w:rPr>
      </w:pPr>
    </w:p>
    <w:p w14:paraId="2E3EF4F4" w14:textId="5EEF4A5C" w:rsidR="00D92197" w:rsidRDefault="00F7738B" w:rsidP="00D92197">
      <w:pPr>
        <w:rPr>
          <w:rFonts w:ascii="Calibri" w:eastAsia="Times New Roman" w:hAnsi="Calibri" w:cs="Calibri"/>
        </w:rPr>
      </w:pPr>
      <w:r w:rsidRPr="00711D96">
        <w:rPr>
          <w:rFonts w:ascii="Calibri" w:eastAsia="Times New Roman" w:hAnsi="Calibri" w:cs="Calibri"/>
          <w:b/>
          <w:bCs/>
        </w:rPr>
        <w:t>Treatment on death row</w:t>
      </w:r>
      <w:r w:rsidR="00C72C64">
        <w:rPr>
          <w:rFonts w:ascii="Calibri" w:eastAsia="Times New Roman" w:hAnsi="Calibri" w:cs="Calibri"/>
          <w:b/>
          <w:bCs/>
        </w:rPr>
        <w:t xml:space="preserve">: </w:t>
      </w:r>
      <w:r>
        <w:rPr>
          <w:rFonts w:ascii="Calibri" w:eastAsia="Times New Roman" w:hAnsi="Calibri" w:cs="Calibri"/>
        </w:rPr>
        <w:t xml:space="preserve">Japan’s death row is notoriously severe, characterised by </w:t>
      </w:r>
      <w:r w:rsidR="0025650B">
        <w:rPr>
          <w:rFonts w:ascii="Calibri" w:eastAsia="Times New Roman" w:hAnsi="Calibri" w:cs="Calibri"/>
        </w:rPr>
        <w:t xml:space="preserve">solitary confinement in </w:t>
      </w:r>
      <w:r>
        <w:rPr>
          <w:rFonts w:ascii="Calibri" w:eastAsia="Times New Roman" w:hAnsi="Calibri" w:cs="Calibri"/>
        </w:rPr>
        <w:t>small cells, inadequate time spent outside, solitary confinement, and limited contact with other persons outside prison.</w:t>
      </w:r>
      <w:r>
        <w:rPr>
          <w:rStyle w:val="FootnoteReference"/>
          <w:rFonts w:ascii="Calibri" w:eastAsia="Times New Roman" w:hAnsi="Calibri" w:cs="Calibri"/>
        </w:rPr>
        <w:footnoteReference w:id="16"/>
      </w:r>
      <w:r>
        <w:rPr>
          <w:rFonts w:ascii="Calibri" w:eastAsia="Times New Roman" w:hAnsi="Calibri" w:cs="Calibri"/>
        </w:rPr>
        <w:t xml:space="preserve"> While exact rates are unknown, mental illness among prisoners appears to be high, with limited medical care available.</w:t>
      </w:r>
      <w:r>
        <w:rPr>
          <w:rStyle w:val="FootnoteReference"/>
          <w:rFonts w:ascii="Calibri" w:eastAsia="Times New Roman" w:hAnsi="Calibri" w:cs="Calibri"/>
        </w:rPr>
        <w:footnoteReference w:id="17"/>
      </w:r>
      <w:r w:rsidR="00C72C64">
        <w:rPr>
          <w:rFonts w:ascii="Calibri" w:eastAsia="Times New Roman" w:hAnsi="Calibri" w:cs="Calibri"/>
          <w:b/>
          <w:bCs/>
        </w:rPr>
        <w:t xml:space="preserve"> </w:t>
      </w:r>
      <w:r>
        <w:rPr>
          <w:rFonts w:ascii="Calibri" w:eastAsia="Times New Roman" w:hAnsi="Calibri" w:cs="Calibri"/>
        </w:rPr>
        <w:t xml:space="preserve">In November 2021, two death row inmates sued the </w:t>
      </w:r>
      <w:r w:rsidR="00711D96">
        <w:rPr>
          <w:rFonts w:ascii="Calibri" w:eastAsia="Times New Roman" w:hAnsi="Calibri" w:cs="Calibri"/>
        </w:rPr>
        <w:t>Japanese government</w:t>
      </w:r>
      <w:r>
        <w:rPr>
          <w:rFonts w:ascii="Calibri" w:eastAsia="Times New Roman" w:hAnsi="Calibri" w:cs="Calibri"/>
        </w:rPr>
        <w:t xml:space="preserve"> over its treatment of death row prisoners, claiming that the practice of notifying prisoners of their executions mere hours in advance is unlawful as it denies prisoners the opportunity to file an objection.</w:t>
      </w:r>
      <w:r>
        <w:rPr>
          <w:rStyle w:val="FootnoteReference"/>
          <w:rFonts w:ascii="Calibri" w:eastAsia="Times New Roman" w:hAnsi="Calibri" w:cs="Calibri"/>
        </w:rPr>
        <w:footnoteReference w:id="18"/>
      </w:r>
      <w:r>
        <w:rPr>
          <w:rFonts w:ascii="Calibri" w:eastAsia="Times New Roman" w:hAnsi="Calibri" w:cs="Calibri"/>
        </w:rPr>
        <w:t xml:space="preserve"> </w:t>
      </w:r>
      <w:r w:rsidR="00D92197">
        <w:rPr>
          <w:rFonts w:ascii="Calibri" w:eastAsia="Times New Roman" w:hAnsi="Calibri" w:cs="Calibri"/>
        </w:rPr>
        <w:t xml:space="preserve">The Minister of Justice </w:t>
      </w:r>
      <w:r>
        <w:rPr>
          <w:rFonts w:ascii="Calibri" w:eastAsia="Times New Roman" w:hAnsi="Calibri" w:cs="Calibri"/>
        </w:rPr>
        <w:t xml:space="preserve">has </w:t>
      </w:r>
      <w:r w:rsidR="00D92197">
        <w:rPr>
          <w:rFonts w:ascii="Calibri" w:eastAsia="Times New Roman" w:hAnsi="Calibri" w:cs="Calibri"/>
        </w:rPr>
        <w:t xml:space="preserve">defended </w:t>
      </w:r>
      <w:r>
        <w:rPr>
          <w:rFonts w:ascii="Calibri" w:eastAsia="Times New Roman" w:hAnsi="Calibri" w:cs="Calibri"/>
        </w:rPr>
        <w:t xml:space="preserve">this practice </w:t>
      </w:r>
      <w:r w:rsidR="00D92197">
        <w:rPr>
          <w:rFonts w:ascii="Calibri" w:eastAsia="Times New Roman" w:hAnsi="Calibri" w:cs="Calibri"/>
        </w:rPr>
        <w:t xml:space="preserve">in December 2021 at a press conference by stating that it </w:t>
      </w:r>
      <w:r>
        <w:rPr>
          <w:rFonts w:ascii="Calibri" w:eastAsia="Times New Roman" w:hAnsi="Calibri" w:cs="Calibri"/>
        </w:rPr>
        <w:t>is intended to prevent prisoners from suffering before their execution</w:t>
      </w:r>
      <w:r w:rsidR="00D92197">
        <w:rPr>
          <w:rFonts w:ascii="Calibri" w:eastAsia="Times New Roman" w:hAnsi="Calibri" w:cs="Calibri"/>
        </w:rPr>
        <w:t>:</w:t>
      </w:r>
      <w:r>
        <w:rPr>
          <w:rFonts w:ascii="Calibri" w:eastAsia="Times New Roman" w:hAnsi="Calibri" w:cs="Calibri"/>
        </w:rPr>
        <w:t xml:space="preserve"> </w:t>
      </w:r>
    </w:p>
    <w:p w14:paraId="2375237E" w14:textId="77777777" w:rsidR="00D92197" w:rsidRDefault="00D92197" w:rsidP="00D92197">
      <w:pPr>
        <w:rPr>
          <w:rFonts w:ascii="Calibri" w:eastAsia="Times New Roman" w:hAnsi="Calibri" w:cs="Calibri"/>
        </w:rPr>
      </w:pPr>
    </w:p>
    <w:p w14:paraId="3CDAF9F6" w14:textId="1D049B71" w:rsidR="00D92197" w:rsidRPr="00D92197" w:rsidRDefault="00D92197" w:rsidP="00D92197">
      <w:pPr>
        <w:ind w:left="720"/>
        <w:rPr>
          <w:rFonts w:ascii="Calibri" w:eastAsia="Times New Roman" w:hAnsi="Calibri" w:cs="Calibri"/>
          <w:sz w:val="22"/>
          <w:szCs w:val="22"/>
        </w:rPr>
      </w:pPr>
      <w:r w:rsidRPr="00D92197">
        <w:rPr>
          <w:rFonts w:ascii="Calibri" w:eastAsia="Times New Roman" w:hAnsi="Calibri" w:cs="Calibri"/>
          <w:sz w:val="22"/>
          <w:szCs w:val="22"/>
        </w:rPr>
        <w:lastRenderedPageBreak/>
        <w:t>The notification of execution of the death penalty is given to the inmate in question on the day of the execution before the death penalty is executed. This is partly because it is considered that, if the notification were given before the date of execution, it would seriously affect the mind of the inmate sentenced to death and make it difficult to maintain peace of mind.</w:t>
      </w:r>
      <w:r w:rsidRPr="00D92197">
        <w:rPr>
          <w:rStyle w:val="FootnoteReference"/>
          <w:rFonts w:ascii="Calibri" w:eastAsia="Times New Roman" w:hAnsi="Calibri" w:cs="Calibri"/>
          <w:sz w:val="22"/>
          <w:szCs w:val="22"/>
        </w:rPr>
        <w:footnoteReference w:id="19"/>
      </w:r>
      <w:r w:rsidRPr="00D92197">
        <w:rPr>
          <w:rFonts w:ascii="Calibri" w:eastAsia="Times New Roman" w:hAnsi="Calibri" w:cs="Calibri"/>
          <w:sz w:val="22"/>
          <w:szCs w:val="22"/>
        </w:rPr>
        <w:t xml:space="preserve"> </w:t>
      </w:r>
    </w:p>
    <w:p w14:paraId="546C995A" w14:textId="0B51ECC6" w:rsidR="00F7738B" w:rsidRDefault="00F7738B" w:rsidP="00F7738B">
      <w:pPr>
        <w:rPr>
          <w:rFonts w:ascii="Calibri" w:eastAsia="Times New Roman" w:hAnsi="Calibri" w:cs="Calibri"/>
        </w:rPr>
      </w:pPr>
    </w:p>
    <w:p w14:paraId="5EB99F50" w14:textId="77777777" w:rsidR="0025650B" w:rsidRDefault="00930FD4" w:rsidP="0025650B">
      <w:pPr>
        <w:rPr>
          <w:rFonts w:ascii="Calibri" w:eastAsia="Times New Roman" w:hAnsi="Calibri" w:cs="Calibri"/>
        </w:rPr>
      </w:pPr>
      <w:r w:rsidRPr="00711D96">
        <w:rPr>
          <w:rFonts w:ascii="Calibri" w:eastAsia="Times New Roman" w:hAnsi="Calibri" w:cs="Calibri"/>
          <w:b/>
          <w:bCs/>
        </w:rPr>
        <w:t>Moratorium on executions</w:t>
      </w:r>
      <w:r w:rsidR="00711D96">
        <w:rPr>
          <w:rFonts w:ascii="Calibri" w:eastAsia="Times New Roman" w:hAnsi="Calibri" w:cs="Calibri"/>
        </w:rPr>
        <w:t xml:space="preserve">: </w:t>
      </w:r>
      <w:r>
        <w:rPr>
          <w:rFonts w:ascii="Calibri" w:eastAsia="Times New Roman" w:hAnsi="Calibri" w:cs="Calibri"/>
        </w:rPr>
        <w:t>Although Japan carries out very few executions, and only in instances of</w:t>
      </w:r>
      <w:r w:rsidR="0025650B">
        <w:rPr>
          <w:rFonts w:ascii="Calibri" w:eastAsia="Times New Roman" w:hAnsi="Calibri" w:cs="Calibri"/>
        </w:rPr>
        <w:t xml:space="preserve"> murder</w:t>
      </w:r>
      <w:r w:rsidR="00E10BBF">
        <w:rPr>
          <w:rFonts w:ascii="Calibri" w:eastAsia="Times New Roman" w:hAnsi="Calibri" w:cs="Calibri"/>
        </w:rPr>
        <w:t>, it has not evinced any intention to establish a moratorium on executions or abolish the death penalty.</w:t>
      </w:r>
      <w:r w:rsidR="0025650B">
        <w:rPr>
          <w:rFonts w:ascii="Calibri" w:eastAsia="Times New Roman" w:hAnsi="Calibri" w:cs="Calibri"/>
        </w:rPr>
        <w:t xml:space="preserve"> In 2020, the Japanese government submitted to the UN Human Rights Committee stating that: </w:t>
      </w:r>
    </w:p>
    <w:p w14:paraId="31CEB0EB" w14:textId="77777777" w:rsidR="0025650B" w:rsidRDefault="0025650B" w:rsidP="0025650B">
      <w:pPr>
        <w:rPr>
          <w:rFonts w:ascii="Calibri" w:eastAsia="Times New Roman" w:hAnsi="Calibri" w:cs="Calibri"/>
        </w:rPr>
      </w:pPr>
    </w:p>
    <w:p w14:paraId="25B8E4C2" w14:textId="782801F0" w:rsidR="00D92197" w:rsidRPr="00D92197" w:rsidRDefault="0025650B" w:rsidP="00C85BF7">
      <w:pPr>
        <w:ind w:left="720"/>
        <w:rPr>
          <w:rFonts w:ascii="Calibri" w:eastAsia="Times New Roman" w:hAnsi="Calibri" w:cs="Calibri"/>
          <w:sz w:val="22"/>
          <w:szCs w:val="22"/>
        </w:rPr>
      </w:pPr>
      <w:r w:rsidRPr="0025650B">
        <w:rPr>
          <w:rFonts w:ascii="Calibri" w:eastAsia="Times New Roman" w:hAnsi="Calibri" w:cs="Calibri" w:hint="cs"/>
          <w:sz w:val="22"/>
          <w:szCs w:val="22"/>
        </w:rPr>
        <w:t>Whether to retain or abolish the death penalty is basically an issue that should be determined by each country at its discretion with careful examination from various viewpoints, such as the realization of justice in society, taking public opinion into full account. The majority of citizens in Japan consider that the death penalty is unavoidable for extremely malicious and atrocious crimes. (</w:t>
      </w:r>
      <w:r w:rsidR="00C85BF7">
        <w:rPr>
          <w:rFonts w:ascii="Calibri" w:eastAsia="Times New Roman" w:hAnsi="Calibri" w:cs="Calibri"/>
          <w:sz w:val="22"/>
          <w:szCs w:val="22"/>
        </w:rPr>
        <w:t>P</w:t>
      </w:r>
      <w:r w:rsidRPr="0025650B">
        <w:rPr>
          <w:rFonts w:ascii="Calibri" w:eastAsia="Times New Roman" w:hAnsi="Calibri" w:cs="Calibri" w:hint="cs"/>
          <w:sz w:val="22"/>
          <w:szCs w:val="22"/>
        </w:rPr>
        <w:t>ara. 67)</w:t>
      </w:r>
    </w:p>
    <w:p w14:paraId="1B4D509D" w14:textId="77777777" w:rsidR="0011752A" w:rsidRPr="0011752A" w:rsidRDefault="0011752A" w:rsidP="00B13852">
      <w:pPr>
        <w:rPr>
          <w:rFonts w:ascii="Calibri" w:eastAsia="Times New Roman" w:hAnsi="Calibri" w:cs="Calibri"/>
        </w:rPr>
      </w:pPr>
    </w:p>
    <w:p w14:paraId="1FC9E40C" w14:textId="1EA16A82" w:rsidR="00636046" w:rsidRDefault="00C85BF7" w:rsidP="00B13852">
      <w:pPr>
        <w:rPr>
          <w:color w:val="000000" w:themeColor="text1"/>
        </w:rPr>
      </w:pPr>
      <w:r>
        <w:rPr>
          <w:color w:val="000000" w:themeColor="text1"/>
        </w:rPr>
        <w:t>For</w:t>
      </w:r>
      <w:r w:rsidR="00636046">
        <w:rPr>
          <w:color w:val="000000" w:themeColor="text1"/>
        </w:rPr>
        <w:t xml:space="preserve"> further information, please contact </w:t>
      </w:r>
      <w:proofErr w:type="spellStart"/>
      <w:r>
        <w:rPr>
          <w:color w:val="000000" w:themeColor="text1"/>
        </w:rPr>
        <w:t>CrimeInfo</w:t>
      </w:r>
      <w:proofErr w:type="spellEnd"/>
      <w:r>
        <w:rPr>
          <w:color w:val="000000" w:themeColor="text1"/>
        </w:rPr>
        <w:t xml:space="preserve"> (</w:t>
      </w:r>
      <w:hyperlink r:id="rId8" w:history="1">
        <w:r w:rsidRPr="005422D9">
          <w:rPr>
            <w:rStyle w:val="Hyperlink"/>
          </w:rPr>
          <w:t>info@crimeinfo.jp</w:t>
        </w:r>
      </w:hyperlink>
      <w:r>
        <w:rPr>
          <w:color w:val="000000" w:themeColor="text1"/>
        </w:rPr>
        <w:t xml:space="preserve">). </w:t>
      </w:r>
    </w:p>
    <w:p w14:paraId="317FB174" w14:textId="0AC779C6" w:rsidR="00C85BF7" w:rsidRDefault="00C85BF7" w:rsidP="00B13852">
      <w:pPr>
        <w:rPr>
          <w:color w:val="000000" w:themeColor="text1"/>
        </w:rPr>
      </w:pPr>
    </w:p>
    <w:p w14:paraId="2197511C" w14:textId="73530F50" w:rsidR="00C85BF7" w:rsidRDefault="00C85BF7" w:rsidP="00B13852">
      <w:pPr>
        <w:rPr>
          <w:color w:val="000000" w:themeColor="text1"/>
        </w:rPr>
      </w:pPr>
    </w:p>
    <w:p w14:paraId="34FACC3A" w14:textId="4932A418" w:rsidR="00636046" w:rsidRPr="0011752A" w:rsidRDefault="00636046" w:rsidP="00B13852">
      <w:pPr>
        <w:rPr>
          <w:rFonts w:ascii="Calibri" w:hAnsi="Calibri" w:cs="Calibri"/>
        </w:rPr>
      </w:pPr>
    </w:p>
    <w:sectPr w:rsidR="00636046" w:rsidRPr="0011752A" w:rsidSect="00EF74DD">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8F58C" w14:textId="77777777" w:rsidR="00F52831" w:rsidRDefault="00F52831" w:rsidP="0011752A">
      <w:r>
        <w:separator/>
      </w:r>
    </w:p>
  </w:endnote>
  <w:endnote w:type="continuationSeparator" w:id="0">
    <w:p w14:paraId="585EA023" w14:textId="77777777" w:rsidR="00F52831" w:rsidRDefault="00F52831" w:rsidP="0011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D12B1" w14:textId="77777777" w:rsidR="00F52831" w:rsidRDefault="00F52831" w:rsidP="0011752A">
      <w:r>
        <w:separator/>
      </w:r>
    </w:p>
  </w:footnote>
  <w:footnote w:type="continuationSeparator" w:id="0">
    <w:p w14:paraId="65CB72BE" w14:textId="77777777" w:rsidR="00F52831" w:rsidRDefault="00F52831" w:rsidP="0011752A">
      <w:r>
        <w:continuationSeparator/>
      </w:r>
    </w:p>
  </w:footnote>
  <w:footnote w:id="1">
    <w:p w14:paraId="65E3456D" w14:textId="4897909C" w:rsidR="00754AF3" w:rsidRPr="008121C9" w:rsidRDefault="00754AF3">
      <w:pPr>
        <w:pStyle w:val="FootnoteText"/>
        <w:rPr>
          <w:rFonts w:cstheme="minorHAnsi"/>
          <w:lang w:val="en-AU"/>
        </w:rPr>
      </w:pPr>
      <w:r w:rsidRPr="008121C9">
        <w:rPr>
          <w:rStyle w:val="FootnoteReference"/>
          <w:rFonts w:cstheme="minorHAnsi"/>
        </w:rPr>
        <w:footnoteRef/>
      </w:r>
      <w:r w:rsidRPr="008121C9">
        <w:rPr>
          <w:rFonts w:cstheme="minorHAnsi"/>
        </w:rPr>
        <w:t xml:space="preserve"> </w:t>
      </w:r>
      <w:hyperlink r:id="rId1" w:history="1">
        <w:r w:rsidR="00D85532" w:rsidRPr="005422D9">
          <w:rPr>
            <w:rStyle w:val="Hyperlink"/>
          </w:rPr>
          <w:t>https://www.crimeinfo.jp/data/houmukaiken/furukawa_031221/</w:t>
        </w:r>
      </w:hyperlink>
      <w:r w:rsidR="00D85532">
        <w:t xml:space="preserve"> </w:t>
      </w:r>
    </w:p>
  </w:footnote>
  <w:footnote w:id="2">
    <w:p w14:paraId="1A734B48" w14:textId="712D2B9C" w:rsidR="00235B22" w:rsidRPr="008121C9" w:rsidRDefault="00235B22">
      <w:pPr>
        <w:pStyle w:val="FootnoteText"/>
        <w:rPr>
          <w:rFonts w:cstheme="minorHAnsi"/>
          <w:lang w:val="en-AU"/>
        </w:rPr>
      </w:pPr>
      <w:r w:rsidRPr="008121C9">
        <w:rPr>
          <w:rStyle w:val="FootnoteReference"/>
          <w:rFonts w:cstheme="minorHAnsi"/>
        </w:rPr>
        <w:footnoteRef/>
      </w:r>
      <w:r w:rsidRPr="008121C9">
        <w:rPr>
          <w:rFonts w:cstheme="minorHAnsi"/>
        </w:rPr>
        <w:t xml:space="preserve"> </w:t>
      </w:r>
      <w:hyperlink r:id="rId2" w:history="1">
        <w:r w:rsidR="00D85532" w:rsidRPr="005422D9">
          <w:rPr>
            <w:rStyle w:val="Hyperlink"/>
          </w:rPr>
          <w:t>https://www.crimeinfo.jp/data/dplist/female/</w:t>
        </w:r>
      </w:hyperlink>
      <w:r w:rsidR="00D85532">
        <w:rPr>
          <w:rFonts w:hint="eastAsia"/>
        </w:rPr>
        <w:t xml:space="preserve">　</w:t>
      </w:r>
    </w:p>
  </w:footnote>
  <w:footnote w:id="3">
    <w:p w14:paraId="7FA7551C" w14:textId="77777777" w:rsidR="00EA2452" w:rsidRPr="008121C9" w:rsidRDefault="00EA2452" w:rsidP="00EA2452">
      <w:pPr>
        <w:pStyle w:val="FootnoteText"/>
        <w:rPr>
          <w:rFonts w:cstheme="minorHAnsi"/>
          <w:lang w:val="en-AU"/>
        </w:rPr>
      </w:pPr>
      <w:r w:rsidRPr="008121C9">
        <w:rPr>
          <w:rStyle w:val="FootnoteReference"/>
          <w:rFonts w:cstheme="minorHAnsi"/>
        </w:rPr>
        <w:footnoteRef/>
      </w:r>
      <w:r w:rsidRPr="008121C9">
        <w:rPr>
          <w:rFonts w:cstheme="minorHAnsi"/>
        </w:rPr>
        <w:t xml:space="preserve"> </w:t>
      </w:r>
      <w:hyperlink r:id="rId3" w:history="1">
        <w:r w:rsidRPr="008121C9">
          <w:rPr>
            <w:rStyle w:val="Hyperlink"/>
            <w:rFonts w:cstheme="minorHAnsi"/>
          </w:rPr>
          <w:t>https://www.crimeinfo.jp/data/toukei/number_new_dp/</w:t>
        </w:r>
      </w:hyperlink>
      <w:r w:rsidRPr="008121C9">
        <w:rPr>
          <w:rFonts w:cstheme="minorHAnsi"/>
        </w:rPr>
        <w:t xml:space="preserve"> </w:t>
      </w:r>
    </w:p>
  </w:footnote>
  <w:footnote w:id="4">
    <w:p w14:paraId="51791C11" w14:textId="77777777" w:rsidR="00EA2452" w:rsidRPr="008121C9" w:rsidRDefault="00EA2452" w:rsidP="00EA2452">
      <w:pPr>
        <w:pStyle w:val="FootnoteText"/>
        <w:rPr>
          <w:rFonts w:cstheme="minorHAnsi"/>
          <w:lang w:val="en-AU"/>
        </w:rPr>
      </w:pPr>
      <w:r w:rsidRPr="008121C9">
        <w:rPr>
          <w:rStyle w:val="FootnoteReference"/>
          <w:rFonts w:cstheme="minorHAnsi"/>
        </w:rPr>
        <w:footnoteRef/>
      </w:r>
      <w:r w:rsidRPr="008121C9">
        <w:rPr>
          <w:rFonts w:cstheme="minorHAnsi"/>
        </w:rPr>
        <w:t xml:space="preserve"> </w:t>
      </w:r>
      <w:hyperlink r:id="rId4" w:history="1">
        <w:r w:rsidRPr="008121C9">
          <w:rPr>
            <w:rStyle w:val="Hyperlink"/>
            <w:rFonts w:cstheme="minorHAnsi"/>
          </w:rPr>
          <w:t>https://www.crimeinfo.jp/data/toukei/number_new_dp/</w:t>
        </w:r>
      </w:hyperlink>
      <w:r w:rsidRPr="008121C9">
        <w:rPr>
          <w:rFonts w:cstheme="minorHAnsi"/>
        </w:rPr>
        <w:t xml:space="preserve"> </w:t>
      </w:r>
    </w:p>
  </w:footnote>
  <w:footnote w:id="5">
    <w:p w14:paraId="34AD27FE" w14:textId="2A199FEA" w:rsidR="00623196" w:rsidRPr="008121C9" w:rsidRDefault="00623196">
      <w:pPr>
        <w:pStyle w:val="FootnoteText"/>
        <w:rPr>
          <w:rFonts w:cstheme="minorHAnsi"/>
          <w:lang w:val="en-AU"/>
        </w:rPr>
      </w:pPr>
      <w:r w:rsidRPr="008121C9">
        <w:rPr>
          <w:rStyle w:val="FootnoteReference"/>
          <w:rFonts w:cstheme="minorHAnsi"/>
        </w:rPr>
        <w:footnoteRef/>
      </w:r>
      <w:r w:rsidRPr="008121C9">
        <w:rPr>
          <w:rFonts w:cstheme="minorHAnsi"/>
        </w:rPr>
        <w:t xml:space="preserve"> </w:t>
      </w:r>
      <w:hyperlink r:id="rId5" w:history="1">
        <w:r w:rsidRPr="008121C9">
          <w:rPr>
            <w:rStyle w:val="Hyperlink"/>
            <w:rFonts w:cstheme="minorHAnsi"/>
          </w:rPr>
          <w:t>https://www.crimeinfo.jp/data/toukei/execution/</w:t>
        </w:r>
      </w:hyperlink>
      <w:r w:rsidRPr="008121C9">
        <w:rPr>
          <w:rFonts w:cstheme="minorHAnsi"/>
        </w:rPr>
        <w:t xml:space="preserve"> </w:t>
      </w:r>
    </w:p>
  </w:footnote>
  <w:footnote w:id="6">
    <w:p w14:paraId="1AB25CC9" w14:textId="0B6F9D1B" w:rsidR="00323B48" w:rsidRPr="00323B48" w:rsidRDefault="00323B48">
      <w:pPr>
        <w:pStyle w:val="FootnoteText"/>
        <w:rPr>
          <w:lang w:val="en-AU"/>
        </w:rPr>
      </w:pPr>
      <w:r>
        <w:rPr>
          <w:rStyle w:val="FootnoteReference"/>
        </w:rPr>
        <w:footnoteRef/>
      </w:r>
      <w:r>
        <w:t xml:space="preserve"> </w:t>
      </w:r>
      <w:hyperlink r:id="rId6" w:anchor="%E8%97%A4%E5%9F%8E%E5%BA%B7%E5%AD%9D" w:history="1">
        <w:r w:rsidR="00E103D9" w:rsidRPr="005422D9">
          <w:rPr>
            <w:rStyle w:val="Hyperlink"/>
          </w:rPr>
          <w:t>https://www.crimeinfo.jp/data/dplist/dplist_all/#%E8%97%A4%E5%9F%8E%E5%BA%B7%E5%AD%9D</w:t>
        </w:r>
      </w:hyperlink>
      <w:r w:rsidR="00E103D9">
        <w:t xml:space="preserve"> </w:t>
      </w:r>
    </w:p>
  </w:footnote>
  <w:footnote w:id="7">
    <w:p w14:paraId="780A2549" w14:textId="59646D71" w:rsidR="00323B48" w:rsidRPr="00323B48" w:rsidRDefault="00323B48">
      <w:pPr>
        <w:pStyle w:val="FootnoteText"/>
        <w:rPr>
          <w:lang w:val="en-AU"/>
        </w:rPr>
      </w:pPr>
      <w:r>
        <w:rPr>
          <w:rStyle w:val="FootnoteReference"/>
        </w:rPr>
        <w:footnoteRef/>
      </w:r>
      <w:r>
        <w:t xml:space="preserve"> </w:t>
      </w:r>
      <w:hyperlink r:id="rId7" w:history="1">
        <w:r w:rsidRPr="00D37DBB">
          <w:rPr>
            <w:rStyle w:val="Hyperlink"/>
          </w:rPr>
          <w:t>https://www.amnesty.org/en/latest/news/2021/12/japan-abhorrent-executions-crush-hopes-of-progress-under-new-prime-minister/</w:t>
        </w:r>
      </w:hyperlink>
      <w:r>
        <w:t xml:space="preserve"> </w:t>
      </w:r>
    </w:p>
  </w:footnote>
  <w:footnote w:id="8">
    <w:p w14:paraId="3A966EF9" w14:textId="01F6669E" w:rsidR="00623196" w:rsidRPr="00623196" w:rsidRDefault="00623196">
      <w:pPr>
        <w:pStyle w:val="FootnoteText"/>
        <w:rPr>
          <w:lang w:val="en-AU"/>
        </w:rPr>
      </w:pPr>
      <w:r>
        <w:rPr>
          <w:rStyle w:val="FootnoteReference"/>
        </w:rPr>
        <w:footnoteRef/>
      </w:r>
      <w:r>
        <w:t xml:space="preserve"> </w:t>
      </w:r>
      <w:hyperlink r:id="rId8" w:history="1">
        <w:r w:rsidRPr="00D37DBB">
          <w:rPr>
            <w:rStyle w:val="Hyperlink"/>
          </w:rPr>
          <w:t>https://www.crimeinfo.jp/data/toukei/execution/</w:t>
        </w:r>
      </w:hyperlink>
      <w:r>
        <w:t xml:space="preserve"> </w:t>
      </w:r>
    </w:p>
  </w:footnote>
  <w:footnote w:id="9">
    <w:p w14:paraId="50D44761" w14:textId="744C5F26" w:rsidR="00A77B55" w:rsidRDefault="00A77B55">
      <w:pPr>
        <w:pStyle w:val="FootnoteText"/>
      </w:pPr>
      <w:r>
        <w:rPr>
          <w:rStyle w:val="FootnoteReference"/>
        </w:rPr>
        <w:footnoteRef/>
      </w:r>
      <w:r>
        <w:t xml:space="preserve"> </w:t>
      </w:r>
      <w:bookmarkStart w:id="1" w:name="_Hlk101542309"/>
      <w:r w:rsidRPr="00A77B55">
        <w:t>https://www.crimeinfo.jp/data/toukei/kousoshin/</w:t>
      </w:r>
      <w:bookmarkEnd w:id="1"/>
    </w:p>
  </w:footnote>
  <w:footnote w:id="10">
    <w:p w14:paraId="35BBC4CD" w14:textId="6AA3F427" w:rsidR="001E084D" w:rsidRPr="00082A71" w:rsidRDefault="001E084D" w:rsidP="001E084D">
      <w:pPr>
        <w:pStyle w:val="FootnoteText"/>
        <w:rPr>
          <w:lang w:val="en-AU"/>
        </w:rPr>
      </w:pPr>
      <w:r>
        <w:rPr>
          <w:rStyle w:val="FootnoteReference"/>
        </w:rPr>
        <w:footnoteRef/>
      </w:r>
      <w:r>
        <w:t xml:space="preserve"> </w:t>
      </w:r>
      <w:hyperlink r:id="rId9" w:history="1">
        <w:r w:rsidR="006B41CE" w:rsidRPr="005422D9">
          <w:rPr>
            <w:rStyle w:val="Hyperlink"/>
          </w:rPr>
          <w:t>https://www.crimeinfo.jp/data/toukei/statistics_06-2/</w:t>
        </w:r>
      </w:hyperlink>
      <w:r w:rsidR="006B41CE">
        <w:t xml:space="preserve">; </w:t>
      </w:r>
      <w:r>
        <w:rPr>
          <w:lang w:val="en-AU"/>
        </w:rPr>
        <w:t xml:space="preserve">Maiko </w:t>
      </w:r>
      <w:proofErr w:type="spellStart"/>
      <w:r>
        <w:rPr>
          <w:lang w:val="en-AU"/>
        </w:rPr>
        <w:t>Tagusari</w:t>
      </w:r>
      <w:proofErr w:type="spellEnd"/>
      <w:r>
        <w:rPr>
          <w:lang w:val="en-AU"/>
        </w:rPr>
        <w:t xml:space="preserve">, Mai Sato, David Johnson and Saul </w:t>
      </w:r>
      <w:proofErr w:type="spellStart"/>
      <w:r>
        <w:rPr>
          <w:lang w:val="en-AU"/>
        </w:rPr>
        <w:t>Lerhfreund</w:t>
      </w:r>
      <w:proofErr w:type="spellEnd"/>
      <w:r>
        <w:rPr>
          <w:lang w:val="en-AU"/>
        </w:rPr>
        <w:t xml:space="preserve">, </w:t>
      </w:r>
      <w:r>
        <w:rPr>
          <w:i/>
          <w:iCs/>
          <w:lang w:val="en-AU"/>
        </w:rPr>
        <w:t>The Death Penalty in Japan</w:t>
      </w:r>
      <w:r>
        <w:rPr>
          <w:lang w:val="en-AU"/>
        </w:rPr>
        <w:t xml:space="preserve"> (2013) 10.</w:t>
      </w:r>
      <w:r w:rsidR="00BA105D">
        <w:rPr>
          <w:lang w:val="en-AU"/>
        </w:rPr>
        <w:t xml:space="preserve"> Available from </w:t>
      </w:r>
      <w:hyperlink r:id="rId10" w:history="1">
        <w:r w:rsidR="00BA105D" w:rsidRPr="005422D9">
          <w:rPr>
            <w:rStyle w:val="Hyperlink"/>
            <w:lang w:val="en-AU"/>
          </w:rPr>
          <w:t>https://deathpenaltyproject.org/knowledge/the-death-penalty-in-japan/</w:t>
        </w:r>
      </w:hyperlink>
      <w:r w:rsidR="00BA105D">
        <w:rPr>
          <w:lang w:val="en-AU"/>
        </w:rPr>
        <w:t xml:space="preserve"> </w:t>
      </w:r>
    </w:p>
  </w:footnote>
  <w:footnote w:id="11">
    <w:p w14:paraId="0E251C99" w14:textId="77777777" w:rsidR="00F7738B" w:rsidRPr="004C6D7E" w:rsidRDefault="00F7738B" w:rsidP="00F7738B">
      <w:pPr>
        <w:pStyle w:val="FootnoteText"/>
        <w:rPr>
          <w:lang w:val="en-AU"/>
        </w:rPr>
      </w:pPr>
      <w:r>
        <w:rPr>
          <w:rStyle w:val="FootnoteReference"/>
        </w:rPr>
        <w:footnoteRef/>
      </w:r>
      <w:r>
        <w:t xml:space="preserve"> </w:t>
      </w:r>
      <w:r>
        <w:rPr>
          <w:lang w:val="en-AU"/>
        </w:rPr>
        <w:t>Penal Code of Japan, arts. 77 (insurrection), 81 (inducing foreign aggression), 82 (participation in foreign military aggression against Japan).</w:t>
      </w:r>
    </w:p>
  </w:footnote>
  <w:footnote w:id="12">
    <w:p w14:paraId="40C6E1F7" w14:textId="77777777" w:rsidR="00F7738B" w:rsidRPr="00104B27" w:rsidRDefault="00F7738B" w:rsidP="00F7738B">
      <w:pPr>
        <w:pStyle w:val="FootnoteText"/>
        <w:rPr>
          <w:lang w:val="en-AU"/>
        </w:rPr>
      </w:pPr>
      <w:r>
        <w:rPr>
          <w:rStyle w:val="FootnoteReference"/>
        </w:rPr>
        <w:footnoteRef/>
      </w:r>
      <w:r>
        <w:t xml:space="preserve"> </w:t>
      </w:r>
      <w:r>
        <w:rPr>
          <w:lang w:val="en-AU"/>
        </w:rPr>
        <w:t>Penal Code of Japan, art. 108.</w:t>
      </w:r>
    </w:p>
  </w:footnote>
  <w:footnote w:id="13">
    <w:p w14:paraId="28D7860A" w14:textId="77777777" w:rsidR="00F7738B" w:rsidRPr="00104B27" w:rsidRDefault="00F7738B" w:rsidP="00F7738B">
      <w:pPr>
        <w:pStyle w:val="FootnoteText"/>
        <w:rPr>
          <w:lang w:val="en-AU"/>
        </w:rPr>
      </w:pPr>
      <w:r>
        <w:rPr>
          <w:rStyle w:val="FootnoteReference"/>
        </w:rPr>
        <w:footnoteRef/>
      </w:r>
      <w:r>
        <w:t xml:space="preserve"> </w:t>
      </w:r>
      <w:r>
        <w:rPr>
          <w:lang w:val="en-AU"/>
        </w:rPr>
        <w:t>Penal Code of Japan, art. 117; Japan Explosives Control Act, art. 1.</w:t>
      </w:r>
    </w:p>
  </w:footnote>
  <w:footnote w:id="14">
    <w:p w14:paraId="65440109" w14:textId="77777777" w:rsidR="00F7738B" w:rsidRPr="0045144D" w:rsidRDefault="00F7738B" w:rsidP="00F7738B">
      <w:pPr>
        <w:pStyle w:val="FootnoteText"/>
        <w:rPr>
          <w:lang w:val="en-AU"/>
        </w:rPr>
      </w:pPr>
      <w:r>
        <w:rPr>
          <w:rStyle w:val="FootnoteReference"/>
        </w:rPr>
        <w:footnoteRef/>
      </w:r>
      <w:r>
        <w:t xml:space="preserve"> </w:t>
      </w:r>
      <w:r>
        <w:rPr>
          <w:lang w:val="en-AU"/>
        </w:rPr>
        <w:t>Constitution of Japan, Article 73; Pardon Act.</w:t>
      </w:r>
    </w:p>
  </w:footnote>
  <w:footnote w:id="15">
    <w:p w14:paraId="7A2DB04E" w14:textId="77777777" w:rsidR="00BA105D" w:rsidRPr="00082A71" w:rsidRDefault="00F7738B" w:rsidP="00BA105D">
      <w:pPr>
        <w:pStyle w:val="FootnoteText"/>
        <w:rPr>
          <w:lang w:val="en-AU"/>
        </w:rPr>
      </w:pPr>
      <w:r>
        <w:rPr>
          <w:rStyle w:val="FootnoteReference"/>
        </w:rPr>
        <w:footnoteRef/>
      </w:r>
      <w:r>
        <w:t xml:space="preserve"> </w:t>
      </w:r>
      <w:r w:rsidR="00BA105D">
        <w:rPr>
          <w:lang w:val="en-AU"/>
        </w:rPr>
        <w:t xml:space="preserve">Maiko </w:t>
      </w:r>
      <w:proofErr w:type="spellStart"/>
      <w:r w:rsidR="00BA105D">
        <w:rPr>
          <w:lang w:val="en-AU"/>
        </w:rPr>
        <w:t>Tagusari</w:t>
      </w:r>
      <w:proofErr w:type="spellEnd"/>
      <w:r w:rsidR="00BA105D">
        <w:rPr>
          <w:lang w:val="en-AU"/>
        </w:rPr>
        <w:t xml:space="preserve">, Mai Sato, David Johnson and Saul </w:t>
      </w:r>
      <w:proofErr w:type="spellStart"/>
      <w:r w:rsidR="00BA105D">
        <w:rPr>
          <w:lang w:val="en-AU"/>
        </w:rPr>
        <w:t>Lerhfreund</w:t>
      </w:r>
      <w:proofErr w:type="spellEnd"/>
      <w:r w:rsidR="00BA105D">
        <w:rPr>
          <w:lang w:val="en-AU"/>
        </w:rPr>
        <w:t xml:space="preserve">, </w:t>
      </w:r>
      <w:r w:rsidR="00BA105D">
        <w:rPr>
          <w:i/>
          <w:iCs/>
          <w:lang w:val="en-AU"/>
        </w:rPr>
        <w:t>The Death Penalty in Japan</w:t>
      </w:r>
      <w:r w:rsidR="00BA105D">
        <w:rPr>
          <w:lang w:val="en-AU"/>
        </w:rPr>
        <w:t xml:space="preserve"> (2013) 10. Available from </w:t>
      </w:r>
      <w:hyperlink r:id="rId11" w:history="1">
        <w:r w:rsidR="00BA105D" w:rsidRPr="005422D9">
          <w:rPr>
            <w:rStyle w:val="Hyperlink"/>
            <w:lang w:val="en-AU"/>
          </w:rPr>
          <w:t>https://deathpenaltyproject.org/knowledge/the-death-penalty-in-japan/</w:t>
        </w:r>
      </w:hyperlink>
      <w:r w:rsidR="00BA105D">
        <w:rPr>
          <w:lang w:val="en-AU"/>
        </w:rPr>
        <w:t xml:space="preserve"> </w:t>
      </w:r>
    </w:p>
    <w:p w14:paraId="66A514AD" w14:textId="45D1A752" w:rsidR="00F7738B" w:rsidRPr="0028131D" w:rsidRDefault="00F7738B" w:rsidP="00F7738B">
      <w:pPr>
        <w:pStyle w:val="FootnoteText"/>
        <w:rPr>
          <w:lang w:val="en-AU"/>
        </w:rPr>
      </w:pPr>
      <w:r>
        <w:rPr>
          <w:lang w:val="en-AU"/>
        </w:rPr>
        <w:t>10.</w:t>
      </w:r>
    </w:p>
  </w:footnote>
  <w:footnote w:id="16">
    <w:p w14:paraId="20FCC779" w14:textId="1CF45639" w:rsidR="00F7738B" w:rsidRPr="00F506A4" w:rsidRDefault="00F7738B" w:rsidP="00F7738B">
      <w:pPr>
        <w:pStyle w:val="FootnoteText"/>
        <w:rPr>
          <w:lang w:val="en-AU"/>
        </w:rPr>
      </w:pPr>
      <w:r>
        <w:rPr>
          <w:rStyle w:val="FootnoteReference"/>
        </w:rPr>
        <w:footnoteRef/>
      </w:r>
      <w:r>
        <w:t xml:space="preserve"> </w:t>
      </w:r>
      <w:r w:rsidR="00BA105D">
        <w:rPr>
          <w:lang w:val="en-AU"/>
        </w:rPr>
        <w:t xml:space="preserve">Maiko </w:t>
      </w:r>
      <w:proofErr w:type="spellStart"/>
      <w:r w:rsidR="00BA105D">
        <w:rPr>
          <w:lang w:val="en-AU"/>
        </w:rPr>
        <w:t>Tagusari</w:t>
      </w:r>
      <w:proofErr w:type="spellEnd"/>
      <w:r w:rsidR="00BA105D">
        <w:rPr>
          <w:lang w:val="en-AU"/>
        </w:rPr>
        <w:t xml:space="preserve">, Mai Sato, David Johnson and Saul </w:t>
      </w:r>
      <w:proofErr w:type="spellStart"/>
      <w:r w:rsidR="00BA105D">
        <w:rPr>
          <w:lang w:val="en-AU"/>
        </w:rPr>
        <w:t>Lerhfreund</w:t>
      </w:r>
      <w:proofErr w:type="spellEnd"/>
      <w:r w:rsidR="00BA105D">
        <w:rPr>
          <w:lang w:val="en-AU"/>
        </w:rPr>
        <w:t xml:space="preserve">, </w:t>
      </w:r>
      <w:r w:rsidR="00BA105D">
        <w:rPr>
          <w:i/>
          <w:iCs/>
          <w:lang w:val="en-AU"/>
        </w:rPr>
        <w:t>The Death Penalty in Japan</w:t>
      </w:r>
      <w:r w:rsidR="00BA105D">
        <w:rPr>
          <w:lang w:val="en-AU"/>
        </w:rPr>
        <w:t xml:space="preserve"> (2013) 1</w:t>
      </w:r>
      <w:r w:rsidR="0025650B">
        <w:rPr>
          <w:lang w:val="en-AU"/>
        </w:rPr>
        <w:t>2</w:t>
      </w:r>
      <w:r w:rsidR="00BA105D">
        <w:rPr>
          <w:lang w:val="en-AU"/>
        </w:rPr>
        <w:t xml:space="preserve">. Available from </w:t>
      </w:r>
      <w:hyperlink r:id="rId12" w:history="1">
        <w:r w:rsidR="00BA105D" w:rsidRPr="005422D9">
          <w:rPr>
            <w:rStyle w:val="Hyperlink"/>
            <w:lang w:val="en-AU"/>
          </w:rPr>
          <w:t>https://deathpenaltyproject.org/knowledge/the-death-penalty-in-japan/</w:t>
        </w:r>
      </w:hyperlink>
      <w:r w:rsidR="00BA105D">
        <w:rPr>
          <w:lang w:val="en-AU"/>
        </w:rPr>
        <w:t xml:space="preserve"> </w:t>
      </w:r>
    </w:p>
  </w:footnote>
  <w:footnote w:id="17">
    <w:p w14:paraId="1C7D2B73" w14:textId="1DB68907" w:rsidR="00F7738B" w:rsidRPr="00F506A4" w:rsidRDefault="00F7738B" w:rsidP="00F7738B">
      <w:pPr>
        <w:pStyle w:val="FootnoteText"/>
        <w:rPr>
          <w:lang w:val="en-AU"/>
        </w:rPr>
      </w:pPr>
      <w:r>
        <w:rPr>
          <w:rStyle w:val="FootnoteReference"/>
        </w:rPr>
        <w:footnoteRef/>
      </w:r>
      <w:r>
        <w:t xml:space="preserve"> </w:t>
      </w:r>
      <w:r w:rsidR="00BA105D">
        <w:rPr>
          <w:lang w:val="en-AU"/>
        </w:rPr>
        <w:t xml:space="preserve">Maiko </w:t>
      </w:r>
      <w:proofErr w:type="spellStart"/>
      <w:r w:rsidR="00BA105D">
        <w:rPr>
          <w:lang w:val="en-AU"/>
        </w:rPr>
        <w:t>Tagusari</w:t>
      </w:r>
      <w:proofErr w:type="spellEnd"/>
      <w:r w:rsidR="00BA105D">
        <w:rPr>
          <w:lang w:val="en-AU"/>
        </w:rPr>
        <w:t xml:space="preserve">, Mai Sato, David Johnson and Saul </w:t>
      </w:r>
      <w:proofErr w:type="spellStart"/>
      <w:r w:rsidR="00BA105D">
        <w:rPr>
          <w:lang w:val="en-AU"/>
        </w:rPr>
        <w:t>Lerhfreund</w:t>
      </w:r>
      <w:proofErr w:type="spellEnd"/>
      <w:r w:rsidR="00BA105D">
        <w:rPr>
          <w:lang w:val="en-AU"/>
        </w:rPr>
        <w:t xml:space="preserve">, </w:t>
      </w:r>
      <w:r w:rsidR="00BA105D">
        <w:rPr>
          <w:i/>
          <w:iCs/>
          <w:lang w:val="en-AU"/>
        </w:rPr>
        <w:t>The Death Penalty in Japan</w:t>
      </w:r>
      <w:r w:rsidR="00BA105D">
        <w:rPr>
          <w:lang w:val="en-AU"/>
        </w:rPr>
        <w:t xml:space="preserve"> (2013) 1</w:t>
      </w:r>
      <w:r w:rsidR="0025650B">
        <w:rPr>
          <w:lang w:val="en-AU"/>
        </w:rPr>
        <w:t>2</w:t>
      </w:r>
      <w:r w:rsidR="00BA105D">
        <w:rPr>
          <w:lang w:val="en-AU"/>
        </w:rPr>
        <w:t xml:space="preserve">. Available from </w:t>
      </w:r>
      <w:hyperlink r:id="rId13" w:history="1">
        <w:r w:rsidR="00BA105D" w:rsidRPr="005422D9">
          <w:rPr>
            <w:rStyle w:val="Hyperlink"/>
            <w:lang w:val="en-AU"/>
          </w:rPr>
          <w:t>https://deathpenaltyproject.org/knowledge/the-death-penalty-in-japan/</w:t>
        </w:r>
      </w:hyperlink>
      <w:r>
        <w:rPr>
          <w:lang w:val="en-AU"/>
        </w:rPr>
        <w:t>.</w:t>
      </w:r>
    </w:p>
  </w:footnote>
  <w:footnote w:id="18">
    <w:p w14:paraId="08F8A0FD" w14:textId="77777777" w:rsidR="00F7738B" w:rsidRPr="00781C50" w:rsidRDefault="00F7738B" w:rsidP="00F7738B">
      <w:pPr>
        <w:pStyle w:val="FootnoteText"/>
        <w:rPr>
          <w:lang w:val="en-AU"/>
        </w:rPr>
      </w:pPr>
      <w:r>
        <w:rPr>
          <w:rStyle w:val="FootnoteReference"/>
        </w:rPr>
        <w:footnoteRef/>
      </w:r>
      <w:r>
        <w:t xml:space="preserve"> </w:t>
      </w:r>
      <w:hyperlink r:id="rId14" w:history="1">
        <w:r w:rsidRPr="00D37DBB">
          <w:rPr>
            <w:rStyle w:val="Hyperlink"/>
          </w:rPr>
          <w:t>https://www.reuters.com/world/asia-pacific/japan-death-row-inmates-sue-over-inhumane-same-day-notification-media-2021-11-05/</w:t>
        </w:r>
      </w:hyperlink>
      <w:r>
        <w:t xml:space="preserve"> </w:t>
      </w:r>
    </w:p>
  </w:footnote>
  <w:footnote w:id="19">
    <w:p w14:paraId="213C900B" w14:textId="2A6D5CC1" w:rsidR="00D92197" w:rsidRDefault="00D92197">
      <w:pPr>
        <w:pStyle w:val="FootnoteText"/>
      </w:pPr>
      <w:r>
        <w:rPr>
          <w:rStyle w:val="FootnoteReference"/>
        </w:rPr>
        <w:footnoteRef/>
      </w:r>
      <w:r>
        <w:t xml:space="preserve"> </w:t>
      </w:r>
      <w:r w:rsidRPr="00D92197">
        <w:t>https://www.crimeinfo.jp/data/houmukaiken/furukawa_031221/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B43F0" w14:textId="133A1973" w:rsidR="0011752A" w:rsidRDefault="002E71AA">
    <w:pPr>
      <w:pStyle w:val="Header"/>
    </w:pPr>
    <w:r>
      <w:rPr>
        <w:noProof/>
        <w:lang w:eastAsia="en-GB"/>
      </w:rPr>
      <w:drawing>
        <wp:inline distT="0" distB="0" distL="0" distR="0" wp14:anchorId="0CCFBD33" wp14:editId="1899F4A5">
          <wp:extent cx="1605643" cy="344066"/>
          <wp:effectExtent l="0" t="0" r="0" b="0"/>
          <wp:docPr id="6" name="Picture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43401" cy="373586"/>
                  </a:xfrm>
                  <a:prstGeom prst="rect">
                    <a:avLst/>
                  </a:prstGeom>
                </pic:spPr>
              </pic:pic>
            </a:graphicData>
          </a:graphic>
        </wp:inline>
      </w:drawing>
    </w:r>
    <w:r>
      <w:t xml:space="preserve">                                                                 </w:t>
    </w:r>
    <w:r>
      <w:rPr>
        <w:noProof/>
        <w:lang w:eastAsia="en-GB"/>
      </w:rPr>
      <w:drawing>
        <wp:inline distT="0" distB="0" distL="0" distR="0" wp14:anchorId="71A62E41" wp14:editId="76823406">
          <wp:extent cx="1860478" cy="312486"/>
          <wp:effectExtent l="0" t="0" r="0" b="508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75251" cy="3149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5D5E"/>
    <w:multiLevelType w:val="hybridMultilevel"/>
    <w:tmpl w:val="4A808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F815A3"/>
    <w:multiLevelType w:val="hybridMultilevel"/>
    <w:tmpl w:val="8C089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20A22D9"/>
    <w:multiLevelType w:val="hybridMultilevel"/>
    <w:tmpl w:val="291A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8417FE"/>
    <w:multiLevelType w:val="hybridMultilevel"/>
    <w:tmpl w:val="F0D0043A"/>
    <w:lvl w:ilvl="0" w:tplc="8BD2944E">
      <w:start w:val="3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8D55C9"/>
    <w:multiLevelType w:val="hybridMultilevel"/>
    <w:tmpl w:val="B1FED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bordersDoNotSurroundHeader/>
  <w:bordersDoNotSurroundFooter/>
  <w:proofState w:spelling="clean" w:grammar="clean"/>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52A"/>
    <w:rsid w:val="000609B5"/>
    <w:rsid w:val="0008005D"/>
    <w:rsid w:val="00082A71"/>
    <w:rsid w:val="000865D0"/>
    <w:rsid w:val="00091AF5"/>
    <w:rsid w:val="000D481B"/>
    <w:rsid w:val="000F0BD1"/>
    <w:rsid w:val="000F27FD"/>
    <w:rsid w:val="000F761E"/>
    <w:rsid w:val="00104B27"/>
    <w:rsid w:val="001062EA"/>
    <w:rsid w:val="00111764"/>
    <w:rsid w:val="0011752A"/>
    <w:rsid w:val="00145C10"/>
    <w:rsid w:val="001760B7"/>
    <w:rsid w:val="001E084D"/>
    <w:rsid w:val="00231067"/>
    <w:rsid w:val="00235B22"/>
    <w:rsid w:val="002502DB"/>
    <w:rsid w:val="0025650B"/>
    <w:rsid w:val="00260363"/>
    <w:rsid w:val="0028131D"/>
    <w:rsid w:val="002B536C"/>
    <w:rsid w:val="002E5340"/>
    <w:rsid w:val="002E71AA"/>
    <w:rsid w:val="00315D3B"/>
    <w:rsid w:val="00323B48"/>
    <w:rsid w:val="00334872"/>
    <w:rsid w:val="00361721"/>
    <w:rsid w:val="00362B18"/>
    <w:rsid w:val="00373E9D"/>
    <w:rsid w:val="003B548F"/>
    <w:rsid w:val="003C1823"/>
    <w:rsid w:val="00414E4F"/>
    <w:rsid w:val="0045144D"/>
    <w:rsid w:val="004671C4"/>
    <w:rsid w:val="004C10BD"/>
    <w:rsid w:val="004C6D7E"/>
    <w:rsid w:val="004E1853"/>
    <w:rsid w:val="004E7DA9"/>
    <w:rsid w:val="00510FB8"/>
    <w:rsid w:val="00535A83"/>
    <w:rsid w:val="00580DBD"/>
    <w:rsid w:val="00585D6C"/>
    <w:rsid w:val="005923EF"/>
    <w:rsid w:val="0059492B"/>
    <w:rsid w:val="00595E6C"/>
    <w:rsid w:val="006213DA"/>
    <w:rsid w:val="00623196"/>
    <w:rsid w:val="00636046"/>
    <w:rsid w:val="00642EA3"/>
    <w:rsid w:val="006A6CB1"/>
    <w:rsid w:val="006A7251"/>
    <w:rsid w:val="006B41CE"/>
    <w:rsid w:val="006E21C9"/>
    <w:rsid w:val="007068DE"/>
    <w:rsid w:val="00711D96"/>
    <w:rsid w:val="0074535E"/>
    <w:rsid w:val="007514DC"/>
    <w:rsid w:val="00754AF3"/>
    <w:rsid w:val="007735E6"/>
    <w:rsid w:val="00781C50"/>
    <w:rsid w:val="007B54E0"/>
    <w:rsid w:val="007C5F3F"/>
    <w:rsid w:val="007C7E89"/>
    <w:rsid w:val="007D2BA2"/>
    <w:rsid w:val="008121C9"/>
    <w:rsid w:val="00820AEC"/>
    <w:rsid w:val="00821EDA"/>
    <w:rsid w:val="0088555E"/>
    <w:rsid w:val="008C5246"/>
    <w:rsid w:val="008D20E6"/>
    <w:rsid w:val="00930FD4"/>
    <w:rsid w:val="009C4498"/>
    <w:rsid w:val="009C5B59"/>
    <w:rsid w:val="009C6438"/>
    <w:rsid w:val="009E5DCE"/>
    <w:rsid w:val="00A05B76"/>
    <w:rsid w:val="00A52D71"/>
    <w:rsid w:val="00A62339"/>
    <w:rsid w:val="00A6351B"/>
    <w:rsid w:val="00A70608"/>
    <w:rsid w:val="00A77B55"/>
    <w:rsid w:val="00AB4DC0"/>
    <w:rsid w:val="00AE3E71"/>
    <w:rsid w:val="00AF68D3"/>
    <w:rsid w:val="00B13852"/>
    <w:rsid w:val="00BA105D"/>
    <w:rsid w:val="00BA4093"/>
    <w:rsid w:val="00BA4CA7"/>
    <w:rsid w:val="00BD38A4"/>
    <w:rsid w:val="00BD4193"/>
    <w:rsid w:val="00C02AA5"/>
    <w:rsid w:val="00C41D40"/>
    <w:rsid w:val="00C52A53"/>
    <w:rsid w:val="00C72C64"/>
    <w:rsid w:val="00C85BF7"/>
    <w:rsid w:val="00C903E1"/>
    <w:rsid w:val="00CC4219"/>
    <w:rsid w:val="00CC7233"/>
    <w:rsid w:val="00CC7D5D"/>
    <w:rsid w:val="00CD6D4F"/>
    <w:rsid w:val="00D434D0"/>
    <w:rsid w:val="00D60D67"/>
    <w:rsid w:val="00D822FC"/>
    <w:rsid w:val="00D85532"/>
    <w:rsid w:val="00D92197"/>
    <w:rsid w:val="00DA1155"/>
    <w:rsid w:val="00DA40F4"/>
    <w:rsid w:val="00DC6A1E"/>
    <w:rsid w:val="00E103D9"/>
    <w:rsid w:val="00E10BBF"/>
    <w:rsid w:val="00E377FB"/>
    <w:rsid w:val="00E434CB"/>
    <w:rsid w:val="00E56A61"/>
    <w:rsid w:val="00E80559"/>
    <w:rsid w:val="00EA2452"/>
    <w:rsid w:val="00EF74DD"/>
    <w:rsid w:val="00F02A1E"/>
    <w:rsid w:val="00F04654"/>
    <w:rsid w:val="00F12565"/>
    <w:rsid w:val="00F22BA2"/>
    <w:rsid w:val="00F35D8A"/>
    <w:rsid w:val="00F506A4"/>
    <w:rsid w:val="00F52831"/>
    <w:rsid w:val="00F7738B"/>
    <w:rsid w:val="00FE22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552F309"/>
  <w15:chartTrackingRefBased/>
  <w15:docId w15:val="{1FEBDB3D-83F7-2942-89E5-5E22D89B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752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11752A"/>
    <w:pPr>
      <w:tabs>
        <w:tab w:val="center" w:pos="4513"/>
        <w:tab w:val="right" w:pos="9026"/>
      </w:tabs>
    </w:pPr>
  </w:style>
  <w:style w:type="character" w:customStyle="1" w:styleId="HeaderChar">
    <w:name w:val="Header Char"/>
    <w:basedOn w:val="DefaultParagraphFont"/>
    <w:link w:val="Header"/>
    <w:uiPriority w:val="99"/>
    <w:rsid w:val="0011752A"/>
  </w:style>
  <w:style w:type="paragraph" w:styleId="Footer">
    <w:name w:val="footer"/>
    <w:basedOn w:val="Normal"/>
    <w:link w:val="FooterChar"/>
    <w:uiPriority w:val="99"/>
    <w:unhideWhenUsed/>
    <w:rsid w:val="0011752A"/>
    <w:pPr>
      <w:tabs>
        <w:tab w:val="center" w:pos="4513"/>
        <w:tab w:val="right" w:pos="9026"/>
      </w:tabs>
    </w:pPr>
  </w:style>
  <w:style w:type="character" w:customStyle="1" w:styleId="FooterChar">
    <w:name w:val="Footer Char"/>
    <w:basedOn w:val="DefaultParagraphFont"/>
    <w:link w:val="Footer"/>
    <w:uiPriority w:val="99"/>
    <w:rsid w:val="0011752A"/>
  </w:style>
  <w:style w:type="paragraph" w:styleId="ListParagraph">
    <w:name w:val="List Paragraph"/>
    <w:basedOn w:val="Normal"/>
    <w:uiPriority w:val="34"/>
    <w:qFormat/>
    <w:rsid w:val="0011752A"/>
    <w:pPr>
      <w:ind w:left="720"/>
      <w:contextualSpacing/>
    </w:pPr>
  </w:style>
  <w:style w:type="character" w:styleId="Hyperlink">
    <w:name w:val="Hyperlink"/>
    <w:basedOn w:val="DefaultParagraphFont"/>
    <w:uiPriority w:val="99"/>
    <w:unhideWhenUsed/>
    <w:rsid w:val="00B13852"/>
    <w:rPr>
      <w:color w:val="0563C1" w:themeColor="hyperlink"/>
      <w:u w:val="single"/>
    </w:rPr>
  </w:style>
  <w:style w:type="character" w:customStyle="1" w:styleId="UnresolvedMention">
    <w:name w:val="Unresolved Mention"/>
    <w:basedOn w:val="DefaultParagraphFont"/>
    <w:uiPriority w:val="99"/>
    <w:semiHidden/>
    <w:unhideWhenUsed/>
    <w:rsid w:val="00B13852"/>
    <w:rPr>
      <w:color w:val="605E5C"/>
      <w:shd w:val="clear" w:color="auto" w:fill="E1DFDD"/>
    </w:rPr>
  </w:style>
  <w:style w:type="character" w:styleId="FollowedHyperlink">
    <w:name w:val="FollowedHyperlink"/>
    <w:basedOn w:val="DefaultParagraphFont"/>
    <w:uiPriority w:val="99"/>
    <w:semiHidden/>
    <w:unhideWhenUsed/>
    <w:rsid w:val="007C7E89"/>
    <w:rPr>
      <w:color w:val="954F72" w:themeColor="followedHyperlink"/>
      <w:u w:val="single"/>
    </w:rPr>
  </w:style>
  <w:style w:type="character" w:styleId="CommentReference">
    <w:name w:val="annotation reference"/>
    <w:basedOn w:val="DefaultParagraphFont"/>
    <w:uiPriority w:val="99"/>
    <w:semiHidden/>
    <w:unhideWhenUsed/>
    <w:rsid w:val="009E5DCE"/>
    <w:rPr>
      <w:sz w:val="16"/>
      <w:szCs w:val="16"/>
    </w:rPr>
  </w:style>
  <w:style w:type="paragraph" w:styleId="CommentText">
    <w:name w:val="annotation text"/>
    <w:basedOn w:val="Normal"/>
    <w:link w:val="CommentTextChar"/>
    <w:uiPriority w:val="99"/>
    <w:semiHidden/>
    <w:unhideWhenUsed/>
    <w:rsid w:val="009E5DCE"/>
    <w:rPr>
      <w:sz w:val="20"/>
      <w:szCs w:val="20"/>
    </w:rPr>
  </w:style>
  <w:style w:type="character" w:customStyle="1" w:styleId="CommentTextChar">
    <w:name w:val="Comment Text Char"/>
    <w:basedOn w:val="DefaultParagraphFont"/>
    <w:link w:val="CommentText"/>
    <w:uiPriority w:val="99"/>
    <w:semiHidden/>
    <w:rsid w:val="009E5DCE"/>
    <w:rPr>
      <w:sz w:val="20"/>
      <w:szCs w:val="20"/>
    </w:rPr>
  </w:style>
  <w:style w:type="paragraph" w:styleId="CommentSubject">
    <w:name w:val="annotation subject"/>
    <w:basedOn w:val="CommentText"/>
    <w:next w:val="CommentText"/>
    <w:link w:val="CommentSubjectChar"/>
    <w:uiPriority w:val="99"/>
    <w:semiHidden/>
    <w:unhideWhenUsed/>
    <w:rsid w:val="009E5DCE"/>
    <w:rPr>
      <w:b/>
      <w:bCs/>
    </w:rPr>
  </w:style>
  <w:style w:type="character" w:customStyle="1" w:styleId="CommentSubjectChar">
    <w:name w:val="Comment Subject Char"/>
    <w:basedOn w:val="CommentTextChar"/>
    <w:link w:val="CommentSubject"/>
    <w:uiPriority w:val="99"/>
    <w:semiHidden/>
    <w:rsid w:val="009E5DCE"/>
    <w:rPr>
      <w:b/>
      <w:bCs/>
      <w:sz w:val="20"/>
      <w:szCs w:val="20"/>
    </w:rPr>
  </w:style>
  <w:style w:type="paragraph" w:styleId="FootnoteText">
    <w:name w:val="footnote text"/>
    <w:basedOn w:val="Normal"/>
    <w:link w:val="FootnoteTextChar"/>
    <w:uiPriority w:val="99"/>
    <w:unhideWhenUsed/>
    <w:rsid w:val="009E5DCE"/>
    <w:rPr>
      <w:sz w:val="20"/>
      <w:szCs w:val="20"/>
    </w:rPr>
  </w:style>
  <w:style w:type="character" w:customStyle="1" w:styleId="FootnoteTextChar">
    <w:name w:val="Footnote Text Char"/>
    <w:basedOn w:val="DefaultParagraphFont"/>
    <w:link w:val="FootnoteText"/>
    <w:uiPriority w:val="99"/>
    <w:rsid w:val="009E5DCE"/>
    <w:rPr>
      <w:sz w:val="20"/>
      <w:szCs w:val="20"/>
    </w:rPr>
  </w:style>
  <w:style w:type="character" w:styleId="FootnoteReference">
    <w:name w:val="footnote reference"/>
    <w:basedOn w:val="DefaultParagraphFont"/>
    <w:uiPriority w:val="99"/>
    <w:unhideWhenUsed/>
    <w:rsid w:val="009E5D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680934">
      <w:bodyDiv w:val="1"/>
      <w:marLeft w:val="0"/>
      <w:marRight w:val="0"/>
      <w:marTop w:val="0"/>
      <w:marBottom w:val="0"/>
      <w:divBdr>
        <w:top w:val="none" w:sz="0" w:space="0" w:color="auto"/>
        <w:left w:val="none" w:sz="0" w:space="0" w:color="auto"/>
        <w:bottom w:val="none" w:sz="0" w:space="0" w:color="auto"/>
        <w:right w:val="none" w:sz="0" w:space="0" w:color="auto"/>
      </w:divBdr>
    </w:div>
    <w:div w:id="744764459">
      <w:bodyDiv w:val="1"/>
      <w:marLeft w:val="0"/>
      <w:marRight w:val="0"/>
      <w:marTop w:val="0"/>
      <w:marBottom w:val="0"/>
      <w:divBdr>
        <w:top w:val="none" w:sz="0" w:space="0" w:color="auto"/>
        <w:left w:val="none" w:sz="0" w:space="0" w:color="auto"/>
        <w:bottom w:val="none" w:sz="0" w:space="0" w:color="auto"/>
        <w:right w:val="none" w:sz="0" w:space="0" w:color="auto"/>
      </w:divBdr>
      <w:divsChild>
        <w:div w:id="1111166484">
          <w:marLeft w:val="0"/>
          <w:marRight w:val="0"/>
          <w:marTop w:val="0"/>
          <w:marBottom w:val="0"/>
          <w:divBdr>
            <w:top w:val="none" w:sz="0" w:space="0" w:color="auto"/>
            <w:left w:val="none" w:sz="0" w:space="0" w:color="auto"/>
            <w:bottom w:val="none" w:sz="0" w:space="0" w:color="auto"/>
            <w:right w:val="none" w:sz="0" w:space="0" w:color="auto"/>
          </w:divBdr>
          <w:divsChild>
            <w:div w:id="1964924359">
              <w:marLeft w:val="0"/>
              <w:marRight w:val="0"/>
              <w:marTop w:val="0"/>
              <w:marBottom w:val="0"/>
              <w:divBdr>
                <w:top w:val="none" w:sz="0" w:space="0" w:color="auto"/>
                <w:left w:val="none" w:sz="0" w:space="0" w:color="auto"/>
                <w:bottom w:val="none" w:sz="0" w:space="0" w:color="auto"/>
                <w:right w:val="none" w:sz="0" w:space="0" w:color="auto"/>
              </w:divBdr>
              <w:divsChild>
                <w:div w:id="114106433">
                  <w:marLeft w:val="0"/>
                  <w:marRight w:val="0"/>
                  <w:marTop w:val="0"/>
                  <w:marBottom w:val="0"/>
                  <w:divBdr>
                    <w:top w:val="none" w:sz="0" w:space="0" w:color="auto"/>
                    <w:left w:val="none" w:sz="0" w:space="0" w:color="auto"/>
                    <w:bottom w:val="none" w:sz="0" w:space="0" w:color="auto"/>
                    <w:right w:val="none" w:sz="0" w:space="0" w:color="auto"/>
                  </w:divBdr>
                  <w:divsChild>
                    <w:div w:id="90337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7610">
      <w:bodyDiv w:val="1"/>
      <w:marLeft w:val="0"/>
      <w:marRight w:val="0"/>
      <w:marTop w:val="0"/>
      <w:marBottom w:val="0"/>
      <w:divBdr>
        <w:top w:val="none" w:sz="0" w:space="0" w:color="auto"/>
        <w:left w:val="none" w:sz="0" w:space="0" w:color="auto"/>
        <w:bottom w:val="none" w:sz="0" w:space="0" w:color="auto"/>
        <w:right w:val="none" w:sz="0" w:space="0" w:color="auto"/>
      </w:divBdr>
    </w:div>
    <w:div w:id="1149444532">
      <w:bodyDiv w:val="1"/>
      <w:marLeft w:val="0"/>
      <w:marRight w:val="0"/>
      <w:marTop w:val="0"/>
      <w:marBottom w:val="0"/>
      <w:divBdr>
        <w:top w:val="none" w:sz="0" w:space="0" w:color="auto"/>
        <w:left w:val="none" w:sz="0" w:space="0" w:color="auto"/>
        <w:bottom w:val="none" w:sz="0" w:space="0" w:color="auto"/>
        <w:right w:val="none" w:sz="0" w:space="0" w:color="auto"/>
      </w:divBdr>
    </w:div>
    <w:div w:id="1484734258">
      <w:bodyDiv w:val="1"/>
      <w:marLeft w:val="0"/>
      <w:marRight w:val="0"/>
      <w:marTop w:val="0"/>
      <w:marBottom w:val="0"/>
      <w:divBdr>
        <w:top w:val="none" w:sz="0" w:space="0" w:color="auto"/>
        <w:left w:val="none" w:sz="0" w:space="0" w:color="auto"/>
        <w:bottom w:val="none" w:sz="0" w:space="0" w:color="auto"/>
        <w:right w:val="none" w:sz="0" w:space="0" w:color="auto"/>
      </w:divBdr>
    </w:div>
    <w:div w:id="1559776790">
      <w:bodyDiv w:val="1"/>
      <w:marLeft w:val="0"/>
      <w:marRight w:val="0"/>
      <w:marTop w:val="0"/>
      <w:marBottom w:val="0"/>
      <w:divBdr>
        <w:top w:val="none" w:sz="0" w:space="0" w:color="auto"/>
        <w:left w:val="none" w:sz="0" w:space="0" w:color="auto"/>
        <w:bottom w:val="none" w:sz="0" w:space="0" w:color="auto"/>
        <w:right w:val="none" w:sz="0" w:space="0" w:color="auto"/>
      </w:divBdr>
      <w:divsChild>
        <w:div w:id="1952056272">
          <w:marLeft w:val="0"/>
          <w:marRight w:val="0"/>
          <w:marTop w:val="0"/>
          <w:marBottom w:val="0"/>
          <w:divBdr>
            <w:top w:val="none" w:sz="0" w:space="0" w:color="auto"/>
            <w:left w:val="none" w:sz="0" w:space="0" w:color="auto"/>
            <w:bottom w:val="none" w:sz="0" w:space="0" w:color="auto"/>
            <w:right w:val="none" w:sz="0" w:space="0" w:color="auto"/>
          </w:divBdr>
          <w:divsChild>
            <w:div w:id="672300617">
              <w:marLeft w:val="0"/>
              <w:marRight w:val="0"/>
              <w:marTop w:val="0"/>
              <w:marBottom w:val="0"/>
              <w:divBdr>
                <w:top w:val="none" w:sz="0" w:space="0" w:color="auto"/>
                <w:left w:val="none" w:sz="0" w:space="0" w:color="auto"/>
                <w:bottom w:val="none" w:sz="0" w:space="0" w:color="auto"/>
                <w:right w:val="none" w:sz="0" w:space="0" w:color="auto"/>
              </w:divBdr>
              <w:divsChild>
                <w:div w:id="1059135444">
                  <w:marLeft w:val="0"/>
                  <w:marRight w:val="0"/>
                  <w:marTop w:val="0"/>
                  <w:marBottom w:val="0"/>
                  <w:divBdr>
                    <w:top w:val="none" w:sz="0" w:space="0" w:color="auto"/>
                    <w:left w:val="none" w:sz="0" w:space="0" w:color="auto"/>
                    <w:bottom w:val="none" w:sz="0" w:space="0" w:color="auto"/>
                    <w:right w:val="none" w:sz="0" w:space="0" w:color="auto"/>
                  </w:divBdr>
                  <w:divsChild>
                    <w:div w:id="1499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71534">
      <w:bodyDiv w:val="1"/>
      <w:marLeft w:val="0"/>
      <w:marRight w:val="0"/>
      <w:marTop w:val="0"/>
      <w:marBottom w:val="0"/>
      <w:divBdr>
        <w:top w:val="none" w:sz="0" w:space="0" w:color="auto"/>
        <w:left w:val="none" w:sz="0" w:space="0" w:color="auto"/>
        <w:bottom w:val="none" w:sz="0" w:space="0" w:color="auto"/>
        <w:right w:val="none" w:sz="0" w:space="0" w:color="auto"/>
      </w:divBdr>
    </w:div>
    <w:div w:id="1786998847">
      <w:bodyDiv w:val="1"/>
      <w:marLeft w:val="0"/>
      <w:marRight w:val="0"/>
      <w:marTop w:val="0"/>
      <w:marBottom w:val="0"/>
      <w:divBdr>
        <w:top w:val="none" w:sz="0" w:space="0" w:color="auto"/>
        <w:left w:val="none" w:sz="0" w:space="0" w:color="auto"/>
        <w:bottom w:val="none" w:sz="0" w:space="0" w:color="auto"/>
        <w:right w:val="none" w:sz="0" w:space="0" w:color="auto"/>
      </w:divBdr>
    </w:div>
    <w:div w:id="1845901397">
      <w:bodyDiv w:val="1"/>
      <w:marLeft w:val="0"/>
      <w:marRight w:val="0"/>
      <w:marTop w:val="0"/>
      <w:marBottom w:val="0"/>
      <w:divBdr>
        <w:top w:val="none" w:sz="0" w:space="0" w:color="auto"/>
        <w:left w:val="none" w:sz="0" w:space="0" w:color="auto"/>
        <w:bottom w:val="none" w:sz="0" w:space="0" w:color="auto"/>
        <w:right w:val="none" w:sz="0" w:space="0" w:color="auto"/>
      </w:divBdr>
    </w:div>
    <w:div w:id="1995986496">
      <w:bodyDiv w:val="1"/>
      <w:marLeft w:val="0"/>
      <w:marRight w:val="0"/>
      <w:marTop w:val="0"/>
      <w:marBottom w:val="0"/>
      <w:divBdr>
        <w:top w:val="none" w:sz="0" w:space="0" w:color="auto"/>
        <w:left w:val="none" w:sz="0" w:space="0" w:color="auto"/>
        <w:bottom w:val="none" w:sz="0" w:space="0" w:color="auto"/>
        <w:right w:val="none" w:sz="0" w:space="0" w:color="auto"/>
      </w:divBdr>
    </w:div>
    <w:div w:id="204590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rimeinf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crimeinfo.jp/data/toukei/execution/" TargetMode="External"/><Relationship Id="rId13" Type="http://schemas.openxmlformats.org/officeDocument/2006/relationships/hyperlink" Target="https://deathpenaltyproject.org/knowledge/the-death-penalty-in-japan/" TargetMode="External"/><Relationship Id="rId3" Type="http://schemas.openxmlformats.org/officeDocument/2006/relationships/hyperlink" Target="https://www.crimeinfo.jp/data/toukei/number_new_dp/" TargetMode="External"/><Relationship Id="rId7" Type="http://schemas.openxmlformats.org/officeDocument/2006/relationships/hyperlink" Target="https://www.amnesty.org/en/latest/news/2021/12/japan-abhorrent-executions-crush-hopes-of-progress-under-new-prime-minister/" TargetMode="External"/><Relationship Id="rId12" Type="http://schemas.openxmlformats.org/officeDocument/2006/relationships/hyperlink" Target="https://deathpenaltyproject.org/knowledge/the-death-penalty-in-japan/" TargetMode="External"/><Relationship Id="rId2" Type="http://schemas.openxmlformats.org/officeDocument/2006/relationships/hyperlink" Target="https://www.crimeinfo.jp/data/dplist/female/" TargetMode="External"/><Relationship Id="rId1" Type="http://schemas.openxmlformats.org/officeDocument/2006/relationships/hyperlink" Target="https://www.crimeinfo.jp/data/houmukaiken/furukawa_031221/" TargetMode="External"/><Relationship Id="rId6" Type="http://schemas.openxmlformats.org/officeDocument/2006/relationships/hyperlink" Target="https://www.crimeinfo.jp/data/dplist/dplist_all/" TargetMode="External"/><Relationship Id="rId11" Type="http://schemas.openxmlformats.org/officeDocument/2006/relationships/hyperlink" Target="https://deathpenaltyproject.org/knowledge/the-death-penalty-in-japan/" TargetMode="External"/><Relationship Id="rId5" Type="http://schemas.openxmlformats.org/officeDocument/2006/relationships/hyperlink" Target="https://www.crimeinfo.jp/data/toukei/execution/" TargetMode="External"/><Relationship Id="rId10" Type="http://schemas.openxmlformats.org/officeDocument/2006/relationships/hyperlink" Target="https://deathpenaltyproject.org/knowledge/the-death-penalty-in-japan/" TargetMode="External"/><Relationship Id="rId4" Type="http://schemas.openxmlformats.org/officeDocument/2006/relationships/hyperlink" Target="https://www.crimeinfo.jp/data/toukei/number_new_dp/" TargetMode="External"/><Relationship Id="rId9" Type="http://schemas.openxmlformats.org/officeDocument/2006/relationships/hyperlink" Target="https://www.crimeinfo.jp/data/toukei/statistics_06-2/" TargetMode="External"/><Relationship Id="rId14" Type="http://schemas.openxmlformats.org/officeDocument/2006/relationships/hyperlink" Target="https://www.reuters.com/world/asia-pacific/japan-death-row-inmates-sue-over-inhumane-same-day-notification-media-2021-11-0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4724D-D9B0-4EF9-ABBD-A15D28DAB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4353</Characters>
  <Application>Microsoft Office Word</Application>
  <DocSecurity>4</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Sato</dc:creator>
  <cp:keywords/>
  <dc:description/>
  <cp:lastModifiedBy>Nekane Lavin</cp:lastModifiedBy>
  <cp:revision>2</cp:revision>
  <dcterms:created xsi:type="dcterms:W3CDTF">2022-05-06T14:47:00Z</dcterms:created>
  <dcterms:modified xsi:type="dcterms:W3CDTF">2022-05-06T14:47:00Z</dcterms:modified>
</cp:coreProperties>
</file>