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50921" w:rsidRPr="00E67E70" w:rsidRDefault="00050921" w:rsidP="00E42373">
      <w:pPr>
        <w:pStyle w:val="BodyText1"/>
        <w:spacing w:line="240" w:lineRule="auto"/>
        <w:jc w:val="center"/>
        <w:rPr>
          <w:rFonts w:ascii="NimbusSanL" w:hAnsi="NimbusSanL"/>
          <w:sz w:val="20"/>
          <w:szCs w:val="20"/>
        </w:rPr>
      </w:pPr>
    </w:p>
    <w:p w14:paraId="192672FD" w14:textId="3B2E3556" w:rsidR="00050921" w:rsidRPr="00E67E70" w:rsidRDefault="72FD1F93" w:rsidP="00E42373">
      <w:pPr>
        <w:pStyle w:val="BodyText1"/>
        <w:spacing w:line="240" w:lineRule="auto"/>
        <w:jc w:val="center"/>
        <w:rPr>
          <w:rFonts w:ascii="BentonSans Comp Black" w:hAnsi="BentonSans Comp Black"/>
          <w:bCs/>
          <w:sz w:val="28"/>
          <w:szCs w:val="26"/>
        </w:rPr>
      </w:pPr>
      <w:r w:rsidRPr="00E67E70">
        <w:rPr>
          <w:rFonts w:ascii="BentonSans Comp Black" w:hAnsi="BentonSans Comp Black"/>
          <w:bCs/>
          <w:sz w:val="28"/>
          <w:szCs w:val="26"/>
        </w:rPr>
        <w:t xml:space="preserve">Report to the UN Secretary-General </w:t>
      </w:r>
      <w:r w:rsidR="16ACCE45" w:rsidRPr="00E67E70">
        <w:rPr>
          <w:rFonts w:ascii="BentonSans Comp Black" w:hAnsi="BentonSans Comp Black"/>
          <w:bCs/>
          <w:sz w:val="28"/>
          <w:szCs w:val="26"/>
        </w:rPr>
        <w:t>on</w:t>
      </w:r>
      <w:r w:rsidR="005C093B" w:rsidRPr="00E67E70">
        <w:rPr>
          <w:rFonts w:ascii="BentonSans Comp Black" w:hAnsi="BentonSans Comp Black"/>
          <w:bCs/>
          <w:sz w:val="28"/>
          <w:szCs w:val="26"/>
        </w:rPr>
        <w:t xml:space="preserve"> implementation of resolution 77/22</w:t>
      </w:r>
      <w:r w:rsidR="008A799F" w:rsidRPr="00E67E70">
        <w:rPr>
          <w:rFonts w:ascii="BentonSans Comp Black" w:hAnsi="BentonSans Comp Black"/>
          <w:bCs/>
          <w:sz w:val="28"/>
          <w:szCs w:val="26"/>
        </w:rPr>
        <w:t>2 on a</w:t>
      </w:r>
      <w:r w:rsidR="005C093B" w:rsidRPr="00E67E70">
        <w:rPr>
          <w:rFonts w:ascii="BentonSans Comp Black" w:hAnsi="BentonSans Comp Black"/>
          <w:bCs/>
          <w:sz w:val="28"/>
          <w:szCs w:val="26"/>
        </w:rPr>
        <w:t xml:space="preserve"> “moratorium on the use of the death penalty”</w:t>
      </w:r>
      <w:r w:rsidR="16ACCE45" w:rsidRPr="00E67E70">
        <w:rPr>
          <w:rFonts w:ascii="BentonSans Comp Black" w:hAnsi="BentonSans Comp Black"/>
          <w:bCs/>
          <w:sz w:val="28"/>
          <w:szCs w:val="26"/>
        </w:rPr>
        <w:t xml:space="preserve"> </w:t>
      </w:r>
    </w:p>
    <w:p w14:paraId="7D5FBE2B" w14:textId="5061A4BC" w:rsidR="00050921" w:rsidRPr="00E67E70" w:rsidRDefault="00050921" w:rsidP="3EDA913C">
      <w:pPr>
        <w:pStyle w:val="BodyText1"/>
        <w:spacing w:line="240" w:lineRule="auto"/>
        <w:jc w:val="center"/>
        <w:rPr>
          <w:rFonts w:ascii="NimbusSanL" w:hAnsi="NimbusSanL"/>
          <w:b/>
          <w:sz w:val="20"/>
          <w:szCs w:val="20"/>
        </w:rPr>
      </w:pPr>
    </w:p>
    <w:p w14:paraId="0E27B00A" w14:textId="65840337" w:rsidR="00050921" w:rsidRPr="00E67E70" w:rsidRDefault="00217676" w:rsidP="008A799F">
      <w:pPr>
        <w:pStyle w:val="BodyText1"/>
        <w:spacing w:line="240" w:lineRule="auto"/>
        <w:jc w:val="center"/>
        <w:rPr>
          <w:rFonts w:ascii="NimbusSanL" w:eastAsia="Calibri" w:hAnsi="NimbusSanL" w:cs="Calibri"/>
          <w:sz w:val="20"/>
          <w:szCs w:val="20"/>
        </w:rPr>
      </w:pPr>
      <w:r w:rsidRPr="00E67E70">
        <w:rPr>
          <w:rFonts w:ascii="NimbusSanL" w:hAnsi="NimbusSanL"/>
          <w:sz w:val="20"/>
          <w:szCs w:val="20"/>
        </w:rPr>
        <w:t>12 April</w:t>
      </w:r>
      <w:r w:rsidR="7AE4EF57" w:rsidRPr="00E67E70">
        <w:rPr>
          <w:rFonts w:ascii="NimbusSanL" w:hAnsi="NimbusSanL"/>
          <w:sz w:val="20"/>
          <w:szCs w:val="20"/>
        </w:rPr>
        <w:t xml:space="preserve"> 2024</w:t>
      </w:r>
    </w:p>
    <w:p w14:paraId="60061E4C" w14:textId="77777777" w:rsidR="00050921" w:rsidRPr="00E67E70" w:rsidRDefault="00050921">
      <w:pPr>
        <w:pStyle w:val="BodyText1"/>
        <w:spacing w:line="240" w:lineRule="auto"/>
        <w:jc w:val="both"/>
        <w:rPr>
          <w:rFonts w:ascii="NimbusSanL" w:eastAsia="Calibri" w:hAnsi="NimbusSanL" w:cs="Calibri"/>
          <w:sz w:val="20"/>
          <w:szCs w:val="20"/>
        </w:rPr>
      </w:pPr>
    </w:p>
    <w:p w14:paraId="352EC8EF" w14:textId="08664A3C" w:rsidR="3EDA913C" w:rsidRPr="00E67E70" w:rsidRDefault="3EDA913C" w:rsidP="3EDA913C">
      <w:pPr>
        <w:pStyle w:val="BodyText1"/>
        <w:spacing w:line="240" w:lineRule="auto"/>
        <w:jc w:val="both"/>
        <w:rPr>
          <w:rFonts w:ascii="NimbusSanL" w:eastAsia="Calibri" w:hAnsi="NimbusSanL" w:cs="Calibri"/>
          <w:sz w:val="20"/>
          <w:szCs w:val="20"/>
        </w:rPr>
      </w:pPr>
    </w:p>
    <w:p w14:paraId="44EAFD9C" w14:textId="77777777" w:rsidR="00050921" w:rsidRPr="00E67E70" w:rsidRDefault="00050921">
      <w:pPr>
        <w:pStyle w:val="BodyText1"/>
        <w:spacing w:line="240" w:lineRule="auto"/>
        <w:jc w:val="both"/>
        <w:rPr>
          <w:rFonts w:ascii="NimbusSanL" w:eastAsia="Calibri" w:hAnsi="NimbusSanL" w:cs="Calibri"/>
          <w:sz w:val="20"/>
          <w:szCs w:val="20"/>
        </w:rPr>
      </w:pPr>
    </w:p>
    <w:p w14:paraId="3DDFDE60" w14:textId="7114A952" w:rsidR="00050921" w:rsidRPr="00E67E70" w:rsidRDefault="72FD1F93" w:rsidP="3EDA913C">
      <w:pPr>
        <w:pStyle w:val="BodyText1"/>
        <w:spacing w:line="240" w:lineRule="auto"/>
        <w:jc w:val="both"/>
        <w:rPr>
          <w:rFonts w:ascii="NimbusSanL" w:hAnsi="NimbusSanL"/>
          <w:b/>
          <w:sz w:val="20"/>
          <w:szCs w:val="20"/>
        </w:rPr>
      </w:pPr>
      <w:r w:rsidRPr="00E67E70">
        <w:rPr>
          <w:rFonts w:ascii="NimbusSanL" w:hAnsi="NimbusSanL"/>
          <w:b/>
          <w:sz w:val="20"/>
          <w:szCs w:val="20"/>
        </w:rPr>
        <w:t xml:space="preserve">Reporting </w:t>
      </w:r>
      <w:proofErr w:type="spellStart"/>
      <w:r w:rsidRPr="00E67E70">
        <w:rPr>
          <w:rFonts w:ascii="NimbusSanL" w:hAnsi="NimbusSanL"/>
          <w:b/>
          <w:sz w:val="20"/>
          <w:szCs w:val="20"/>
        </w:rPr>
        <w:t>organisation</w:t>
      </w:r>
      <w:proofErr w:type="spellEnd"/>
      <w:r w:rsidRPr="00E67E70">
        <w:rPr>
          <w:rFonts w:ascii="NimbusSanL" w:hAnsi="NimbusSanL"/>
          <w:b/>
          <w:sz w:val="20"/>
          <w:szCs w:val="20"/>
        </w:rPr>
        <w:t xml:space="preserve">: </w:t>
      </w:r>
      <w:r w:rsidR="7A9C2D22" w:rsidRPr="00E67E70">
        <w:rPr>
          <w:rFonts w:ascii="NimbusSanL" w:hAnsi="NimbusSanL"/>
          <w:b/>
          <w:sz w:val="20"/>
          <w:szCs w:val="20"/>
        </w:rPr>
        <w:t xml:space="preserve"> </w:t>
      </w:r>
    </w:p>
    <w:p w14:paraId="469EA51A" w14:textId="77777777" w:rsidR="005142A1" w:rsidRPr="00E67E70" w:rsidRDefault="005142A1" w:rsidP="3EDA913C">
      <w:pPr>
        <w:pStyle w:val="BodyText1"/>
        <w:spacing w:line="240" w:lineRule="auto"/>
        <w:jc w:val="both"/>
        <w:rPr>
          <w:rFonts w:ascii="NimbusSanL" w:hAnsi="NimbusSanL" w:cs="Calibri"/>
          <w:b/>
          <w:bCs/>
          <w:sz w:val="20"/>
          <w:szCs w:val="20"/>
        </w:rPr>
      </w:pPr>
    </w:p>
    <w:tbl>
      <w:tblPr>
        <w:tblStyle w:val="TableGrid"/>
        <w:tblW w:w="0" w:type="auto"/>
        <w:tblLayout w:type="fixed"/>
        <w:tblLook w:val="06A0" w:firstRow="1" w:lastRow="0" w:firstColumn="1" w:lastColumn="0" w:noHBand="1" w:noVBand="1"/>
      </w:tblPr>
      <w:tblGrid>
        <w:gridCol w:w="2535"/>
        <w:gridCol w:w="6480"/>
      </w:tblGrid>
      <w:tr w:rsidR="3EDA913C" w:rsidRPr="00E67E70" w14:paraId="4CC65E40" w14:textId="77777777" w:rsidTr="2141BB9C">
        <w:trPr>
          <w:trHeight w:val="300"/>
        </w:trPr>
        <w:tc>
          <w:tcPr>
            <w:tcW w:w="25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3BAF6D" w14:textId="3A5629B4" w:rsidR="4BF83C95" w:rsidRPr="00E67E70" w:rsidRDefault="4BF83C95" w:rsidP="3EDA913C">
            <w:pPr>
              <w:pStyle w:val="BodyText1"/>
              <w:jc w:val="center"/>
              <w:rPr>
                <w:rStyle w:val="None"/>
                <w:rFonts w:ascii="NimbusSanL" w:hAnsi="NimbusSanL"/>
                <w:sz w:val="20"/>
                <w:szCs w:val="20"/>
              </w:rPr>
            </w:pPr>
            <w:r w:rsidRPr="00E67E70">
              <w:rPr>
                <w:rFonts w:ascii="NimbusSanL" w:hAnsi="NimbusSanL" w:cs="Calibri"/>
                <w:noProof/>
                <w:sz w:val="20"/>
                <w:szCs w:val="20"/>
              </w:rPr>
              <w:drawing>
                <wp:inline distT="0" distB="0" distL="0" distR="0" wp14:anchorId="7AD57B83" wp14:editId="1A99133A">
                  <wp:extent cx="1466850" cy="234203"/>
                  <wp:effectExtent l="0" t="0" r="0" b="0"/>
                  <wp:docPr id="95332915" name="Picture 95332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466850" cy="234203"/>
                          </a:xfrm>
                          <a:prstGeom prst="rect">
                            <a:avLst/>
                          </a:prstGeom>
                        </pic:spPr>
                      </pic:pic>
                    </a:graphicData>
                  </a:graphic>
                </wp:inline>
              </w:drawing>
            </w:r>
          </w:p>
        </w:tc>
        <w:tc>
          <w:tcPr>
            <w:tcW w:w="64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71BE1E" w14:textId="12199865" w:rsidR="00C930D1" w:rsidRPr="00E67E70" w:rsidRDefault="4BF83C95" w:rsidP="3EDA913C">
            <w:pPr>
              <w:pStyle w:val="BodyText1"/>
              <w:spacing w:line="240" w:lineRule="auto"/>
              <w:jc w:val="both"/>
              <w:rPr>
                <w:rFonts w:ascii="NimbusSanL" w:hAnsi="NimbusSanL"/>
                <w:sz w:val="20"/>
                <w:szCs w:val="20"/>
              </w:rPr>
            </w:pPr>
            <w:r w:rsidRPr="00E67E70">
              <w:rPr>
                <w:rFonts w:ascii="NimbusSanL" w:hAnsi="NimbusSanL"/>
                <w:sz w:val="20"/>
                <w:szCs w:val="20"/>
              </w:rPr>
              <w:t xml:space="preserve">Harm Reduction International (HRI) envisions a world where drug policies uphold dignity, health and rights. HRI uses data and advocacy to promote harm reduction and drug policy reform. </w:t>
            </w:r>
            <w:r w:rsidR="19E73604" w:rsidRPr="00E67E70">
              <w:rPr>
                <w:rFonts w:ascii="NimbusSanL" w:hAnsi="NimbusSanL"/>
                <w:sz w:val="20"/>
                <w:szCs w:val="20"/>
              </w:rPr>
              <w:t xml:space="preserve">Since 2007, HRI has been at the forefront of advocating for the abolition of the death penalty for drug-related offences worldwide, including via the </w:t>
            </w:r>
            <w:hyperlink r:id="rId11">
              <w:r w:rsidR="19E73604" w:rsidRPr="00E67E70">
                <w:rPr>
                  <w:rStyle w:val="Hyperlink"/>
                  <w:rFonts w:ascii="NimbusSanL" w:hAnsi="NimbusSanL"/>
                  <w:color w:val="4472C4" w:themeColor="accent5"/>
                  <w:sz w:val="20"/>
                  <w:szCs w:val="20"/>
                </w:rPr>
                <w:t>Death Penalty for drug offences: Global Overview</w:t>
              </w:r>
            </w:hyperlink>
            <w:r w:rsidR="19E73604" w:rsidRPr="00E67E70">
              <w:rPr>
                <w:rFonts w:ascii="NimbusSanL" w:hAnsi="NimbusSanL"/>
                <w:color w:val="4472C4" w:themeColor="accent5"/>
                <w:sz w:val="20"/>
                <w:szCs w:val="20"/>
              </w:rPr>
              <w:t xml:space="preserve"> </w:t>
            </w:r>
            <w:r w:rsidR="19E73604" w:rsidRPr="00E67E70">
              <w:rPr>
                <w:rFonts w:ascii="NimbusSanL" w:hAnsi="NimbusSanL"/>
                <w:sz w:val="20"/>
                <w:szCs w:val="20"/>
              </w:rPr>
              <w:t>series.</w:t>
            </w:r>
          </w:p>
          <w:p w14:paraId="7A95B942" w14:textId="300F675B" w:rsidR="00C930D1" w:rsidRPr="00E67E70" w:rsidRDefault="002B04D4" w:rsidP="3EDA913C">
            <w:pPr>
              <w:pStyle w:val="BodyText1"/>
              <w:spacing w:line="240" w:lineRule="auto"/>
              <w:jc w:val="both"/>
              <w:rPr>
                <w:rFonts w:ascii="NimbusSanL" w:hAnsi="NimbusSanL"/>
                <w:sz w:val="20"/>
                <w:szCs w:val="20"/>
              </w:rPr>
            </w:pPr>
            <w:r w:rsidRPr="00E67E70">
              <w:rPr>
                <w:rStyle w:val="normaltextrun"/>
                <w:rFonts w:ascii="NimbusSanL" w:hAnsi="NimbusSanL" w:cs="Calibri"/>
                <w:sz w:val="20"/>
                <w:szCs w:val="20"/>
                <w:bdr w:val="none" w:sz="0" w:space="0" w:color="auto" w:frame="1"/>
              </w:rPr>
              <w:t>HRI is an NGO in Special Consultative Status with the Economic and Social Council of United Nation.</w:t>
            </w:r>
          </w:p>
          <w:p w14:paraId="270BAC67" w14:textId="118293EE" w:rsidR="4BF83C95" w:rsidRPr="00E67E70" w:rsidRDefault="19E73604" w:rsidP="3EDA913C">
            <w:pPr>
              <w:pStyle w:val="BodyText1"/>
              <w:spacing w:line="240" w:lineRule="auto"/>
              <w:jc w:val="both"/>
              <w:rPr>
                <w:rFonts w:ascii="NimbusSanL" w:hAnsi="NimbusSanL"/>
                <w:sz w:val="20"/>
                <w:szCs w:val="20"/>
              </w:rPr>
            </w:pPr>
            <w:r w:rsidRPr="00E67E70">
              <w:rPr>
                <w:rStyle w:val="None"/>
                <w:rFonts w:ascii="NimbusSanL" w:hAnsi="NimbusSanL"/>
                <w:sz w:val="20"/>
                <w:szCs w:val="20"/>
              </w:rPr>
              <w:t xml:space="preserve"> </w:t>
            </w:r>
          </w:p>
          <w:p w14:paraId="2FBD8284" w14:textId="0CC964A7" w:rsidR="7990BD09" w:rsidRPr="00E67E70" w:rsidRDefault="2141BB9C" w:rsidP="3EDA913C">
            <w:pPr>
              <w:pStyle w:val="BodyText1"/>
              <w:spacing w:line="240" w:lineRule="auto"/>
              <w:jc w:val="both"/>
              <w:rPr>
                <w:rFonts w:ascii="NimbusSanL" w:hAnsi="NimbusSanL"/>
                <w:sz w:val="20"/>
                <w:szCs w:val="20"/>
              </w:rPr>
            </w:pPr>
            <w:r w:rsidRPr="00E67E70">
              <w:rPr>
                <w:rStyle w:val="None"/>
                <w:rFonts w:ascii="NimbusSanL" w:hAnsi="NimbusSanL"/>
                <w:sz w:val="20"/>
                <w:szCs w:val="20"/>
              </w:rPr>
              <w:t xml:space="preserve">Contact details: Giada Girelli, Senior Analyst / </w:t>
            </w:r>
            <w:hyperlink r:id="rId12">
              <w:r w:rsidRPr="00E67E70">
                <w:rPr>
                  <w:rStyle w:val="Hyperlink"/>
                  <w:rFonts w:ascii="NimbusSanL" w:hAnsi="NimbusSanL"/>
                  <w:sz w:val="20"/>
                  <w:szCs w:val="20"/>
                </w:rPr>
                <w:t>Giada.girelli@hri.global</w:t>
              </w:r>
            </w:hyperlink>
          </w:p>
          <w:p w14:paraId="4A1FD295" w14:textId="479D5376" w:rsidR="3EDA913C" w:rsidRPr="00E67E70" w:rsidRDefault="3EDA913C" w:rsidP="3EDA913C">
            <w:pPr>
              <w:pStyle w:val="BodyText1"/>
              <w:spacing w:line="240" w:lineRule="auto"/>
              <w:jc w:val="both"/>
              <w:rPr>
                <w:rFonts w:ascii="NimbusSanL" w:hAnsi="NimbusSanL"/>
                <w:sz w:val="20"/>
                <w:szCs w:val="20"/>
              </w:rPr>
            </w:pPr>
          </w:p>
        </w:tc>
      </w:tr>
    </w:tbl>
    <w:p w14:paraId="0AACF6D0" w14:textId="33F29654" w:rsidR="00050921" w:rsidRPr="00E67E70" w:rsidRDefault="00050921" w:rsidP="401CAF4F">
      <w:pPr>
        <w:pStyle w:val="BodyText1"/>
        <w:spacing w:line="240" w:lineRule="auto"/>
        <w:jc w:val="both"/>
        <w:rPr>
          <w:rFonts w:ascii="NimbusSanL" w:hAnsi="NimbusSanL"/>
          <w:sz w:val="20"/>
          <w:szCs w:val="20"/>
        </w:rPr>
        <w:sectPr w:rsidR="00050921" w:rsidRPr="00E67E70" w:rsidSect="00BF43C3">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pgNumType w:start="0"/>
          <w:cols w:space="720"/>
          <w:titlePg/>
        </w:sectPr>
      </w:pPr>
    </w:p>
    <w:p w14:paraId="3E7A9F1C" w14:textId="77777777" w:rsidR="00050921" w:rsidRPr="00E67E70" w:rsidRDefault="72FD1F93">
      <w:pPr>
        <w:pStyle w:val="CommentText1"/>
        <w:rPr>
          <w:rStyle w:val="None"/>
          <w:rFonts w:ascii="NimbusSanL" w:eastAsia="Calibri" w:hAnsi="NimbusSanL" w:cs="Calibri"/>
        </w:rPr>
      </w:pPr>
      <w:r w:rsidRPr="00E67E70">
        <w:rPr>
          <w:rStyle w:val="None"/>
          <w:rFonts w:ascii="NimbusSanL" w:hAnsi="NimbusSanL"/>
        </w:rPr>
        <w:lastRenderedPageBreak/>
        <w:t>Introduction</w:t>
      </w:r>
    </w:p>
    <w:p w14:paraId="4FEC1CD3" w14:textId="77777777" w:rsidR="00050921" w:rsidRPr="00E67E70" w:rsidRDefault="72FD1F93">
      <w:pPr>
        <w:pStyle w:val="BodyA"/>
        <w:jc w:val="both"/>
        <w:rPr>
          <w:rStyle w:val="None"/>
          <w:rFonts w:ascii="NimbusSanL" w:hAnsi="NimbusSanL"/>
          <w:sz w:val="20"/>
          <w:szCs w:val="20"/>
        </w:rPr>
      </w:pPr>
      <w:r w:rsidRPr="00E67E70">
        <w:rPr>
          <w:rStyle w:val="None"/>
          <w:rFonts w:ascii="NimbusSanL" w:hAnsi="NimbusSanL"/>
          <w:sz w:val="20"/>
          <w:szCs w:val="20"/>
        </w:rPr>
        <w:t xml:space="preserve">Harm Reduction International (HRI) welcomes the opportunity to comment on crucial issues and developments concerning the use of the death penalty; and urges the Secretary-General to continue </w:t>
      </w:r>
      <w:proofErr w:type="spellStart"/>
      <w:r w:rsidRPr="00E67E70">
        <w:rPr>
          <w:rStyle w:val="None"/>
          <w:rFonts w:ascii="NimbusSanL" w:hAnsi="NimbusSanL"/>
          <w:sz w:val="20"/>
          <w:szCs w:val="20"/>
        </w:rPr>
        <w:t>prioritising</w:t>
      </w:r>
      <w:proofErr w:type="spellEnd"/>
      <w:r w:rsidRPr="00E67E70">
        <w:rPr>
          <w:rStyle w:val="None"/>
          <w:rFonts w:ascii="NimbusSanL" w:hAnsi="NimbusSanL"/>
          <w:sz w:val="20"/>
          <w:szCs w:val="20"/>
        </w:rPr>
        <w:t xml:space="preserve"> this issue. We further reaffirm the call for a moratorium on the death penalty as a step towards its definitive abolition worldwide.</w:t>
      </w:r>
    </w:p>
    <w:p w14:paraId="0FB08C22" w14:textId="77777777" w:rsidR="00B94363" w:rsidRPr="00E67E70" w:rsidRDefault="00B94363">
      <w:pPr>
        <w:pStyle w:val="BodyA"/>
        <w:jc w:val="both"/>
        <w:rPr>
          <w:rStyle w:val="None"/>
          <w:rFonts w:ascii="NimbusSanL" w:eastAsia="Calibri" w:hAnsi="NimbusSanL" w:cs="Calibri"/>
          <w:sz w:val="20"/>
          <w:szCs w:val="20"/>
        </w:rPr>
      </w:pPr>
    </w:p>
    <w:p w14:paraId="5B4F1FD5" w14:textId="1F183A38" w:rsidR="00050921" w:rsidRPr="00E67E70" w:rsidRDefault="2141BB9C" w:rsidP="2141BB9C">
      <w:pPr>
        <w:pStyle w:val="BodyA"/>
        <w:spacing w:after="120"/>
        <w:jc w:val="both"/>
        <w:rPr>
          <w:rStyle w:val="None"/>
          <w:rFonts w:ascii="NimbusSanL" w:eastAsia="Calibri" w:hAnsi="NimbusSanL" w:cs="Calibri"/>
          <w:i/>
          <w:iCs/>
          <w:sz w:val="20"/>
          <w:szCs w:val="20"/>
        </w:rPr>
      </w:pPr>
      <w:r w:rsidRPr="00E67E70">
        <w:rPr>
          <w:rStyle w:val="None"/>
          <w:rFonts w:ascii="NimbusSanL" w:hAnsi="NimbusSanL"/>
          <w:sz w:val="20"/>
          <w:szCs w:val="20"/>
        </w:rPr>
        <w:t xml:space="preserve">This </w:t>
      </w:r>
      <w:r w:rsidRPr="00E67E70">
        <w:rPr>
          <w:rStyle w:val="None"/>
          <w:rFonts w:ascii="NimbusSanL" w:hAnsi="NimbusSanL"/>
          <w:sz w:val="20"/>
          <w:szCs w:val="20"/>
        </w:rPr>
        <w:t>submission will provide information on developments related to the implementation of Resolution 77/222 from 15 December 2022, with a focus on drug offences. Because of a widespread lack of transparency on the phenomenon, all reported figures are minimum confirmed figures and they are likely to represent only a fraction of actual death sentences, executions, and death row populations</w:t>
      </w:r>
      <w:r w:rsidRPr="00E67E70">
        <w:rPr>
          <w:rStyle w:val="None"/>
          <w:rFonts w:ascii="NimbusSanL" w:hAnsi="NimbusSanL"/>
          <w:sz w:val="20"/>
          <w:szCs w:val="20"/>
        </w:rPr>
        <w:t xml:space="preserve">. </w:t>
      </w:r>
    </w:p>
    <w:p w14:paraId="50B68878" w14:textId="65FCDA0E" w:rsidR="00050921" w:rsidRPr="00E67E70" w:rsidRDefault="72FD1F93" w:rsidP="3EDA913C">
      <w:pPr>
        <w:pStyle w:val="BodyA"/>
        <w:shd w:val="clear" w:color="auto" w:fill="FFFFFF" w:themeFill="background1"/>
        <w:spacing w:after="120"/>
        <w:jc w:val="both"/>
        <w:rPr>
          <w:rStyle w:val="None"/>
          <w:rFonts w:ascii="NimbusSanL" w:eastAsia="Calibri" w:hAnsi="NimbusSanL" w:cs="Calibri"/>
          <w:i/>
          <w:iCs/>
          <w:sz w:val="20"/>
          <w:szCs w:val="20"/>
        </w:rPr>
      </w:pPr>
      <w:r w:rsidRPr="00E67E70">
        <w:rPr>
          <w:rStyle w:val="None"/>
          <w:rFonts w:ascii="NimbusSanL" w:hAnsi="NimbusSanL"/>
          <w:sz w:val="20"/>
          <w:szCs w:val="20"/>
        </w:rPr>
        <w:t>Unless specified, all information is from</w:t>
      </w:r>
      <w:r w:rsidR="008A799F" w:rsidRPr="00E67E70">
        <w:rPr>
          <w:rStyle w:val="None"/>
          <w:rFonts w:ascii="NimbusSanL" w:hAnsi="NimbusSanL"/>
          <w:sz w:val="20"/>
          <w:szCs w:val="20"/>
        </w:rPr>
        <w:t xml:space="preserve"> HRI’s</w:t>
      </w:r>
      <w:r w:rsidRPr="00E67E70">
        <w:rPr>
          <w:rStyle w:val="None"/>
          <w:rFonts w:ascii="NimbusSanL" w:hAnsi="NimbusSanL"/>
          <w:sz w:val="20"/>
          <w:szCs w:val="20"/>
        </w:rPr>
        <w:t xml:space="preserve"> </w:t>
      </w:r>
      <w:r w:rsidRPr="00E67E70">
        <w:rPr>
          <w:rStyle w:val="None"/>
          <w:rFonts w:ascii="NimbusSanL" w:hAnsi="NimbusSanL"/>
          <w:i/>
          <w:sz w:val="20"/>
          <w:szCs w:val="20"/>
        </w:rPr>
        <w:t>The Death Penalty for Drug Offences: Global Overview</w:t>
      </w:r>
      <w:r w:rsidR="008A799F" w:rsidRPr="00E67E70">
        <w:rPr>
          <w:rStyle w:val="None"/>
          <w:rFonts w:ascii="NimbusSanL" w:hAnsi="NimbusSanL"/>
          <w:i/>
          <w:sz w:val="20"/>
          <w:szCs w:val="20"/>
        </w:rPr>
        <w:t xml:space="preserve"> </w:t>
      </w:r>
      <w:r w:rsidR="68685ED7" w:rsidRPr="00E67E70">
        <w:rPr>
          <w:rStyle w:val="None"/>
          <w:rFonts w:ascii="NimbusSanL" w:hAnsi="NimbusSanL"/>
          <w:i/>
          <w:sz w:val="20"/>
          <w:szCs w:val="20"/>
        </w:rPr>
        <w:t>2023</w:t>
      </w:r>
      <w:r w:rsidR="008A799F" w:rsidRPr="00E67E70">
        <w:rPr>
          <w:rStyle w:val="None"/>
          <w:rFonts w:ascii="NimbusSanL" w:hAnsi="NimbusSanL"/>
          <w:i/>
          <w:sz w:val="20"/>
          <w:szCs w:val="20"/>
        </w:rPr>
        <w:t>.</w:t>
      </w:r>
      <w:r w:rsidR="00463763" w:rsidRPr="00E67E70">
        <w:rPr>
          <w:rStyle w:val="FootnoteReference"/>
          <w:rFonts w:ascii="NimbusSanL" w:hAnsi="NimbusSanL"/>
          <w:i/>
          <w:sz w:val="20"/>
          <w:szCs w:val="20"/>
        </w:rPr>
        <w:footnoteReference w:id="2"/>
      </w:r>
    </w:p>
    <w:p w14:paraId="62486C05" w14:textId="77777777" w:rsidR="00050921" w:rsidRPr="00E67E70" w:rsidRDefault="00050921">
      <w:pPr>
        <w:pStyle w:val="BodyA"/>
        <w:jc w:val="both"/>
        <w:rPr>
          <w:rStyle w:val="None"/>
          <w:rFonts w:ascii="NimbusSanL" w:eastAsia="Calibri" w:hAnsi="NimbusSanL" w:cs="Calibri"/>
          <w:sz w:val="20"/>
          <w:szCs w:val="20"/>
          <w:u w:val="single"/>
        </w:rPr>
      </w:pPr>
    </w:p>
    <w:p w14:paraId="75DE5241" w14:textId="2CC6BAD9" w:rsidR="00050921" w:rsidRPr="00E67E70" w:rsidRDefault="72FD1F93" w:rsidP="00706974">
      <w:pPr>
        <w:pStyle w:val="BodyText1"/>
        <w:numPr>
          <w:ilvl w:val="0"/>
          <w:numId w:val="7"/>
        </w:numPr>
        <w:spacing w:after="0" w:line="240" w:lineRule="auto"/>
        <w:jc w:val="both"/>
        <w:rPr>
          <w:rFonts w:ascii="NimbusSanL" w:hAnsi="NimbusSanL"/>
          <w:b/>
          <w:sz w:val="20"/>
          <w:szCs w:val="20"/>
        </w:rPr>
      </w:pPr>
      <w:r w:rsidRPr="00E67E70">
        <w:rPr>
          <w:rStyle w:val="None"/>
          <w:rFonts w:ascii="NimbusSanL" w:hAnsi="NimbusSanL"/>
          <w:b/>
          <w:sz w:val="20"/>
          <w:szCs w:val="20"/>
          <w:shd w:val="clear" w:color="auto" w:fill="FFFFFF"/>
        </w:rPr>
        <w:t>Global trends</w:t>
      </w:r>
    </w:p>
    <w:p w14:paraId="49594440" w14:textId="77777777" w:rsidR="009E3B3E" w:rsidRPr="00E67E70" w:rsidRDefault="009E3B3E">
      <w:pPr>
        <w:pStyle w:val="BodyText1"/>
        <w:spacing w:after="0" w:line="240" w:lineRule="auto"/>
        <w:jc w:val="both"/>
        <w:rPr>
          <w:rStyle w:val="None"/>
          <w:rFonts w:ascii="NimbusSanL" w:eastAsia="Calibri" w:hAnsi="NimbusSanL" w:cs="Calibri"/>
          <w:b/>
          <w:bCs/>
          <w:sz w:val="20"/>
          <w:szCs w:val="20"/>
          <w:shd w:val="clear" w:color="auto" w:fill="FFFFFF"/>
        </w:rPr>
      </w:pPr>
    </w:p>
    <w:p w14:paraId="2DA82D6B" w14:textId="79526769" w:rsidR="00050921" w:rsidRPr="00E67E70" w:rsidRDefault="72FD1F93" w:rsidP="401CAF4F">
      <w:pPr>
        <w:pStyle w:val="BodyText1"/>
        <w:spacing w:after="0" w:line="240" w:lineRule="auto"/>
        <w:jc w:val="both"/>
        <w:rPr>
          <w:rStyle w:val="None"/>
          <w:rFonts w:ascii="NimbusSanL" w:eastAsia="Calibri" w:hAnsi="NimbusSanL" w:cs="Calibri"/>
          <w:sz w:val="20"/>
          <w:szCs w:val="20"/>
        </w:rPr>
      </w:pPr>
      <w:r w:rsidRPr="00E67E70">
        <w:rPr>
          <w:rStyle w:val="None"/>
          <w:rFonts w:ascii="NimbusSanL" w:hAnsi="NimbusSanL" w:cs="Calibri"/>
          <w:sz w:val="20"/>
          <w:szCs w:val="20"/>
        </w:rPr>
        <w:t xml:space="preserve">As of March </w:t>
      </w:r>
      <w:r w:rsidR="769D0D03" w:rsidRPr="00E67E70">
        <w:rPr>
          <w:rStyle w:val="None"/>
          <w:rFonts w:ascii="NimbusSanL" w:hAnsi="NimbusSanL" w:cs="Calibri"/>
          <w:sz w:val="20"/>
          <w:szCs w:val="20"/>
        </w:rPr>
        <w:t>2024</w:t>
      </w:r>
      <w:r w:rsidRPr="00E67E70">
        <w:rPr>
          <w:rStyle w:val="None"/>
          <w:rFonts w:ascii="NimbusSanL" w:hAnsi="NimbusSanL" w:cs="Calibri"/>
          <w:sz w:val="20"/>
          <w:szCs w:val="20"/>
        </w:rPr>
        <w:t>,</w:t>
      </w:r>
      <w:r w:rsidR="7D7C4C43" w:rsidRPr="00E67E70">
        <w:rPr>
          <w:rStyle w:val="None"/>
          <w:rFonts w:ascii="NimbusSanL" w:hAnsi="NimbusSanL" w:cs="Calibri"/>
          <w:sz w:val="20"/>
          <w:szCs w:val="20"/>
        </w:rPr>
        <w:t xml:space="preserve"> 34</w:t>
      </w:r>
      <w:r w:rsidRPr="00E67E70">
        <w:rPr>
          <w:rStyle w:val="FootnoteReference"/>
          <w:rFonts w:ascii="NimbusSanL" w:hAnsi="NimbusSanL" w:cs="Calibri"/>
          <w:sz w:val="20"/>
          <w:szCs w:val="20"/>
        </w:rPr>
        <w:footnoteReference w:id="3"/>
      </w:r>
      <w:r w:rsidR="7D7C4C43" w:rsidRPr="00E67E70">
        <w:rPr>
          <w:rStyle w:val="None"/>
          <w:rFonts w:ascii="NimbusSanL" w:hAnsi="NimbusSanL" w:cs="Calibri"/>
          <w:sz w:val="20"/>
          <w:szCs w:val="20"/>
        </w:rPr>
        <w:t xml:space="preserve"> countr</w:t>
      </w:r>
      <w:r w:rsidRPr="00E67E70">
        <w:rPr>
          <w:rStyle w:val="None"/>
          <w:rFonts w:ascii="NimbusSanL" w:hAnsi="NimbusSanL" w:cs="Calibri"/>
          <w:sz w:val="20"/>
          <w:szCs w:val="20"/>
        </w:rPr>
        <w:t xml:space="preserve">ies and territories prescribe the death penalty as a punishment for drug offences in their legislation, in violation of international human rights and drug control </w:t>
      </w:r>
      <w:r w:rsidR="5F907AD1" w:rsidRPr="00E67E70">
        <w:rPr>
          <w:rStyle w:val="None"/>
          <w:rFonts w:ascii="NimbusSanL" w:hAnsi="NimbusSanL" w:cs="Calibri"/>
          <w:sz w:val="20"/>
          <w:szCs w:val="20"/>
        </w:rPr>
        <w:t>standards</w:t>
      </w:r>
      <w:r w:rsidR="007B03C1" w:rsidRPr="00E67E70">
        <w:rPr>
          <w:rStyle w:val="None"/>
          <w:rFonts w:ascii="NimbusSanL" w:hAnsi="NimbusSanL" w:cs="Calibri"/>
          <w:sz w:val="20"/>
          <w:szCs w:val="20"/>
        </w:rPr>
        <w:t>; including S</w:t>
      </w:r>
      <w:r w:rsidR="00F81D75" w:rsidRPr="00E67E70">
        <w:rPr>
          <w:rFonts w:ascii="NimbusSanL" w:hAnsi="NimbusSanL" w:cs="Calibri"/>
          <w:sz w:val="20"/>
          <w:szCs w:val="20"/>
        </w:rPr>
        <w:t>afeguard (1) of the Safeguards guaranteeing protection of the rights of those facing the death penalty (</w:t>
      </w:r>
      <w:r w:rsidR="0094037B" w:rsidRPr="00E67E70">
        <w:rPr>
          <w:rFonts w:ascii="NimbusSanL" w:hAnsi="NimbusSanL" w:cs="Calibri"/>
          <w:sz w:val="20"/>
          <w:szCs w:val="20"/>
        </w:rPr>
        <w:t xml:space="preserve">annex to </w:t>
      </w:r>
      <w:r w:rsidR="00F81D75" w:rsidRPr="00E67E70">
        <w:rPr>
          <w:rFonts w:ascii="NimbusSanL" w:hAnsi="NimbusSanL" w:cs="Calibri"/>
          <w:sz w:val="20"/>
          <w:szCs w:val="20"/>
        </w:rPr>
        <w:t>ECOSOC R</w:t>
      </w:r>
      <w:r w:rsidR="0094037B" w:rsidRPr="00E67E70">
        <w:rPr>
          <w:rFonts w:ascii="NimbusSanL" w:hAnsi="NimbusSanL" w:cs="Calibri"/>
          <w:sz w:val="20"/>
          <w:szCs w:val="20"/>
        </w:rPr>
        <w:t>esolution 1984/50)</w:t>
      </w:r>
      <w:r w:rsidR="00F81D75" w:rsidRPr="00E67E70">
        <w:rPr>
          <w:rFonts w:ascii="NimbusSanL" w:hAnsi="NimbusSanL" w:cs="Calibri"/>
          <w:sz w:val="20"/>
          <w:szCs w:val="20"/>
        </w:rPr>
        <w:t>.</w:t>
      </w:r>
      <w:r w:rsidR="5DD71FD4" w:rsidRPr="00E67E70">
        <w:rPr>
          <w:rStyle w:val="None"/>
          <w:rFonts w:ascii="NimbusSanL" w:hAnsi="NimbusSanL" w:cs="Calibri"/>
          <w:sz w:val="20"/>
          <w:szCs w:val="20"/>
        </w:rPr>
        <w:t xml:space="preserve"> </w:t>
      </w:r>
      <w:r w:rsidR="6124B384" w:rsidRPr="00E67E70">
        <w:rPr>
          <w:rStyle w:val="None"/>
          <w:rFonts w:ascii="NimbusSanL" w:hAnsi="NimbusSanL" w:cs="Calibri"/>
          <w:sz w:val="20"/>
          <w:szCs w:val="20"/>
        </w:rPr>
        <w:t xml:space="preserve">In 12 countries, death </w:t>
      </w:r>
      <w:r w:rsidR="00274088" w:rsidRPr="00E67E70">
        <w:rPr>
          <w:rStyle w:val="None"/>
          <w:rFonts w:ascii="NimbusSanL" w:hAnsi="NimbusSanL" w:cs="Calibri"/>
          <w:sz w:val="20"/>
          <w:szCs w:val="20"/>
        </w:rPr>
        <w:t>remains</w:t>
      </w:r>
      <w:r w:rsidR="6124B384" w:rsidRPr="00E67E70">
        <w:rPr>
          <w:rStyle w:val="None"/>
          <w:rFonts w:ascii="NimbusSanL" w:hAnsi="NimbusSanL" w:cs="Calibri"/>
          <w:sz w:val="20"/>
          <w:szCs w:val="20"/>
        </w:rPr>
        <w:t xml:space="preserve"> the mandatory punishment for at least certain drug offences.</w:t>
      </w:r>
      <w:r w:rsidR="00463763" w:rsidRPr="00E67E70">
        <w:rPr>
          <w:rStyle w:val="None"/>
          <w:rFonts w:ascii="NimbusSanL" w:eastAsia="Calibri" w:hAnsi="NimbusSanL" w:cs="Calibri"/>
          <w:sz w:val="20"/>
          <w:szCs w:val="20"/>
          <w:vertAlign w:val="superscript"/>
        </w:rPr>
        <w:footnoteReference w:id="4"/>
      </w:r>
    </w:p>
    <w:p w14:paraId="4B99056E" w14:textId="77777777" w:rsidR="00050921" w:rsidRPr="00E67E70" w:rsidRDefault="00050921">
      <w:pPr>
        <w:pStyle w:val="BodyText1"/>
        <w:spacing w:after="0" w:line="240" w:lineRule="auto"/>
        <w:jc w:val="both"/>
        <w:rPr>
          <w:rStyle w:val="None"/>
          <w:rFonts w:ascii="NimbusSanL" w:eastAsia="Calibri" w:hAnsi="NimbusSanL" w:cs="Calibri"/>
          <w:b/>
          <w:bCs/>
          <w:sz w:val="20"/>
          <w:szCs w:val="20"/>
          <w:shd w:val="clear" w:color="auto" w:fill="FFFFFF"/>
        </w:rPr>
      </w:pPr>
    </w:p>
    <w:p w14:paraId="0A6D5902" w14:textId="203F54F3" w:rsidR="00050921" w:rsidRPr="00E67E70" w:rsidRDefault="00274088" w:rsidP="401CAF4F">
      <w:pPr>
        <w:pStyle w:val="BodyA"/>
        <w:spacing w:after="120"/>
        <w:jc w:val="both"/>
        <w:rPr>
          <w:rStyle w:val="None"/>
          <w:rFonts w:ascii="NimbusSanL" w:hAnsi="NimbusSanL"/>
          <w:sz w:val="20"/>
          <w:szCs w:val="20"/>
        </w:rPr>
      </w:pPr>
      <w:r w:rsidRPr="00E67E70">
        <w:rPr>
          <w:rStyle w:val="None"/>
          <w:rFonts w:ascii="NimbusSanL" w:hAnsi="NimbusSanL"/>
          <w:sz w:val="20"/>
          <w:szCs w:val="20"/>
          <w:shd w:val="clear" w:color="auto" w:fill="FFFFFF"/>
        </w:rPr>
        <w:t xml:space="preserve">In contrast with the </w:t>
      </w:r>
      <w:r w:rsidR="00FC5187" w:rsidRPr="00E67E70">
        <w:rPr>
          <w:rStyle w:val="None"/>
          <w:rFonts w:ascii="NimbusSanL" w:hAnsi="NimbusSanL"/>
          <w:sz w:val="20"/>
          <w:szCs w:val="20"/>
          <w:shd w:val="clear" w:color="auto" w:fill="FFFFFF"/>
        </w:rPr>
        <w:t xml:space="preserve">spirit of the Resolution, the number of confirmed drug-related executions continued to rise. </w:t>
      </w:r>
      <w:r w:rsidR="6A618B58" w:rsidRPr="00E67E70">
        <w:rPr>
          <w:rStyle w:val="None"/>
          <w:rFonts w:ascii="NimbusSanL" w:hAnsi="NimbusSanL"/>
          <w:sz w:val="20"/>
          <w:szCs w:val="20"/>
          <w:shd w:val="clear" w:color="auto" w:fill="FFFFFF"/>
        </w:rPr>
        <w:t>2023</w:t>
      </w:r>
      <w:r w:rsidR="73B0C56E" w:rsidRPr="00E67E70">
        <w:rPr>
          <w:rStyle w:val="None"/>
          <w:rFonts w:ascii="NimbusSanL" w:hAnsi="NimbusSanL"/>
          <w:sz w:val="20"/>
          <w:szCs w:val="20"/>
          <w:shd w:val="clear" w:color="auto" w:fill="FFFFFF"/>
        </w:rPr>
        <w:t xml:space="preserve"> saw a 44% in</w:t>
      </w:r>
      <w:r w:rsidR="23F60528" w:rsidRPr="00E67E70">
        <w:rPr>
          <w:rStyle w:val="None"/>
          <w:rFonts w:ascii="NimbusSanL" w:hAnsi="NimbusSanL"/>
          <w:sz w:val="20"/>
          <w:szCs w:val="20"/>
          <w:shd w:val="clear" w:color="auto" w:fill="FFFFFF"/>
        </w:rPr>
        <w:t>crease in</w:t>
      </w:r>
      <w:r w:rsidR="73B0C56E" w:rsidRPr="00E67E70">
        <w:rPr>
          <w:rStyle w:val="None"/>
          <w:rFonts w:ascii="NimbusSanL" w:hAnsi="NimbusSanL"/>
          <w:sz w:val="20"/>
          <w:szCs w:val="20"/>
          <w:shd w:val="clear" w:color="auto" w:fill="FFFFFF"/>
        </w:rPr>
        <w:t xml:space="preserve"> executions from the previous year, </w:t>
      </w:r>
      <w:r w:rsidR="1ED14FA3" w:rsidRPr="00E67E70">
        <w:rPr>
          <w:rStyle w:val="None"/>
          <w:rFonts w:ascii="NimbusSanL" w:hAnsi="NimbusSanL"/>
          <w:sz w:val="20"/>
          <w:szCs w:val="20"/>
          <w:shd w:val="clear" w:color="auto" w:fill="FFFFFF"/>
        </w:rPr>
        <w:t>with at</w:t>
      </w:r>
      <w:r w:rsidR="6A618B58" w:rsidRPr="00E67E70">
        <w:rPr>
          <w:rStyle w:val="None"/>
          <w:rFonts w:ascii="NimbusSanL" w:hAnsi="NimbusSanL"/>
          <w:sz w:val="20"/>
          <w:szCs w:val="20"/>
          <w:shd w:val="clear" w:color="auto" w:fill="FFFFFF"/>
        </w:rPr>
        <w:t xml:space="preserve"> least 467 people</w:t>
      </w:r>
      <w:r w:rsidR="315345B3" w:rsidRPr="00E67E70">
        <w:rPr>
          <w:rStyle w:val="None"/>
          <w:rFonts w:ascii="NimbusSanL" w:hAnsi="NimbusSanL"/>
          <w:sz w:val="20"/>
          <w:szCs w:val="20"/>
          <w:shd w:val="clear" w:color="auto" w:fill="FFFFFF"/>
        </w:rPr>
        <w:t xml:space="preserve"> </w:t>
      </w:r>
      <w:r w:rsidR="6A618B58" w:rsidRPr="00E67E70">
        <w:rPr>
          <w:rStyle w:val="None"/>
          <w:rFonts w:ascii="NimbusSanL" w:hAnsi="NimbusSanL"/>
          <w:sz w:val="20"/>
          <w:szCs w:val="20"/>
          <w:shd w:val="clear" w:color="auto" w:fill="FFFFFF"/>
        </w:rPr>
        <w:t xml:space="preserve">executed for drug offences in </w:t>
      </w:r>
      <w:r w:rsidR="00FC5187" w:rsidRPr="00E67E70">
        <w:rPr>
          <w:rStyle w:val="None"/>
          <w:rFonts w:ascii="NimbusSanL" w:hAnsi="NimbusSanL"/>
          <w:sz w:val="20"/>
          <w:szCs w:val="20"/>
          <w:shd w:val="clear" w:color="auto" w:fill="FFFFFF"/>
        </w:rPr>
        <w:t>five</w:t>
      </w:r>
      <w:r w:rsidR="6A618B58" w:rsidRPr="00E67E70">
        <w:rPr>
          <w:rStyle w:val="None"/>
          <w:rFonts w:ascii="NimbusSanL" w:hAnsi="NimbusSanL"/>
          <w:sz w:val="20"/>
          <w:szCs w:val="20"/>
          <w:shd w:val="clear" w:color="auto" w:fill="FFFFFF"/>
        </w:rPr>
        <w:t xml:space="preserve"> countries</w:t>
      </w:r>
      <w:r w:rsidR="49CD48A7" w:rsidRPr="00E67E70">
        <w:rPr>
          <w:rStyle w:val="None"/>
          <w:rFonts w:ascii="NimbusSanL" w:hAnsi="NimbusSanL"/>
          <w:sz w:val="20"/>
          <w:szCs w:val="20"/>
          <w:shd w:val="clear" w:color="auto" w:fill="FFFFFF"/>
        </w:rPr>
        <w:t xml:space="preserve">, namely </w:t>
      </w:r>
      <w:r w:rsidR="6A618B58" w:rsidRPr="00E67E70">
        <w:rPr>
          <w:rStyle w:val="None"/>
          <w:rFonts w:ascii="NimbusSanL" w:hAnsi="NimbusSanL"/>
          <w:sz w:val="20"/>
          <w:szCs w:val="20"/>
          <w:shd w:val="clear" w:color="auto" w:fill="FFFFFF"/>
        </w:rPr>
        <w:t>Iran, China, Kuwait, Singapore and Saudi Arabia</w:t>
      </w:r>
      <w:r w:rsidR="05BE5CB0" w:rsidRPr="00E67E70">
        <w:rPr>
          <w:rStyle w:val="None"/>
          <w:rFonts w:ascii="NimbusSanL" w:hAnsi="NimbusSanL"/>
          <w:sz w:val="20"/>
          <w:szCs w:val="20"/>
          <w:shd w:val="clear" w:color="auto" w:fill="FFFFFF"/>
        </w:rPr>
        <w:t xml:space="preserve">. </w:t>
      </w:r>
      <w:r w:rsidR="00787E2B" w:rsidRPr="00E67E70">
        <w:rPr>
          <w:rStyle w:val="None"/>
          <w:rFonts w:ascii="NimbusSanL" w:hAnsi="NimbusSanL"/>
          <w:sz w:val="20"/>
          <w:szCs w:val="20"/>
          <w:shd w:val="clear" w:color="auto" w:fill="FFFFFF"/>
        </w:rPr>
        <w:t>E</w:t>
      </w:r>
      <w:r w:rsidR="5AD5FFE6" w:rsidRPr="00E67E70">
        <w:rPr>
          <w:rStyle w:val="None"/>
          <w:rFonts w:ascii="NimbusSanL" w:hAnsi="NimbusSanL"/>
          <w:sz w:val="20"/>
          <w:szCs w:val="20"/>
        </w:rPr>
        <w:t>xecutions are believed to have also taken place in Vietnam and North Korea, but this cannot be confirmed due to state secrecy and censorship</w:t>
      </w:r>
      <w:r w:rsidR="6A618B58" w:rsidRPr="00E67E70">
        <w:rPr>
          <w:rStyle w:val="None"/>
          <w:rFonts w:ascii="NimbusSanL" w:hAnsi="NimbusSanL"/>
          <w:sz w:val="20"/>
          <w:szCs w:val="20"/>
          <w:shd w:val="clear" w:color="auto" w:fill="FFFFFF"/>
        </w:rPr>
        <w:t xml:space="preserve">. </w:t>
      </w:r>
      <w:r w:rsidR="018E67D4" w:rsidRPr="00E67E70">
        <w:rPr>
          <w:rStyle w:val="None"/>
          <w:rFonts w:ascii="NimbusSanL" w:hAnsi="NimbusSanL"/>
          <w:sz w:val="20"/>
          <w:szCs w:val="20"/>
          <w:shd w:val="clear" w:color="auto" w:fill="FFFFFF"/>
        </w:rPr>
        <w:t>Overall, d</w:t>
      </w:r>
      <w:r w:rsidR="47DCE89D" w:rsidRPr="00E67E70">
        <w:rPr>
          <w:rStyle w:val="None"/>
          <w:rFonts w:ascii="NimbusSanL" w:hAnsi="NimbusSanL"/>
          <w:sz w:val="20"/>
          <w:szCs w:val="20"/>
          <w:shd w:val="clear" w:color="auto" w:fill="FFFFFF"/>
        </w:rPr>
        <w:t>rug executions were responsible for rough</w:t>
      </w:r>
      <w:r w:rsidR="5A24D2DD" w:rsidRPr="00E67E70">
        <w:rPr>
          <w:rStyle w:val="None"/>
          <w:rFonts w:ascii="NimbusSanL" w:hAnsi="NimbusSanL"/>
          <w:sz w:val="20"/>
          <w:szCs w:val="20"/>
          <w:shd w:val="clear" w:color="auto" w:fill="FFFFFF"/>
        </w:rPr>
        <w:t>l</w:t>
      </w:r>
      <w:r w:rsidR="47DCE89D" w:rsidRPr="00E67E70">
        <w:rPr>
          <w:rStyle w:val="None"/>
          <w:rFonts w:ascii="NimbusSanL" w:hAnsi="NimbusSanL"/>
          <w:sz w:val="20"/>
          <w:szCs w:val="20"/>
          <w:shd w:val="clear" w:color="auto" w:fill="FFFFFF"/>
        </w:rPr>
        <w:t xml:space="preserve">y 42% (almost 1 in 2) of known global executions, </w:t>
      </w:r>
      <w:r w:rsidR="00787E2B" w:rsidRPr="00E67E70">
        <w:rPr>
          <w:rStyle w:val="None"/>
          <w:rFonts w:ascii="NimbusSanL" w:hAnsi="NimbusSanL"/>
          <w:sz w:val="20"/>
          <w:szCs w:val="20"/>
          <w:shd w:val="clear" w:color="auto" w:fill="FFFFFF"/>
        </w:rPr>
        <w:t>the highest confirmed figure since 2016. This suggests that</w:t>
      </w:r>
      <w:r w:rsidR="47DCE89D" w:rsidRPr="00E67E70">
        <w:rPr>
          <w:rStyle w:val="None"/>
          <w:rFonts w:ascii="NimbusSanL" w:hAnsi="NimbusSanL"/>
          <w:sz w:val="20"/>
          <w:szCs w:val="20"/>
          <w:shd w:val="clear" w:color="auto" w:fill="FFFFFF"/>
        </w:rPr>
        <w:t xml:space="preserve"> </w:t>
      </w:r>
      <w:r w:rsidR="47DCE89D" w:rsidRPr="00E67E70">
        <w:rPr>
          <w:rStyle w:val="None"/>
          <w:rFonts w:ascii="NimbusSanL" w:hAnsi="NimbusSanL"/>
          <w:b/>
          <w:bCs/>
          <w:sz w:val="20"/>
          <w:szCs w:val="20"/>
          <w:shd w:val="clear" w:color="auto" w:fill="FFFFFF"/>
        </w:rPr>
        <w:t>drug control effectively drives use of the death penalty globally.</w:t>
      </w:r>
    </w:p>
    <w:p w14:paraId="1AB55A73" w14:textId="195EB20C" w:rsidR="3EDA913C" w:rsidRPr="00E67E70" w:rsidRDefault="001592F4" w:rsidP="3EDA913C">
      <w:pPr>
        <w:pStyle w:val="BodyA"/>
        <w:spacing w:after="120"/>
        <w:jc w:val="both"/>
        <w:rPr>
          <w:rStyle w:val="None"/>
          <w:rFonts w:ascii="NimbusSanL" w:eastAsia="Calibri" w:hAnsi="NimbusSanL" w:cs="Calibri"/>
          <w:sz w:val="20"/>
          <w:szCs w:val="20"/>
        </w:rPr>
      </w:pPr>
      <w:r w:rsidRPr="00E67E70">
        <w:rPr>
          <w:rFonts w:ascii="NimbusSanL" w:eastAsia="Calibri" w:hAnsi="NimbusSanL" w:cs="Calibri"/>
          <w:sz w:val="20"/>
          <w:szCs w:val="20"/>
        </w:rPr>
        <w:t>Of those executed in 2023, at leas</w:t>
      </w:r>
      <w:r w:rsidR="1BD57663" w:rsidRPr="00E67E70">
        <w:rPr>
          <w:rFonts w:ascii="NimbusSanL" w:eastAsia="Calibri" w:hAnsi="NimbusSanL" w:cs="Calibri"/>
          <w:sz w:val="20"/>
          <w:szCs w:val="20"/>
        </w:rPr>
        <w:t>t</w:t>
      </w:r>
      <w:r w:rsidRPr="00E67E70">
        <w:rPr>
          <w:rFonts w:ascii="NimbusSanL" w:eastAsia="Calibri" w:hAnsi="NimbusSanL" w:cs="Calibri"/>
          <w:sz w:val="20"/>
          <w:szCs w:val="20"/>
        </w:rPr>
        <w:t xml:space="preserve"> 59 people belonged to ethnic minority groups (in Iran and in Singapore), 13 individuals were foreign nationals, and six were women.</w:t>
      </w:r>
      <w:r w:rsidR="105351B0" w:rsidRPr="00E67E70">
        <w:rPr>
          <w:rFonts w:ascii="NimbusSanL" w:eastAsia="Calibri" w:hAnsi="NimbusSanL" w:cs="Calibri"/>
          <w:sz w:val="20"/>
          <w:szCs w:val="20"/>
        </w:rPr>
        <w:t xml:space="preserve"> </w:t>
      </w:r>
    </w:p>
    <w:p w14:paraId="36B569D4" w14:textId="19CBCB6E" w:rsidR="00050921" w:rsidRPr="00E67E70" w:rsidRDefault="2141BB9C" w:rsidP="401CAF4F">
      <w:pPr>
        <w:pStyle w:val="BodyA"/>
        <w:spacing w:after="120"/>
        <w:jc w:val="both"/>
        <w:rPr>
          <w:rStyle w:val="None"/>
          <w:rFonts w:ascii="NimbusSanL" w:hAnsi="NimbusSanL"/>
          <w:sz w:val="20"/>
          <w:szCs w:val="20"/>
        </w:rPr>
      </w:pPr>
      <w:r w:rsidRPr="00E67E70">
        <w:rPr>
          <w:rStyle w:val="None"/>
          <w:rFonts w:ascii="NimbusSanL" w:hAnsi="NimbusSanL"/>
          <w:sz w:val="20"/>
          <w:szCs w:val="20"/>
        </w:rPr>
        <w:t xml:space="preserve">HRI has also observed a steady increase in the number of known drug-related death sentences. At least 375 people were sentenced to death for drug offences in 2023 (roughly 20% more than in 2022). Drug offences were responsible for 94% of known death sentences in Indonesia, and 100% in the United Arab Emirates. Because of lack of disaggregated data, many, if not most, drug-related death sentences remain unknown. Foreign nationals are also overrepresented among people sentenced to death for drug offences, although lack of comprehensive and disaggregated data prevents from providing a full picture. </w:t>
      </w:r>
    </w:p>
    <w:p w14:paraId="1299C43A" w14:textId="3FE030C0" w:rsidR="00050921" w:rsidRPr="00E67E70" w:rsidRDefault="00050921" w:rsidP="401CAF4F">
      <w:pPr>
        <w:pStyle w:val="BodyA"/>
        <w:jc w:val="both"/>
        <w:rPr>
          <w:rStyle w:val="None"/>
          <w:rFonts w:ascii="NimbusSanL" w:hAnsi="NimbusSanL"/>
          <w:sz w:val="20"/>
          <w:szCs w:val="20"/>
        </w:rPr>
      </w:pPr>
    </w:p>
    <w:p w14:paraId="5163D3FB" w14:textId="0A933B51" w:rsidR="00463763" w:rsidRPr="00E67E70" w:rsidRDefault="72FD1F93" w:rsidP="3EDA913C">
      <w:pPr>
        <w:pStyle w:val="BodyA"/>
        <w:spacing w:line="259" w:lineRule="auto"/>
        <w:jc w:val="both"/>
        <w:rPr>
          <w:rFonts w:ascii="NimbusSanL" w:eastAsia="Calibri" w:hAnsi="NimbusSanL" w:cs="Calibri"/>
          <w:sz w:val="20"/>
          <w:szCs w:val="20"/>
        </w:rPr>
      </w:pPr>
      <w:r w:rsidRPr="00E67E70">
        <w:rPr>
          <w:rStyle w:val="None"/>
          <w:rFonts w:ascii="NimbusSanL" w:hAnsi="NimbusSanL"/>
          <w:sz w:val="20"/>
          <w:szCs w:val="20"/>
        </w:rPr>
        <w:lastRenderedPageBreak/>
        <w:t>At least 3000 people</w:t>
      </w:r>
      <w:r w:rsidR="08889996" w:rsidRPr="00E67E70">
        <w:rPr>
          <w:rStyle w:val="None"/>
          <w:rFonts w:ascii="NimbusSanL" w:hAnsi="NimbusSanL"/>
          <w:sz w:val="20"/>
          <w:szCs w:val="20"/>
        </w:rPr>
        <w:t xml:space="preserve"> – likely thousands more -</w:t>
      </w:r>
      <w:r w:rsidRPr="00E67E70">
        <w:rPr>
          <w:rStyle w:val="None"/>
          <w:rFonts w:ascii="NimbusSanL" w:hAnsi="NimbusSanL"/>
          <w:sz w:val="20"/>
          <w:szCs w:val="20"/>
        </w:rPr>
        <w:t xml:space="preserve"> are believed to be</w:t>
      </w:r>
      <w:r w:rsidRPr="00E67E70">
        <w:rPr>
          <w:rStyle w:val="None"/>
          <w:rFonts w:ascii="NimbusSanL" w:eastAsia="Calibri" w:hAnsi="NimbusSanL" w:cs="Calibri"/>
          <w:sz w:val="20"/>
          <w:szCs w:val="20"/>
        </w:rPr>
        <w:t xml:space="preserve"> on death row for drug offences in at least 19 countries</w:t>
      </w:r>
      <w:r w:rsidR="126CBE9D" w:rsidRPr="00E67E70">
        <w:rPr>
          <w:rStyle w:val="None"/>
          <w:rFonts w:ascii="NimbusSanL" w:eastAsia="Calibri" w:hAnsi="NimbusSanL" w:cs="Calibri"/>
          <w:sz w:val="20"/>
          <w:szCs w:val="20"/>
        </w:rPr>
        <w:t>.</w:t>
      </w:r>
      <w:r w:rsidR="00463763" w:rsidRPr="00E67E70">
        <w:rPr>
          <w:rStyle w:val="FootnoteReference"/>
          <w:rFonts w:ascii="NimbusSanL" w:eastAsia="Calibri" w:hAnsi="NimbusSanL" w:cs="Calibri"/>
          <w:sz w:val="20"/>
          <w:szCs w:val="20"/>
        </w:rPr>
        <w:footnoteReference w:id="5"/>
      </w:r>
      <w:r w:rsidR="3404E945" w:rsidRPr="00E67E70">
        <w:rPr>
          <w:rStyle w:val="None"/>
          <w:rFonts w:ascii="NimbusSanL" w:eastAsia="Calibri" w:hAnsi="NimbusSanL" w:cs="Calibri"/>
          <w:sz w:val="20"/>
          <w:szCs w:val="20"/>
        </w:rPr>
        <w:t xml:space="preserve"> Drug offences are the main crime for which people are known to be on death row in several countries</w:t>
      </w:r>
      <w:r w:rsidR="670D2A69" w:rsidRPr="00E67E70">
        <w:rPr>
          <w:rStyle w:val="None"/>
          <w:rFonts w:ascii="NimbusSanL" w:eastAsia="Calibri" w:hAnsi="NimbusSanL" w:cs="Calibri"/>
          <w:sz w:val="20"/>
          <w:szCs w:val="20"/>
        </w:rPr>
        <w:t xml:space="preserve">. </w:t>
      </w:r>
      <w:r w:rsidR="2161DB48" w:rsidRPr="00E67E70">
        <w:rPr>
          <w:rStyle w:val="None"/>
          <w:rFonts w:ascii="NimbusSanL" w:eastAsia="Calibri" w:hAnsi="NimbusSanL" w:cs="Calibri"/>
          <w:sz w:val="20"/>
          <w:szCs w:val="20"/>
        </w:rPr>
        <w:t>A</w:t>
      </w:r>
      <w:r w:rsidR="642AB2FF" w:rsidRPr="00E67E70">
        <w:rPr>
          <w:rStyle w:val="None"/>
          <w:rFonts w:ascii="NimbusSanL" w:eastAsia="Calibri" w:hAnsi="NimbusSanL" w:cs="Calibri"/>
          <w:sz w:val="20"/>
          <w:szCs w:val="20"/>
        </w:rPr>
        <w:t>s of 2023</w:t>
      </w:r>
      <w:r w:rsidR="0A0073B3" w:rsidRPr="00E67E70">
        <w:rPr>
          <w:rStyle w:val="None"/>
          <w:rFonts w:ascii="NimbusSanL" w:eastAsia="Calibri" w:hAnsi="NimbusSanL" w:cs="Calibri"/>
          <w:sz w:val="20"/>
          <w:szCs w:val="20"/>
        </w:rPr>
        <w:t>,</w:t>
      </w:r>
      <w:r w:rsidR="642AB2FF" w:rsidRPr="00E67E70">
        <w:rPr>
          <w:rStyle w:val="None"/>
          <w:rFonts w:ascii="NimbusSanL" w:eastAsia="Calibri" w:hAnsi="NimbusSanL" w:cs="Calibri"/>
          <w:sz w:val="20"/>
          <w:szCs w:val="20"/>
        </w:rPr>
        <w:t xml:space="preserve"> </w:t>
      </w:r>
      <w:r w:rsidR="2E1475DF" w:rsidRPr="00E67E70">
        <w:rPr>
          <w:rFonts w:ascii="NimbusSanL" w:eastAsia="Calibri" w:hAnsi="NimbusSanL" w:cs="Calibri"/>
          <w:sz w:val="20"/>
          <w:szCs w:val="20"/>
        </w:rPr>
        <w:t xml:space="preserve">52% </w:t>
      </w:r>
      <w:r w:rsidR="461274C6" w:rsidRPr="00E67E70">
        <w:rPr>
          <w:rFonts w:ascii="NimbusSanL" w:eastAsia="Calibri" w:hAnsi="NimbusSanL" w:cs="Calibri"/>
          <w:sz w:val="20"/>
          <w:szCs w:val="20"/>
        </w:rPr>
        <w:t xml:space="preserve">of people </w:t>
      </w:r>
      <w:r w:rsidR="3F94DDB9" w:rsidRPr="00E67E70">
        <w:rPr>
          <w:rFonts w:ascii="NimbusSanL" w:eastAsia="Calibri" w:hAnsi="NimbusSanL" w:cs="Calibri"/>
          <w:sz w:val="20"/>
          <w:szCs w:val="20"/>
        </w:rPr>
        <w:t>o</w:t>
      </w:r>
      <w:r w:rsidR="461274C6" w:rsidRPr="00E67E70">
        <w:rPr>
          <w:rFonts w:ascii="NimbusSanL" w:eastAsia="Calibri" w:hAnsi="NimbusSanL" w:cs="Calibri"/>
          <w:sz w:val="20"/>
          <w:szCs w:val="20"/>
        </w:rPr>
        <w:t xml:space="preserve">n death row are sentenced for drug offences </w:t>
      </w:r>
      <w:r w:rsidR="2E1475DF" w:rsidRPr="00E67E70">
        <w:rPr>
          <w:rFonts w:ascii="NimbusSanL" w:eastAsia="Calibri" w:hAnsi="NimbusSanL" w:cs="Calibri"/>
          <w:sz w:val="20"/>
          <w:szCs w:val="20"/>
        </w:rPr>
        <w:t>in Indonesia, about 55% in Malaysia, 95% in Singapore</w:t>
      </w:r>
      <w:r w:rsidR="55B4D989" w:rsidRPr="00E67E70">
        <w:rPr>
          <w:rFonts w:ascii="NimbusSanL" w:eastAsia="Calibri" w:hAnsi="NimbusSanL" w:cs="Calibri"/>
          <w:sz w:val="20"/>
          <w:szCs w:val="20"/>
        </w:rPr>
        <w:t>,</w:t>
      </w:r>
      <w:r w:rsidR="121A238A" w:rsidRPr="00E67E70">
        <w:rPr>
          <w:rFonts w:ascii="NimbusSanL" w:eastAsia="Calibri" w:hAnsi="NimbusSanL" w:cs="Calibri"/>
          <w:sz w:val="20"/>
          <w:szCs w:val="20"/>
        </w:rPr>
        <w:t xml:space="preserve"> and</w:t>
      </w:r>
      <w:r w:rsidR="55B4D989" w:rsidRPr="00E67E70">
        <w:rPr>
          <w:rFonts w:ascii="NimbusSanL" w:eastAsia="Calibri" w:hAnsi="NimbusSanL" w:cs="Calibri"/>
          <w:sz w:val="20"/>
          <w:szCs w:val="20"/>
        </w:rPr>
        <w:t xml:space="preserve"> 61% in </w:t>
      </w:r>
      <w:r w:rsidR="2E1475DF" w:rsidRPr="00E67E70">
        <w:rPr>
          <w:rFonts w:ascii="NimbusSanL" w:eastAsia="Calibri" w:hAnsi="NimbusSanL" w:cs="Calibri"/>
          <w:sz w:val="20"/>
          <w:szCs w:val="20"/>
        </w:rPr>
        <w:t>Thailand</w:t>
      </w:r>
      <w:r w:rsidR="0E3F434C" w:rsidRPr="00E67E70">
        <w:rPr>
          <w:rFonts w:ascii="NimbusSanL" w:eastAsia="Calibri" w:hAnsi="NimbusSanL" w:cs="Calibri"/>
          <w:sz w:val="20"/>
          <w:szCs w:val="20"/>
        </w:rPr>
        <w:t>. In the latter, the figure</w:t>
      </w:r>
      <w:r w:rsidR="2E1475DF" w:rsidRPr="00E67E70">
        <w:rPr>
          <w:rFonts w:ascii="NimbusSanL" w:eastAsia="Calibri" w:hAnsi="NimbusSanL" w:cs="Calibri"/>
          <w:sz w:val="20"/>
          <w:szCs w:val="20"/>
        </w:rPr>
        <w:t xml:space="preserve"> skyrockets to 92% when only looking at women on death row.</w:t>
      </w:r>
      <w:r w:rsidR="3D5C7B65" w:rsidRPr="00E67E70">
        <w:rPr>
          <w:rFonts w:ascii="NimbusSanL" w:eastAsia="Calibri" w:hAnsi="NimbusSanL" w:cs="Calibri"/>
          <w:sz w:val="20"/>
          <w:szCs w:val="20"/>
        </w:rPr>
        <w:t xml:space="preserve"> </w:t>
      </w:r>
    </w:p>
    <w:p w14:paraId="45046AF0" w14:textId="4AEA547A" w:rsidR="401CAF4F" w:rsidRPr="00E67E70" w:rsidRDefault="401CAF4F" w:rsidP="401CAF4F">
      <w:pPr>
        <w:pStyle w:val="BodyA"/>
        <w:jc w:val="both"/>
        <w:rPr>
          <w:rStyle w:val="None"/>
          <w:rFonts w:ascii="NimbusSanL" w:hAnsi="NimbusSanL"/>
          <w:sz w:val="20"/>
          <w:szCs w:val="20"/>
        </w:rPr>
      </w:pPr>
    </w:p>
    <w:p w14:paraId="5CA98F7E" w14:textId="3A6BEE3A" w:rsidR="003C5E05" w:rsidRPr="00E67E70" w:rsidRDefault="002B1BA5" w:rsidP="3EDA913C">
      <w:pPr>
        <w:pStyle w:val="BodyA"/>
        <w:spacing w:line="259" w:lineRule="auto"/>
        <w:jc w:val="both"/>
        <w:rPr>
          <w:rStyle w:val="None"/>
          <w:rFonts w:ascii="NimbusSanL" w:hAnsi="NimbusSanL"/>
          <w:sz w:val="20"/>
          <w:szCs w:val="20"/>
        </w:rPr>
      </w:pPr>
      <w:r w:rsidRPr="00E67E70">
        <w:rPr>
          <w:rStyle w:val="None"/>
          <w:rFonts w:ascii="NimbusSanL" w:hAnsi="NimbusSanL"/>
          <w:sz w:val="20"/>
          <w:szCs w:val="20"/>
        </w:rPr>
        <w:t xml:space="preserve">Resolution 77/222 requires all states to </w:t>
      </w:r>
      <w:r w:rsidR="00A002FB" w:rsidRPr="00E67E70">
        <w:rPr>
          <w:rStyle w:val="None"/>
          <w:rFonts w:ascii="NimbusSanL" w:hAnsi="NimbusSanL"/>
          <w:sz w:val="20"/>
          <w:szCs w:val="20"/>
        </w:rPr>
        <w:t xml:space="preserve">make available disaggregated information on the use of capital punishment. </w:t>
      </w:r>
      <w:r w:rsidR="007E29CE" w:rsidRPr="00E67E70">
        <w:rPr>
          <w:rStyle w:val="None"/>
          <w:rFonts w:ascii="NimbusSanL" w:hAnsi="NimbusSanL"/>
          <w:sz w:val="20"/>
          <w:szCs w:val="20"/>
        </w:rPr>
        <w:t xml:space="preserve">In contrast with this, </w:t>
      </w:r>
      <w:r w:rsidR="001C438F" w:rsidRPr="00E67E70">
        <w:rPr>
          <w:rStyle w:val="None"/>
          <w:rFonts w:ascii="NimbusSanL" w:hAnsi="NimbusSanL"/>
          <w:sz w:val="20"/>
          <w:szCs w:val="20"/>
        </w:rPr>
        <w:t xml:space="preserve">available information on the use of the death penalty for drug offences is extremely limited, due to pervasive </w:t>
      </w:r>
      <w:r w:rsidR="001C438F" w:rsidRPr="00E67E70">
        <w:rPr>
          <w:rStyle w:val="None"/>
          <w:rFonts w:ascii="NimbusSanL" w:hAnsi="NimbusSanL"/>
          <w:b/>
          <w:bCs/>
          <w:sz w:val="20"/>
          <w:szCs w:val="20"/>
        </w:rPr>
        <w:t>la</w:t>
      </w:r>
      <w:r w:rsidR="126CBE9D" w:rsidRPr="00E67E70">
        <w:rPr>
          <w:rStyle w:val="None"/>
          <w:rFonts w:ascii="NimbusSanL" w:hAnsi="NimbusSanL"/>
          <w:b/>
          <w:bCs/>
          <w:sz w:val="20"/>
          <w:szCs w:val="20"/>
        </w:rPr>
        <w:t>ck of transparency</w:t>
      </w:r>
      <w:r w:rsidR="126CBE9D" w:rsidRPr="00E67E70">
        <w:rPr>
          <w:rStyle w:val="None"/>
          <w:rFonts w:ascii="NimbusSanL" w:hAnsi="NimbusSanL"/>
          <w:sz w:val="20"/>
          <w:szCs w:val="20"/>
        </w:rPr>
        <w:t xml:space="preserve">, often coupled with censorship and </w:t>
      </w:r>
      <w:r w:rsidR="00C603AF">
        <w:rPr>
          <w:rStyle w:val="None"/>
          <w:rFonts w:ascii="NimbusSanL" w:hAnsi="NimbusSanL"/>
          <w:sz w:val="20"/>
          <w:szCs w:val="20"/>
        </w:rPr>
        <w:t>closed</w:t>
      </w:r>
      <w:r w:rsidR="126CBE9D" w:rsidRPr="00E67E70">
        <w:rPr>
          <w:rStyle w:val="None"/>
          <w:rFonts w:ascii="NimbusSanL" w:hAnsi="NimbusSanL"/>
          <w:sz w:val="20"/>
          <w:szCs w:val="20"/>
        </w:rPr>
        <w:t xml:space="preserve"> civic space</w:t>
      </w:r>
      <w:r w:rsidR="001C438F" w:rsidRPr="00E67E70">
        <w:rPr>
          <w:rStyle w:val="None"/>
          <w:rFonts w:ascii="NimbusSanL" w:hAnsi="NimbusSanL"/>
          <w:sz w:val="20"/>
          <w:szCs w:val="20"/>
        </w:rPr>
        <w:t>.</w:t>
      </w:r>
      <w:r w:rsidR="003C5E05" w:rsidRPr="00E67E70">
        <w:rPr>
          <w:rStyle w:val="None"/>
          <w:rFonts w:ascii="NimbusSanL" w:hAnsi="NimbusSanL"/>
          <w:sz w:val="20"/>
          <w:szCs w:val="20"/>
        </w:rPr>
        <w:t xml:space="preserve"> Among others, information on use of the death penalty is subject to state secret in China and Vietnam, while in Iran </w:t>
      </w:r>
      <w:r w:rsidR="003C066C" w:rsidRPr="00E67E70">
        <w:rPr>
          <w:rStyle w:val="None"/>
          <w:rFonts w:ascii="NimbusSanL" w:hAnsi="NimbusSanL"/>
          <w:sz w:val="20"/>
          <w:szCs w:val="20"/>
        </w:rPr>
        <w:t xml:space="preserve">95% of drug-related executions were </w:t>
      </w:r>
      <w:r w:rsidR="00860E5D" w:rsidRPr="00E67E70">
        <w:rPr>
          <w:rStyle w:val="None"/>
          <w:rFonts w:ascii="NimbusSanL" w:hAnsi="NimbusSanL"/>
          <w:sz w:val="20"/>
          <w:szCs w:val="20"/>
        </w:rPr>
        <w:t>not announced by official sources.</w:t>
      </w:r>
      <w:r w:rsidR="00860E5D" w:rsidRPr="00E67E70">
        <w:rPr>
          <w:rStyle w:val="FootnoteReference"/>
          <w:rFonts w:ascii="NimbusSanL" w:hAnsi="NimbusSanL"/>
          <w:sz w:val="20"/>
          <w:szCs w:val="20"/>
        </w:rPr>
        <w:footnoteReference w:id="6"/>
      </w:r>
    </w:p>
    <w:p w14:paraId="45B36D06" w14:textId="6738CA80" w:rsidR="401CAF4F" w:rsidRPr="00E67E70" w:rsidRDefault="2141BB9C" w:rsidP="401CAF4F">
      <w:pPr>
        <w:pStyle w:val="BodyA"/>
        <w:spacing w:line="259" w:lineRule="auto"/>
        <w:jc w:val="both"/>
        <w:rPr>
          <w:rStyle w:val="None"/>
          <w:rFonts w:ascii="NimbusSanL" w:hAnsi="NimbusSanL"/>
          <w:sz w:val="20"/>
          <w:szCs w:val="20"/>
        </w:rPr>
      </w:pPr>
      <w:r w:rsidRPr="00E67E70">
        <w:rPr>
          <w:rStyle w:val="None"/>
          <w:rFonts w:ascii="NimbusSanL" w:hAnsi="NimbusSanL"/>
          <w:sz w:val="20"/>
          <w:szCs w:val="20"/>
        </w:rPr>
        <w:t xml:space="preserve">Lack of data disaggregated by both crime and other characteristics, such as gender, age and nationality, remains a key obstacle in fully assessing the phenomenon. Of the 19 countries where people are believed to be on death row for drug offences, only three provide regularly updated and somewhat disaggregated information on the death row population (Malaysia, Sri Lanka, Thailand). </w:t>
      </w:r>
    </w:p>
    <w:p w14:paraId="5939AC88" w14:textId="77777777" w:rsidR="00860E5D" w:rsidRPr="00E67E70" w:rsidRDefault="00860E5D" w:rsidP="401CAF4F">
      <w:pPr>
        <w:pStyle w:val="BodyA"/>
        <w:spacing w:line="259" w:lineRule="auto"/>
        <w:jc w:val="both"/>
        <w:rPr>
          <w:rStyle w:val="None"/>
          <w:rFonts w:ascii="NimbusSanL" w:hAnsi="NimbusSanL"/>
          <w:sz w:val="20"/>
          <w:szCs w:val="20"/>
        </w:rPr>
      </w:pPr>
    </w:p>
    <w:p w14:paraId="71B3EB46" w14:textId="77777777" w:rsidR="00706974" w:rsidRPr="00E67E70" w:rsidRDefault="00623A0A" w:rsidP="00706974">
      <w:pPr>
        <w:pStyle w:val="ListParagraph"/>
        <w:numPr>
          <w:ilvl w:val="0"/>
          <w:numId w:val="7"/>
        </w:numPr>
        <w:jc w:val="both"/>
        <w:rPr>
          <w:rFonts w:ascii="NimbusSanL" w:hAnsi="NimbusSanL"/>
          <w:b/>
          <w:sz w:val="20"/>
          <w:szCs w:val="20"/>
        </w:rPr>
      </w:pPr>
      <w:r w:rsidRPr="00E67E70">
        <w:rPr>
          <w:rFonts w:ascii="NimbusSanL" w:hAnsi="NimbusSanL"/>
          <w:b/>
          <w:sz w:val="20"/>
          <w:szCs w:val="20"/>
        </w:rPr>
        <w:t xml:space="preserve">Other national developments on implementation of the resolution </w:t>
      </w:r>
    </w:p>
    <w:p w14:paraId="28F82C7A" w14:textId="77777777" w:rsidR="00706974" w:rsidRPr="00E67E70" w:rsidRDefault="00706974" w:rsidP="00706974">
      <w:pPr>
        <w:pStyle w:val="ListParagraph"/>
        <w:jc w:val="both"/>
        <w:rPr>
          <w:rFonts w:ascii="NimbusSanL" w:hAnsi="NimbusSanL"/>
          <w:b/>
          <w:sz w:val="20"/>
          <w:szCs w:val="20"/>
        </w:rPr>
      </w:pPr>
    </w:p>
    <w:p w14:paraId="7538CEAA" w14:textId="7B367114" w:rsidR="00C5154D" w:rsidRPr="00E67E70" w:rsidRDefault="00706974" w:rsidP="00706974">
      <w:pPr>
        <w:pStyle w:val="ListParagraph"/>
        <w:numPr>
          <w:ilvl w:val="1"/>
          <w:numId w:val="7"/>
        </w:numPr>
        <w:jc w:val="both"/>
        <w:rPr>
          <w:rFonts w:ascii="NimbusSanL" w:hAnsi="NimbusSanL"/>
          <w:bCs/>
          <w:sz w:val="20"/>
          <w:szCs w:val="20"/>
          <w:u w:val="single"/>
        </w:rPr>
      </w:pPr>
      <w:r w:rsidRPr="00E67E70">
        <w:rPr>
          <w:rFonts w:ascii="NimbusSanL" w:hAnsi="NimbusSanL"/>
          <w:bCs/>
          <w:sz w:val="20"/>
          <w:szCs w:val="20"/>
          <w:u w:val="single"/>
        </w:rPr>
        <w:t>Progressive steps</w:t>
      </w:r>
      <w:r w:rsidR="00C5154D" w:rsidRPr="00E67E70">
        <w:rPr>
          <w:rFonts w:ascii="NimbusSanL" w:hAnsi="NimbusSanL"/>
          <w:bCs/>
          <w:sz w:val="20"/>
          <w:szCs w:val="20"/>
          <w:u w:val="single"/>
        </w:rPr>
        <w:t xml:space="preserve"> </w:t>
      </w:r>
    </w:p>
    <w:p w14:paraId="1FC39945" w14:textId="77777777" w:rsidR="00050921" w:rsidRPr="00E67E70" w:rsidRDefault="00050921">
      <w:pPr>
        <w:pStyle w:val="BodyA"/>
        <w:jc w:val="both"/>
        <w:rPr>
          <w:rStyle w:val="None"/>
          <w:rFonts w:ascii="NimbusSanL" w:eastAsia="Calibri" w:hAnsi="NimbusSanL" w:cs="Calibri"/>
          <w:sz w:val="20"/>
          <w:szCs w:val="20"/>
        </w:rPr>
      </w:pPr>
    </w:p>
    <w:p w14:paraId="3ADA65A0" w14:textId="20E4CC6C" w:rsidR="1643E7AF" w:rsidRPr="00E67E70" w:rsidRDefault="2141BB9C" w:rsidP="2141BB9C">
      <w:pPr>
        <w:pStyle w:val="BodyA"/>
        <w:spacing w:line="259" w:lineRule="auto"/>
        <w:jc w:val="both"/>
        <w:rPr>
          <w:rFonts w:ascii="NimbusSanL" w:eastAsia="Calibri" w:hAnsi="NimbusSanL" w:cs="Calibri"/>
          <w:color w:val="auto"/>
          <w:sz w:val="20"/>
          <w:szCs w:val="20"/>
        </w:rPr>
      </w:pPr>
      <w:r w:rsidRPr="00E67E70">
        <w:rPr>
          <w:rFonts w:ascii="NimbusSanL" w:eastAsia="Calibri" w:hAnsi="NimbusSanL" w:cs="Calibri"/>
          <w:color w:val="auto"/>
          <w:sz w:val="20"/>
          <w:szCs w:val="20"/>
        </w:rPr>
        <w:t>In 2023:</w:t>
      </w:r>
    </w:p>
    <w:p w14:paraId="42F1E7B0" w14:textId="1DBB3210" w:rsidR="1643E7AF" w:rsidRPr="00E67E70" w:rsidRDefault="2141BB9C" w:rsidP="2141BB9C">
      <w:pPr>
        <w:pStyle w:val="BodyA"/>
        <w:numPr>
          <w:ilvl w:val="0"/>
          <w:numId w:val="2"/>
        </w:numPr>
        <w:spacing w:line="259" w:lineRule="auto"/>
        <w:jc w:val="both"/>
        <w:rPr>
          <w:rFonts w:ascii="NimbusSanL" w:eastAsia="Calibri" w:hAnsi="NimbusSanL" w:cs="Calibri"/>
          <w:color w:val="auto"/>
          <w:sz w:val="20"/>
          <w:szCs w:val="20"/>
          <w:lang w:val="nl-NL"/>
        </w:rPr>
      </w:pPr>
      <w:r w:rsidRPr="00E67E70">
        <w:rPr>
          <w:rFonts w:ascii="NimbusSanL" w:eastAsia="Calibri" w:hAnsi="NimbusSanL" w:cs="Calibri"/>
          <w:color w:val="auto"/>
          <w:sz w:val="20"/>
          <w:szCs w:val="20"/>
        </w:rPr>
        <w:t xml:space="preserve"> </w:t>
      </w:r>
      <w:r w:rsidRPr="00E67E70">
        <w:rPr>
          <w:rFonts w:ascii="NimbusSanL" w:eastAsia="Calibri" w:hAnsi="NimbusSanL" w:cs="Calibri"/>
          <w:b/>
          <w:bCs/>
          <w:color w:val="auto"/>
          <w:sz w:val="20"/>
          <w:szCs w:val="20"/>
        </w:rPr>
        <w:t>Indonesia</w:t>
      </w:r>
      <w:r w:rsidRPr="00E67E70">
        <w:rPr>
          <w:rFonts w:ascii="NimbusSanL" w:eastAsia="Calibri" w:hAnsi="NimbusSanL" w:cs="Calibri"/>
          <w:color w:val="auto"/>
          <w:sz w:val="20"/>
          <w:szCs w:val="20"/>
        </w:rPr>
        <w:t xml:space="preserve">'s President Widodo granted clemency for the first time during his mandate to a person sentenced to death for drug offences. Merri Utami, who spent over twenty years on death row for drug trafficking despite evidence that she had been tricked into carrying drugs across borders, had her death sentence commuted to life imprisonment. </w:t>
      </w:r>
    </w:p>
    <w:p w14:paraId="4D3533CC" w14:textId="6890FAC6" w:rsidR="00050921" w:rsidRPr="00E67E70" w:rsidRDefault="2141BB9C" w:rsidP="2141BB9C">
      <w:pPr>
        <w:pStyle w:val="BodyA"/>
        <w:numPr>
          <w:ilvl w:val="0"/>
          <w:numId w:val="2"/>
        </w:numPr>
        <w:spacing w:line="259" w:lineRule="auto"/>
        <w:jc w:val="both"/>
        <w:rPr>
          <w:rFonts w:ascii="NimbusSanL" w:eastAsia="Calibri" w:hAnsi="NimbusSanL" w:cs="Calibri"/>
          <w:sz w:val="20"/>
          <w:szCs w:val="20"/>
        </w:rPr>
      </w:pPr>
      <w:r w:rsidRPr="00E67E70">
        <w:rPr>
          <w:rStyle w:val="None"/>
          <w:rFonts w:ascii="NimbusSanL" w:hAnsi="NimbusSanL"/>
          <w:b/>
          <w:bCs/>
          <w:sz w:val="20"/>
          <w:szCs w:val="20"/>
        </w:rPr>
        <w:t xml:space="preserve">Malaysia </w:t>
      </w:r>
      <w:r w:rsidRPr="00E67E70">
        <w:rPr>
          <w:rStyle w:val="None"/>
          <w:rFonts w:ascii="NimbusSanL" w:hAnsi="NimbusSanL"/>
          <w:sz w:val="20"/>
          <w:szCs w:val="20"/>
        </w:rPr>
        <w:t>ado</w:t>
      </w:r>
      <w:r w:rsidRPr="00E67E70">
        <w:rPr>
          <w:rStyle w:val="None"/>
          <w:rFonts w:ascii="NimbusSanL" w:eastAsia="Calibri" w:hAnsi="NimbusSanL" w:cs="Calibri"/>
          <w:sz w:val="20"/>
          <w:szCs w:val="20"/>
        </w:rPr>
        <w:t xml:space="preserve">pted an important reform to its death penalty legislation. Among others, death was removed as </w:t>
      </w:r>
      <w:r w:rsidRPr="00E67E70">
        <w:rPr>
          <w:rFonts w:ascii="NimbusSanL" w:eastAsia="Calibri" w:hAnsi="NimbusSanL" w:cs="Calibri"/>
          <w:i/>
          <w:iCs/>
          <w:sz w:val="20"/>
          <w:szCs w:val="20"/>
        </w:rPr>
        <w:t xml:space="preserve">mandatory </w:t>
      </w:r>
      <w:r w:rsidRPr="00E67E70">
        <w:rPr>
          <w:rFonts w:ascii="NimbusSanL" w:eastAsia="Calibri" w:hAnsi="NimbusSanL" w:cs="Calibri"/>
          <w:sz w:val="20"/>
          <w:szCs w:val="20"/>
        </w:rPr>
        <w:t>punishment for the 12 offences that retained it, including drug trafficking. People on death row (the majority of which have been convicted of drug trafficking) were allowed to apply for resentencing and may have their sentence commuted.</w:t>
      </w:r>
    </w:p>
    <w:p w14:paraId="1D4A55FA" w14:textId="6C4F75D2" w:rsidR="00050921" w:rsidRPr="00E67E70" w:rsidRDefault="2141BB9C" w:rsidP="2141BB9C">
      <w:pPr>
        <w:pStyle w:val="BodyA"/>
        <w:numPr>
          <w:ilvl w:val="0"/>
          <w:numId w:val="1"/>
        </w:numPr>
        <w:jc w:val="both"/>
        <w:rPr>
          <w:rStyle w:val="None"/>
          <w:rFonts w:ascii="NimbusSanL" w:hAnsi="NimbusSanL"/>
          <w:sz w:val="20"/>
          <w:szCs w:val="20"/>
        </w:rPr>
      </w:pPr>
      <w:r w:rsidRPr="00E67E70">
        <w:rPr>
          <w:rStyle w:val="None"/>
          <w:rFonts w:ascii="NimbusSanL" w:hAnsi="NimbusSanL"/>
          <w:b/>
          <w:bCs/>
          <w:sz w:val="20"/>
          <w:szCs w:val="20"/>
        </w:rPr>
        <w:t xml:space="preserve">Pakistan </w:t>
      </w:r>
      <w:r w:rsidRPr="00E67E70">
        <w:rPr>
          <w:rStyle w:val="None"/>
          <w:rFonts w:ascii="NimbusSanL" w:hAnsi="NimbusSanL"/>
          <w:sz w:val="20"/>
          <w:szCs w:val="20"/>
        </w:rPr>
        <w:t>took the landmark decision of removing death as a possible punishment for offences in its Control of Narcotic Substances Act (CNSA). Roll-out is proving slow, as media sources indicate that lower courts were still sentencing people to death for drug crimes as of January 2024.</w:t>
      </w:r>
    </w:p>
    <w:p w14:paraId="6209C5FE" w14:textId="1DBF7A82" w:rsidR="0BAD54F7" w:rsidRPr="00E67E70" w:rsidRDefault="0BAD54F7" w:rsidP="401CAF4F">
      <w:pPr>
        <w:pStyle w:val="BodyA"/>
        <w:jc w:val="both"/>
        <w:rPr>
          <w:rFonts w:ascii="NimbusSanL" w:eastAsia="Calibri" w:hAnsi="NimbusSanL" w:cs="Calibri"/>
          <w:sz w:val="20"/>
          <w:szCs w:val="20"/>
        </w:rPr>
      </w:pPr>
    </w:p>
    <w:p w14:paraId="414C4590" w14:textId="2C8416AE" w:rsidR="401CAF4F" w:rsidRPr="00E67E70" w:rsidRDefault="401CAF4F" w:rsidP="401CAF4F">
      <w:pPr>
        <w:pStyle w:val="BodyA"/>
        <w:jc w:val="both"/>
        <w:rPr>
          <w:rStyle w:val="None"/>
          <w:rFonts w:ascii="NimbusSanL" w:eastAsia="Calibri" w:hAnsi="NimbusSanL" w:cs="Calibri"/>
          <w:sz w:val="20"/>
          <w:szCs w:val="20"/>
        </w:rPr>
      </w:pPr>
    </w:p>
    <w:p w14:paraId="338F3C50" w14:textId="467E115F" w:rsidR="00706974" w:rsidRPr="00E67E70" w:rsidRDefault="00706974" w:rsidP="00706974">
      <w:pPr>
        <w:pStyle w:val="BodyA"/>
        <w:numPr>
          <w:ilvl w:val="1"/>
          <w:numId w:val="7"/>
        </w:numPr>
        <w:jc w:val="both"/>
        <w:rPr>
          <w:rStyle w:val="None"/>
          <w:rFonts w:ascii="NimbusSanL" w:eastAsia="Calibri" w:hAnsi="NimbusSanL" w:cs="Calibri"/>
          <w:sz w:val="20"/>
          <w:szCs w:val="20"/>
        </w:rPr>
      </w:pPr>
      <w:r w:rsidRPr="00E67E70">
        <w:rPr>
          <w:rStyle w:val="None"/>
          <w:rFonts w:ascii="NimbusSanL" w:eastAsia="Calibri" w:hAnsi="NimbusSanL" w:cs="Calibri"/>
          <w:sz w:val="20"/>
          <w:szCs w:val="20"/>
          <w:u w:val="single"/>
        </w:rPr>
        <w:t>Retrogressive steps</w:t>
      </w:r>
    </w:p>
    <w:p w14:paraId="073AF2AC" w14:textId="77777777" w:rsidR="00706974" w:rsidRPr="00E67E70" w:rsidRDefault="00706974" w:rsidP="00706974">
      <w:pPr>
        <w:pStyle w:val="BodyA"/>
        <w:spacing w:line="259" w:lineRule="auto"/>
        <w:jc w:val="both"/>
        <w:rPr>
          <w:rFonts w:ascii="NimbusSanL" w:hAnsi="NimbusSanL" w:cs="Calibri"/>
          <w:sz w:val="20"/>
          <w:szCs w:val="20"/>
          <w:lang w:val="nl-NL"/>
        </w:rPr>
      </w:pPr>
    </w:p>
    <w:p w14:paraId="7B7C6A8D" w14:textId="75ED4A89" w:rsidR="00706974" w:rsidRPr="00E67E70" w:rsidRDefault="00706974" w:rsidP="00706974">
      <w:pPr>
        <w:pStyle w:val="BodyA"/>
        <w:spacing w:line="259" w:lineRule="auto"/>
        <w:jc w:val="both"/>
        <w:rPr>
          <w:rStyle w:val="None"/>
          <w:rFonts w:ascii="NimbusSanL" w:hAnsi="NimbusSanL"/>
          <w:sz w:val="20"/>
          <w:szCs w:val="20"/>
        </w:rPr>
      </w:pPr>
      <w:r w:rsidRPr="00E67E70">
        <w:rPr>
          <w:rStyle w:val="None"/>
          <w:rFonts w:ascii="NimbusSanL" w:hAnsi="NimbusSanL"/>
          <w:sz w:val="20"/>
          <w:szCs w:val="20"/>
          <w:lang w:val="nl-NL"/>
        </w:rPr>
        <w:t xml:space="preserve">In 2017, </w:t>
      </w:r>
      <w:r w:rsidRPr="00E67E70">
        <w:rPr>
          <w:rStyle w:val="None"/>
          <w:rFonts w:ascii="NimbusSanL" w:hAnsi="NimbusSanL"/>
          <w:b/>
          <w:bCs/>
          <w:sz w:val="20"/>
          <w:szCs w:val="20"/>
          <w:lang w:val="nl-NL"/>
        </w:rPr>
        <w:t>Iran</w:t>
      </w:r>
      <w:r w:rsidRPr="00E67E70">
        <w:rPr>
          <w:rStyle w:val="None"/>
          <w:rFonts w:ascii="NimbusSanL" w:hAnsi="NimbusSanL"/>
          <w:sz w:val="20"/>
          <w:szCs w:val="20"/>
        </w:rPr>
        <w:t xml:space="preserve"> had taken a significant step towards reducing use of the death penalty by reviewing the definition of death-eligible drug crimes, in line with what is required by the resolution. As a result, the number of executions in the country had </w:t>
      </w:r>
      <w:r w:rsidR="00E74022" w:rsidRPr="00E67E70">
        <w:rPr>
          <w:rStyle w:val="None"/>
          <w:rFonts w:ascii="NimbusSanL" w:hAnsi="NimbusSanL"/>
          <w:sz w:val="20"/>
          <w:szCs w:val="20"/>
        </w:rPr>
        <w:t>shrunk</w:t>
      </w:r>
      <w:r w:rsidRPr="00E67E70">
        <w:rPr>
          <w:rStyle w:val="None"/>
          <w:rFonts w:ascii="NimbusSanL" w:hAnsi="NimbusSanL"/>
          <w:sz w:val="20"/>
          <w:szCs w:val="20"/>
        </w:rPr>
        <w:t xml:space="preserve"> significantly.</w:t>
      </w:r>
      <w:r w:rsidRPr="00E67E70">
        <w:rPr>
          <w:rStyle w:val="None"/>
          <w:rFonts w:ascii="NimbusSanL" w:eastAsia="Calibri" w:hAnsi="NimbusSanL" w:cs="Calibri"/>
          <w:sz w:val="20"/>
          <w:szCs w:val="20"/>
          <w:vertAlign w:val="superscript"/>
        </w:rPr>
        <w:footnoteReference w:id="7"/>
      </w:r>
      <w:r w:rsidRPr="00E67E70">
        <w:rPr>
          <w:rStyle w:val="None"/>
          <w:rFonts w:ascii="NimbusSanL" w:hAnsi="NimbusSanL"/>
          <w:sz w:val="20"/>
          <w:szCs w:val="20"/>
        </w:rPr>
        <w:t xml:space="preserve"> This trend started to reverse in 2021: HRI recorded a 92% increase in drug-related executions between 2021 and 2022, and a further +79% between 2022 and 2023. According to figures by the </w:t>
      </w:r>
      <w:proofErr w:type="spellStart"/>
      <w:r w:rsidRPr="00E67E70">
        <w:rPr>
          <w:rStyle w:val="None"/>
          <w:rFonts w:ascii="NimbusSanL" w:hAnsi="NimbusSanL"/>
          <w:sz w:val="20"/>
          <w:szCs w:val="20"/>
        </w:rPr>
        <w:t>Abdorrahman</w:t>
      </w:r>
      <w:proofErr w:type="spellEnd"/>
      <w:r w:rsidRPr="00E67E70">
        <w:rPr>
          <w:rStyle w:val="None"/>
          <w:rFonts w:ascii="NimbusSanL" w:hAnsi="NimbusSanL"/>
          <w:sz w:val="20"/>
          <w:szCs w:val="20"/>
        </w:rPr>
        <w:t xml:space="preserve"> Boroumand Centre for Human </w:t>
      </w:r>
      <w:r w:rsidRPr="00E67E70">
        <w:rPr>
          <w:rStyle w:val="None"/>
          <w:rFonts w:ascii="NimbusSanL" w:hAnsi="NimbusSanL"/>
          <w:sz w:val="20"/>
          <w:szCs w:val="20"/>
        </w:rPr>
        <w:lastRenderedPageBreak/>
        <w:t xml:space="preserve">Rights in Iran, </w:t>
      </w:r>
      <w:r w:rsidR="2141BB9C" w:rsidRPr="00E67E70">
        <w:rPr>
          <w:rStyle w:val="None"/>
          <w:rFonts w:ascii="NimbusSanL" w:hAnsi="NimbusSanL"/>
          <w:sz w:val="20"/>
          <w:szCs w:val="20"/>
        </w:rPr>
        <w:t xml:space="preserve">at least 459 people were executed for drug offences in 2023, accounting for 55% of total known executions. </w:t>
      </w:r>
    </w:p>
    <w:p w14:paraId="6F109AA8" w14:textId="77777777" w:rsidR="00706974" w:rsidRPr="00E67E70" w:rsidRDefault="00706974" w:rsidP="00706974">
      <w:pPr>
        <w:pStyle w:val="BodyA"/>
        <w:spacing w:line="259" w:lineRule="auto"/>
        <w:jc w:val="both"/>
        <w:rPr>
          <w:rStyle w:val="None"/>
          <w:rFonts w:ascii="NimbusSanL" w:hAnsi="NimbusSanL"/>
          <w:sz w:val="20"/>
          <w:szCs w:val="20"/>
        </w:rPr>
      </w:pPr>
    </w:p>
    <w:p w14:paraId="6B0A0D8C" w14:textId="52C0790F" w:rsidR="00706974" w:rsidRPr="00E67E70" w:rsidRDefault="2141BB9C" w:rsidP="00706974">
      <w:pPr>
        <w:pStyle w:val="BodyA"/>
        <w:jc w:val="both"/>
        <w:rPr>
          <w:rStyle w:val="None"/>
          <w:rFonts w:ascii="NimbusSanL" w:eastAsia="Calibri" w:hAnsi="NimbusSanL" w:cs="Calibri"/>
          <w:sz w:val="20"/>
          <w:szCs w:val="20"/>
        </w:rPr>
      </w:pPr>
      <w:r w:rsidRPr="00E67E70">
        <w:rPr>
          <w:rStyle w:val="None"/>
          <w:rFonts w:ascii="NimbusSanL" w:eastAsia="Calibri" w:hAnsi="NimbusSanL" w:cs="Calibri"/>
          <w:b/>
          <w:bCs/>
          <w:sz w:val="20"/>
          <w:szCs w:val="20"/>
        </w:rPr>
        <w:t xml:space="preserve">Kuwait </w:t>
      </w:r>
      <w:r w:rsidRPr="00E67E70">
        <w:rPr>
          <w:rStyle w:val="None"/>
          <w:rFonts w:ascii="NimbusSanL" w:eastAsia="Calibri" w:hAnsi="NimbusSanL" w:cs="Calibri"/>
          <w:sz w:val="20"/>
          <w:szCs w:val="20"/>
        </w:rPr>
        <w:t>ended a 15 years’ unofficial moratorium on drug-related executions in 2023, by executing one person – a Sri Lankan national – for drug trafficking.</w:t>
      </w:r>
    </w:p>
    <w:p w14:paraId="567B7F8C" w14:textId="77777777" w:rsidR="00866C7D" w:rsidRPr="00E67E70" w:rsidRDefault="00866C7D" w:rsidP="00706974">
      <w:pPr>
        <w:pStyle w:val="BodyA"/>
        <w:jc w:val="both"/>
        <w:rPr>
          <w:rStyle w:val="None"/>
          <w:rFonts w:ascii="NimbusSanL" w:eastAsia="Calibri" w:hAnsi="NimbusSanL" w:cs="Calibri"/>
          <w:sz w:val="20"/>
          <w:szCs w:val="20"/>
        </w:rPr>
      </w:pPr>
    </w:p>
    <w:p w14:paraId="06B7911E" w14:textId="5414FA53" w:rsidR="00866C7D" w:rsidRPr="00E67E70" w:rsidRDefault="00866C7D" w:rsidP="00866C7D">
      <w:pPr>
        <w:pStyle w:val="BodyA"/>
        <w:jc w:val="both"/>
        <w:rPr>
          <w:rFonts w:ascii="NimbusSanL" w:eastAsia="Calibri" w:hAnsi="NimbusSanL" w:cs="Calibri"/>
          <w:sz w:val="20"/>
          <w:szCs w:val="20"/>
        </w:rPr>
      </w:pPr>
      <w:r w:rsidRPr="00E67E70">
        <w:rPr>
          <w:rFonts w:ascii="NimbusSanL" w:eastAsia="Calibri" w:hAnsi="NimbusSanL" w:cs="Calibri"/>
          <w:sz w:val="20"/>
          <w:szCs w:val="20"/>
        </w:rPr>
        <w:t xml:space="preserve">The moratorium on drug-related executions announced in early 2020 in </w:t>
      </w:r>
      <w:r w:rsidRPr="00E67E70">
        <w:rPr>
          <w:rFonts w:ascii="NimbusSanL" w:eastAsia="Calibri" w:hAnsi="NimbusSanL" w:cs="Calibri"/>
          <w:b/>
          <w:bCs/>
          <w:sz w:val="20"/>
          <w:szCs w:val="20"/>
        </w:rPr>
        <w:t xml:space="preserve">Saudi Arabia </w:t>
      </w:r>
      <w:r w:rsidRPr="00E67E70">
        <w:rPr>
          <w:rFonts w:ascii="NimbusSanL" w:eastAsia="Calibri" w:hAnsi="NimbusSanL" w:cs="Calibri"/>
          <w:sz w:val="20"/>
          <w:szCs w:val="20"/>
        </w:rPr>
        <w:t>abruptly ended in November 2022</w:t>
      </w:r>
      <w:r w:rsidR="006572A0" w:rsidRPr="00E67E70">
        <w:rPr>
          <w:rFonts w:ascii="NimbusSanL" w:eastAsia="Calibri" w:hAnsi="NimbusSanL" w:cs="Calibri"/>
          <w:sz w:val="20"/>
          <w:szCs w:val="20"/>
        </w:rPr>
        <w:t>, and b</w:t>
      </w:r>
      <w:r w:rsidRPr="00E67E70">
        <w:rPr>
          <w:rFonts w:ascii="NimbusSanL" w:eastAsia="Calibri" w:hAnsi="NimbusSanL" w:cs="Calibri"/>
          <w:sz w:val="20"/>
          <w:szCs w:val="20"/>
        </w:rPr>
        <w:t xml:space="preserve">y the end of the year, 57 people had been executed for drug offences. In a worrying departure from previous practice, over 30 drug executions were carried out in secret and were not announced by official media; with additional executions confirmed by the Saudi National Human Rights Commission to Amnesty International. At least two more drug-related executions were carried out in 2023, but the figure may be partial. </w:t>
      </w:r>
    </w:p>
    <w:p w14:paraId="69827984" w14:textId="77777777" w:rsidR="006572A0" w:rsidRPr="00E67E70" w:rsidRDefault="006572A0" w:rsidP="00866C7D">
      <w:pPr>
        <w:pStyle w:val="BodyA"/>
        <w:jc w:val="both"/>
        <w:rPr>
          <w:rFonts w:ascii="NimbusSanL" w:eastAsia="Calibri" w:hAnsi="NimbusSanL" w:cs="Calibri"/>
          <w:sz w:val="20"/>
          <w:szCs w:val="20"/>
        </w:rPr>
      </w:pPr>
    </w:p>
    <w:p w14:paraId="7610D5C7" w14:textId="03250329" w:rsidR="006572A0" w:rsidRPr="00E67E70" w:rsidRDefault="2141BB9C" w:rsidP="2141BB9C">
      <w:pPr>
        <w:pStyle w:val="BodyA"/>
        <w:spacing w:line="259" w:lineRule="auto"/>
        <w:jc w:val="both"/>
        <w:rPr>
          <w:rStyle w:val="None"/>
          <w:rFonts w:ascii="NimbusSanL" w:hAnsi="NimbusSanL"/>
          <w:sz w:val="20"/>
          <w:szCs w:val="20"/>
        </w:rPr>
      </w:pPr>
      <w:r w:rsidRPr="00E67E70">
        <w:rPr>
          <w:rStyle w:val="None"/>
          <w:rFonts w:ascii="NimbusSanL" w:hAnsi="NimbusSanL"/>
          <w:b/>
          <w:bCs/>
          <w:sz w:val="20"/>
          <w:szCs w:val="20"/>
        </w:rPr>
        <w:t>Singapore</w:t>
      </w:r>
      <w:r w:rsidRPr="00E67E70">
        <w:rPr>
          <w:rStyle w:val="None"/>
          <w:rFonts w:ascii="NimbusSanL" w:hAnsi="NimbusSanL"/>
          <w:sz w:val="20"/>
          <w:szCs w:val="20"/>
        </w:rPr>
        <w:t xml:space="preserve"> had also resumed drug-related executions after a brief hiatus in March 2022. This continued in 2023, with five executions carried out in the country, all for drug offences. Among them was</w:t>
      </w:r>
      <w:r w:rsidRPr="00E67E70">
        <w:rPr>
          <w:rStyle w:val="None"/>
          <w:rFonts w:ascii="NimbusSanL" w:eastAsia="Calibri" w:hAnsi="NimbusSanL" w:cs="Calibri"/>
          <w:sz w:val="20"/>
          <w:szCs w:val="20"/>
        </w:rPr>
        <w:t xml:space="preserve"> </w:t>
      </w:r>
      <w:proofErr w:type="spellStart"/>
      <w:r w:rsidRPr="00E67E70">
        <w:rPr>
          <w:rStyle w:val="None"/>
          <w:rFonts w:ascii="NimbusSanL" w:eastAsia="Calibri" w:hAnsi="NimbusSanL" w:cs="Calibri"/>
          <w:sz w:val="20"/>
          <w:szCs w:val="20"/>
        </w:rPr>
        <w:t>Saridewi</w:t>
      </w:r>
      <w:proofErr w:type="spellEnd"/>
      <w:r w:rsidRPr="00E67E70">
        <w:rPr>
          <w:rStyle w:val="None"/>
          <w:rFonts w:ascii="NimbusSanL" w:eastAsia="Calibri" w:hAnsi="NimbusSanL" w:cs="Calibri"/>
          <w:sz w:val="20"/>
          <w:szCs w:val="20"/>
        </w:rPr>
        <w:t xml:space="preserve"> </w:t>
      </w:r>
      <w:proofErr w:type="spellStart"/>
      <w:r w:rsidRPr="00E67E70">
        <w:rPr>
          <w:rFonts w:ascii="NimbusSanL" w:eastAsia="Calibri" w:hAnsi="NimbusSanL" w:cs="Calibri"/>
          <w:sz w:val="20"/>
          <w:szCs w:val="20"/>
        </w:rPr>
        <w:t>Djamani</w:t>
      </w:r>
      <w:proofErr w:type="spellEnd"/>
      <w:r w:rsidRPr="00E67E70">
        <w:rPr>
          <w:rFonts w:ascii="NimbusSanL" w:eastAsia="Calibri" w:hAnsi="NimbusSanL" w:cs="Calibri"/>
          <w:sz w:val="20"/>
          <w:szCs w:val="20"/>
        </w:rPr>
        <w:t xml:space="preserve">, the first woman executed in Singapore in 20 years. In 2023, </w:t>
      </w:r>
      <w:r w:rsidRPr="00E67E70">
        <w:rPr>
          <w:rStyle w:val="None"/>
          <w:rFonts w:ascii="NimbusSanL" w:hAnsi="NimbusSanL"/>
          <w:sz w:val="20"/>
          <w:szCs w:val="20"/>
        </w:rPr>
        <w:t>a</w:t>
      </w:r>
      <w:r w:rsidRPr="00E67E70">
        <w:rPr>
          <w:rFonts w:ascii="NimbusSanL" w:eastAsia="Calibri" w:hAnsi="NimbusSanL" w:cs="Calibri"/>
          <w:sz w:val="20"/>
          <w:szCs w:val="20"/>
        </w:rPr>
        <w:t xml:space="preserve"> total of nine people were </w:t>
      </w:r>
      <w:proofErr w:type="spellStart"/>
      <w:r w:rsidRPr="00E67E70">
        <w:rPr>
          <w:rFonts w:ascii="NimbusSanL" w:eastAsia="Calibri" w:hAnsi="NimbusSanL" w:cs="Calibri"/>
          <w:sz w:val="20"/>
          <w:szCs w:val="20"/>
        </w:rPr>
        <w:t>onfirmed</w:t>
      </w:r>
      <w:proofErr w:type="spellEnd"/>
      <w:r w:rsidRPr="00E67E70">
        <w:rPr>
          <w:rFonts w:ascii="NimbusSanL" w:eastAsia="Calibri" w:hAnsi="NimbusSanL" w:cs="Calibri"/>
          <w:sz w:val="20"/>
          <w:szCs w:val="20"/>
        </w:rPr>
        <w:t xml:space="preserve"> to have been sentenced to death in Singapore; all for drug offences. At least three of them are foreign nationals, three are </w:t>
      </w:r>
      <w:r w:rsidRPr="00E67E70">
        <w:rPr>
          <w:rStyle w:val="None"/>
          <w:rFonts w:ascii="NimbusSanL" w:eastAsia="Calibri" w:hAnsi="NimbusSanL" w:cs="Calibri"/>
          <w:sz w:val="20"/>
          <w:szCs w:val="20"/>
        </w:rPr>
        <w:t>persons over 65 years’ old, at least three had claimed possession for personal use, and at least one person had a history of mental health issues.</w:t>
      </w:r>
    </w:p>
    <w:p w14:paraId="45CD7511" w14:textId="77777777" w:rsidR="006572A0" w:rsidRPr="00E67E70" w:rsidRDefault="006572A0" w:rsidP="00866C7D">
      <w:pPr>
        <w:pStyle w:val="BodyA"/>
        <w:jc w:val="both"/>
        <w:rPr>
          <w:rFonts w:ascii="NimbusSanL" w:eastAsia="Calibri" w:hAnsi="NimbusSanL" w:cs="Calibri"/>
          <w:sz w:val="20"/>
          <w:szCs w:val="20"/>
        </w:rPr>
      </w:pPr>
    </w:p>
    <w:p w14:paraId="2AD0E26F" w14:textId="71FC5C87" w:rsidR="001D7A62" w:rsidRPr="00E67E70" w:rsidRDefault="2141BB9C" w:rsidP="001D7A62">
      <w:pPr>
        <w:pStyle w:val="BodyA"/>
        <w:jc w:val="both"/>
        <w:rPr>
          <w:rStyle w:val="None"/>
          <w:rFonts w:ascii="NimbusSanL" w:eastAsia="Calibri" w:hAnsi="NimbusSanL" w:cs="Calibri"/>
          <w:sz w:val="20"/>
          <w:szCs w:val="20"/>
        </w:rPr>
      </w:pPr>
      <w:r w:rsidRPr="00E67E70">
        <w:rPr>
          <w:rStyle w:val="None"/>
          <w:rFonts w:ascii="NimbusSanL" w:eastAsia="Calibri" w:hAnsi="NimbusSanL" w:cs="Calibri"/>
          <w:sz w:val="20"/>
          <w:szCs w:val="20"/>
        </w:rPr>
        <w:t xml:space="preserve">An upward trend in </w:t>
      </w:r>
      <w:r w:rsidRPr="00E67E70">
        <w:rPr>
          <w:rStyle w:val="None"/>
          <w:rFonts w:ascii="NimbusSanL" w:eastAsia="Calibri" w:hAnsi="NimbusSanL" w:cs="Calibri"/>
          <w:i/>
          <w:iCs/>
          <w:sz w:val="20"/>
          <w:szCs w:val="20"/>
        </w:rPr>
        <w:t xml:space="preserve">known </w:t>
      </w:r>
      <w:r w:rsidRPr="00E67E70">
        <w:rPr>
          <w:rStyle w:val="None"/>
          <w:rFonts w:ascii="NimbusSanL" w:eastAsia="Calibri" w:hAnsi="NimbusSanL" w:cs="Calibri"/>
          <w:sz w:val="20"/>
          <w:szCs w:val="20"/>
        </w:rPr>
        <w:t xml:space="preserve">drug-related death sentences continues to be recorded in several countries, including </w:t>
      </w:r>
      <w:r w:rsidRPr="00E67E70">
        <w:rPr>
          <w:rStyle w:val="None"/>
          <w:rFonts w:ascii="NimbusSanL" w:eastAsia="Calibri" w:hAnsi="NimbusSanL" w:cs="Calibri"/>
          <w:b/>
          <w:bCs/>
          <w:sz w:val="20"/>
          <w:szCs w:val="20"/>
        </w:rPr>
        <w:t>Iraq (</w:t>
      </w:r>
      <w:r w:rsidRPr="00E67E70">
        <w:rPr>
          <w:rStyle w:val="None"/>
          <w:rFonts w:ascii="NimbusSanL" w:eastAsia="Calibri" w:hAnsi="NimbusSanL" w:cs="Calibri"/>
          <w:sz w:val="20"/>
          <w:szCs w:val="20"/>
        </w:rPr>
        <w:t xml:space="preserve">19 in 2023, a 533% increase from 2022); and in </w:t>
      </w:r>
      <w:r w:rsidRPr="00E67E70">
        <w:rPr>
          <w:rStyle w:val="None"/>
          <w:rFonts w:ascii="NimbusSanL" w:eastAsia="Calibri" w:hAnsi="NimbusSanL" w:cs="Calibri"/>
          <w:b/>
          <w:bCs/>
          <w:sz w:val="20"/>
          <w:szCs w:val="20"/>
        </w:rPr>
        <w:t xml:space="preserve">Vietnam </w:t>
      </w:r>
      <w:r w:rsidRPr="00E67E70">
        <w:rPr>
          <w:rStyle w:val="None"/>
          <w:rFonts w:ascii="NimbusSanL" w:eastAsia="Calibri" w:hAnsi="NimbusSanL" w:cs="Calibri"/>
          <w:sz w:val="20"/>
          <w:szCs w:val="20"/>
        </w:rPr>
        <w:t xml:space="preserve">(188 in 2023, a 111% increase from 2022). </w:t>
      </w:r>
    </w:p>
    <w:p w14:paraId="19FDD570" w14:textId="40DCF914" w:rsidR="401CAF4F" w:rsidRPr="00E67E70" w:rsidRDefault="401CAF4F" w:rsidP="401CAF4F">
      <w:pPr>
        <w:pStyle w:val="BodyA"/>
        <w:jc w:val="both"/>
        <w:rPr>
          <w:rStyle w:val="None"/>
          <w:rFonts w:ascii="NimbusSanL" w:eastAsia="Calibri" w:hAnsi="NimbusSanL" w:cs="Calibri"/>
          <w:sz w:val="20"/>
          <w:szCs w:val="20"/>
        </w:rPr>
      </w:pPr>
    </w:p>
    <w:p w14:paraId="35234F58" w14:textId="7A4039CA" w:rsidR="00050921" w:rsidRPr="00E67E70" w:rsidRDefault="2141BB9C" w:rsidP="00E67E70">
      <w:pPr>
        <w:pStyle w:val="ListParagraph"/>
        <w:numPr>
          <w:ilvl w:val="0"/>
          <w:numId w:val="7"/>
        </w:numPr>
        <w:jc w:val="both"/>
        <w:rPr>
          <w:rStyle w:val="None"/>
          <w:rFonts w:ascii="NimbusSanL" w:hAnsi="NimbusSanL"/>
          <w:b/>
          <w:bCs/>
          <w:sz w:val="20"/>
          <w:szCs w:val="20"/>
        </w:rPr>
      </w:pPr>
      <w:r w:rsidRPr="00E67E70">
        <w:rPr>
          <w:rStyle w:val="None"/>
          <w:rFonts w:ascii="NimbusSanL" w:hAnsi="NimbusSanL"/>
          <w:b/>
          <w:bCs/>
          <w:sz w:val="20"/>
          <w:szCs w:val="20"/>
        </w:rPr>
        <w:t>Concluding remarks</w:t>
      </w:r>
    </w:p>
    <w:p w14:paraId="340FE2B1" w14:textId="20DF6275" w:rsidR="401CAF4F" w:rsidRPr="00E67E70" w:rsidRDefault="401CAF4F" w:rsidP="401CAF4F">
      <w:pPr>
        <w:jc w:val="both"/>
        <w:rPr>
          <w:rFonts w:ascii="NimbusSanL" w:hAnsi="NimbusSanL" w:cs="Calibri"/>
          <w:b/>
          <w:bCs/>
          <w:color w:val="000000" w:themeColor="text1"/>
          <w:sz w:val="20"/>
          <w:szCs w:val="20"/>
        </w:rPr>
      </w:pPr>
    </w:p>
    <w:p w14:paraId="2B7831B1" w14:textId="40F06976" w:rsidR="2C189EA2" w:rsidRPr="00E67E70" w:rsidRDefault="279E9C8C" w:rsidP="00566FAA">
      <w:pPr>
        <w:jc w:val="both"/>
        <w:rPr>
          <w:rStyle w:val="None"/>
          <w:rFonts w:ascii="NimbusSanL" w:hAnsi="NimbusSanL"/>
          <w:color w:val="000000" w:themeColor="text1"/>
          <w:sz w:val="20"/>
          <w:szCs w:val="20"/>
        </w:rPr>
      </w:pPr>
      <w:r w:rsidRPr="00E67E70">
        <w:rPr>
          <w:rStyle w:val="None"/>
          <w:rFonts w:ascii="NimbusSanL" w:hAnsi="NimbusSanL"/>
          <w:color w:val="000000" w:themeColor="text1"/>
          <w:sz w:val="20"/>
          <w:szCs w:val="20"/>
        </w:rPr>
        <w:t xml:space="preserve">Following </w:t>
      </w:r>
      <w:r w:rsidR="43E6BB2A" w:rsidRPr="00E67E70">
        <w:rPr>
          <w:rStyle w:val="None"/>
          <w:rFonts w:ascii="NimbusSanL" w:hAnsi="NimbusSanL"/>
          <w:color w:val="000000" w:themeColor="text1"/>
          <w:sz w:val="20"/>
          <w:szCs w:val="20"/>
        </w:rPr>
        <w:t xml:space="preserve">a significant drop in drug-related executions from 2017 to 2020, the upward trend witnessed since 2021 </w:t>
      </w:r>
      <w:r w:rsidR="6D4507DF" w:rsidRPr="00E67E70">
        <w:rPr>
          <w:rStyle w:val="None"/>
          <w:rFonts w:ascii="NimbusSanL" w:hAnsi="NimbusSanL"/>
          <w:color w:val="000000" w:themeColor="text1"/>
          <w:sz w:val="20"/>
          <w:szCs w:val="20"/>
        </w:rPr>
        <w:t xml:space="preserve">has </w:t>
      </w:r>
      <w:r w:rsidR="43E6BB2A" w:rsidRPr="00E67E70">
        <w:rPr>
          <w:rStyle w:val="None"/>
          <w:rFonts w:ascii="NimbusSanL" w:hAnsi="NimbusSanL"/>
          <w:color w:val="000000" w:themeColor="text1"/>
          <w:sz w:val="20"/>
          <w:szCs w:val="20"/>
        </w:rPr>
        <w:t>continue</w:t>
      </w:r>
      <w:r w:rsidR="61A7C7EB" w:rsidRPr="00E67E70">
        <w:rPr>
          <w:rStyle w:val="None"/>
          <w:rFonts w:ascii="NimbusSanL" w:hAnsi="NimbusSanL"/>
          <w:color w:val="000000" w:themeColor="text1"/>
          <w:sz w:val="20"/>
          <w:szCs w:val="20"/>
        </w:rPr>
        <w:t>d</w:t>
      </w:r>
      <w:r w:rsidR="43E6BB2A" w:rsidRPr="00E67E70">
        <w:rPr>
          <w:rStyle w:val="None"/>
          <w:rFonts w:ascii="NimbusSanL" w:hAnsi="NimbusSanL"/>
          <w:color w:val="000000" w:themeColor="text1"/>
          <w:sz w:val="20"/>
          <w:szCs w:val="20"/>
        </w:rPr>
        <w:t xml:space="preserve"> and is accelerating, insomuch that </w:t>
      </w:r>
      <w:r w:rsidR="56527943" w:rsidRPr="00E67E70">
        <w:rPr>
          <w:rStyle w:val="None"/>
          <w:rFonts w:ascii="NimbusSanL" w:hAnsi="NimbusSanL"/>
          <w:color w:val="000000" w:themeColor="text1"/>
          <w:sz w:val="20"/>
          <w:szCs w:val="20"/>
        </w:rPr>
        <w:t xml:space="preserve">drug control is now driving </w:t>
      </w:r>
      <w:r w:rsidR="4B6863E3" w:rsidRPr="00E67E70">
        <w:rPr>
          <w:rStyle w:val="None"/>
          <w:rFonts w:ascii="NimbusSanL" w:hAnsi="NimbusSanL"/>
          <w:color w:val="000000" w:themeColor="text1"/>
          <w:sz w:val="20"/>
          <w:szCs w:val="20"/>
        </w:rPr>
        <w:t xml:space="preserve">the </w:t>
      </w:r>
      <w:r w:rsidR="56527943" w:rsidRPr="00E67E70">
        <w:rPr>
          <w:rStyle w:val="None"/>
          <w:rFonts w:ascii="NimbusSanL" w:hAnsi="NimbusSanL"/>
          <w:color w:val="000000" w:themeColor="text1"/>
          <w:sz w:val="20"/>
          <w:szCs w:val="20"/>
        </w:rPr>
        <w:t xml:space="preserve">use of the death penalty in many countries, and at the global level. </w:t>
      </w:r>
    </w:p>
    <w:p w14:paraId="4D8A39F9" w14:textId="72C1FC9C" w:rsidR="00566FAA" w:rsidRPr="00E67E70" w:rsidRDefault="00566FAA" w:rsidP="00566FAA">
      <w:pPr>
        <w:jc w:val="both"/>
        <w:rPr>
          <w:rStyle w:val="None"/>
          <w:rFonts w:ascii="NimbusSanL" w:hAnsi="NimbusSanL"/>
          <w:color w:val="000000" w:themeColor="text1"/>
          <w:sz w:val="20"/>
          <w:szCs w:val="20"/>
        </w:rPr>
      </w:pPr>
      <w:r w:rsidRPr="00E67E70">
        <w:rPr>
          <w:rFonts w:ascii="NimbusSanL" w:hAnsi="NimbusSanL"/>
          <w:sz w:val="20"/>
          <w:szCs w:val="20"/>
        </w:rPr>
        <w:br/>
      </w:r>
      <w:r w:rsidR="2141BB9C" w:rsidRPr="00E67E70">
        <w:rPr>
          <w:rStyle w:val="None"/>
          <w:rFonts w:ascii="NimbusSanL" w:hAnsi="NimbusSanL"/>
          <w:color w:val="000000" w:themeColor="text1"/>
          <w:sz w:val="20"/>
          <w:szCs w:val="20"/>
        </w:rPr>
        <w:t xml:space="preserve">Retention and application of the death penalty for drug offences runs counter the objective, spirit, and text of the Resolution; both in itself – as drug offences are not ‘most serious crimes’ as defined by the 1984 safeguards; and in its practical implementation. Its use is shrouded in secrecy, individuals from marginalised backgrounds (including ethnic minorities and people living in poverty) are disproportionately impacted, and many trials raise fair trial concerns (of a systemic nature in countries, such as Iran, where special courts have jurisdiction on drug-related crimes). </w:t>
      </w:r>
    </w:p>
    <w:p w14:paraId="5E69753E" w14:textId="77777777" w:rsidR="00EE4EE6" w:rsidRPr="00E67E70" w:rsidRDefault="00EE4EE6" w:rsidP="00566FAA">
      <w:pPr>
        <w:jc w:val="both"/>
        <w:rPr>
          <w:rStyle w:val="None"/>
          <w:rFonts w:ascii="NimbusSanL" w:hAnsi="NimbusSanL"/>
          <w:color w:val="000000" w:themeColor="text1"/>
          <w:sz w:val="20"/>
          <w:szCs w:val="20"/>
        </w:rPr>
      </w:pPr>
    </w:p>
    <w:p w14:paraId="039767DB" w14:textId="5D290976" w:rsidR="00EE4EE6" w:rsidRPr="00E67E70" w:rsidRDefault="2141BB9C" w:rsidP="00566FAA">
      <w:pPr>
        <w:jc w:val="both"/>
        <w:rPr>
          <w:rFonts w:ascii="NimbusSanL" w:eastAsia="Calibri" w:hAnsi="NimbusSanL" w:cs="Calibri"/>
          <w:sz w:val="20"/>
          <w:szCs w:val="20"/>
          <w:lang w:val="en-US"/>
        </w:rPr>
      </w:pPr>
      <w:r w:rsidRPr="00E67E70">
        <w:rPr>
          <w:rStyle w:val="None"/>
          <w:rFonts w:ascii="NimbusSanL" w:hAnsi="NimbusSanL"/>
          <w:color w:val="000000" w:themeColor="text1"/>
          <w:sz w:val="20"/>
          <w:szCs w:val="20"/>
        </w:rPr>
        <w:t xml:space="preserve">Accordingly, we recommend that the Secretary General condemns this practice, and calls upon all States as well as other relevant stakeholders – including UN agencies – to take concrete and urgent action towards a moratorium on the use of the death penalty as a tool of drug control; pending its abolition. </w:t>
      </w:r>
    </w:p>
    <w:p w14:paraId="13106114" w14:textId="75CCFEF3" w:rsidR="3EDA913C" w:rsidRPr="00E67E70" w:rsidRDefault="3EDA913C" w:rsidP="3EDA913C">
      <w:pPr>
        <w:jc w:val="both"/>
        <w:rPr>
          <w:rFonts w:ascii="NimbusSanL" w:eastAsia="Calibri" w:hAnsi="NimbusSanL" w:cs="Calibri"/>
          <w:sz w:val="20"/>
          <w:szCs w:val="20"/>
        </w:rPr>
      </w:pPr>
    </w:p>
    <w:p w14:paraId="17FB543D" w14:textId="22717CF3" w:rsidR="3EDA913C" w:rsidRPr="00E67E70" w:rsidRDefault="3EDA913C" w:rsidP="3EDA913C">
      <w:pPr>
        <w:jc w:val="both"/>
        <w:rPr>
          <w:rFonts w:ascii="NimbusSanL" w:eastAsia="Calibri" w:hAnsi="NimbusSanL" w:cs="Calibri"/>
          <w:sz w:val="20"/>
          <w:szCs w:val="20"/>
        </w:rPr>
      </w:pPr>
    </w:p>
    <w:p w14:paraId="1F72F646" w14:textId="77777777" w:rsidR="00050921" w:rsidRPr="00E67E70" w:rsidRDefault="00050921">
      <w:pPr>
        <w:pStyle w:val="BodyA"/>
        <w:jc w:val="both"/>
        <w:rPr>
          <w:rStyle w:val="None"/>
          <w:rFonts w:ascii="NimbusSanL" w:eastAsia="Calibri" w:hAnsi="NimbusSanL" w:cs="Calibri"/>
          <w:sz w:val="20"/>
          <w:szCs w:val="20"/>
        </w:rPr>
      </w:pPr>
    </w:p>
    <w:p w14:paraId="08CE6F91" w14:textId="77777777" w:rsidR="00050921" w:rsidRPr="00E67E70" w:rsidRDefault="00050921">
      <w:pPr>
        <w:pStyle w:val="BodyA"/>
        <w:jc w:val="both"/>
        <w:rPr>
          <w:rFonts w:ascii="NimbusSanL" w:hAnsi="NimbusSanL" w:cs="Calibri"/>
          <w:sz w:val="20"/>
          <w:szCs w:val="20"/>
        </w:rPr>
      </w:pPr>
    </w:p>
    <w:sectPr w:rsidR="00050921" w:rsidRPr="00E67E70">
      <w:headerReference w:type="even" r:id="rId19"/>
      <w:headerReference w:type="default" r:id="rId20"/>
      <w:footerReference w:type="even" r:id="rId21"/>
      <w:footerReference w:type="default" r:id="rId22"/>
      <w:headerReference w:type="first" r:id="rId23"/>
      <w:footerReference w:type="first" r:id="rId2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ACB9F" w14:textId="77777777" w:rsidR="00BF43C3" w:rsidRDefault="00BF43C3">
      <w:r>
        <w:separator/>
      </w:r>
    </w:p>
  </w:endnote>
  <w:endnote w:type="continuationSeparator" w:id="0">
    <w:p w14:paraId="255DBD35" w14:textId="77777777" w:rsidR="00BF43C3" w:rsidRDefault="00BF43C3">
      <w:r>
        <w:continuationSeparator/>
      </w:r>
    </w:p>
  </w:endnote>
  <w:endnote w:type="continuationNotice" w:id="1">
    <w:p w14:paraId="111165E0" w14:textId="77777777" w:rsidR="00BF43C3" w:rsidRDefault="00BF4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NimbusSanL">
    <w:panose1 w:val="00000500000000000000"/>
    <w:charset w:val="00"/>
    <w:family w:val="modern"/>
    <w:notTrueType/>
    <w:pitch w:val="variable"/>
    <w:sig w:usb0="00000287" w:usb1="00000000" w:usb2="00000000" w:usb3="00000000" w:csb0="0000009F" w:csb1="00000000"/>
  </w:font>
  <w:font w:name="BentonSans Comp Black">
    <w:panose1 w:val="02000506050000020004"/>
    <w:charset w:val="00"/>
    <w:family w:val="modern"/>
    <w:notTrueType/>
    <w:pitch w:val="variable"/>
    <w:sig w:usb0="8000002F" w:usb1="5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7" w:author="Marcela Jofre" w:date="2024-03-26T16:29:00Z">
        <w:tblPr>
          <w:tblStyle w:val="TableGrid"/>
          <w:tblW w:w="0" w:type="nil"/>
          <w:tblLayout w:type="fixed"/>
          <w:tblLook w:val="06A0" w:firstRow="1" w:lastRow="0" w:firstColumn="1" w:lastColumn="0" w:noHBand="1" w:noVBand="1"/>
        </w:tblPr>
      </w:tblPrChange>
    </w:tblPr>
    <w:tblGrid>
      <w:gridCol w:w="3005"/>
      <w:gridCol w:w="3005"/>
      <w:gridCol w:w="3005"/>
      <w:tblGridChange w:id="8">
        <w:tblGrid>
          <w:gridCol w:w="3005"/>
          <w:gridCol w:w="3005"/>
          <w:gridCol w:w="3005"/>
        </w:tblGrid>
      </w:tblGridChange>
    </w:tblGrid>
    <w:tr w:rsidR="3EDA913C" w14:paraId="71D726CE" w14:textId="77777777" w:rsidTr="3EDA913C">
      <w:trPr>
        <w:trHeight w:val="300"/>
        <w:trPrChange w:id="9" w:author="Marcela Jofre" w:date="2024-03-26T16:29:00Z">
          <w:trPr>
            <w:trHeight w:val="300"/>
          </w:trPr>
        </w:trPrChange>
      </w:trPr>
      <w:tc>
        <w:tcPr>
          <w:tcW w:w="3005" w:type="dxa"/>
          <w:tcPrChange w:id="10" w:author="Marcela Jofre" w:date="2024-03-26T16:29:00Z">
            <w:tcPr>
              <w:tcW w:w="3005" w:type="dxa"/>
            </w:tcPr>
          </w:tcPrChange>
        </w:tcPr>
        <w:p w14:paraId="49DB75C3" w14:textId="71435392" w:rsidR="3EDA913C" w:rsidRDefault="3EDA913C" w:rsidP="005142A1">
          <w:pPr>
            <w:pStyle w:val="Header"/>
            <w:ind w:left="-115"/>
            <w:jc w:val="left"/>
          </w:pPr>
        </w:p>
      </w:tc>
      <w:tc>
        <w:tcPr>
          <w:tcW w:w="3005" w:type="dxa"/>
          <w:tcPrChange w:id="11" w:author="Marcela Jofre" w:date="2024-03-26T16:29:00Z">
            <w:tcPr>
              <w:tcW w:w="3005" w:type="dxa"/>
            </w:tcPr>
          </w:tcPrChange>
        </w:tcPr>
        <w:p w14:paraId="71DF611B" w14:textId="3F38C188" w:rsidR="3EDA913C" w:rsidRDefault="3EDA913C" w:rsidP="005142A1">
          <w:pPr>
            <w:pStyle w:val="Header"/>
          </w:pPr>
        </w:p>
      </w:tc>
      <w:tc>
        <w:tcPr>
          <w:tcW w:w="3005" w:type="dxa"/>
          <w:tcPrChange w:id="12" w:author="Marcela Jofre" w:date="2024-03-26T16:29:00Z">
            <w:tcPr>
              <w:tcW w:w="3005" w:type="dxa"/>
            </w:tcPr>
          </w:tcPrChange>
        </w:tcPr>
        <w:p w14:paraId="7B93A1BE" w14:textId="641FE108" w:rsidR="3EDA913C" w:rsidRDefault="3EDA913C" w:rsidP="005142A1">
          <w:pPr>
            <w:pStyle w:val="Header"/>
            <w:ind w:right="-115"/>
            <w:jc w:val="right"/>
          </w:pPr>
        </w:p>
      </w:tc>
    </w:tr>
  </w:tbl>
  <w:p w14:paraId="39E7563A" w14:textId="7FE788F5" w:rsidR="3EDA913C" w:rsidRDefault="3EDA913C">
    <w:pPr>
      <w:pStyle w:val="Footer"/>
      <w:pPrChange w:id="13" w:author="Marcela Jofre" w:date="2024-03-26T16:29: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6B14E" w14:textId="77777777" w:rsidR="00050921" w:rsidRDefault="00463763">
    <w:pPr>
      <w:pStyle w:val="Footer"/>
      <w:tabs>
        <w:tab w:val="clear" w:pos="9026"/>
        <w:tab w:val="right" w:pos="9000"/>
      </w:tabs>
      <w:jc w:val="center"/>
    </w:pPr>
    <w:r w:rsidRPr="3EDA913C">
      <w:rPr>
        <w:rFonts w:ascii="Calibri" w:hAnsi="Calibri"/>
        <w:sz w:val="20"/>
        <w:szCs w:val="20"/>
      </w:rPr>
      <w:fldChar w:fldCharType="begin"/>
    </w:r>
    <w:r w:rsidRPr="3EDA913C">
      <w:rPr>
        <w:rFonts w:ascii="Calibri" w:hAnsi="Calibri"/>
        <w:sz w:val="20"/>
        <w:szCs w:val="20"/>
      </w:rPr>
      <w:instrText xml:space="preserve"> PAGE </w:instrText>
    </w:r>
    <w:r w:rsidRPr="3EDA913C">
      <w:rPr>
        <w:rFonts w:ascii="Calibri" w:hAnsi="Calibr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01CAF4F" w14:paraId="0CE99A6C" w14:textId="77777777" w:rsidTr="3EDA913C">
      <w:trPr>
        <w:trHeight w:val="300"/>
      </w:trPr>
      <w:tc>
        <w:tcPr>
          <w:tcW w:w="3005" w:type="dxa"/>
        </w:tcPr>
        <w:p w14:paraId="41F7FAB3" w14:textId="11224BB9" w:rsidR="401CAF4F" w:rsidRDefault="401CAF4F" w:rsidP="401CAF4F">
          <w:pPr>
            <w:pStyle w:val="Header"/>
            <w:ind w:left="-115"/>
            <w:jc w:val="left"/>
          </w:pPr>
        </w:p>
      </w:tc>
      <w:tc>
        <w:tcPr>
          <w:tcW w:w="3005" w:type="dxa"/>
        </w:tcPr>
        <w:p w14:paraId="44B32FFA" w14:textId="429DBB5F" w:rsidR="401CAF4F" w:rsidRDefault="401CAF4F" w:rsidP="401CAF4F">
          <w:pPr>
            <w:pStyle w:val="Header"/>
          </w:pPr>
        </w:p>
      </w:tc>
      <w:tc>
        <w:tcPr>
          <w:tcW w:w="3005" w:type="dxa"/>
        </w:tcPr>
        <w:p w14:paraId="7B8D30A4" w14:textId="6002FBA0" w:rsidR="401CAF4F" w:rsidRDefault="401CAF4F" w:rsidP="005142A1">
          <w:pPr>
            <w:pStyle w:val="Header"/>
            <w:ind w:right="-115"/>
            <w:jc w:val="right"/>
          </w:pPr>
        </w:p>
      </w:tc>
    </w:tr>
  </w:tbl>
  <w:p w14:paraId="75A80C52" w14:textId="12CFB544" w:rsidR="401CAF4F" w:rsidRDefault="401CAF4F" w:rsidP="401CAF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24" w:author="Marcela Jofre" w:date="2024-03-26T16:29:00Z">
        <w:tblPr>
          <w:tblStyle w:val="TableGrid"/>
          <w:tblW w:w="0" w:type="nil"/>
          <w:tblLayout w:type="fixed"/>
          <w:tblLook w:val="06A0" w:firstRow="1" w:lastRow="0" w:firstColumn="1" w:lastColumn="0" w:noHBand="1" w:noVBand="1"/>
        </w:tblPr>
      </w:tblPrChange>
    </w:tblPr>
    <w:tblGrid>
      <w:gridCol w:w="3005"/>
      <w:gridCol w:w="3005"/>
      <w:gridCol w:w="3005"/>
      <w:tblGridChange w:id="25">
        <w:tblGrid>
          <w:gridCol w:w="3005"/>
          <w:gridCol w:w="3005"/>
          <w:gridCol w:w="3005"/>
        </w:tblGrid>
      </w:tblGridChange>
    </w:tblGrid>
    <w:tr w:rsidR="3EDA913C" w14:paraId="51F6952F" w14:textId="77777777" w:rsidTr="3EDA913C">
      <w:trPr>
        <w:trHeight w:val="300"/>
        <w:trPrChange w:id="26" w:author="Marcela Jofre" w:date="2024-03-26T16:29:00Z">
          <w:trPr>
            <w:trHeight w:val="300"/>
          </w:trPr>
        </w:trPrChange>
      </w:trPr>
      <w:tc>
        <w:tcPr>
          <w:tcW w:w="3005" w:type="dxa"/>
          <w:tcPrChange w:id="27" w:author="Marcela Jofre" w:date="2024-03-26T16:29:00Z">
            <w:tcPr>
              <w:tcW w:w="3005" w:type="dxa"/>
            </w:tcPr>
          </w:tcPrChange>
        </w:tcPr>
        <w:p w14:paraId="5226F974" w14:textId="363BA76C" w:rsidR="3EDA913C" w:rsidRDefault="3EDA913C">
          <w:pPr>
            <w:pStyle w:val="Header"/>
            <w:ind w:left="-115"/>
            <w:jc w:val="left"/>
            <w:pPrChange w:id="28" w:author="Marcela Jofre" w:date="2024-03-26T16:29:00Z">
              <w:pPr/>
            </w:pPrChange>
          </w:pPr>
        </w:p>
      </w:tc>
      <w:tc>
        <w:tcPr>
          <w:tcW w:w="3005" w:type="dxa"/>
          <w:tcPrChange w:id="29" w:author="Marcela Jofre" w:date="2024-03-26T16:29:00Z">
            <w:tcPr>
              <w:tcW w:w="3005" w:type="dxa"/>
            </w:tcPr>
          </w:tcPrChange>
        </w:tcPr>
        <w:p w14:paraId="085A57E7" w14:textId="22A1CAD0" w:rsidR="3EDA913C" w:rsidRDefault="3EDA913C">
          <w:pPr>
            <w:pStyle w:val="Header"/>
            <w:pPrChange w:id="30" w:author="Marcela Jofre" w:date="2024-03-26T16:29:00Z">
              <w:pPr/>
            </w:pPrChange>
          </w:pPr>
        </w:p>
      </w:tc>
      <w:tc>
        <w:tcPr>
          <w:tcW w:w="3005" w:type="dxa"/>
          <w:tcPrChange w:id="31" w:author="Marcela Jofre" w:date="2024-03-26T16:29:00Z">
            <w:tcPr>
              <w:tcW w:w="3005" w:type="dxa"/>
            </w:tcPr>
          </w:tcPrChange>
        </w:tcPr>
        <w:p w14:paraId="48A37F18" w14:textId="07F3075E" w:rsidR="3EDA913C" w:rsidRDefault="3EDA913C">
          <w:pPr>
            <w:pStyle w:val="Header"/>
            <w:ind w:right="-115"/>
            <w:jc w:val="right"/>
            <w:pPrChange w:id="32" w:author="Marcela Jofre" w:date="2024-03-26T16:29:00Z">
              <w:pPr/>
            </w:pPrChange>
          </w:pPr>
        </w:p>
      </w:tc>
    </w:tr>
  </w:tbl>
  <w:p w14:paraId="764F7EE6" w14:textId="36EF7C5E" w:rsidR="3EDA913C" w:rsidRDefault="3EDA913C">
    <w:pPr>
      <w:pStyle w:val="Footer"/>
      <w:pPrChange w:id="33" w:author="Marcela Jofre" w:date="2024-03-26T16:29:00Z">
        <w:pPr/>
      </w:pPrChan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2349848"/>
      <w:docPartObj>
        <w:docPartGallery w:val="Page Numbers (Bottom of Page)"/>
        <w:docPartUnique/>
      </w:docPartObj>
    </w:sdtPr>
    <w:sdtContent>
      <w:p w14:paraId="569C7B72" w14:textId="54417403" w:rsidR="00E67E70" w:rsidRDefault="00E67E70">
        <w:pPr>
          <w:pStyle w:val="Footer"/>
          <w:jc w:val="right"/>
        </w:pPr>
        <w:r>
          <w:fldChar w:fldCharType="begin"/>
        </w:r>
        <w:r>
          <w:instrText>PAGE   \* MERGEFORMAT</w:instrText>
        </w:r>
        <w:r>
          <w:fldChar w:fldCharType="separate"/>
        </w:r>
        <w:r>
          <w:rPr>
            <w:lang w:val="en-GB"/>
          </w:rPr>
          <w:t>2</w:t>
        </w:r>
        <w:r>
          <w:fldChar w:fldCharType="end"/>
        </w:r>
      </w:p>
    </w:sdtContent>
  </w:sdt>
  <w:p w14:paraId="61CDCEAD" w14:textId="77777777" w:rsidR="00050921" w:rsidRDefault="00050921">
    <w:pPr>
      <w:pStyle w:val="Header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59315" w14:textId="77777777" w:rsidR="00050921" w:rsidRDefault="0005092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09E9F" w14:textId="77777777" w:rsidR="00BF43C3" w:rsidRDefault="00BF43C3">
      <w:r>
        <w:separator/>
      </w:r>
    </w:p>
  </w:footnote>
  <w:footnote w:type="continuationSeparator" w:id="0">
    <w:p w14:paraId="37123565" w14:textId="77777777" w:rsidR="00BF43C3" w:rsidRDefault="00BF43C3">
      <w:r>
        <w:continuationSeparator/>
      </w:r>
    </w:p>
  </w:footnote>
  <w:footnote w:type="continuationNotice" w:id="1">
    <w:p w14:paraId="55CFB430" w14:textId="77777777" w:rsidR="00BF43C3" w:rsidRDefault="00BF43C3"/>
  </w:footnote>
  <w:footnote w:id="2">
    <w:p w14:paraId="61E0B500" w14:textId="7CEAF15C" w:rsidR="401CAF4F" w:rsidRPr="00E67E70" w:rsidRDefault="401CAF4F" w:rsidP="3EDA913C">
      <w:pPr>
        <w:pStyle w:val="FootnoteText"/>
        <w:rPr>
          <w:rStyle w:val="None"/>
          <w:rFonts w:ascii="NimbusSanL" w:hAnsi="NimbusSanL" w:cs="Calibri"/>
          <w:sz w:val="16"/>
          <w:szCs w:val="16"/>
        </w:rPr>
      </w:pPr>
      <w:r w:rsidRPr="00E67E70">
        <w:rPr>
          <w:rStyle w:val="FootnoteReference"/>
          <w:rFonts w:ascii="NimbusSanL" w:hAnsi="NimbusSanL" w:cs="Calibri"/>
          <w:sz w:val="16"/>
          <w:szCs w:val="16"/>
        </w:rPr>
        <w:footnoteRef/>
      </w:r>
      <w:r w:rsidR="3EDA913C" w:rsidRPr="00E67E70">
        <w:rPr>
          <w:rFonts w:ascii="NimbusSanL" w:eastAsia="Calibri" w:hAnsi="NimbusSanL" w:cs="Calibri"/>
          <w:sz w:val="16"/>
          <w:szCs w:val="16"/>
        </w:rPr>
        <w:t xml:space="preserve"> Girelli, </w:t>
      </w:r>
      <w:proofErr w:type="spellStart"/>
      <w:r w:rsidR="3EDA913C" w:rsidRPr="00E67E70">
        <w:rPr>
          <w:rFonts w:ascii="NimbusSanL" w:eastAsia="Calibri" w:hAnsi="NimbusSanL" w:cs="Calibri"/>
          <w:sz w:val="16"/>
          <w:szCs w:val="16"/>
        </w:rPr>
        <w:t>Jofr</w:t>
      </w:r>
      <w:proofErr w:type="spellEnd"/>
      <w:r w:rsidR="004B01AB" w:rsidRPr="00E67E70">
        <w:rPr>
          <w:rFonts w:ascii="NimbusSanL" w:eastAsia="Calibri" w:hAnsi="NimbusSanL" w:cs="Calibri"/>
          <w:sz w:val="16"/>
          <w:szCs w:val="16"/>
          <w:lang w:val="en-GB"/>
        </w:rPr>
        <w:t>é</w:t>
      </w:r>
      <w:r w:rsidR="3EDA913C" w:rsidRPr="00E67E70">
        <w:rPr>
          <w:rFonts w:ascii="NimbusSanL" w:eastAsia="Calibri" w:hAnsi="NimbusSanL" w:cs="Calibri"/>
          <w:sz w:val="16"/>
          <w:szCs w:val="16"/>
        </w:rPr>
        <w:t xml:space="preserve"> and Larasati (2024) </w:t>
      </w:r>
      <w:r w:rsidR="3EDA913C" w:rsidRPr="00E67E70">
        <w:rPr>
          <w:rStyle w:val="None"/>
          <w:rFonts w:ascii="NimbusSanL" w:eastAsia="Calibri" w:hAnsi="NimbusSanL" w:cs="Calibri"/>
          <w:sz w:val="16"/>
          <w:szCs w:val="16"/>
        </w:rPr>
        <w:t xml:space="preserve">‘The Death Penalty for Drug Offences: Global Overview 2023’ </w:t>
      </w:r>
      <w:r w:rsidR="3EDA913C" w:rsidRPr="00E67E70">
        <w:rPr>
          <w:rStyle w:val="None"/>
          <w:rFonts w:ascii="NimbusSanL" w:eastAsia="Calibri" w:hAnsi="NimbusSanL" w:cs="Calibri"/>
          <w:i/>
          <w:iCs/>
          <w:sz w:val="16"/>
          <w:szCs w:val="16"/>
        </w:rPr>
        <w:t>Harm Reduction International</w:t>
      </w:r>
      <w:r w:rsidR="3EDA913C" w:rsidRPr="00E67E70">
        <w:rPr>
          <w:rStyle w:val="None"/>
          <w:rFonts w:ascii="NimbusSanL" w:eastAsia="Calibri" w:hAnsi="NimbusSanL" w:cs="Calibri"/>
          <w:sz w:val="16"/>
          <w:szCs w:val="16"/>
        </w:rPr>
        <w:t xml:space="preserve"> London. Doi, </w:t>
      </w:r>
      <w:hyperlink r:id="rId1">
        <w:r w:rsidR="3EDA913C" w:rsidRPr="00E67E70">
          <w:rPr>
            <w:rStyle w:val="Hyperlink"/>
            <w:rFonts w:ascii="NimbusSanL" w:eastAsia="Calibri" w:hAnsi="NimbusSanL" w:cs="Calibri"/>
            <w:sz w:val="16"/>
            <w:szCs w:val="16"/>
          </w:rPr>
          <w:t>https://hri.global/flagship-research/death-penalty/the-death-penalty-for-drug-offences-global-overview-2023/</w:t>
        </w:r>
      </w:hyperlink>
      <w:r w:rsidR="3EDA913C" w:rsidRPr="00E67E70">
        <w:rPr>
          <w:rStyle w:val="None"/>
          <w:rFonts w:ascii="NimbusSanL" w:eastAsia="Calibri" w:hAnsi="NimbusSanL" w:cs="Calibri"/>
          <w:sz w:val="16"/>
          <w:szCs w:val="16"/>
        </w:rPr>
        <w:t>.</w:t>
      </w:r>
      <w:r w:rsidR="3EDA913C" w:rsidRPr="00E67E70">
        <w:rPr>
          <w:rStyle w:val="None"/>
          <w:rFonts w:ascii="NimbusSanL" w:hAnsi="NimbusSanL"/>
          <w:sz w:val="16"/>
          <w:szCs w:val="16"/>
        </w:rPr>
        <w:t xml:space="preserve"> </w:t>
      </w:r>
    </w:p>
  </w:footnote>
  <w:footnote w:id="3">
    <w:p w14:paraId="1597B150" w14:textId="752F5B92" w:rsidR="2141BB9C" w:rsidRPr="00E67E70" w:rsidRDefault="2141BB9C" w:rsidP="2141BB9C">
      <w:pPr>
        <w:pStyle w:val="FootnoteText"/>
        <w:rPr>
          <w:rFonts w:ascii="NimbusSanL" w:hAnsi="NimbusSanL" w:cs="Calibri"/>
          <w:sz w:val="16"/>
          <w:szCs w:val="16"/>
        </w:rPr>
      </w:pPr>
      <w:r w:rsidRPr="00E67E70">
        <w:rPr>
          <w:rStyle w:val="FootnoteReference"/>
          <w:rFonts w:ascii="NimbusSanL" w:hAnsi="NimbusSanL"/>
          <w:sz w:val="16"/>
          <w:szCs w:val="16"/>
        </w:rPr>
        <w:footnoteRef/>
      </w:r>
      <w:r w:rsidRPr="00E67E70">
        <w:rPr>
          <w:rFonts w:ascii="NimbusSanL" w:hAnsi="NimbusSanL"/>
          <w:sz w:val="16"/>
          <w:szCs w:val="16"/>
        </w:rPr>
        <w:t xml:space="preserve"> </w:t>
      </w:r>
      <w:r w:rsidRPr="00E67E70">
        <w:rPr>
          <w:rStyle w:val="None"/>
          <w:rFonts w:ascii="NimbusSanL" w:hAnsi="NimbusSanL"/>
          <w:sz w:val="16"/>
          <w:szCs w:val="16"/>
        </w:rPr>
        <w:t>Bahrain, Bangladesh, Brunei Darussalam, China, Cuba, Egypt, India, Indonesia, Iran, Iraq, Jordan, Kuwait, Lao PDR, Libya, Mauritania, Malaysia, Myanmar, North Korea, Oman, Palestine, Qatar, Saudi Arabia, Singapore, South Korea, South Sudan, Sri Lanka, Sudan, Syria, Taiwan, Thailand, United Arab Emirates, United States of America, Vietnam, Yemen</w:t>
      </w:r>
    </w:p>
  </w:footnote>
  <w:footnote w:id="4">
    <w:p w14:paraId="2D6EB1D0" w14:textId="77777777" w:rsidR="401CAF4F" w:rsidRPr="00E67E70" w:rsidRDefault="401CAF4F" w:rsidP="401CAF4F">
      <w:pPr>
        <w:pStyle w:val="FootnoteText"/>
        <w:rPr>
          <w:rFonts w:ascii="NimbusSanL" w:hAnsi="NimbusSanL" w:cs="Calibri"/>
          <w:sz w:val="16"/>
          <w:szCs w:val="16"/>
        </w:rPr>
      </w:pPr>
      <w:r w:rsidRPr="00E67E70">
        <w:rPr>
          <w:rStyle w:val="None"/>
          <w:rFonts w:ascii="NimbusSanL" w:eastAsia="Calibri" w:hAnsi="NimbusSanL" w:cs="Calibri"/>
          <w:sz w:val="16"/>
          <w:szCs w:val="16"/>
          <w:vertAlign w:val="superscript"/>
        </w:rPr>
        <w:footnoteRef/>
      </w:r>
      <w:r w:rsidRPr="00E67E70">
        <w:rPr>
          <w:rStyle w:val="None"/>
          <w:rFonts w:ascii="NimbusSanL" w:hAnsi="NimbusSanL"/>
          <w:sz w:val="16"/>
          <w:szCs w:val="16"/>
        </w:rPr>
        <w:t xml:space="preserve"> Brunei Darussalam,</w:t>
      </w:r>
      <w:r w:rsidRPr="00E67E70">
        <w:rPr>
          <w:rStyle w:val="None"/>
          <w:rFonts w:ascii="NimbusSanL" w:hAnsi="NimbusSanL"/>
          <w:i/>
          <w:sz w:val="16"/>
          <w:szCs w:val="16"/>
        </w:rPr>
        <w:t xml:space="preserve"> </w:t>
      </w:r>
      <w:r w:rsidRPr="00E67E70">
        <w:rPr>
          <w:rStyle w:val="None"/>
          <w:rFonts w:ascii="NimbusSanL" w:hAnsi="NimbusSanL"/>
          <w:sz w:val="16"/>
          <w:szCs w:val="16"/>
        </w:rPr>
        <w:t xml:space="preserve">Iran, Jordan, Kuwait, Lao PDR, Malaysia, Myanmar, Oman, Singapore, Sudan, United Arab Emirates, Yemen. </w:t>
      </w:r>
    </w:p>
  </w:footnote>
  <w:footnote w:id="5">
    <w:p w14:paraId="0066B412" w14:textId="31FC0016" w:rsidR="401CAF4F" w:rsidRPr="00E67E70" w:rsidRDefault="401CAF4F" w:rsidP="401CAF4F">
      <w:pPr>
        <w:pStyle w:val="FootnoteText"/>
        <w:rPr>
          <w:rFonts w:ascii="NimbusSanL" w:hAnsi="NimbusSanL" w:cs="Calibri"/>
          <w:sz w:val="16"/>
          <w:szCs w:val="16"/>
        </w:rPr>
      </w:pPr>
      <w:r w:rsidRPr="00E67E70">
        <w:rPr>
          <w:rStyle w:val="FootnoteReference"/>
          <w:rFonts w:ascii="NimbusSanL" w:hAnsi="NimbusSanL" w:cs="Calibri"/>
          <w:sz w:val="16"/>
          <w:szCs w:val="16"/>
        </w:rPr>
        <w:footnoteRef/>
      </w:r>
      <w:r w:rsidRPr="00E67E70">
        <w:rPr>
          <w:rFonts w:ascii="NimbusSanL" w:hAnsi="NimbusSanL" w:cs="Calibri"/>
          <w:sz w:val="16"/>
          <w:szCs w:val="16"/>
        </w:rPr>
        <w:t xml:space="preserve"> Bahrain, Bangladesh, China, Egypt, Indonesia, Iran, Iraq, Kuwait, Lao PDR, Malaysia, </w:t>
      </w:r>
      <w:proofErr w:type="spellStart"/>
      <w:r w:rsidRPr="00E67E70">
        <w:rPr>
          <w:rFonts w:ascii="NimbusSanL" w:hAnsi="NimbusSanL" w:cs="Calibri"/>
          <w:sz w:val="16"/>
          <w:szCs w:val="16"/>
        </w:rPr>
        <w:t>Pakisan</w:t>
      </w:r>
      <w:proofErr w:type="spellEnd"/>
      <w:r w:rsidRPr="00E67E70">
        <w:rPr>
          <w:rFonts w:ascii="NimbusSanL" w:hAnsi="NimbusSanL" w:cs="Calibri"/>
          <w:sz w:val="16"/>
          <w:szCs w:val="16"/>
        </w:rPr>
        <w:t xml:space="preserve">, State of </w:t>
      </w:r>
      <w:proofErr w:type="spellStart"/>
      <w:r w:rsidRPr="00E67E70">
        <w:rPr>
          <w:rFonts w:ascii="NimbusSanL" w:hAnsi="NimbusSanL" w:cs="Calibri"/>
          <w:sz w:val="16"/>
          <w:szCs w:val="16"/>
        </w:rPr>
        <w:t>Palesine</w:t>
      </w:r>
      <w:proofErr w:type="spellEnd"/>
      <w:r w:rsidRPr="00E67E70">
        <w:rPr>
          <w:rFonts w:ascii="NimbusSanL" w:hAnsi="NimbusSanL" w:cs="Calibri"/>
          <w:sz w:val="16"/>
          <w:szCs w:val="16"/>
        </w:rPr>
        <w:t>, Saudi Arabia, Singapore, Sri Lanka, Thailand, United Arab Emirates, Vietnam, Yemen.</w:t>
      </w:r>
    </w:p>
  </w:footnote>
  <w:footnote w:id="6">
    <w:p w14:paraId="562CA47E" w14:textId="21B3C03A" w:rsidR="00860E5D" w:rsidRPr="00E67E70" w:rsidRDefault="00860E5D">
      <w:pPr>
        <w:pStyle w:val="FootnoteText"/>
        <w:rPr>
          <w:rFonts w:ascii="NimbusSanL" w:hAnsi="NimbusSanL"/>
          <w:sz w:val="16"/>
          <w:szCs w:val="16"/>
          <w:lang w:val="en-GB"/>
        </w:rPr>
      </w:pPr>
      <w:r w:rsidRPr="00E67E70">
        <w:rPr>
          <w:rStyle w:val="FootnoteReference"/>
          <w:rFonts w:ascii="NimbusSanL" w:hAnsi="NimbusSanL"/>
          <w:sz w:val="16"/>
          <w:szCs w:val="16"/>
        </w:rPr>
        <w:footnoteRef/>
      </w:r>
      <w:r w:rsidRPr="00E67E70">
        <w:rPr>
          <w:rFonts w:ascii="NimbusSanL" w:hAnsi="NimbusSanL"/>
          <w:sz w:val="16"/>
          <w:szCs w:val="16"/>
        </w:rPr>
        <w:t xml:space="preserve"> </w:t>
      </w:r>
      <w:r w:rsidRPr="00E67E70">
        <w:rPr>
          <w:rFonts w:ascii="NimbusSanL" w:hAnsi="NimbusSanL"/>
          <w:sz w:val="16"/>
          <w:szCs w:val="16"/>
          <w:lang w:val="en-GB"/>
        </w:rPr>
        <w:t>https://iranhr.net/media/files/Iran_Human_Rights-Annual_Report_2023.pdf</w:t>
      </w:r>
    </w:p>
  </w:footnote>
  <w:footnote w:id="7">
    <w:p w14:paraId="7BB6B110" w14:textId="77777777" w:rsidR="00706974" w:rsidRPr="00E67E70" w:rsidRDefault="00706974" w:rsidP="00706974">
      <w:pPr>
        <w:pStyle w:val="FootnoteText"/>
        <w:rPr>
          <w:rFonts w:ascii="NimbusSanL" w:hAnsi="NimbusSanL"/>
          <w:sz w:val="16"/>
          <w:szCs w:val="16"/>
        </w:rPr>
      </w:pPr>
      <w:r w:rsidRPr="00E67E70">
        <w:rPr>
          <w:rStyle w:val="None"/>
          <w:rFonts w:ascii="NimbusSanL" w:eastAsia="Calibri" w:hAnsi="NimbusSanL" w:cs="Calibri"/>
          <w:sz w:val="16"/>
          <w:szCs w:val="16"/>
          <w:vertAlign w:val="superscript"/>
        </w:rPr>
        <w:footnoteRef/>
      </w:r>
      <w:r w:rsidRPr="00E67E70">
        <w:rPr>
          <w:rStyle w:val="None"/>
          <w:rFonts w:ascii="NimbusSanL" w:hAnsi="NimbusSanL"/>
          <w:sz w:val="16"/>
          <w:szCs w:val="16"/>
        </w:rPr>
        <w:t xml:space="preserve"> For more details on the reform, see: ‘The Death Penalty for Drug Offences: Global Overview 2018’ (London: Harm Reduction International, 2019), </w:t>
      </w:r>
      <w:hyperlink r:id="rId2" w:history="1">
        <w:r w:rsidRPr="00E67E70">
          <w:rPr>
            <w:rStyle w:val="Hyperlink1"/>
            <w:rFonts w:ascii="NimbusSanL" w:eastAsia="Arial Unicode MS" w:hAnsi="NimbusSanL" w:cs="Arial Unicode MS"/>
          </w:rPr>
          <w:t>https://www.hri.global/files/2019/02/22/HRI_DeathPenaltyReport_2019.pdf</w:t>
        </w:r>
      </w:hyperlink>
      <w:r w:rsidRPr="00E67E70">
        <w:rPr>
          <w:rStyle w:val="None"/>
          <w:rFonts w:ascii="NimbusSanL" w:hAnsi="NimbusSanL"/>
          <w:sz w:val="16"/>
          <w:szCs w:val="16"/>
        </w:rPr>
        <w:t>, p. 10 -11.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0" w:author="Marcela Jofre" w:date="2024-03-26T16:29:00Z">
        <w:tblPr>
          <w:tblStyle w:val="TableGrid"/>
          <w:tblW w:w="0" w:type="nil"/>
          <w:tblLayout w:type="fixed"/>
          <w:tblLook w:val="06A0" w:firstRow="1" w:lastRow="0" w:firstColumn="1" w:lastColumn="0" w:noHBand="1" w:noVBand="1"/>
        </w:tblPr>
      </w:tblPrChange>
    </w:tblPr>
    <w:tblGrid>
      <w:gridCol w:w="3005"/>
      <w:gridCol w:w="3005"/>
      <w:gridCol w:w="3005"/>
      <w:tblGridChange w:id="1">
        <w:tblGrid>
          <w:gridCol w:w="3005"/>
          <w:gridCol w:w="3005"/>
          <w:gridCol w:w="3005"/>
        </w:tblGrid>
      </w:tblGridChange>
    </w:tblGrid>
    <w:tr w:rsidR="3EDA913C" w14:paraId="4A5488C1" w14:textId="77777777" w:rsidTr="3EDA913C">
      <w:trPr>
        <w:trHeight w:val="300"/>
        <w:trPrChange w:id="2" w:author="Marcela Jofre" w:date="2024-03-26T16:29:00Z">
          <w:trPr>
            <w:trHeight w:val="300"/>
          </w:trPr>
        </w:trPrChange>
      </w:trPr>
      <w:tc>
        <w:tcPr>
          <w:tcW w:w="3005" w:type="dxa"/>
          <w:tcPrChange w:id="3" w:author="Marcela Jofre" w:date="2024-03-26T16:29:00Z">
            <w:tcPr>
              <w:tcW w:w="3005" w:type="dxa"/>
            </w:tcPr>
          </w:tcPrChange>
        </w:tcPr>
        <w:p w14:paraId="26C4455F" w14:textId="20B8AF99" w:rsidR="3EDA913C" w:rsidRDefault="3EDA913C" w:rsidP="005142A1">
          <w:pPr>
            <w:pStyle w:val="Header"/>
            <w:ind w:left="-115"/>
            <w:jc w:val="left"/>
          </w:pPr>
        </w:p>
      </w:tc>
      <w:tc>
        <w:tcPr>
          <w:tcW w:w="3005" w:type="dxa"/>
          <w:tcPrChange w:id="4" w:author="Marcela Jofre" w:date="2024-03-26T16:29:00Z">
            <w:tcPr>
              <w:tcW w:w="3005" w:type="dxa"/>
            </w:tcPr>
          </w:tcPrChange>
        </w:tcPr>
        <w:p w14:paraId="40AA5BBF" w14:textId="58BC314F" w:rsidR="3EDA913C" w:rsidRDefault="3EDA913C" w:rsidP="005142A1">
          <w:pPr>
            <w:pStyle w:val="Header"/>
          </w:pPr>
        </w:p>
      </w:tc>
      <w:tc>
        <w:tcPr>
          <w:tcW w:w="3005" w:type="dxa"/>
          <w:tcPrChange w:id="5" w:author="Marcela Jofre" w:date="2024-03-26T16:29:00Z">
            <w:tcPr>
              <w:tcW w:w="3005" w:type="dxa"/>
            </w:tcPr>
          </w:tcPrChange>
        </w:tcPr>
        <w:p w14:paraId="034E49C7" w14:textId="0049D678" w:rsidR="3EDA913C" w:rsidRDefault="3EDA913C" w:rsidP="005142A1">
          <w:pPr>
            <w:pStyle w:val="Header"/>
            <w:ind w:right="-115"/>
            <w:jc w:val="right"/>
          </w:pPr>
        </w:p>
      </w:tc>
    </w:tr>
  </w:tbl>
  <w:p w14:paraId="2202B3AD" w14:textId="0BAADD13" w:rsidR="3EDA913C" w:rsidRDefault="3EDA913C">
    <w:pPr>
      <w:pStyle w:val="Header"/>
      <w:pPrChange w:id="6" w:author="Marcela Jofre" w:date="2024-03-26T16:29:00Z">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01CAF4F" w14:paraId="21BC444D" w14:textId="77777777" w:rsidTr="3EDA913C">
      <w:trPr>
        <w:trHeight w:val="300"/>
      </w:trPr>
      <w:tc>
        <w:tcPr>
          <w:tcW w:w="3005" w:type="dxa"/>
        </w:tcPr>
        <w:p w14:paraId="1F4D788B" w14:textId="5B9003CB" w:rsidR="401CAF4F" w:rsidRDefault="401CAF4F" w:rsidP="401CAF4F">
          <w:pPr>
            <w:pStyle w:val="Header"/>
            <w:ind w:left="-115"/>
            <w:jc w:val="left"/>
          </w:pPr>
        </w:p>
      </w:tc>
      <w:tc>
        <w:tcPr>
          <w:tcW w:w="3005" w:type="dxa"/>
        </w:tcPr>
        <w:p w14:paraId="59781A0E" w14:textId="170CE495" w:rsidR="401CAF4F" w:rsidRDefault="401CAF4F" w:rsidP="401CAF4F">
          <w:pPr>
            <w:pStyle w:val="Header"/>
          </w:pPr>
        </w:p>
      </w:tc>
      <w:tc>
        <w:tcPr>
          <w:tcW w:w="3005" w:type="dxa"/>
        </w:tcPr>
        <w:p w14:paraId="1925752D" w14:textId="2D693B59" w:rsidR="401CAF4F" w:rsidRDefault="401CAF4F" w:rsidP="401CAF4F">
          <w:pPr>
            <w:pStyle w:val="Header"/>
            <w:ind w:right="-115"/>
            <w:jc w:val="right"/>
          </w:pPr>
        </w:p>
      </w:tc>
    </w:tr>
  </w:tbl>
  <w:p w14:paraId="796B4A44" w14:textId="2D502944" w:rsidR="401CAF4F" w:rsidRDefault="401CAF4F" w:rsidP="401CAF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9277" w14:textId="5AB6F961" w:rsidR="00050921" w:rsidRDefault="00050921" w:rsidP="36EEE8EB">
    <w:pPr>
      <w:pStyle w:val="Header"/>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14" w:author="Marcela Jofre" w:date="2024-03-26T16:29:00Z">
        <w:tblPr>
          <w:tblStyle w:val="TableGrid"/>
          <w:tblW w:w="0" w:type="nil"/>
          <w:tblLayout w:type="fixed"/>
          <w:tblLook w:val="06A0" w:firstRow="1" w:lastRow="0" w:firstColumn="1" w:lastColumn="0" w:noHBand="1" w:noVBand="1"/>
        </w:tblPr>
      </w:tblPrChange>
    </w:tblPr>
    <w:tblGrid>
      <w:gridCol w:w="3005"/>
      <w:gridCol w:w="3005"/>
      <w:gridCol w:w="3005"/>
      <w:tblGridChange w:id="15">
        <w:tblGrid>
          <w:gridCol w:w="3005"/>
          <w:gridCol w:w="3005"/>
          <w:gridCol w:w="3005"/>
        </w:tblGrid>
      </w:tblGridChange>
    </w:tblGrid>
    <w:tr w:rsidR="3EDA913C" w14:paraId="4E83EF5B" w14:textId="77777777" w:rsidTr="3EDA913C">
      <w:trPr>
        <w:trHeight w:val="300"/>
        <w:trPrChange w:id="16" w:author="Marcela Jofre" w:date="2024-03-26T16:29:00Z">
          <w:trPr>
            <w:trHeight w:val="300"/>
          </w:trPr>
        </w:trPrChange>
      </w:trPr>
      <w:tc>
        <w:tcPr>
          <w:tcW w:w="3005" w:type="dxa"/>
          <w:tcPrChange w:id="17" w:author="Marcela Jofre" w:date="2024-03-26T16:29:00Z">
            <w:tcPr>
              <w:tcW w:w="3005" w:type="dxa"/>
            </w:tcPr>
          </w:tcPrChange>
        </w:tcPr>
        <w:p w14:paraId="7D187DC0" w14:textId="60A1CBA6" w:rsidR="3EDA913C" w:rsidRDefault="3EDA913C">
          <w:pPr>
            <w:pStyle w:val="Header"/>
            <w:ind w:left="-115"/>
            <w:jc w:val="left"/>
            <w:pPrChange w:id="18" w:author="Marcela Jofre" w:date="2024-03-26T16:29:00Z">
              <w:pPr/>
            </w:pPrChange>
          </w:pPr>
        </w:p>
      </w:tc>
      <w:tc>
        <w:tcPr>
          <w:tcW w:w="3005" w:type="dxa"/>
          <w:tcPrChange w:id="19" w:author="Marcela Jofre" w:date="2024-03-26T16:29:00Z">
            <w:tcPr>
              <w:tcW w:w="3005" w:type="dxa"/>
            </w:tcPr>
          </w:tcPrChange>
        </w:tcPr>
        <w:p w14:paraId="6A24DE3B" w14:textId="0DA2B3E2" w:rsidR="3EDA913C" w:rsidRDefault="3EDA913C">
          <w:pPr>
            <w:pStyle w:val="Header"/>
            <w:pPrChange w:id="20" w:author="Marcela Jofre" w:date="2024-03-26T16:29:00Z">
              <w:pPr/>
            </w:pPrChange>
          </w:pPr>
        </w:p>
      </w:tc>
      <w:tc>
        <w:tcPr>
          <w:tcW w:w="3005" w:type="dxa"/>
          <w:tcPrChange w:id="21" w:author="Marcela Jofre" w:date="2024-03-26T16:29:00Z">
            <w:tcPr>
              <w:tcW w:w="3005" w:type="dxa"/>
            </w:tcPr>
          </w:tcPrChange>
        </w:tcPr>
        <w:p w14:paraId="09EE1F2C" w14:textId="56BC8E9D" w:rsidR="3EDA913C" w:rsidRDefault="3EDA913C">
          <w:pPr>
            <w:pStyle w:val="Header"/>
            <w:ind w:right="-115"/>
            <w:jc w:val="right"/>
            <w:pPrChange w:id="22" w:author="Marcela Jofre" w:date="2024-03-26T16:29:00Z">
              <w:pPr/>
            </w:pPrChange>
          </w:pPr>
        </w:p>
      </w:tc>
    </w:tr>
  </w:tbl>
  <w:p w14:paraId="04A12D0B" w14:textId="34F70F8F" w:rsidR="3EDA913C" w:rsidRDefault="3EDA913C">
    <w:pPr>
      <w:pStyle w:val="Header"/>
      <w:pPrChange w:id="23" w:author="Marcela Jofre" w:date="2024-03-26T16:29:00Z">
        <w:pPr/>
      </w:pPrChang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12E0" w14:textId="6D7C1608" w:rsidR="00050921" w:rsidRDefault="00E67E70">
    <w:pPr>
      <w:pStyle w:val="HeaderFooterA"/>
      <w:tabs>
        <w:tab w:val="clear" w:pos="9020"/>
        <w:tab w:val="right" w:pos="9000"/>
      </w:tabs>
    </w:pPr>
    <w:r>
      <w:rPr>
        <w:noProof/>
      </w:rPr>
      <w:drawing>
        <wp:inline distT="0" distB="0" distL="0" distR="0" wp14:anchorId="4C661E73" wp14:editId="04AB1133">
          <wp:extent cx="1762125" cy="276225"/>
          <wp:effectExtent l="0" t="0" r="0" b="0"/>
          <wp:docPr id="937685112" name="Picture 93768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276225"/>
                  </a:xfrm>
                  <a:prstGeom prst="rect">
                    <a:avLst/>
                  </a:prstGeom>
                </pic:spPr>
              </pic:pic>
            </a:graphicData>
          </a:graphic>
        </wp:inline>
      </w:drawing>
    </w:r>
    <w:r w:rsidR="3EDA913C" w:rsidRPr="3EDA913C">
      <w:rPr>
        <w:rStyle w:val="font-italic"/>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D6498" w14:textId="77777777" w:rsidR="00050921" w:rsidRDefault="00050921">
    <w:pPr>
      <w:pStyle w:val="HeaderFooterA"/>
      <w:tabs>
        <w:tab w:val="clear" w:pos="9020"/>
        <w:tab w:val="right" w:pos="9000"/>
      </w:tabs>
    </w:pPr>
  </w:p>
</w:hdr>
</file>

<file path=word/intelligence2.xml><?xml version="1.0" encoding="utf-8"?>
<int2:intelligence xmlns:int2="http://schemas.microsoft.com/office/intelligence/2020/intelligence" xmlns:oel="http://schemas.microsoft.com/office/2019/extlst">
  <int2:observations>
    <int2:textHash int2:hashCode="DfFG05gpKgeKun" int2:id="T8K9Stkl">
      <int2:state int2:value="Rejected" int2:type="AugLoop_Text_Critique"/>
    </int2:textHash>
    <int2:textHash int2:hashCode="m/C6mGJeQTWOW1" int2:id="uMVpvua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AD518"/>
    <w:multiLevelType w:val="hybridMultilevel"/>
    <w:tmpl w:val="71A06334"/>
    <w:lvl w:ilvl="0" w:tplc="53AA0F6E">
      <w:start w:val="1"/>
      <w:numFmt w:val="bullet"/>
      <w:lvlText w:val="-"/>
      <w:lvlJc w:val="left"/>
      <w:pPr>
        <w:ind w:left="720" w:hanging="360"/>
      </w:pPr>
      <w:rPr>
        <w:rFonts w:ascii="Aptos" w:hAnsi="Aptos" w:hint="default"/>
      </w:rPr>
    </w:lvl>
    <w:lvl w:ilvl="1" w:tplc="42B0DDD8">
      <w:start w:val="1"/>
      <w:numFmt w:val="bullet"/>
      <w:lvlText w:val="o"/>
      <w:lvlJc w:val="left"/>
      <w:pPr>
        <w:ind w:left="1440" w:hanging="360"/>
      </w:pPr>
      <w:rPr>
        <w:rFonts w:ascii="Courier New" w:hAnsi="Courier New" w:hint="default"/>
      </w:rPr>
    </w:lvl>
    <w:lvl w:ilvl="2" w:tplc="51AA481E">
      <w:start w:val="1"/>
      <w:numFmt w:val="bullet"/>
      <w:lvlText w:val=""/>
      <w:lvlJc w:val="left"/>
      <w:pPr>
        <w:ind w:left="2160" w:hanging="360"/>
      </w:pPr>
      <w:rPr>
        <w:rFonts w:ascii="Wingdings" w:hAnsi="Wingdings" w:hint="default"/>
      </w:rPr>
    </w:lvl>
    <w:lvl w:ilvl="3" w:tplc="14905D30">
      <w:start w:val="1"/>
      <w:numFmt w:val="bullet"/>
      <w:lvlText w:val=""/>
      <w:lvlJc w:val="left"/>
      <w:pPr>
        <w:ind w:left="2880" w:hanging="360"/>
      </w:pPr>
      <w:rPr>
        <w:rFonts w:ascii="Symbol" w:hAnsi="Symbol" w:hint="default"/>
      </w:rPr>
    </w:lvl>
    <w:lvl w:ilvl="4" w:tplc="6540A21E">
      <w:start w:val="1"/>
      <w:numFmt w:val="bullet"/>
      <w:lvlText w:val="o"/>
      <w:lvlJc w:val="left"/>
      <w:pPr>
        <w:ind w:left="3600" w:hanging="360"/>
      </w:pPr>
      <w:rPr>
        <w:rFonts w:ascii="Courier New" w:hAnsi="Courier New" w:hint="default"/>
      </w:rPr>
    </w:lvl>
    <w:lvl w:ilvl="5" w:tplc="F9D88486">
      <w:start w:val="1"/>
      <w:numFmt w:val="bullet"/>
      <w:lvlText w:val=""/>
      <w:lvlJc w:val="left"/>
      <w:pPr>
        <w:ind w:left="4320" w:hanging="360"/>
      </w:pPr>
      <w:rPr>
        <w:rFonts w:ascii="Wingdings" w:hAnsi="Wingdings" w:hint="default"/>
      </w:rPr>
    </w:lvl>
    <w:lvl w:ilvl="6" w:tplc="791490F6">
      <w:start w:val="1"/>
      <w:numFmt w:val="bullet"/>
      <w:lvlText w:val=""/>
      <w:lvlJc w:val="left"/>
      <w:pPr>
        <w:ind w:left="5040" w:hanging="360"/>
      </w:pPr>
      <w:rPr>
        <w:rFonts w:ascii="Symbol" w:hAnsi="Symbol" w:hint="default"/>
      </w:rPr>
    </w:lvl>
    <w:lvl w:ilvl="7" w:tplc="BDD2D8A2">
      <w:start w:val="1"/>
      <w:numFmt w:val="bullet"/>
      <w:lvlText w:val="o"/>
      <w:lvlJc w:val="left"/>
      <w:pPr>
        <w:ind w:left="5760" w:hanging="360"/>
      </w:pPr>
      <w:rPr>
        <w:rFonts w:ascii="Courier New" w:hAnsi="Courier New" w:hint="default"/>
      </w:rPr>
    </w:lvl>
    <w:lvl w:ilvl="8" w:tplc="6D5C030E">
      <w:start w:val="1"/>
      <w:numFmt w:val="bullet"/>
      <w:lvlText w:val=""/>
      <w:lvlJc w:val="left"/>
      <w:pPr>
        <w:ind w:left="6480" w:hanging="360"/>
      </w:pPr>
      <w:rPr>
        <w:rFonts w:ascii="Wingdings" w:hAnsi="Wingdings" w:hint="default"/>
      </w:rPr>
    </w:lvl>
  </w:abstractNum>
  <w:abstractNum w:abstractNumId="1" w15:restartNumberingAfterBreak="0">
    <w:nsid w:val="057E4FDB"/>
    <w:multiLevelType w:val="hybridMultilevel"/>
    <w:tmpl w:val="915E58EE"/>
    <w:styleLink w:val="ImportedStyle1"/>
    <w:lvl w:ilvl="0" w:tplc="380CA35A">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86A62F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50AAEE8">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95A8F1B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1DC0DB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36C877E">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8ADA428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1F29C70">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928BF16">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9150CC3"/>
    <w:multiLevelType w:val="hybridMultilevel"/>
    <w:tmpl w:val="AC92CD76"/>
    <w:lvl w:ilvl="0" w:tplc="D7B006D0">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5F2208"/>
    <w:multiLevelType w:val="hybridMultilevel"/>
    <w:tmpl w:val="915E58EE"/>
    <w:numStyleLink w:val="ImportedStyle1"/>
  </w:abstractNum>
  <w:abstractNum w:abstractNumId="4" w15:restartNumberingAfterBreak="0">
    <w:nsid w:val="56FC5AD7"/>
    <w:multiLevelType w:val="hybridMultilevel"/>
    <w:tmpl w:val="60B0B784"/>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696482"/>
    <w:multiLevelType w:val="hybridMultilevel"/>
    <w:tmpl w:val="4E34A6B0"/>
    <w:lvl w:ilvl="0" w:tplc="2806CA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F98225"/>
    <w:multiLevelType w:val="hybridMultilevel"/>
    <w:tmpl w:val="9B301376"/>
    <w:lvl w:ilvl="0" w:tplc="D764BFEE">
      <w:start w:val="1"/>
      <w:numFmt w:val="bullet"/>
      <w:lvlText w:val="-"/>
      <w:lvlJc w:val="left"/>
      <w:pPr>
        <w:ind w:left="720" w:hanging="360"/>
      </w:pPr>
      <w:rPr>
        <w:rFonts w:ascii="Aptos" w:hAnsi="Aptos" w:hint="default"/>
      </w:rPr>
    </w:lvl>
    <w:lvl w:ilvl="1" w:tplc="8738E12A">
      <w:start w:val="1"/>
      <w:numFmt w:val="bullet"/>
      <w:lvlText w:val="o"/>
      <w:lvlJc w:val="left"/>
      <w:pPr>
        <w:ind w:left="1440" w:hanging="360"/>
      </w:pPr>
      <w:rPr>
        <w:rFonts w:ascii="Courier New" w:hAnsi="Courier New" w:hint="default"/>
      </w:rPr>
    </w:lvl>
    <w:lvl w:ilvl="2" w:tplc="96941B08">
      <w:start w:val="1"/>
      <w:numFmt w:val="bullet"/>
      <w:lvlText w:val=""/>
      <w:lvlJc w:val="left"/>
      <w:pPr>
        <w:ind w:left="2160" w:hanging="360"/>
      </w:pPr>
      <w:rPr>
        <w:rFonts w:ascii="Wingdings" w:hAnsi="Wingdings" w:hint="default"/>
      </w:rPr>
    </w:lvl>
    <w:lvl w:ilvl="3" w:tplc="429A6BB0">
      <w:start w:val="1"/>
      <w:numFmt w:val="bullet"/>
      <w:lvlText w:val=""/>
      <w:lvlJc w:val="left"/>
      <w:pPr>
        <w:ind w:left="2880" w:hanging="360"/>
      </w:pPr>
      <w:rPr>
        <w:rFonts w:ascii="Symbol" w:hAnsi="Symbol" w:hint="default"/>
      </w:rPr>
    </w:lvl>
    <w:lvl w:ilvl="4" w:tplc="CCFC5D50">
      <w:start w:val="1"/>
      <w:numFmt w:val="bullet"/>
      <w:lvlText w:val="o"/>
      <w:lvlJc w:val="left"/>
      <w:pPr>
        <w:ind w:left="3600" w:hanging="360"/>
      </w:pPr>
      <w:rPr>
        <w:rFonts w:ascii="Courier New" w:hAnsi="Courier New" w:hint="default"/>
      </w:rPr>
    </w:lvl>
    <w:lvl w:ilvl="5" w:tplc="504609C8">
      <w:start w:val="1"/>
      <w:numFmt w:val="bullet"/>
      <w:lvlText w:val=""/>
      <w:lvlJc w:val="left"/>
      <w:pPr>
        <w:ind w:left="4320" w:hanging="360"/>
      </w:pPr>
      <w:rPr>
        <w:rFonts w:ascii="Wingdings" w:hAnsi="Wingdings" w:hint="default"/>
      </w:rPr>
    </w:lvl>
    <w:lvl w:ilvl="6" w:tplc="8DFC9BF8">
      <w:start w:val="1"/>
      <w:numFmt w:val="bullet"/>
      <w:lvlText w:val=""/>
      <w:lvlJc w:val="left"/>
      <w:pPr>
        <w:ind w:left="5040" w:hanging="360"/>
      </w:pPr>
      <w:rPr>
        <w:rFonts w:ascii="Symbol" w:hAnsi="Symbol" w:hint="default"/>
      </w:rPr>
    </w:lvl>
    <w:lvl w:ilvl="7" w:tplc="0B6EE28C">
      <w:start w:val="1"/>
      <w:numFmt w:val="bullet"/>
      <w:lvlText w:val="o"/>
      <w:lvlJc w:val="left"/>
      <w:pPr>
        <w:ind w:left="5760" w:hanging="360"/>
      </w:pPr>
      <w:rPr>
        <w:rFonts w:ascii="Courier New" w:hAnsi="Courier New" w:hint="default"/>
      </w:rPr>
    </w:lvl>
    <w:lvl w:ilvl="8" w:tplc="ACB05BB0">
      <w:start w:val="1"/>
      <w:numFmt w:val="bullet"/>
      <w:lvlText w:val=""/>
      <w:lvlJc w:val="left"/>
      <w:pPr>
        <w:ind w:left="6480" w:hanging="360"/>
      </w:pPr>
      <w:rPr>
        <w:rFonts w:ascii="Wingdings" w:hAnsi="Wingdings" w:hint="default"/>
      </w:rPr>
    </w:lvl>
  </w:abstractNum>
  <w:num w:numId="1" w16cid:durableId="504366782">
    <w:abstractNumId w:val="0"/>
  </w:num>
  <w:num w:numId="2" w16cid:durableId="1960915145">
    <w:abstractNumId w:val="6"/>
  </w:num>
  <w:num w:numId="3" w16cid:durableId="772163236">
    <w:abstractNumId w:val="1"/>
  </w:num>
  <w:num w:numId="4" w16cid:durableId="810638895">
    <w:abstractNumId w:val="3"/>
  </w:num>
  <w:num w:numId="5" w16cid:durableId="899442610">
    <w:abstractNumId w:val="2"/>
  </w:num>
  <w:num w:numId="6" w16cid:durableId="1639143516">
    <w:abstractNumId w:val="5"/>
  </w:num>
  <w:num w:numId="7" w16cid:durableId="12944229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cela Jofre">
    <w15:presenceInfo w15:providerId="AD" w15:userId="S::marcela.jofre@hri.global::d031e5b6-def9-4ce2-bd4c-5c9c3d0eb8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21"/>
    <w:rsid w:val="00002DB7"/>
    <w:rsid w:val="00050921"/>
    <w:rsid w:val="00062900"/>
    <w:rsid w:val="000B6D0F"/>
    <w:rsid w:val="00106C94"/>
    <w:rsid w:val="001592F4"/>
    <w:rsid w:val="00182C89"/>
    <w:rsid w:val="001C438F"/>
    <w:rsid w:val="001D7A62"/>
    <w:rsid w:val="001F7A8C"/>
    <w:rsid w:val="0020305F"/>
    <w:rsid w:val="00213C1A"/>
    <w:rsid w:val="00217676"/>
    <w:rsid w:val="002249A0"/>
    <w:rsid w:val="00274088"/>
    <w:rsid w:val="00276927"/>
    <w:rsid w:val="0028150B"/>
    <w:rsid w:val="0029105C"/>
    <w:rsid w:val="002B04D4"/>
    <w:rsid w:val="002B1BA5"/>
    <w:rsid w:val="002E0CD4"/>
    <w:rsid w:val="002F1C0E"/>
    <w:rsid w:val="0039115B"/>
    <w:rsid w:val="003C066C"/>
    <w:rsid w:val="003C5E05"/>
    <w:rsid w:val="004400A2"/>
    <w:rsid w:val="00463763"/>
    <w:rsid w:val="00493559"/>
    <w:rsid w:val="004B01AB"/>
    <w:rsid w:val="004E28BF"/>
    <w:rsid w:val="005142A1"/>
    <w:rsid w:val="00527F98"/>
    <w:rsid w:val="005500DE"/>
    <w:rsid w:val="00566FAA"/>
    <w:rsid w:val="00572F75"/>
    <w:rsid w:val="0058384F"/>
    <w:rsid w:val="005875EB"/>
    <w:rsid w:val="005C093B"/>
    <w:rsid w:val="005C1EED"/>
    <w:rsid w:val="005F10F8"/>
    <w:rsid w:val="00600114"/>
    <w:rsid w:val="00623A0A"/>
    <w:rsid w:val="006344A6"/>
    <w:rsid w:val="006572A0"/>
    <w:rsid w:val="00676BE9"/>
    <w:rsid w:val="00694616"/>
    <w:rsid w:val="00706974"/>
    <w:rsid w:val="00762D63"/>
    <w:rsid w:val="00777C42"/>
    <w:rsid w:val="00787E2B"/>
    <w:rsid w:val="007B03C1"/>
    <w:rsid w:val="007B245D"/>
    <w:rsid w:val="007E29CE"/>
    <w:rsid w:val="00812711"/>
    <w:rsid w:val="0085395A"/>
    <w:rsid w:val="0085A88B"/>
    <w:rsid w:val="00860E5D"/>
    <w:rsid w:val="00866C7D"/>
    <w:rsid w:val="008A0B53"/>
    <w:rsid w:val="008A5B8E"/>
    <w:rsid w:val="008A799F"/>
    <w:rsid w:val="008B08E2"/>
    <w:rsid w:val="008D1AF6"/>
    <w:rsid w:val="008E0000"/>
    <w:rsid w:val="00902EAA"/>
    <w:rsid w:val="00932027"/>
    <w:rsid w:val="00932851"/>
    <w:rsid w:val="0094037B"/>
    <w:rsid w:val="009542E5"/>
    <w:rsid w:val="009A06A4"/>
    <w:rsid w:val="009E3B3E"/>
    <w:rsid w:val="00A002FB"/>
    <w:rsid w:val="00AB396C"/>
    <w:rsid w:val="00AB70EE"/>
    <w:rsid w:val="00B7D10C"/>
    <w:rsid w:val="00B94363"/>
    <w:rsid w:val="00BA7ED6"/>
    <w:rsid w:val="00BB5BDA"/>
    <w:rsid w:val="00BF43C3"/>
    <w:rsid w:val="00C04C9F"/>
    <w:rsid w:val="00C0689A"/>
    <w:rsid w:val="00C0F8A5"/>
    <w:rsid w:val="00C5154D"/>
    <w:rsid w:val="00C603AF"/>
    <w:rsid w:val="00C81543"/>
    <w:rsid w:val="00C930D1"/>
    <w:rsid w:val="00C962D8"/>
    <w:rsid w:val="00D202D2"/>
    <w:rsid w:val="00D21976"/>
    <w:rsid w:val="00D51BDE"/>
    <w:rsid w:val="00D618A5"/>
    <w:rsid w:val="00DB4E58"/>
    <w:rsid w:val="00E03E40"/>
    <w:rsid w:val="00E04A86"/>
    <w:rsid w:val="00E2278D"/>
    <w:rsid w:val="00E2439A"/>
    <w:rsid w:val="00E42373"/>
    <w:rsid w:val="00E546DD"/>
    <w:rsid w:val="00E67E70"/>
    <w:rsid w:val="00E74022"/>
    <w:rsid w:val="00EA4CD6"/>
    <w:rsid w:val="00EE4EE6"/>
    <w:rsid w:val="00EF6176"/>
    <w:rsid w:val="00F20D10"/>
    <w:rsid w:val="00F32D16"/>
    <w:rsid w:val="00F81D75"/>
    <w:rsid w:val="00FC5187"/>
    <w:rsid w:val="00FD0209"/>
    <w:rsid w:val="010716BF"/>
    <w:rsid w:val="0146DE56"/>
    <w:rsid w:val="015F8B2E"/>
    <w:rsid w:val="01695BE6"/>
    <w:rsid w:val="0184E007"/>
    <w:rsid w:val="018E67D4"/>
    <w:rsid w:val="0192680A"/>
    <w:rsid w:val="0207FDF6"/>
    <w:rsid w:val="02948C70"/>
    <w:rsid w:val="02A09223"/>
    <w:rsid w:val="02ADBFDA"/>
    <w:rsid w:val="02B304E4"/>
    <w:rsid w:val="02C4459F"/>
    <w:rsid w:val="02FA1B01"/>
    <w:rsid w:val="03B6A499"/>
    <w:rsid w:val="03E3284B"/>
    <w:rsid w:val="041F9183"/>
    <w:rsid w:val="0436E622"/>
    <w:rsid w:val="045C6B64"/>
    <w:rsid w:val="04742357"/>
    <w:rsid w:val="047A1E62"/>
    <w:rsid w:val="047E7F18"/>
    <w:rsid w:val="049BFC98"/>
    <w:rsid w:val="053F9EB8"/>
    <w:rsid w:val="0550D98F"/>
    <w:rsid w:val="0567C9FB"/>
    <w:rsid w:val="05AECBCD"/>
    <w:rsid w:val="05B679E4"/>
    <w:rsid w:val="05BE5CB0"/>
    <w:rsid w:val="05F31EC3"/>
    <w:rsid w:val="0615EEC3"/>
    <w:rsid w:val="061A4F79"/>
    <w:rsid w:val="0671672E"/>
    <w:rsid w:val="06CB540E"/>
    <w:rsid w:val="06DB6F19"/>
    <w:rsid w:val="07B1BF24"/>
    <w:rsid w:val="07C8DC88"/>
    <w:rsid w:val="0874C652"/>
    <w:rsid w:val="08889996"/>
    <w:rsid w:val="08E61DA9"/>
    <w:rsid w:val="08FFC018"/>
    <w:rsid w:val="09694D8A"/>
    <w:rsid w:val="09A75375"/>
    <w:rsid w:val="09C72105"/>
    <w:rsid w:val="0A0073B3"/>
    <w:rsid w:val="0A458AF5"/>
    <w:rsid w:val="0A4BB1D0"/>
    <w:rsid w:val="0A7BD967"/>
    <w:rsid w:val="0A7DC7CB"/>
    <w:rsid w:val="0AA27B51"/>
    <w:rsid w:val="0AAA1FDB"/>
    <w:rsid w:val="0AE5EB16"/>
    <w:rsid w:val="0B055467"/>
    <w:rsid w:val="0B906D5E"/>
    <w:rsid w:val="0B9BFF7D"/>
    <w:rsid w:val="0BAD54F7"/>
    <w:rsid w:val="0BF43514"/>
    <w:rsid w:val="0C57034B"/>
    <w:rsid w:val="0CAEFC03"/>
    <w:rsid w:val="0CC9F465"/>
    <w:rsid w:val="0CFE5CE2"/>
    <w:rsid w:val="0D02FF1C"/>
    <w:rsid w:val="0D33FD68"/>
    <w:rsid w:val="0D4AB09D"/>
    <w:rsid w:val="0D5BEB74"/>
    <w:rsid w:val="0D642B93"/>
    <w:rsid w:val="0D6813AA"/>
    <w:rsid w:val="0D749F8B"/>
    <w:rsid w:val="0D7D2BB7"/>
    <w:rsid w:val="0DB37A29"/>
    <w:rsid w:val="0DE1C09D"/>
    <w:rsid w:val="0E3F434C"/>
    <w:rsid w:val="0E4ACC64"/>
    <w:rsid w:val="0E54921B"/>
    <w:rsid w:val="0E78237F"/>
    <w:rsid w:val="0E7EC113"/>
    <w:rsid w:val="0E892C91"/>
    <w:rsid w:val="0EC80E20"/>
    <w:rsid w:val="0ED345E5"/>
    <w:rsid w:val="0EFFFBF4"/>
    <w:rsid w:val="0F0A010D"/>
    <w:rsid w:val="0F5028AE"/>
    <w:rsid w:val="0F675843"/>
    <w:rsid w:val="0F89A904"/>
    <w:rsid w:val="0FA43224"/>
    <w:rsid w:val="0FB13314"/>
    <w:rsid w:val="0FDD514B"/>
    <w:rsid w:val="0FE8200F"/>
    <w:rsid w:val="0FFE95EE"/>
    <w:rsid w:val="100B2E18"/>
    <w:rsid w:val="105351B0"/>
    <w:rsid w:val="10C7A637"/>
    <w:rsid w:val="1136F715"/>
    <w:rsid w:val="11A6FE79"/>
    <w:rsid w:val="1213F0BA"/>
    <w:rsid w:val="121A238A"/>
    <w:rsid w:val="12227E40"/>
    <w:rsid w:val="1269C537"/>
    <w:rsid w:val="126CBE9D"/>
    <w:rsid w:val="12BC0FD3"/>
    <w:rsid w:val="131E3D87"/>
    <w:rsid w:val="131EB816"/>
    <w:rsid w:val="136F27A8"/>
    <w:rsid w:val="13ACC82A"/>
    <w:rsid w:val="13D5F326"/>
    <w:rsid w:val="13EE8A3A"/>
    <w:rsid w:val="146CFE5E"/>
    <w:rsid w:val="14BA0DE8"/>
    <w:rsid w:val="14BA8877"/>
    <w:rsid w:val="14D5064A"/>
    <w:rsid w:val="14DB3DC3"/>
    <w:rsid w:val="14FB4631"/>
    <w:rsid w:val="14FDD644"/>
    <w:rsid w:val="152754D0"/>
    <w:rsid w:val="15709771"/>
    <w:rsid w:val="1573CF4C"/>
    <w:rsid w:val="15884FAA"/>
    <w:rsid w:val="1608CEBF"/>
    <w:rsid w:val="162323F0"/>
    <w:rsid w:val="1635111F"/>
    <w:rsid w:val="1643E7AF"/>
    <w:rsid w:val="164FF494"/>
    <w:rsid w:val="1655DE49"/>
    <w:rsid w:val="165FC234"/>
    <w:rsid w:val="1662FDC7"/>
    <w:rsid w:val="16ACCE45"/>
    <w:rsid w:val="16B9E814"/>
    <w:rsid w:val="173F6E45"/>
    <w:rsid w:val="175AE4BB"/>
    <w:rsid w:val="179083C8"/>
    <w:rsid w:val="17AEBC69"/>
    <w:rsid w:val="17EBC4F5"/>
    <w:rsid w:val="17F1AEAA"/>
    <w:rsid w:val="17FEF05B"/>
    <w:rsid w:val="1855C809"/>
    <w:rsid w:val="188D6344"/>
    <w:rsid w:val="18FA1D4C"/>
    <w:rsid w:val="1914D874"/>
    <w:rsid w:val="1996F86F"/>
    <w:rsid w:val="19A8776D"/>
    <w:rsid w:val="19E73604"/>
    <w:rsid w:val="1A024B22"/>
    <w:rsid w:val="1A2933A5"/>
    <w:rsid w:val="1A772338"/>
    <w:rsid w:val="1AABAF1E"/>
    <w:rsid w:val="1ACC3300"/>
    <w:rsid w:val="1AD93927"/>
    <w:rsid w:val="1AF8A831"/>
    <w:rsid w:val="1AFD6C14"/>
    <w:rsid w:val="1B2365B7"/>
    <w:rsid w:val="1B4447CE"/>
    <w:rsid w:val="1BBB77C4"/>
    <w:rsid w:val="1BD57663"/>
    <w:rsid w:val="1C11C41C"/>
    <w:rsid w:val="1C9F9E9C"/>
    <w:rsid w:val="1CBF3618"/>
    <w:rsid w:val="1D20771B"/>
    <w:rsid w:val="1DA351DD"/>
    <w:rsid w:val="1E5B0679"/>
    <w:rsid w:val="1E7F8D34"/>
    <w:rsid w:val="1ED14FA3"/>
    <w:rsid w:val="1EFCA4C8"/>
    <w:rsid w:val="20041C63"/>
    <w:rsid w:val="203AC5A9"/>
    <w:rsid w:val="20476BE6"/>
    <w:rsid w:val="20F79C11"/>
    <w:rsid w:val="2141BB9C"/>
    <w:rsid w:val="2161DB48"/>
    <w:rsid w:val="228E23E8"/>
    <w:rsid w:val="22E81FE7"/>
    <w:rsid w:val="2308B45B"/>
    <w:rsid w:val="2310450F"/>
    <w:rsid w:val="23322493"/>
    <w:rsid w:val="234273C8"/>
    <w:rsid w:val="235434F8"/>
    <w:rsid w:val="23B373B1"/>
    <w:rsid w:val="23F60528"/>
    <w:rsid w:val="24058901"/>
    <w:rsid w:val="2429F449"/>
    <w:rsid w:val="24B29E07"/>
    <w:rsid w:val="24BBEB58"/>
    <w:rsid w:val="24CC3994"/>
    <w:rsid w:val="24CD36C6"/>
    <w:rsid w:val="2541C081"/>
    <w:rsid w:val="2542840C"/>
    <w:rsid w:val="25934D6A"/>
    <w:rsid w:val="25A15962"/>
    <w:rsid w:val="25CD6E09"/>
    <w:rsid w:val="260BAE07"/>
    <w:rsid w:val="26FDAD85"/>
    <w:rsid w:val="27291F29"/>
    <w:rsid w:val="272F1DCB"/>
    <w:rsid w:val="278F1003"/>
    <w:rsid w:val="279E9C8C"/>
    <w:rsid w:val="27E25143"/>
    <w:rsid w:val="27EA3EC9"/>
    <w:rsid w:val="2827A61B"/>
    <w:rsid w:val="283A1ADB"/>
    <w:rsid w:val="29050ECB"/>
    <w:rsid w:val="29AD4D7F"/>
    <w:rsid w:val="29F7C160"/>
    <w:rsid w:val="2A238C37"/>
    <w:rsid w:val="2A2F1183"/>
    <w:rsid w:val="2A464987"/>
    <w:rsid w:val="2A65051F"/>
    <w:rsid w:val="2A7E3D6B"/>
    <w:rsid w:val="2AB7D57C"/>
    <w:rsid w:val="2B47CCF5"/>
    <w:rsid w:val="2BD2A89A"/>
    <w:rsid w:val="2BFC904C"/>
    <w:rsid w:val="2C141B38"/>
    <w:rsid w:val="2C189EA2"/>
    <w:rsid w:val="2C1B5D3C"/>
    <w:rsid w:val="2CBBB7DC"/>
    <w:rsid w:val="2D0490B2"/>
    <w:rsid w:val="2D90CB25"/>
    <w:rsid w:val="2DB72D9D"/>
    <w:rsid w:val="2E1475DF"/>
    <w:rsid w:val="2E21E512"/>
    <w:rsid w:val="2E3B77C5"/>
    <w:rsid w:val="2E59804D"/>
    <w:rsid w:val="2EB53A00"/>
    <w:rsid w:val="2F4B9D58"/>
    <w:rsid w:val="2F4C0B76"/>
    <w:rsid w:val="2F64FF2E"/>
    <w:rsid w:val="2F6DB3D8"/>
    <w:rsid w:val="2F8AC953"/>
    <w:rsid w:val="2FBAC64F"/>
    <w:rsid w:val="30510A61"/>
    <w:rsid w:val="30950B66"/>
    <w:rsid w:val="30ACC666"/>
    <w:rsid w:val="30CE455C"/>
    <w:rsid w:val="30EECE5F"/>
    <w:rsid w:val="31087751"/>
    <w:rsid w:val="315345B3"/>
    <w:rsid w:val="318509DC"/>
    <w:rsid w:val="3185984A"/>
    <w:rsid w:val="33020FC8"/>
    <w:rsid w:val="332D4409"/>
    <w:rsid w:val="3367EF3B"/>
    <w:rsid w:val="3376BA10"/>
    <w:rsid w:val="3404E945"/>
    <w:rsid w:val="341298B6"/>
    <w:rsid w:val="343B3F79"/>
    <w:rsid w:val="345A5591"/>
    <w:rsid w:val="34793E3C"/>
    <w:rsid w:val="34A881CA"/>
    <w:rsid w:val="34B13FDE"/>
    <w:rsid w:val="34D6F5FA"/>
    <w:rsid w:val="35B84565"/>
    <w:rsid w:val="35E8FFFE"/>
    <w:rsid w:val="364B9F84"/>
    <w:rsid w:val="365D62B8"/>
    <w:rsid w:val="3664E4CB"/>
    <w:rsid w:val="36C50766"/>
    <w:rsid w:val="36DA1B28"/>
    <w:rsid w:val="36EEE8EB"/>
    <w:rsid w:val="3733595E"/>
    <w:rsid w:val="38006293"/>
    <w:rsid w:val="3801316C"/>
    <w:rsid w:val="38119D6A"/>
    <w:rsid w:val="382FDF9E"/>
    <w:rsid w:val="38D79250"/>
    <w:rsid w:val="391E64C0"/>
    <w:rsid w:val="394E8757"/>
    <w:rsid w:val="3999739D"/>
    <w:rsid w:val="3A057CE1"/>
    <w:rsid w:val="3A15D2B0"/>
    <w:rsid w:val="3A1B6412"/>
    <w:rsid w:val="3AA1D5DD"/>
    <w:rsid w:val="3ABC7121"/>
    <w:rsid w:val="3ADCEB64"/>
    <w:rsid w:val="3AE87FC0"/>
    <w:rsid w:val="3B3015CF"/>
    <w:rsid w:val="3BC9CDF2"/>
    <w:rsid w:val="3C19CF9A"/>
    <w:rsid w:val="3C1B8477"/>
    <w:rsid w:val="3C255CDE"/>
    <w:rsid w:val="3C405259"/>
    <w:rsid w:val="3C53177E"/>
    <w:rsid w:val="3CE50E8D"/>
    <w:rsid w:val="3CFCD39C"/>
    <w:rsid w:val="3D39EC9C"/>
    <w:rsid w:val="3D3DAD8C"/>
    <w:rsid w:val="3D5C7B65"/>
    <w:rsid w:val="3DDA8C14"/>
    <w:rsid w:val="3DEEE7DF"/>
    <w:rsid w:val="3DF32E83"/>
    <w:rsid w:val="3E3513A0"/>
    <w:rsid w:val="3E4AADCB"/>
    <w:rsid w:val="3E50DF44"/>
    <w:rsid w:val="3E6FF6B0"/>
    <w:rsid w:val="3E7B84FA"/>
    <w:rsid w:val="3E80DEEE"/>
    <w:rsid w:val="3E93A9D3"/>
    <w:rsid w:val="3EAFB5FB"/>
    <w:rsid w:val="3EDA913C"/>
    <w:rsid w:val="3EDDF68C"/>
    <w:rsid w:val="3F12A372"/>
    <w:rsid w:val="3F26D0BA"/>
    <w:rsid w:val="3F311650"/>
    <w:rsid w:val="3F344253"/>
    <w:rsid w:val="3F87A5FF"/>
    <w:rsid w:val="3F8AB840"/>
    <w:rsid w:val="3F94DDB9"/>
    <w:rsid w:val="3FBBF0E3"/>
    <w:rsid w:val="3FE5FA08"/>
    <w:rsid w:val="4006EF63"/>
    <w:rsid w:val="401CAF4F"/>
    <w:rsid w:val="40442BBA"/>
    <w:rsid w:val="4050C950"/>
    <w:rsid w:val="405879E1"/>
    <w:rsid w:val="406EAE5E"/>
    <w:rsid w:val="40AE73D3"/>
    <w:rsid w:val="40C93576"/>
    <w:rsid w:val="41692AD0"/>
    <w:rsid w:val="41A744D9"/>
    <w:rsid w:val="41A79772"/>
    <w:rsid w:val="41C949C3"/>
    <w:rsid w:val="41E5938F"/>
    <w:rsid w:val="421231FE"/>
    <w:rsid w:val="42149038"/>
    <w:rsid w:val="4216C2C2"/>
    <w:rsid w:val="4343153A"/>
    <w:rsid w:val="434367D3"/>
    <w:rsid w:val="4368F239"/>
    <w:rsid w:val="43759054"/>
    <w:rsid w:val="43E61495"/>
    <w:rsid w:val="43E6BB2A"/>
    <w:rsid w:val="44048773"/>
    <w:rsid w:val="4408DAA8"/>
    <w:rsid w:val="441148CB"/>
    <w:rsid w:val="445E2963"/>
    <w:rsid w:val="45A057D4"/>
    <w:rsid w:val="45D56E29"/>
    <w:rsid w:val="461274C6"/>
    <w:rsid w:val="462B3267"/>
    <w:rsid w:val="468772C3"/>
    <w:rsid w:val="46BF1045"/>
    <w:rsid w:val="46E27067"/>
    <w:rsid w:val="47CC0E3A"/>
    <w:rsid w:val="47DCE89D"/>
    <w:rsid w:val="47E84A81"/>
    <w:rsid w:val="47F6009A"/>
    <w:rsid w:val="47FEB261"/>
    <w:rsid w:val="4826694D"/>
    <w:rsid w:val="48490177"/>
    <w:rsid w:val="488D18ED"/>
    <w:rsid w:val="48E4BCD2"/>
    <w:rsid w:val="4912CF85"/>
    <w:rsid w:val="492ED9D7"/>
    <w:rsid w:val="4962D329"/>
    <w:rsid w:val="497822EA"/>
    <w:rsid w:val="49B256BE"/>
    <w:rsid w:val="49B2A957"/>
    <w:rsid w:val="49BA96DD"/>
    <w:rsid w:val="49BD8E39"/>
    <w:rsid w:val="49CD48A7"/>
    <w:rsid w:val="49E4D1D8"/>
    <w:rsid w:val="4A0FF66C"/>
    <w:rsid w:val="4A28E94E"/>
    <w:rsid w:val="4A73C8F7"/>
    <w:rsid w:val="4ACD6AE7"/>
    <w:rsid w:val="4B069110"/>
    <w:rsid w:val="4B168BE4"/>
    <w:rsid w:val="4B2BCE7A"/>
    <w:rsid w:val="4B4E271F"/>
    <w:rsid w:val="4B628452"/>
    <w:rsid w:val="4B6863E3"/>
    <w:rsid w:val="4B7A07D1"/>
    <w:rsid w:val="4BCC00DF"/>
    <w:rsid w:val="4BF83C95"/>
    <w:rsid w:val="4C0BD9D2"/>
    <w:rsid w:val="4CA26171"/>
    <w:rsid w:val="4CC62C09"/>
    <w:rsid w:val="4D111083"/>
    <w:rsid w:val="4D1C729A"/>
    <w:rsid w:val="4D92DA16"/>
    <w:rsid w:val="4DA1464D"/>
    <w:rsid w:val="4DD5CCED"/>
    <w:rsid w:val="4DF2C830"/>
    <w:rsid w:val="4E010B89"/>
    <w:rsid w:val="4E610447"/>
    <w:rsid w:val="4E6640AF"/>
    <w:rsid w:val="4E85C7E1"/>
    <w:rsid w:val="4E861A7A"/>
    <w:rsid w:val="4EC8C857"/>
    <w:rsid w:val="4F40CD21"/>
    <w:rsid w:val="4F6D35DA"/>
    <w:rsid w:val="4F719D4E"/>
    <w:rsid w:val="4FA5B74F"/>
    <w:rsid w:val="4FCDDD74"/>
    <w:rsid w:val="5029D861"/>
    <w:rsid w:val="5039270B"/>
    <w:rsid w:val="50CC0674"/>
    <w:rsid w:val="51290FDD"/>
    <w:rsid w:val="5175D294"/>
    <w:rsid w:val="51BDBB3C"/>
    <w:rsid w:val="51C5A8C2"/>
    <w:rsid w:val="5244C1F9"/>
    <w:rsid w:val="5286C862"/>
    <w:rsid w:val="529211E3"/>
    <w:rsid w:val="529E4AD7"/>
    <w:rsid w:val="52B57205"/>
    <w:rsid w:val="5378A8AE"/>
    <w:rsid w:val="539754E7"/>
    <w:rsid w:val="53B0A818"/>
    <w:rsid w:val="54E8CCE0"/>
    <w:rsid w:val="54F55BFE"/>
    <w:rsid w:val="55000CE8"/>
    <w:rsid w:val="5529797B"/>
    <w:rsid w:val="55384AB4"/>
    <w:rsid w:val="55B4D989"/>
    <w:rsid w:val="55BFD0A5"/>
    <w:rsid w:val="5642626E"/>
    <w:rsid w:val="56527943"/>
    <w:rsid w:val="56944237"/>
    <w:rsid w:val="56B21A09"/>
    <w:rsid w:val="5727AB4E"/>
    <w:rsid w:val="576B745C"/>
    <w:rsid w:val="579DEF76"/>
    <w:rsid w:val="579F027D"/>
    <w:rsid w:val="5901C577"/>
    <w:rsid w:val="59852C60"/>
    <w:rsid w:val="59B5D732"/>
    <w:rsid w:val="5A02F95D"/>
    <w:rsid w:val="5A1B0E6B"/>
    <w:rsid w:val="5A1BCFF6"/>
    <w:rsid w:val="5A2258E6"/>
    <w:rsid w:val="5A24D2DD"/>
    <w:rsid w:val="5A89ECC1"/>
    <w:rsid w:val="5AD5FFE6"/>
    <w:rsid w:val="5B20FCC1"/>
    <w:rsid w:val="5B461479"/>
    <w:rsid w:val="5C2DAAA8"/>
    <w:rsid w:val="5C5B873B"/>
    <w:rsid w:val="5C775B59"/>
    <w:rsid w:val="5CB14E5C"/>
    <w:rsid w:val="5CB5780F"/>
    <w:rsid w:val="5CB8853B"/>
    <w:rsid w:val="5D169292"/>
    <w:rsid w:val="5D1FC7B3"/>
    <w:rsid w:val="5D8C3583"/>
    <w:rsid w:val="5DC18D83"/>
    <w:rsid w:val="5DD1779C"/>
    <w:rsid w:val="5DD71FD4"/>
    <w:rsid w:val="5DDAB5E0"/>
    <w:rsid w:val="5DFA0A84"/>
    <w:rsid w:val="5E24AEF9"/>
    <w:rsid w:val="5E2A570F"/>
    <w:rsid w:val="5E514870"/>
    <w:rsid w:val="5E5212F4"/>
    <w:rsid w:val="5E88197B"/>
    <w:rsid w:val="5F8B83F3"/>
    <w:rsid w:val="5F907AD1"/>
    <w:rsid w:val="605E7748"/>
    <w:rsid w:val="6124B384"/>
    <w:rsid w:val="613EA940"/>
    <w:rsid w:val="6172CE01"/>
    <w:rsid w:val="617A089A"/>
    <w:rsid w:val="61A7C7EB"/>
    <w:rsid w:val="61DBCC8C"/>
    <w:rsid w:val="6270E40B"/>
    <w:rsid w:val="62768BC8"/>
    <w:rsid w:val="62FBA4AC"/>
    <w:rsid w:val="63480695"/>
    <w:rsid w:val="6372041B"/>
    <w:rsid w:val="637D28F6"/>
    <w:rsid w:val="638F0937"/>
    <w:rsid w:val="639594FC"/>
    <w:rsid w:val="63C08FE0"/>
    <w:rsid w:val="63CFD649"/>
    <w:rsid w:val="641BBB88"/>
    <w:rsid w:val="642AB2FF"/>
    <w:rsid w:val="6430CF07"/>
    <w:rsid w:val="64B110DB"/>
    <w:rsid w:val="64B6680F"/>
    <w:rsid w:val="64ED4F57"/>
    <w:rsid w:val="65196BF0"/>
    <w:rsid w:val="65516EFF"/>
    <w:rsid w:val="6591CCEF"/>
    <w:rsid w:val="65BD2627"/>
    <w:rsid w:val="6605EBED"/>
    <w:rsid w:val="66C6D17A"/>
    <w:rsid w:val="66F14C82"/>
    <w:rsid w:val="670D230C"/>
    <w:rsid w:val="670D2A69"/>
    <w:rsid w:val="67C3688F"/>
    <w:rsid w:val="6808F17C"/>
    <w:rsid w:val="68685ED7"/>
    <w:rsid w:val="686A66E5"/>
    <w:rsid w:val="687A0F63"/>
    <w:rsid w:val="68B94D43"/>
    <w:rsid w:val="68C08536"/>
    <w:rsid w:val="68FE5933"/>
    <w:rsid w:val="69F3E3AA"/>
    <w:rsid w:val="6A063746"/>
    <w:rsid w:val="6A618B58"/>
    <w:rsid w:val="6A7AD60E"/>
    <w:rsid w:val="6AAA7BB4"/>
    <w:rsid w:val="6B6425C9"/>
    <w:rsid w:val="6B6F82E0"/>
    <w:rsid w:val="6B7EA705"/>
    <w:rsid w:val="6B8A31E0"/>
    <w:rsid w:val="6B9A429D"/>
    <w:rsid w:val="6C364E0E"/>
    <w:rsid w:val="6CD6E63D"/>
    <w:rsid w:val="6D4507DF"/>
    <w:rsid w:val="6DBE9DEA"/>
    <w:rsid w:val="6DE3C0D1"/>
    <w:rsid w:val="6DE6D5F1"/>
    <w:rsid w:val="6DF919C9"/>
    <w:rsid w:val="6E205487"/>
    <w:rsid w:val="6E2B424A"/>
    <w:rsid w:val="6E3F7DEE"/>
    <w:rsid w:val="6E40677D"/>
    <w:rsid w:val="6EB65AF6"/>
    <w:rsid w:val="6ED9040D"/>
    <w:rsid w:val="6FC712AB"/>
    <w:rsid w:val="7005378B"/>
    <w:rsid w:val="705609CA"/>
    <w:rsid w:val="706AFFC3"/>
    <w:rsid w:val="706CA921"/>
    <w:rsid w:val="70DD4337"/>
    <w:rsid w:val="7151E722"/>
    <w:rsid w:val="718A0635"/>
    <w:rsid w:val="72475F7B"/>
    <w:rsid w:val="72BA50D4"/>
    <w:rsid w:val="72C1441F"/>
    <w:rsid w:val="72CC8AEC"/>
    <w:rsid w:val="72E8E7B3"/>
    <w:rsid w:val="72F1A166"/>
    <w:rsid w:val="72FD1F93"/>
    <w:rsid w:val="72FEB36D"/>
    <w:rsid w:val="73B0C56E"/>
    <w:rsid w:val="740DD60D"/>
    <w:rsid w:val="749A83CE"/>
    <w:rsid w:val="753283CE"/>
    <w:rsid w:val="753EE8B2"/>
    <w:rsid w:val="7586593B"/>
    <w:rsid w:val="75A50783"/>
    <w:rsid w:val="75CCDFFF"/>
    <w:rsid w:val="75E5D81B"/>
    <w:rsid w:val="76049795"/>
    <w:rsid w:val="760D79F7"/>
    <w:rsid w:val="7621A92E"/>
    <w:rsid w:val="763AAE6D"/>
    <w:rsid w:val="76908571"/>
    <w:rsid w:val="769D0D03"/>
    <w:rsid w:val="76DA9699"/>
    <w:rsid w:val="76F3798B"/>
    <w:rsid w:val="76F864AF"/>
    <w:rsid w:val="7704FF77"/>
    <w:rsid w:val="77E90E10"/>
    <w:rsid w:val="7879C657"/>
    <w:rsid w:val="78895330"/>
    <w:rsid w:val="78C4ED06"/>
    <w:rsid w:val="78D5FDBF"/>
    <w:rsid w:val="7973495F"/>
    <w:rsid w:val="7990BD09"/>
    <w:rsid w:val="79BCBB73"/>
    <w:rsid w:val="7A46FE94"/>
    <w:rsid w:val="7A7A601E"/>
    <w:rsid w:val="7A97AB9B"/>
    <w:rsid w:val="7A9C2D22"/>
    <w:rsid w:val="7AB0AFD3"/>
    <w:rsid w:val="7AB2A1C2"/>
    <w:rsid w:val="7ADAC374"/>
    <w:rsid w:val="7AE4EF57"/>
    <w:rsid w:val="7AEF091B"/>
    <w:rsid w:val="7AF51A51"/>
    <w:rsid w:val="7B03A00D"/>
    <w:rsid w:val="7B251642"/>
    <w:rsid w:val="7B50A5C5"/>
    <w:rsid w:val="7B6097AF"/>
    <w:rsid w:val="7B98BC71"/>
    <w:rsid w:val="7BE7EE61"/>
    <w:rsid w:val="7C1C06C3"/>
    <w:rsid w:val="7C3E350C"/>
    <w:rsid w:val="7C7FCB6D"/>
    <w:rsid w:val="7CA634F6"/>
    <w:rsid w:val="7D0914A2"/>
    <w:rsid w:val="7D348CD2"/>
    <w:rsid w:val="7D6F5248"/>
    <w:rsid w:val="7D7C4C43"/>
    <w:rsid w:val="7DA841FC"/>
    <w:rsid w:val="7DB8FB1E"/>
    <w:rsid w:val="7DDFAB89"/>
    <w:rsid w:val="7E60DBD2"/>
    <w:rsid w:val="7E6DF35C"/>
    <w:rsid w:val="7E98C1F8"/>
    <w:rsid w:val="7E9C79DD"/>
    <w:rsid w:val="7ED05D33"/>
    <w:rsid w:val="7F84E688"/>
    <w:rsid w:val="7FB0D2A4"/>
    <w:rsid w:val="7FC4D81E"/>
    <w:rsid w:val="7FC6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0A1D"/>
  <w15:docId w15:val="{C6B11DEF-E015-44E4-9B29-9B48E653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3EDA913C"/>
    <w:rPr>
      <w:sz w:val="24"/>
      <w:szCs w:val="24"/>
      <w:lang w:eastAsia="en-US"/>
    </w:rPr>
  </w:style>
  <w:style w:type="paragraph" w:styleId="Heading1">
    <w:name w:val="heading 1"/>
    <w:basedOn w:val="Normal"/>
    <w:next w:val="Normal"/>
    <w:link w:val="Heading1Char"/>
    <w:uiPriority w:val="9"/>
    <w:qFormat/>
    <w:rsid w:val="3EDA913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3EDA91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3EDA913C"/>
    <w:pPr>
      <w:keepNext/>
      <w:keepLines/>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rsid w:val="3EDA913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3EDA91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3EDA913C"/>
    <w:pPr>
      <w:keepNext/>
      <w:keepLines/>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rsid w:val="3EDA913C"/>
    <w:pPr>
      <w:keepNext/>
      <w:keepLines/>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rsid w:val="3EDA913C"/>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EDA913C"/>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513"/>
        <w:tab w:val="right" w:pos="9026"/>
      </w:tabs>
    </w:pPr>
    <w:rPr>
      <w:rFonts w:cs="Arial Unicode MS"/>
      <w:color w:val="000000"/>
      <w:sz w:val="24"/>
      <w:szCs w:val="24"/>
      <w:u w:color="000000"/>
      <w:lang w:val="en-US"/>
    </w:rPr>
  </w:style>
  <w:style w:type="paragraph" w:styleId="Header">
    <w:name w:val="header"/>
    <w:pPr>
      <w:tabs>
        <w:tab w:val="center" w:pos="4513"/>
        <w:tab w:val="right" w:pos="9000"/>
      </w:tabs>
      <w:jc w:val="center"/>
    </w:pPr>
    <w:rPr>
      <w:rFonts w:ascii="Arial" w:hAnsi="Arial" w:cs="Arial Unicode MS"/>
      <w:color w:val="000000"/>
      <w:sz w:val="22"/>
      <w:szCs w:val="22"/>
      <w:u w:color="000000"/>
      <w:lang w:val="en-US"/>
    </w:rPr>
  </w:style>
  <w:style w:type="paragraph" w:customStyle="1" w:styleId="BodyText1">
    <w:name w:val="Body Text1"/>
    <w:pPr>
      <w:spacing w:after="120" w:line="256" w:lineRule="auto"/>
    </w:pPr>
    <w:rPr>
      <w:rFonts w:ascii="Arial" w:hAnsi="Arial" w:cs="Arial Unicode MS"/>
      <w:color w:val="000000"/>
      <w:sz w:val="22"/>
      <w:szCs w:val="22"/>
      <w:u w:color="000000"/>
      <w:lang w:val="en-US"/>
    </w:rPr>
  </w:style>
  <w:style w:type="character" w:customStyle="1" w:styleId="None">
    <w:name w:val="None"/>
  </w:style>
  <w:style w:type="character" w:customStyle="1" w:styleId="Hyperlink0">
    <w:name w:val="Hyperlink.0"/>
    <w:basedOn w:val="None"/>
    <w:rPr>
      <w:rFonts w:ascii="Calibri" w:eastAsia="Calibri" w:hAnsi="Calibri" w:cs="Calibri"/>
      <w:outline w:val="0"/>
      <w:color w:val="000000"/>
      <w:u w:val="single" w:color="000000"/>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customStyle="1" w:styleId="font-italic">
    <w:name w:val="font-italic"/>
    <w:rPr>
      <w:lang w:val="en-US"/>
    </w:rPr>
  </w:style>
  <w:style w:type="paragraph" w:customStyle="1" w:styleId="CommentText1">
    <w:name w:val="Comment Text1"/>
    <w:pPr>
      <w:spacing w:after="120"/>
      <w:jc w:val="both"/>
    </w:pPr>
    <w:rPr>
      <w:rFonts w:ascii="Open Sans" w:eastAsia="Open Sans" w:hAnsi="Open Sans" w:cs="Open Sans"/>
      <w:b/>
      <w:bCs/>
      <w:color w:val="000000"/>
      <w:u w:color="000000"/>
      <w:lang w:val="en-US"/>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styleId="FootnoteText">
    <w:name w:val="footnote text"/>
    <w:rPr>
      <w:rFonts w:eastAsia="Times New Roman"/>
      <w:color w:val="000000"/>
      <w:u w:color="000000"/>
      <w:lang w:val="en-US"/>
    </w:rPr>
  </w:style>
  <w:style w:type="character" w:customStyle="1" w:styleId="Hyperlink1">
    <w:name w:val="Hyperlink.1"/>
    <w:basedOn w:val="None"/>
    <w:rPr>
      <w:rFonts w:ascii="Calibri" w:eastAsia="Calibri" w:hAnsi="Calibri" w:cs="Calibri"/>
      <w:outline w:val="0"/>
      <w:color w:val="0000FF"/>
      <w:sz w:val="16"/>
      <w:szCs w:val="16"/>
      <w:u w:val="single" w:color="0000FF"/>
    </w:rPr>
  </w:style>
  <w:style w:type="numbering" w:customStyle="1" w:styleId="ImportedStyle1">
    <w:name w:val="Imported Style 1"/>
    <w:pPr>
      <w:numPr>
        <w:numId w:val="3"/>
      </w:numPr>
    </w:pPr>
  </w:style>
  <w:style w:type="paragraph" w:styleId="ListParagraph">
    <w:name w:val="List Paragraph"/>
    <w:pPr>
      <w:ind w:left="720"/>
    </w:pPr>
    <w:rPr>
      <w:rFonts w:cs="Arial Unicode MS"/>
      <w:color w:val="000000"/>
      <w:sz w:val="24"/>
      <w:szCs w:val="24"/>
      <w:u w:color="000000"/>
      <w:lang w:val="en-US"/>
    </w:rPr>
  </w:style>
  <w:style w:type="paragraph" w:customStyle="1" w:styleId="Heading">
    <w:name w:val="Heading"/>
    <w:next w:val="BodyA"/>
    <w:pPr>
      <w:keepNext/>
      <w:keepLines/>
      <w:spacing w:before="240"/>
      <w:outlineLvl w:val="0"/>
    </w:pPr>
    <w:rPr>
      <w:rFonts w:ascii="Calibri" w:eastAsia="Calibri" w:hAnsi="Calibri" w:cs="Calibri"/>
      <w:color w:val="2E74B5"/>
      <w:sz w:val="32"/>
      <w:szCs w:val="32"/>
      <w:u w:color="2E74B5"/>
      <w:lang w:val="en-US"/>
      <w14:textOutline w14:w="12700" w14:cap="flat" w14:cmpd="sng" w14:algn="ctr">
        <w14:noFill/>
        <w14:prstDash w14:val="solid"/>
        <w14:miter w14:lim="400000"/>
      </w14:textOutline>
    </w:rPr>
  </w:style>
  <w:style w:type="character" w:customStyle="1" w:styleId="Hyperlink2">
    <w:name w:val="Hyperlink.2"/>
    <w:basedOn w:val="None"/>
    <w:rPr>
      <w:outline w:val="0"/>
      <w:color w:val="0000FF"/>
      <w:sz w:val="16"/>
      <w:szCs w:val="16"/>
      <w:u w:val="single" w:color="0000FF"/>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paragraph" w:styleId="Title">
    <w:name w:val="Title"/>
    <w:basedOn w:val="Normal"/>
    <w:next w:val="Normal"/>
    <w:link w:val="TitleChar"/>
    <w:uiPriority w:val="10"/>
    <w:qFormat/>
    <w:rsid w:val="3EDA913C"/>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EDA913C"/>
    <w:rPr>
      <w:rFonts w:eastAsiaTheme="minorEastAsia"/>
      <w:color w:val="5A5A5A"/>
    </w:rPr>
  </w:style>
  <w:style w:type="paragraph" w:styleId="Quote">
    <w:name w:val="Quote"/>
    <w:basedOn w:val="Normal"/>
    <w:next w:val="Normal"/>
    <w:link w:val="QuoteChar"/>
    <w:uiPriority w:val="29"/>
    <w:qFormat/>
    <w:rsid w:val="3EDA913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EDA913C"/>
    <w:pPr>
      <w:spacing w:before="360" w:after="360"/>
      <w:ind w:left="864" w:right="864"/>
      <w:jc w:val="center"/>
    </w:pPr>
    <w:rPr>
      <w:i/>
      <w:iCs/>
      <w:color w:val="5B9BD5" w:themeColor="accent1"/>
    </w:rPr>
  </w:style>
  <w:style w:type="character" w:customStyle="1" w:styleId="Heading1Char">
    <w:name w:val="Heading 1 Char"/>
    <w:basedOn w:val="DefaultParagraphFont"/>
    <w:link w:val="Heading1"/>
    <w:uiPriority w:val="9"/>
    <w:rsid w:val="3EDA913C"/>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3EDA913C"/>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sid w:val="3EDA913C"/>
    <w:rPr>
      <w:rFonts w:asciiTheme="majorHAnsi" w:eastAsiaTheme="majorEastAsia" w:hAnsiTheme="majorHAnsi" w:cstheme="majorBidi"/>
      <w:color w:val="1F4D78"/>
      <w:sz w:val="24"/>
      <w:szCs w:val="24"/>
      <w:lang w:eastAsia="en-US"/>
    </w:rPr>
  </w:style>
  <w:style w:type="character" w:customStyle="1" w:styleId="Heading4Char">
    <w:name w:val="Heading 4 Char"/>
    <w:basedOn w:val="DefaultParagraphFont"/>
    <w:link w:val="Heading4"/>
    <w:uiPriority w:val="9"/>
    <w:rsid w:val="3EDA913C"/>
    <w:rPr>
      <w:rFonts w:asciiTheme="majorHAnsi" w:eastAsiaTheme="majorEastAsia" w:hAnsiTheme="majorHAnsi" w:cstheme="majorBidi"/>
      <w:i/>
      <w:iCs/>
      <w:color w:val="2E74B5" w:themeColor="accent1" w:themeShade="BF"/>
      <w:sz w:val="24"/>
      <w:szCs w:val="24"/>
      <w:lang w:eastAsia="en-US"/>
    </w:rPr>
  </w:style>
  <w:style w:type="character" w:customStyle="1" w:styleId="Heading5Char">
    <w:name w:val="Heading 5 Char"/>
    <w:basedOn w:val="DefaultParagraphFont"/>
    <w:link w:val="Heading5"/>
    <w:uiPriority w:val="9"/>
    <w:rsid w:val="3EDA913C"/>
    <w:rPr>
      <w:rFonts w:asciiTheme="majorHAnsi" w:eastAsiaTheme="majorEastAsia" w:hAnsiTheme="majorHAnsi" w:cstheme="majorBidi"/>
      <w:color w:val="2E74B5" w:themeColor="accent1" w:themeShade="BF"/>
      <w:sz w:val="24"/>
      <w:szCs w:val="24"/>
      <w:lang w:eastAsia="en-US"/>
    </w:rPr>
  </w:style>
  <w:style w:type="character" w:customStyle="1" w:styleId="Heading6Char">
    <w:name w:val="Heading 6 Char"/>
    <w:basedOn w:val="DefaultParagraphFont"/>
    <w:link w:val="Heading6"/>
    <w:uiPriority w:val="9"/>
    <w:rsid w:val="3EDA913C"/>
    <w:rPr>
      <w:rFonts w:asciiTheme="majorHAnsi" w:eastAsiaTheme="majorEastAsia" w:hAnsiTheme="majorHAnsi" w:cstheme="majorBidi"/>
      <w:color w:val="1F4D78"/>
      <w:sz w:val="24"/>
      <w:szCs w:val="24"/>
      <w:lang w:eastAsia="en-US"/>
    </w:rPr>
  </w:style>
  <w:style w:type="character" w:customStyle="1" w:styleId="Heading7Char">
    <w:name w:val="Heading 7 Char"/>
    <w:basedOn w:val="DefaultParagraphFont"/>
    <w:link w:val="Heading7"/>
    <w:uiPriority w:val="9"/>
    <w:rsid w:val="3EDA913C"/>
    <w:rPr>
      <w:rFonts w:asciiTheme="majorHAnsi" w:eastAsiaTheme="majorEastAsia" w:hAnsiTheme="majorHAnsi" w:cstheme="majorBidi"/>
      <w:i/>
      <w:iCs/>
      <w:color w:val="1F4D78"/>
      <w:sz w:val="24"/>
      <w:szCs w:val="24"/>
      <w:lang w:eastAsia="en-US"/>
    </w:rPr>
  </w:style>
  <w:style w:type="character" w:customStyle="1" w:styleId="Heading8Char">
    <w:name w:val="Heading 8 Char"/>
    <w:basedOn w:val="DefaultParagraphFont"/>
    <w:link w:val="Heading8"/>
    <w:uiPriority w:val="9"/>
    <w:rsid w:val="3EDA913C"/>
    <w:rPr>
      <w:rFonts w:asciiTheme="majorHAnsi" w:eastAsiaTheme="majorEastAsia" w:hAnsiTheme="majorHAnsi" w:cstheme="majorBidi"/>
      <w:color w:val="272727"/>
      <w:sz w:val="21"/>
      <w:szCs w:val="21"/>
      <w:lang w:eastAsia="en-US"/>
    </w:rPr>
  </w:style>
  <w:style w:type="character" w:customStyle="1" w:styleId="Heading9Char">
    <w:name w:val="Heading 9 Char"/>
    <w:basedOn w:val="DefaultParagraphFont"/>
    <w:link w:val="Heading9"/>
    <w:uiPriority w:val="9"/>
    <w:rsid w:val="3EDA913C"/>
    <w:rPr>
      <w:rFonts w:asciiTheme="majorHAnsi" w:eastAsiaTheme="majorEastAsia" w:hAnsiTheme="majorHAnsi" w:cstheme="majorBidi"/>
      <w:i/>
      <w:iCs/>
      <w:color w:val="272727"/>
      <w:sz w:val="21"/>
      <w:szCs w:val="21"/>
      <w:lang w:eastAsia="en-US"/>
    </w:rPr>
  </w:style>
  <w:style w:type="character" w:customStyle="1" w:styleId="TitleChar">
    <w:name w:val="Title Char"/>
    <w:basedOn w:val="DefaultParagraphFont"/>
    <w:link w:val="Title"/>
    <w:uiPriority w:val="10"/>
    <w:rsid w:val="3EDA913C"/>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rsid w:val="3EDA913C"/>
    <w:rPr>
      <w:rFonts w:eastAsiaTheme="minorEastAsia"/>
      <w:color w:val="5A5A5A"/>
      <w:sz w:val="24"/>
      <w:szCs w:val="24"/>
      <w:lang w:eastAsia="en-US"/>
    </w:rPr>
  </w:style>
  <w:style w:type="character" w:customStyle="1" w:styleId="QuoteChar">
    <w:name w:val="Quote Char"/>
    <w:basedOn w:val="DefaultParagraphFont"/>
    <w:link w:val="Quote"/>
    <w:uiPriority w:val="29"/>
    <w:rsid w:val="3EDA913C"/>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EDA913C"/>
    <w:rPr>
      <w:i/>
      <w:iCs/>
      <w:noProof w:val="0"/>
      <w:color w:val="5B9BD5" w:themeColor="accent1"/>
      <w:lang w:val="en-GB"/>
    </w:rPr>
  </w:style>
  <w:style w:type="paragraph" w:styleId="TOC1">
    <w:name w:val="toc 1"/>
    <w:basedOn w:val="Normal"/>
    <w:next w:val="Normal"/>
    <w:uiPriority w:val="39"/>
    <w:unhideWhenUsed/>
    <w:rsid w:val="3EDA913C"/>
    <w:pPr>
      <w:spacing w:after="100"/>
    </w:pPr>
  </w:style>
  <w:style w:type="paragraph" w:styleId="TOC2">
    <w:name w:val="toc 2"/>
    <w:basedOn w:val="Normal"/>
    <w:next w:val="Normal"/>
    <w:uiPriority w:val="39"/>
    <w:unhideWhenUsed/>
    <w:rsid w:val="3EDA913C"/>
    <w:pPr>
      <w:spacing w:after="100"/>
      <w:ind w:left="220"/>
    </w:pPr>
  </w:style>
  <w:style w:type="paragraph" w:styleId="TOC3">
    <w:name w:val="toc 3"/>
    <w:basedOn w:val="Normal"/>
    <w:next w:val="Normal"/>
    <w:uiPriority w:val="39"/>
    <w:unhideWhenUsed/>
    <w:rsid w:val="3EDA913C"/>
    <w:pPr>
      <w:spacing w:after="100"/>
      <w:ind w:left="440"/>
    </w:pPr>
  </w:style>
  <w:style w:type="paragraph" w:styleId="TOC4">
    <w:name w:val="toc 4"/>
    <w:basedOn w:val="Normal"/>
    <w:next w:val="Normal"/>
    <w:uiPriority w:val="39"/>
    <w:unhideWhenUsed/>
    <w:rsid w:val="3EDA913C"/>
    <w:pPr>
      <w:spacing w:after="100"/>
      <w:ind w:left="660"/>
    </w:pPr>
  </w:style>
  <w:style w:type="paragraph" w:styleId="TOC5">
    <w:name w:val="toc 5"/>
    <w:basedOn w:val="Normal"/>
    <w:next w:val="Normal"/>
    <w:uiPriority w:val="39"/>
    <w:unhideWhenUsed/>
    <w:rsid w:val="3EDA913C"/>
    <w:pPr>
      <w:spacing w:after="100"/>
      <w:ind w:left="880"/>
    </w:pPr>
  </w:style>
  <w:style w:type="paragraph" w:styleId="TOC6">
    <w:name w:val="toc 6"/>
    <w:basedOn w:val="Normal"/>
    <w:next w:val="Normal"/>
    <w:uiPriority w:val="39"/>
    <w:unhideWhenUsed/>
    <w:rsid w:val="3EDA913C"/>
    <w:pPr>
      <w:spacing w:after="100"/>
      <w:ind w:left="1100"/>
    </w:pPr>
  </w:style>
  <w:style w:type="paragraph" w:styleId="TOC7">
    <w:name w:val="toc 7"/>
    <w:basedOn w:val="Normal"/>
    <w:next w:val="Normal"/>
    <w:uiPriority w:val="39"/>
    <w:unhideWhenUsed/>
    <w:rsid w:val="3EDA913C"/>
    <w:pPr>
      <w:spacing w:after="100"/>
      <w:ind w:left="1320"/>
    </w:pPr>
  </w:style>
  <w:style w:type="paragraph" w:styleId="TOC8">
    <w:name w:val="toc 8"/>
    <w:basedOn w:val="Normal"/>
    <w:next w:val="Normal"/>
    <w:uiPriority w:val="39"/>
    <w:unhideWhenUsed/>
    <w:rsid w:val="3EDA913C"/>
    <w:pPr>
      <w:spacing w:after="100"/>
      <w:ind w:left="1540"/>
    </w:pPr>
  </w:style>
  <w:style w:type="paragraph" w:styleId="TOC9">
    <w:name w:val="toc 9"/>
    <w:basedOn w:val="Normal"/>
    <w:next w:val="Normal"/>
    <w:uiPriority w:val="39"/>
    <w:unhideWhenUsed/>
    <w:rsid w:val="3EDA913C"/>
    <w:pPr>
      <w:spacing w:after="100"/>
      <w:ind w:left="1760"/>
    </w:pPr>
  </w:style>
  <w:style w:type="paragraph" w:styleId="EndnoteText">
    <w:name w:val="endnote text"/>
    <w:basedOn w:val="Normal"/>
    <w:link w:val="EndnoteTextChar"/>
    <w:uiPriority w:val="99"/>
    <w:semiHidden/>
    <w:unhideWhenUsed/>
    <w:rsid w:val="3EDA913C"/>
    <w:rPr>
      <w:sz w:val="20"/>
      <w:szCs w:val="20"/>
    </w:rPr>
  </w:style>
  <w:style w:type="character" w:customStyle="1" w:styleId="EndnoteTextChar">
    <w:name w:val="Endnote Text Char"/>
    <w:basedOn w:val="DefaultParagraphFont"/>
    <w:link w:val="EndnoteText"/>
    <w:uiPriority w:val="99"/>
    <w:semiHidden/>
    <w:rsid w:val="3EDA913C"/>
    <w:rPr>
      <w:lang w:eastAsia="en-US"/>
    </w:rPr>
  </w:style>
  <w:style w:type="character" w:styleId="UnresolvedMention">
    <w:name w:val="Unresolved Mention"/>
    <w:basedOn w:val="DefaultParagraphFont"/>
    <w:uiPriority w:val="99"/>
    <w:semiHidden/>
    <w:unhideWhenUsed/>
    <w:rsid w:val="00EF6176"/>
    <w:rPr>
      <w:color w:val="605E5C"/>
      <w:shd w:val="clear" w:color="auto" w:fill="E1DFDD"/>
    </w:rPr>
  </w:style>
  <w:style w:type="character" w:customStyle="1" w:styleId="normaltextrun">
    <w:name w:val="normaltextrun"/>
    <w:basedOn w:val="DefaultParagraphFont"/>
    <w:rsid w:val="002B04D4"/>
  </w:style>
  <w:style w:type="paragraph" w:styleId="NormalWeb">
    <w:name w:val="Normal (Web)"/>
    <w:basedOn w:val="Normal"/>
    <w:uiPriority w:val="99"/>
    <w:semiHidden/>
    <w:unhideWhenUsed/>
    <w:rsid w:val="005C09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customStyle="1" w:styleId="FooterChar">
    <w:name w:val="Footer Char"/>
    <w:basedOn w:val="DefaultParagraphFont"/>
    <w:link w:val="Footer"/>
    <w:uiPriority w:val="99"/>
    <w:rsid w:val="00E67E70"/>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74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Giada.girelli@hri.global"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ri.global/flagship-research/death-penalty/" TargetMode="External"/><Relationship Id="rId24" Type="http://schemas.openxmlformats.org/officeDocument/2006/relationships/footer" Target="footer6.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ri.global/files/2019/02/22/HRI_DeathPenaltyReport_2019.pdf" TargetMode="External"/><Relationship Id="rId1" Type="http://schemas.openxmlformats.org/officeDocument/2006/relationships/hyperlink" Target="https://hri.global/flagship-research/death-penalty/the-death-penalty-for-drug-offences-global-overview-2023/"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Ajeng Larasati</DisplayName>
        <AccountId>21</AccountId>
        <AccountType/>
      </UserInfo>
      <UserInfo>
        <DisplayName>Giada Girelli</DisplayName>
        <AccountId>33</AccountId>
        <AccountType/>
      </UserInfo>
      <UserInfo>
        <DisplayName>Marcela Jofre</DisplayName>
        <AccountId>28</AccountId>
        <AccountType/>
      </UserInfo>
    </SharedWithUsers>
    <Category xmlns="d42e65b2-cf21-49c1-b27d-d23f90380c0e">CSOs</Category>
    <Filename xmlns="d42e65b2-cf21-49c1-b27d-d23f90380c0e" xsi:nil="true"/>
    <Doctype xmlns="d42e65b2-cf21-49c1-b27d-d23f90380c0e">input</Doctype>
    <Contributor xmlns="d42e65b2-cf21-49c1-b27d-d23f90380c0e">Harm Reduction International</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2715BC-4733-4301-8485-80A11965834A}"/>
</file>

<file path=customXml/itemProps2.xml><?xml version="1.0" encoding="utf-8"?>
<ds:datastoreItem xmlns:ds="http://schemas.openxmlformats.org/officeDocument/2006/customXml" ds:itemID="{66F1709E-08B8-4F91-AB5E-C0DCBC675001}">
  <ds:schemaRefs>
    <ds:schemaRef ds:uri="http://schemas.microsoft.com/office/2006/metadata/properties"/>
    <ds:schemaRef ds:uri="http://schemas.microsoft.com/office/infopath/2007/PartnerControls"/>
    <ds:schemaRef ds:uri="2b87fd90-7596-42dd-96a9-419155b30318"/>
    <ds:schemaRef ds:uri="c678408e-6511-47a1-9a6c-f28d39895d50"/>
  </ds:schemaRefs>
</ds:datastoreItem>
</file>

<file path=customXml/itemProps3.xml><?xml version="1.0" encoding="utf-8"?>
<ds:datastoreItem xmlns:ds="http://schemas.openxmlformats.org/officeDocument/2006/customXml" ds:itemID="{0C6097BA-27A9-43FA-AA5F-0DE812EBF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1402</Words>
  <Characters>7998</Characters>
  <Application>Microsoft Office Word</Application>
  <DocSecurity>0</DocSecurity>
  <Lines>66</Lines>
  <Paragraphs>18</Paragraphs>
  <ScaleCrop>false</ScaleCrop>
  <Company>HRI</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Giada-HRI</dc:creator>
  <cp:keywords/>
  <cp:lastModifiedBy>Giada Girelli</cp:lastModifiedBy>
  <cp:revision>50</cp:revision>
  <dcterms:created xsi:type="dcterms:W3CDTF">2024-04-08T17:51:00Z</dcterms:created>
  <dcterms:modified xsi:type="dcterms:W3CDTF">2024-04-10T05:51:00Z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711600</vt:r8>
  </property>
  <property fmtid="{D5CDD505-2E9C-101B-9397-08002B2CF9AE}" pid="4" name="MediaServiceImageTags">
    <vt:lpwstr/>
  </property>
</Properties>
</file>