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FEA1" w14:textId="4F295C8D" w:rsidR="0016294E" w:rsidRPr="001430BF" w:rsidRDefault="0016294E" w:rsidP="00EC3876">
      <w:pPr>
        <w:jc w:val="both"/>
        <w:rPr>
          <w:rFonts w:ascii="Aptos" w:eastAsia="Calibri" w:hAnsi="Aptos"/>
          <w:sz w:val="22"/>
          <w:szCs w:val="22"/>
        </w:rPr>
      </w:pPr>
    </w:p>
    <w:p w14:paraId="50AF5EC2" w14:textId="77777777" w:rsidR="00206A31" w:rsidRPr="00A16B9D" w:rsidRDefault="00206A31" w:rsidP="00206A31">
      <w:pPr>
        <w:jc w:val="center"/>
        <w:rPr>
          <w:b/>
          <w:bCs/>
          <w:sz w:val="24"/>
        </w:rPr>
      </w:pPr>
      <w:r>
        <w:rPr>
          <w:b/>
          <w:bCs/>
          <w:sz w:val="24"/>
        </w:rPr>
        <w:t>Submission</w:t>
      </w:r>
      <w:r w:rsidRPr="00A16B9D">
        <w:rPr>
          <w:b/>
          <w:bCs/>
          <w:sz w:val="24"/>
        </w:rPr>
        <w:t xml:space="preserve"> to the </w:t>
      </w:r>
      <w:r>
        <w:rPr>
          <w:b/>
          <w:bCs/>
          <w:sz w:val="24"/>
        </w:rPr>
        <w:t>Office of the High Commissioner for Human Rights ahead of the Report of the Secretary-General to the Human Rights Council on the question of the death penalty</w:t>
      </w:r>
    </w:p>
    <w:p w14:paraId="72D32B90" w14:textId="77777777" w:rsidR="00206A31" w:rsidRPr="00A16B9D" w:rsidRDefault="00206A31" w:rsidP="00206A31">
      <w:pPr>
        <w:jc w:val="center"/>
        <w:rPr>
          <w:sz w:val="24"/>
        </w:rPr>
      </w:pPr>
      <w:r w:rsidRPr="00A16B9D">
        <w:rPr>
          <w:sz w:val="24"/>
        </w:rPr>
        <w:t>March 2024</w:t>
      </w:r>
    </w:p>
    <w:p w14:paraId="62BF8F1C" w14:textId="77777777" w:rsidR="0016294E" w:rsidRPr="001430BF" w:rsidRDefault="0016294E" w:rsidP="00A440B9">
      <w:pPr>
        <w:jc w:val="center"/>
        <w:rPr>
          <w:rFonts w:ascii="Aptos" w:eastAsia="Calibri" w:hAnsi="Aptos"/>
          <w:sz w:val="22"/>
          <w:szCs w:val="22"/>
        </w:rPr>
      </w:pPr>
    </w:p>
    <w:p w14:paraId="05018C09" w14:textId="118C48DE" w:rsidR="0016294E" w:rsidRPr="001430BF" w:rsidRDefault="0016294E" w:rsidP="00CA2866">
      <w:pPr>
        <w:jc w:val="center"/>
        <w:rPr>
          <w:rFonts w:ascii="Aptos" w:eastAsia="Calibri" w:hAnsi="Aptos"/>
          <w:b/>
          <w:bCs/>
          <w:sz w:val="22"/>
          <w:szCs w:val="22"/>
        </w:rPr>
      </w:pPr>
      <w:r w:rsidRPr="001430BF">
        <w:rPr>
          <w:rFonts w:ascii="Aptos" w:eastAsia="Calibri" w:hAnsi="Aptos"/>
          <w:b/>
          <w:bCs/>
          <w:sz w:val="22"/>
          <w:szCs w:val="22"/>
        </w:rPr>
        <w:t>Introduction</w:t>
      </w:r>
    </w:p>
    <w:p w14:paraId="7FF22C1C" w14:textId="77777777" w:rsidR="0016294E" w:rsidRPr="001430BF" w:rsidRDefault="0016294E" w:rsidP="00EC3876">
      <w:pPr>
        <w:jc w:val="both"/>
        <w:rPr>
          <w:rFonts w:ascii="Aptos" w:eastAsia="Calibri" w:hAnsi="Aptos"/>
          <w:b/>
          <w:bCs/>
          <w:sz w:val="22"/>
          <w:szCs w:val="22"/>
        </w:rPr>
      </w:pPr>
    </w:p>
    <w:p w14:paraId="3FFFA6B8" w14:textId="003777B3" w:rsidR="004B2FF9" w:rsidRPr="001430BF" w:rsidRDefault="00971517" w:rsidP="00EC3876">
      <w:pPr>
        <w:jc w:val="both"/>
        <w:rPr>
          <w:rFonts w:ascii="Aptos" w:eastAsia="Calibri" w:hAnsi="Aptos"/>
          <w:sz w:val="22"/>
          <w:szCs w:val="22"/>
        </w:rPr>
      </w:pPr>
      <w:r w:rsidRPr="00206A31">
        <w:rPr>
          <w:rFonts w:ascii="Aptos" w:eastAsia="Calibri" w:hAnsi="Aptos"/>
          <w:b/>
          <w:bCs/>
          <w:sz w:val="22"/>
          <w:szCs w:val="22"/>
        </w:rPr>
        <w:t>Reprieve</w:t>
      </w:r>
      <w:r w:rsidRPr="001430BF">
        <w:rPr>
          <w:rFonts w:ascii="Aptos" w:eastAsia="Calibri" w:hAnsi="Aptos"/>
          <w:sz w:val="22"/>
          <w:szCs w:val="22"/>
        </w:rPr>
        <w:t xml:space="preserve"> is a charitable organisation registered in the United Kingdom (No. 1114900), with special consultative status with the United Nations Economic and Social Council (ECOSOC). Reprieve provides free legal and investigative support to those who have been subjected to state-sponsored human rights abuses. In particular, we protect the rights of those facing the death penalty and of victims of arbitrary detention, torture, and extrajudicial execution.</w:t>
      </w:r>
    </w:p>
    <w:p w14:paraId="3AC4E632" w14:textId="77777777" w:rsidR="00971517" w:rsidRPr="001430BF" w:rsidRDefault="00971517" w:rsidP="00EC3876">
      <w:pPr>
        <w:jc w:val="both"/>
        <w:rPr>
          <w:rFonts w:ascii="Aptos" w:eastAsia="Calibri" w:hAnsi="Aptos"/>
          <w:sz w:val="22"/>
          <w:szCs w:val="22"/>
        </w:rPr>
      </w:pPr>
    </w:p>
    <w:p w14:paraId="5D653416" w14:textId="0BAD8877" w:rsidR="0016294E" w:rsidRPr="001430BF" w:rsidRDefault="0016294E" w:rsidP="00EC3876">
      <w:pPr>
        <w:jc w:val="both"/>
        <w:rPr>
          <w:rFonts w:ascii="Aptos" w:eastAsia="Calibri" w:hAnsi="Aptos"/>
          <w:sz w:val="22"/>
          <w:szCs w:val="22"/>
        </w:rPr>
      </w:pPr>
      <w:r w:rsidRPr="001430BF">
        <w:rPr>
          <w:rFonts w:ascii="Aptos" w:eastAsia="Calibri" w:hAnsi="Aptos"/>
          <w:sz w:val="22"/>
          <w:szCs w:val="22"/>
        </w:rPr>
        <w:t xml:space="preserve">We are writing in response to your request dated 20 February 2024 for relevant information concerning the question of the death penalty arising since 1 </w:t>
      </w:r>
      <w:r w:rsidR="007C0F7E">
        <w:rPr>
          <w:rFonts w:ascii="Aptos" w:eastAsia="Calibri" w:hAnsi="Aptos"/>
          <w:sz w:val="22"/>
          <w:szCs w:val="22"/>
        </w:rPr>
        <w:t>July</w:t>
      </w:r>
      <w:r w:rsidRPr="001430BF">
        <w:rPr>
          <w:rFonts w:ascii="Aptos" w:eastAsia="Calibri" w:hAnsi="Aptos"/>
          <w:sz w:val="22"/>
          <w:szCs w:val="22"/>
        </w:rPr>
        <w:t xml:space="preserve"> 2022, paying special attention to the imposition of the death penalty on persons younger than 18 years of age at the time of the offence, on pregnant women and on persons with mental or intellectual disabilities. We understand that this request is in relation to the UN Secretary General’s report to the Human Rights Council at its fifty-seventh session.</w:t>
      </w:r>
      <w:r w:rsidR="00206A31">
        <w:rPr>
          <w:rFonts w:ascii="Aptos" w:eastAsia="Calibri" w:hAnsi="Aptos"/>
          <w:sz w:val="22"/>
          <w:szCs w:val="22"/>
        </w:rPr>
        <w:t xml:space="preserve"> This submission reports on developments in Malaysia and Singapore. </w:t>
      </w:r>
    </w:p>
    <w:p w14:paraId="4DABAF4B" w14:textId="77777777" w:rsidR="004B2FF9" w:rsidRDefault="004B2FF9" w:rsidP="00EC3876">
      <w:pPr>
        <w:jc w:val="both"/>
        <w:rPr>
          <w:rFonts w:ascii="Aptos" w:eastAsia="Calibri" w:hAnsi="Aptos"/>
          <w:sz w:val="22"/>
          <w:szCs w:val="22"/>
        </w:rPr>
      </w:pPr>
    </w:p>
    <w:p w14:paraId="51780714" w14:textId="77777777" w:rsidR="00A633F0" w:rsidRDefault="00A633F0" w:rsidP="00EC3876">
      <w:pPr>
        <w:jc w:val="both"/>
        <w:rPr>
          <w:rFonts w:ascii="Aptos" w:eastAsia="Calibri" w:hAnsi="Aptos"/>
          <w:sz w:val="22"/>
          <w:szCs w:val="22"/>
          <w:u w:val="single"/>
        </w:rPr>
      </w:pPr>
    </w:p>
    <w:p w14:paraId="3CC95F56" w14:textId="7781868E" w:rsidR="00A633F0" w:rsidRPr="001430BF" w:rsidRDefault="00A633F0" w:rsidP="00EC3876">
      <w:pPr>
        <w:jc w:val="both"/>
        <w:rPr>
          <w:rFonts w:ascii="Aptos" w:eastAsia="Calibri" w:hAnsi="Aptos"/>
          <w:sz w:val="22"/>
          <w:szCs w:val="22"/>
        </w:rPr>
      </w:pPr>
      <w:r w:rsidRPr="00A633F0">
        <w:rPr>
          <w:rFonts w:ascii="Aptos" w:eastAsia="Calibri" w:hAnsi="Aptos"/>
          <w:sz w:val="22"/>
          <w:szCs w:val="22"/>
          <w:u w:val="single"/>
        </w:rPr>
        <w:t>Submission</w:t>
      </w:r>
      <w:r>
        <w:rPr>
          <w:rFonts w:ascii="Aptos" w:eastAsia="Calibri" w:hAnsi="Aptos"/>
          <w:sz w:val="22"/>
          <w:szCs w:val="22"/>
        </w:rPr>
        <w:t xml:space="preserve">: </w:t>
      </w:r>
      <w:r w:rsidR="00F6592A">
        <w:rPr>
          <w:rFonts w:ascii="Aptos" w:eastAsia="Calibri" w:hAnsi="Aptos"/>
          <w:sz w:val="22"/>
          <w:szCs w:val="22"/>
        </w:rPr>
        <w:t>1277</w:t>
      </w:r>
      <w:r>
        <w:rPr>
          <w:rFonts w:ascii="Aptos" w:eastAsia="Calibri" w:hAnsi="Aptos"/>
          <w:sz w:val="22"/>
          <w:szCs w:val="22"/>
        </w:rPr>
        <w:t xml:space="preserve"> words</w:t>
      </w:r>
    </w:p>
    <w:p w14:paraId="41C2E1CC" w14:textId="77777777" w:rsidR="00F6592A" w:rsidRDefault="00F6592A" w:rsidP="00CA2866">
      <w:pPr>
        <w:jc w:val="center"/>
        <w:rPr>
          <w:rFonts w:ascii="Aptos" w:eastAsia="Calibri" w:hAnsi="Aptos"/>
          <w:b/>
          <w:bCs/>
          <w:sz w:val="22"/>
          <w:szCs w:val="22"/>
        </w:rPr>
      </w:pPr>
    </w:p>
    <w:p w14:paraId="4A160530" w14:textId="77777777" w:rsidR="00F6592A" w:rsidRDefault="00F6592A" w:rsidP="00CA2866">
      <w:pPr>
        <w:jc w:val="center"/>
        <w:rPr>
          <w:rFonts w:ascii="Aptos" w:eastAsia="Calibri" w:hAnsi="Aptos"/>
          <w:b/>
          <w:bCs/>
          <w:sz w:val="22"/>
          <w:szCs w:val="22"/>
        </w:rPr>
      </w:pPr>
    </w:p>
    <w:p w14:paraId="10AC3C1C" w14:textId="77777777" w:rsidR="00F6592A" w:rsidRDefault="00F6592A">
      <w:pPr>
        <w:suppressAutoHyphens w:val="0"/>
        <w:spacing w:line="240" w:lineRule="auto"/>
        <w:rPr>
          <w:rFonts w:ascii="Aptos" w:eastAsia="Calibri" w:hAnsi="Aptos"/>
          <w:b/>
          <w:bCs/>
          <w:sz w:val="22"/>
          <w:szCs w:val="22"/>
        </w:rPr>
      </w:pPr>
      <w:r>
        <w:rPr>
          <w:rFonts w:ascii="Aptos" w:eastAsia="Calibri" w:hAnsi="Aptos"/>
          <w:b/>
          <w:bCs/>
          <w:sz w:val="22"/>
          <w:szCs w:val="22"/>
        </w:rPr>
        <w:br w:type="page"/>
      </w:r>
    </w:p>
    <w:p w14:paraId="767A7737" w14:textId="77777777" w:rsidR="00F6592A" w:rsidRDefault="00F6592A" w:rsidP="00CA2866">
      <w:pPr>
        <w:jc w:val="center"/>
        <w:rPr>
          <w:rFonts w:ascii="Aptos" w:eastAsia="Calibri" w:hAnsi="Aptos"/>
          <w:b/>
          <w:bCs/>
          <w:sz w:val="22"/>
          <w:szCs w:val="22"/>
        </w:rPr>
      </w:pPr>
    </w:p>
    <w:p w14:paraId="4F613015" w14:textId="200AAC9A" w:rsidR="00F6592A" w:rsidRDefault="00F6592A" w:rsidP="00F6592A">
      <w:pPr>
        <w:rPr>
          <w:rFonts w:ascii="Aptos" w:eastAsia="Calibri" w:hAnsi="Aptos"/>
          <w:b/>
          <w:bCs/>
          <w:sz w:val="22"/>
          <w:szCs w:val="22"/>
        </w:rPr>
      </w:pPr>
      <w:r>
        <w:rPr>
          <w:rFonts w:ascii="Aptos" w:eastAsia="Calibri" w:hAnsi="Aptos"/>
          <w:b/>
          <w:bCs/>
          <w:sz w:val="22"/>
          <w:szCs w:val="22"/>
        </w:rPr>
        <w:t>Submission</w:t>
      </w:r>
    </w:p>
    <w:p w14:paraId="543F73E5" w14:textId="533C67A6" w:rsidR="004B2FF9" w:rsidRPr="001430BF" w:rsidRDefault="0016294E" w:rsidP="00CA2866">
      <w:pPr>
        <w:jc w:val="center"/>
        <w:rPr>
          <w:rFonts w:ascii="Aptos" w:eastAsia="Calibri" w:hAnsi="Aptos"/>
          <w:b/>
          <w:bCs/>
          <w:sz w:val="22"/>
          <w:szCs w:val="22"/>
        </w:rPr>
      </w:pPr>
      <w:r w:rsidRPr="001430BF">
        <w:rPr>
          <w:rFonts w:ascii="Aptos" w:eastAsia="Calibri" w:hAnsi="Aptos"/>
          <w:b/>
          <w:bCs/>
          <w:sz w:val="22"/>
          <w:szCs w:val="22"/>
        </w:rPr>
        <w:t>Malaysia</w:t>
      </w:r>
    </w:p>
    <w:p w14:paraId="2E0F4560" w14:textId="77777777" w:rsidR="0016294E" w:rsidRPr="001430BF" w:rsidRDefault="0016294E" w:rsidP="00CA2866">
      <w:pPr>
        <w:jc w:val="center"/>
        <w:rPr>
          <w:rFonts w:ascii="Aptos" w:eastAsia="Calibri" w:hAnsi="Aptos"/>
          <w:sz w:val="22"/>
          <w:szCs w:val="22"/>
        </w:rPr>
      </w:pPr>
    </w:p>
    <w:p w14:paraId="620938AC" w14:textId="5D241E33" w:rsidR="00E06B31" w:rsidRPr="001430BF" w:rsidRDefault="00A91E80" w:rsidP="00EC3876">
      <w:pPr>
        <w:jc w:val="both"/>
        <w:rPr>
          <w:rFonts w:ascii="Aptos" w:eastAsia="Calibri" w:hAnsi="Aptos"/>
          <w:sz w:val="22"/>
          <w:szCs w:val="22"/>
        </w:rPr>
      </w:pPr>
      <w:r w:rsidRPr="001430BF">
        <w:rPr>
          <w:rFonts w:ascii="Aptos" w:eastAsia="Calibri" w:hAnsi="Aptos"/>
          <w:sz w:val="22"/>
          <w:szCs w:val="22"/>
        </w:rPr>
        <w:t>T</w:t>
      </w:r>
      <w:r w:rsidR="00E06B31" w:rsidRPr="001430BF">
        <w:rPr>
          <w:rFonts w:ascii="Aptos" w:eastAsia="Calibri" w:hAnsi="Aptos"/>
          <w:sz w:val="22"/>
          <w:szCs w:val="22"/>
        </w:rPr>
        <w:t xml:space="preserve">here is extremely limited scope for individuals facing the death penalty in Malaysia to adduce mitigating evidence on mental or intellectual </w:t>
      </w:r>
      <w:r w:rsidRPr="001430BF">
        <w:rPr>
          <w:rFonts w:ascii="Aptos" w:eastAsia="Calibri" w:hAnsi="Aptos"/>
          <w:sz w:val="22"/>
          <w:szCs w:val="22"/>
        </w:rPr>
        <w:t>disabilities for the purposes of seeking a reduced sentence</w:t>
      </w:r>
      <w:r w:rsidR="00E06B31" w:rsidRPr="001430BF">
        <w:rPr>
          <w:rFonts w:ascii="Aptos" w:eastAsia="Calibri" w:hAnsi="Aptos"/>
          <w:sz w:val="22"/>
          <w:szCs w:val="22"/>
        </w:rPr>
        <w:t xml:space="preserve">. </w:t>
      </w:r>
      <w:r w:rsidRPr="001430BF">
        <w:rPr>
          <w:rFonts w:ascii="Aptos" w:eastAsia="Calibri" w:hAnsi="Aptos"/>
          <w:sz w:val="22"/>
          <w:szCs w:val="22"/>
        </w:rPr>
        <w:t xml:space="preserve">This is a significant barrier </w:t>
      </w:r>
      <w:r w:rsidR="004E0FED" w:rsidRPr="001430BF">
        <w:rPr>
          <w:rFonts w:ascii="Aptos" w:eastAsia="Calibri" w:hAnsi="Aptos"/>
          <w:sz w:val="22"/>
          <w:szCs w:val="22"/>
        </w:rPr>
        <w:t>for individuals seeking to avail themselves</w:t>
      </w:r>
      <w:r w:rsidR="00E06B31" w:rsidRPr="001430BF">
        <w:rPr>
          <w:rFonts w:ascii="Aptos" w:eastAsia="Calibri" w:hAnsi="Aptos"/>
          <w:sz w:val="22"/>
          <w:szCs w:val="22"/>
        </w:rPr>
        <w:t xml:space="preserve"> of </w:t>
      </w:r>
      <w:r w:rsidR="004E0FED" w:rsidRPr="001430BF">
        <w:rPr>
          <w:rFonts w:ascii="Aptos" w:eastAsia="Calibri" w:hAnsi="Aptos"/>
          <w:sz w:val="22"/>
          <w:szCs w:val="22"/>
        </w:rPr>
        <w:t>new</w:t>
      </w:r>
      <w:r w:rsidRPr="001430BF">
        <w:rPr>
          <w:rFonts w:ascii="Aptos" w:eastAsia="Calibri" w:hAnsi="Aptos"/>
          <w:sz w:val="22"/>
          <w:szCs w:val="22"/>
        </w:rPr>
        <w:t xml:space="preserve"> </w:t>
      </w:r>
      <w:r w:rsidR="00E06B31" w:rsidRPr="001430BF">
        <w:rPr>
          <w:rFonts w:ascii="Aptos" w:eastAsia="Calibri" w:hAnsi="Aptos"/>
          <w:sz w:val="22"/>
          <w:szCs w:val="22"/>
        </w:rPr>
        <w:t xml:space="preserve">legislation abolishing the mandatory death penalty and creating the opportunity for individuals under death sentences to seek </w:t>
      </w:r>
      <w:r w:rsidR="00B34C67" w:rsidRPr="001430BF">
        <w:rPr>
          <w:rFonts w:ascii="Aptos" w:eastAsia="Calibri" w:hAnsi="Aptos"/>
          <w:sz w:val="22"/>
          <w:szCs w:val="22"/>
        </w:rPr>
        <w:t>alternative sentences (‘resentencing’).</w:t>
      </w:r>
    </w:p>
    <w:p w14:paraId="283C0223" w14:textId="77777777" w:rsidR="004E0FED" w:rsidRPr="001430BF" w:rsidRDefault="004E0FED" w:rsidP="00EC3876">
      <w:pPr>
        <w:jc w:val="both"/>
        <w:rPr>
          <w:rFonts w:ascii="Aptos" w:eastAsia="Calibri" w:hAnsi="Aptos"/>
          <w:sz w:val="22"/>
          <w:szCs w:val="22"/>
        </w:rPr>
      </w:pPr>
    </w:p>
    <w:p w14:paraId="7FCBA68F" w14:textId="5C164211" w:rsidR="004E0FED" w:rsidRPr="001430BF" w:rsidRDefault="004E0FED" w:rsidP="00EC3876">
      <w:pPr>
        <w:jc w:val="both"/>
        <w:rPr>
          <w:rFonts w:ascii="Aptos" w:eastAsia="Calibri" w:hAnsi="Aptos"/>
          <w:sz w:val="22"/>
          <w:szCs w:val="22"/>
          <w:u w:val="single"/>
        </w:rPr>
      </w:pPr>
      <w:r w:rsidRPr="001430BF">
        <w:rPr>
          <w:rFonts w:ascii="Aptos" w:eastAsia="Calibri" w:hAnsi="Aptos"/>
          <w:sz w:val="22"/>
          <w:szCs w:val="22"/>
          <w:u w:val="single"/>
        </w:rPr>
        <w:t>Abolition of the mandatory death penalty with retrospective effect</w:t>
      </w:r>
    </w:p>
    <w:p w14:paraId="44ACCBDB" w14:textId="77777777" w:rsidR="00E06B31" w:rsidRPr="001430BF" w:rsidRDefault="00E06B31" w:rsidP="00EC3876">
      <w:pPr>
        <w:jc w:val="both"/>
        <w:rPr>
          <w:rFonts w:ascii="Aptos" w:eastAsia="Calibri" w:hAnsi="Aptos"/>
          <w:sz w:val="22"/>
          <w:szCs w:val="22"/>
        </w:rPr>
      </w:pPr>
    </w:p>
    <w:p w14:paraId="6167D2BE" w14:textId="1F74CEF5" w:rsidR="00E06B31" w:rsidRPr="001430BF" w:rsidRDefault="00AB019D" w:rsidP="00EC3876">
      <w:pPr>
        <w:jc w:val="both"/>
        <w:rPr>
          <w:rFonts w:ascii="Aptos" w:eastAsia="Calibri" w:hAnsi="Aptos"/>
          <w:sz w:val="22"/>
          <w:szCs w:val="22"/>
        </w:rPr>
      </w:pPr>
      <w:r w:rsidRPr="001430BF">
        <w:rPr>
          <w:rFonts w:ascii="Aptos" w:eastAsia="Calibri" w:hAnsi="Aptos"/>
          <w:sz w:val="22"/>
          <w:szCs w:val="22"/>
        </w:rPr>
        <w:t xml:space="preserve">In 2023, Malaysia abolished the mandatory death penalty with retrospective effect through the </w:t>
      </w:r>
      <w:r w:rsidR="00EC3876" w:rsidRPr="001430BF">
        <w:rPr>
          <w:rFonts w:ascii="Aptos" w:eastAsia="Calibri" w:hAnsi="Aptos"/>
          <w:sz w:val="22"/>
          <w:szCs w:val="22"/>
        </w:rPr>
        <w:t xml:space="preserve">Mandatory Death Penalty Abolition Act 2023 (Act 846) and the Revision of Sentence of Death and Imprisonment for Natural Life (Temporary Jurisdiction of the Federal Court) Act 2023 (Act 847). Act 846 provides for alternative sentences to the death penalty for drug trafficking, murder, </w:t>
      </w:r>
      <w:r w:rsidR="00E06B31" w:rsidRPr="001430BF">
        <w:rPr>
          <w:rFonts w:ascii="Aptos" w:eastAsia="Calibri" w:hAnsi="Aptos"/>
          <w:sz w:val="22"/>
          <w:szCs w:val="22"/>
        </w:rPr>
        <w:t xml:space="preserve">hostage-taking, accepting gratification to facilitate organised crime, </w:t>
      </w:r>
      <w:r w:rsidR="00EC3876" w:rsidRPr="001430BF">
        <w:rPr>
          <w:rFonts w:ascii="Aptos" w:eastAsia="Calibri" w:hAnsi="Aptos"/>
          <w:sz w:val="22"/>
          <w:szCs w:val="22"/>
        </w:rPr>
        <w:t xml:space="preserve">various firearms offences and various terrorism and treason offences. It abolishes the death penalty completely for all other </w:t>
      </w:r>
      <w:r w:rsidR="00E06B31" w:rsidRPr="001430BF">
        <w:rPr>
          <w:rFonts w:ascii="Aptos" w:eastAsia="Calibri" w:hAnsi="Aptos"/>
          <w:sz w:val="22"/>
          <w:szCs w:val="22"/>
        </w:rPr>
        <w:t>formerly</w:t>
      </w:r>
      <w:r w:rsidR="00EC3876" w:rsidRPr="001430BF">
        <w:rPr>
          <w:rFonts w:ascii="Aptos" w:eastAsia="Calibri" w:hAnsi="Aptos"/>
          <w:sz w:val="22"/>
          <w:szCs w:val="22"/>
        </w:rPr>
        <w:t xml:space="preserve"> death penalty-eligible offences.</w:t>
      </w:r>
    </w:p>
    <w:p w14:paraId="6C65DF60" w14:textId="77777777" w:rsidR="00E06B31" w:rsidRPr="001430BF" w:rsidRDefault="00E06B31" w:rsidP="00EC3876">
      <w:pPr>
        <w:jc w:val="both"/>
        <w:rPr>
          <w:rFonts w:ascii="Aptos" w:eastAsia="Calibri" w:hAnsi="Aptos"/>
          <w:sz w:val="22"/>
          <w:szCs w:val="22"/>
        </w:rPr>
      </w:pPr>
    </w:p>
    <w:p w14:paraId="1A0E0B2A" w14:textId="1BD342D6" w:rsidR="004E0FED" w:rsidRPr="001430BF" w:rsidRDefault="00EC3876" w:rsidP="00EC3876">
      <w:pPr>
        <w:jc w:val="both"/>
        <w:rPr>
          <w:rFonts w:ascii="Aptos" w:eastAsia="Calibri" w:hAnsi="Aptos"/>
          <w:sz w:val="22"/>
          <w:szCs w:val="22"/>
        </w:rPr>
      </w:pPr>
      <w:r w:rsidRPr="001430BF">
        <w:rPr>
          <w:rFonts w:ascii="Aptos" w:eastAsia="Calibri" w:hAnsi="Aptos"/>
          <w:sz w:val="22"/>
          <w:szCs w:val="22"/>
        </w:rPr>
        <w:t>Act 846</w:t>
      </w:r>
      <w:r w:rsidR="00E06B31" w:rsidRPr="001430BF">
        <w:rPr>
          <w:rFonts w:ascii="Aptos" w:eastAsia="Calibri" w:hAnsi="Aptos"/>
          <w:sz w:val="22"/>
          <w:szCs w:val="22"/>
        </w:rPr>
        <w:t xml:space="preserve"> provides only one alternative sentence for each death penalty-eligible offence: </w:t>
      </w:r>
      <w:r w:rsidRPr="001430BF">
        <w:rPr>
          <w:rFonts w:ascii="Aptos" w:eastAsia="Calibri" w:hAnsi="Aptos"/>
          <w:sz w:val="22"/>
          <w:szCs w:val="22"/>
        </w:rPr>
        <w:t xml:space="preserve">a term of </w:t>
      </w:r>
      <w:r w:rsidR="00E06B31" w:rsidRPr="001430BF">
        <w:rPr>
          <w:rFonts w:ascii="Aptos" w:eastAsia="Calibri" w:hAnsi="Aptos"/>
          <w:sz w:val="22"/>
          <w:szCs w:val="22"/>
        </w:rPr>
        <w:t>imprisonment together</w:t>
      </w:r>
      <w:r w:rsidRPr="001430BF">
        <w:rPr>
          <w:rFonts w:ascii="Aptos" w:eastAsia="Calibri" w:hAnsi="Aptos"/>
          <w:sz w:val="22"/>
          <w:szCs w:val="22"/>
        </w:rPr>
        <w:t xml:space="preserve"> with whipping. The term of imprisonment is life imprisonment </w:t>
      </w:r>
      <w:r w:rsidR="00E06B31" w:rsidRPr="001430BF">
        <w:rPr>
          <w:rFonts w:ascii="Aptos" w:eastAsia="Calibri" w:hAnsi="Aptos"/>
          <w:sz w:val="22"/>
          <w:szCs w:val="22"/>
        </w:rPr>
        <w:t>(</w:t>
      </w:r>
      <w:r w:rsidRPr="001430BF">
        <w:rPr>
          <w:rFonts w:ascii="Aptos" w:eastAsia="Calibri" w:hAnsi="Aptos"/>
          <w:sz w:val="22"/>
          <w:szCs w:val="22"/>
        </w:rPr>
        <w:t>capped at 30 years</w:t>
      </w:r>
      <w:r w:rsidR="00E06B31" w:rsidRPr="001430BF">
        <w:rPr>
          <w:rFonts w:ascii="Aptos" w:eastAsia="Calibri" w:hAnsi="Aptos"/>
          <w:sz w:val="22"/>
          <w:szCs w:val="22"/>
        </w:rPr>
        <w:t>)</w:t>
      </w:r>
      <w:r w:rsidRPr="001430BF">
        <w:rPr>
          <w:rFonts w:ascii="Aptos" w:eastAsia="Calibri" w:hAnsi="Aptos"/>
          <w:sz w:val="22"/>
          <w:szCs w:val="22"/>
        </w:rPr>
        <w:t xml:space="preserve"> for drug offences. For all other offences, it is 30 to 40 years. Act 847 permits individuals under death sentences upheld by the </w:t>
      </w:r>
      <w:r w:rsidR="004E0FED" w:rsidRPr="001430BF">
        <w:rPr>
          <w:rFonts w:ascii="Aptos" w:eastAsia="Calibri" w:hAnsi="Aptos"/>
          <w:sz w:val="22"/>
          <w:szCs w:val="22"/>
        </w:rPr>
        <w:t>Federal Court (</w:t>
      </w:r>
      <w:r w:rsidRPr="001430BF">
        <w:rPr>
          <w:rFonts w:ascii="Aptos" w:eastAsia="Calibri" w:hAnsi="Aptos"/>
          <w:sz w:val="22"/>
          <w:szCs w:val="22"/>
        </w:rPr>
        <w:t>apex court</w:t>
      </w:r>
      <w:r w:rsidR="004E0FED" w:rsidRPr="001430BF">
        <w:rPr>
          <w:rFonts w:ascii="Aptos" w:eastAsia="Calibri" w:hAnsi="Aptos"/>
          <w:sz w:val="22"/>
          <w:szCs w:val="22"/>
        </w:rPr>
        <w:t>)</w:t>
      </w:r>
      <w:r w:rsidRPr="001430BF">
        <w:rPr>
          <w:rFonts w:ascii="Aptos" w:eastAsia="Calibri" w:hAnsi="Aptos"/>
          <w:sz w:val="22"/>
          <w:szCs w:val="22"/>
        </w:rPr>
        <w:t xml:space="preserve"> prior to 12 September 2023 to seek the relevant alternative sentence now permitted under Act 846</w:t>
      </w:r>
      <w:r w:rsidR="00B34C67" w:rsidRPr="001430BF">
        <w:rPr>
          <w:rFonts w:ascii="Aptos" w:eastAsia="Calibri" w:hAnsi="Aptos"/>
          <w:sz w:val="22"/>
          <w:szCs w:val="22"/>
        </w:rPr>
        <w:t>, also known as resentencing.</w:t>
      </w:r>
      <w:r w:rsidR="00716FB8">
        <w:rPr>
          <w:rFonts w:ascii="Aptos" w:eastAsia="Calibri" w:hAnsi="Aptos"/>
          <w:sz w:val="22"/>
          <w:szCs w:val="22"/>
        </w:rPr>
        <w:t xml:space="preserve"> Individuals may only make a resentencing application under Act 846 </w:t>
      </w:r>
      <w:r w:rsidR="00716FB8" w:rsidRPr="00716FB8">
        <w:rPr>
          <w:rFonts w:ascii="Aptos" w:eastAsia="Calibri" w:hAnsi="Aptos"/>
          <w:i/>
          <w:iCs/>
          <w:sz w:val="22"/>
          <w:szCs w:val="22"/>
        </w:rPr>
        <w:t>once</w:t>
      </w:r>
      <w:r w:rsidR="00716FB8">
        <w:rPr>
          <w:rFonts w:ascii="Aptos" w:eastAsia="Calibri" w:hAnsi="Aptos"/>
          <w:sz w:val="22"/>
          <w:szCs w:val="22"/>
        </w:rPr>
        <w:t>.</w:t>
      </w:r>
    </w:p>
    <w:p w14:paraId="6742E52E" w14:textId="77777777" w:rsidR="004E0FED" w:rsidRPr="001430BF" w:rsidRDefault="004E0FED" w:rsidP="00EC3876">
      <w:pPr>
        <w:jc w:val="both"/>
        <w:rPr>
          <w:rFonts w:ascii="Aptos" w:eastAsia="Calibri" w:hAnsi="Aptos"/>
          <w:sz w:val="22"/>
          <w:szCs w:val="22"/>
        </w:rPr>
      </w:pPr>
    </w:p>
    <w:p w14:paraId="367F67B1" w14:textId="5A1CF50A" w:rsidR="004E0FED" w:rsidRPr="001430BF" w:rsidRDefault="004E0FED" w:rsidP="00EC3876">
      <w:pPr>
        <w:jc w:val="both"/>
        <w:rPr>
          <w:rFonts w:ascii="Aptos" w:eastAsia="Calibri" w:hAnsi="Aptos"/>
          <w:sz w:val="22"/>
          <w:szCs w:val="22"/>
          <w:u w:val="single"/>
        </w:rPr>
      </w:pPr>
      <w:r w:rsidRPr="001430BF">
        <w:rPr>
          <w:rFonts w:ascii="Aptos" w:eastAsia="Calibri" w:hAnsi="Aptos"/>
          <w:sz w:val="22"/>
          <w:szCs w:val="22"/>
          <w:u w:val="single"/>
        </w:rPr>
        <w:t>Limited scope for adducing mitigating evidence on mental and intellectual disabilities</w:t>
      </w:r>
    </w:p>
    <w:p w14:paraId="6714977B" w14:textId="77777777" w:rsidR="0016294E" w:rsidRPr="001430BF" w:rsidRDefault="0016294E" w:rsidP="00EC3876">
      <w:pPr>
        <w:jc w:val="both"/>
        <w:rPr>
          <w:rFonts w:ascii="Aptos" w:eastAsia="Calibri" w:hAnsi="Aptos"/>
          <w:sz w:val="22"/>
          <w:szCs w:val="22"/>
        </w:rPr>
      </w:pPr>
    </w:p>
    <w:p w14:paraId="6AAD657B" w14:textId="36BEEE33" w:rsidR="0016294E" w:rsidRPr="001430BF" w:rsidRDefault="00E06B31" w:rsidP="00EC3876">
      <w:pPr>
        <w:jc w:val="both"/>
        <w:rPr>
          <w:rFonts w:ascii="Aptos" w:eastAsia="Calibri" w:hAnsi="Aptos"/>
          <w:sz w:val="22"/>
          <w:szCs w:val="22"/>
        </w:rPr>
      </w:pPr>
      <w:r w:rsidRPr="001430BF">
        <w:rPr>
          <w:rFonts w:ascii="Aptos" w:eastAsia="Calibri" w:hAnsi="Aptos"/>
          <w:sz w:val="22"/>
          <w:szCs w:val="22"/>
        </w:rPr>
        <w:t xml:space="preserve">Reprieve </w:t>
      </w:r>
      <w:r w:rsidR="004E0FED" w:rsidRPr="001430BF">
        <w:rPr>
          <w:rFonts w:ascii="Aptos" w:eastAsia="Calibri" w:hAnsi="Aptos"/>
          <w:sz w:val="22"/>
          <w:szCs w:val="22"/>
        </w:rPr>
        <w:t>is monitoring the implementation of Acts 846 and 847</w:t>
      </w:r>
      <w:r w:rsidRPr="001430BF">
        <w:rPr>
          <w:rFonts w:ascii="Aptos" w:eastAsia="Calibri" w:hAnsi="Aptos"/>
          <w:sz w:val="22"/>
          <w:szCs w:val="22"/>
        </w:rPr>
        <w:t xml:space="preserve">. </w:t>
      </w:r>
      <w:r w:rsidR="004E0FED" w:rsidRPr="001430BF">
        <w:rPr>
          <w:rFonts w:ascii="Aptos" w:eastAsia="Calibri" w:hAnsi="Aptos"/>
          <w:sz w:val="22"/>
          <w:szCs w:val="22"/>
        </w:rPr>
        <w:t>We have observed</w:t>
      </w:r>
      <w:r w:rsidR="006B54B2" w:rsidRPr="001430BF">
        <w:rPr>
          <w:rFonts w:ascii="Aptos" w:eastAsia="Calibri" w:hAnsi="Aptos"/>
          <w:sz w:val="22"/>
          <w:szCs w:val="22"/>
        </w:rPr>
        <w:t xml:space="preserve"> in person</w:t>
      </w:r>
      <w:r w:rsidR="004E0FED" w:rsidRPr="001430BF">
        <w:rPr>
          <w:rFonts w:ascii="Aptos" w:eastAsia="Calibri" w:hAnsi="Aptos"/>
          <w:sz w:val="22"/>
          <w:szCs w:val="22"/>
        </w:rPr>
        <w:t xml:space="preserve"> almost all court hearings on resentencing, which began on </w:t>
      </w:r>
      <w:r w:rsidR="00716FB8">
        <w:rPr>
          <w:rFonts w:ascii="Aptos" w:eastAsia="Calibri" w:hAnsi="Aptos"/>
          <w:sz w:val="22"/>
          <w:szCs w:val="22"/>
        </w:rPr>
        <w:t>14 November 2023</w:t>
      </w:r>
      <w:r w:rsidR="004E0FED" w:rsidRPr="001430BF">
        <w:rPr>
          <w:rFonts w:ascii="Aptos" w:eastAsia="Calibri" w:hAnsi="Aptos"/>
          <w:sz w:val="22"/>
          <w:szCs w:val="22"/>
        </w:rPr>
        <w:t xml:space="preserve">. </w:t>
      </w:r>
      <w:r w:rsidR="00B34C67" w:rsidRPr="001430BF">
        <w:rPr>
          <w:rFonts w:ascii="Aptos" w:eastAsia="Calibri" w:hAnsi="Aptos"/>
          <w:sz w:val="22"/>
          <w:szCs w:val="22"/>
        </w:rPr>
        <w:t xml:space="preserve">We are concerned that there is extremely limited scope and resources for individuals facing the death penalty to obtain and adduce evidence of mental or intellectual disability </w:t>
      </w:r>
      <w:r w:rsidR="004E0FED" w:rsidRPr="001430BF">
        <w:rPr>
          <w:rFonts w:ascii="Aptos" w:eastAsia="Calibri" w:hAnsi="Aptos"/>
          <w:sz w:val="22"/>
          <w:szCs w:val="22"/>
        </w:rPr>
        <w:t>to</w:t>
      </w:r>
      <w:r w:rsidR="00B34C67" w:rsidRPr="001430BF">
        <w:rPr>
          <w:rFonts w:ascii="Aptos" w:eastAsia="Calibri" w:hAnsi="Aptos"/>
          <w:sz w:val="22"/>
          <w:szCs w:val="22"/>
        </w:rPr>
        <w:t xml:space="preserve"> mitigate against being sentenced</w:t>
      </w:r>
      <w:r w:rsidR="004E0FED" w:rsidRPr="001430BF">
        <w:rPr>
          <w:rFonts w:ascii="Aptos" w:eastAsia="Calibri" w:hAnsi="Aptos"/>
          <w:sz w:val="22"/>
          <w:szCs w:val="22"/>
        </w:rPr>
        <w:t xml:space="preserve"> or resentenced</w:t>
      </w:r>
      <w:r w:rsidR="00B34C67" w:rsidRPr="001430BF">
        <w:rPr>
          <w:rFonts w:ascii="Aptos" w:eastAsia="Calibri" w:hAnsi="Aptos"/>
          <w:sz w:val="22"/>
          <w:szCs w:val="22"/>
        </w:rPr>
        <w:t xml:space="preserve"> to death.</w:t>
      </w:r>
    </w:p>
    <w:p w14:paraId="158886B8" w14:textId="77777777" w:rsidR="004E0FED" w:rsidRPr="001430BF" w:rsidRDefault="004E0FED" w:rsidP="00EC3876">
      <w:pPr>
        <w:jc w:val="both"/>
        <w:rPr>
          <w:rFonts w:ascii="Aptos" w:eastAsia="Calibri" w:hAnsi="Aptos"/>
          <w:sz w:val="22"/>
          <w:szCs w:val="22"/>
        </w:rPr>
      </w:pPr>
    </w:p>
    <w:p w14:paraId="2E39FFCB" w14:textId="75DBC8E2" w:rsidR="00B34C67" w:rsidRPr="001430BF" w:rsidRDefault="00B86B18" w:rsidP="00EC3876">
      <w:pPr>
        <w:jc w:val="both"/>
        <w:rPr>
          <w:rFonts w:ascii="Aptos" w:eastAsia="Calibri" w:hAnsi="Aptos"/>
          <w:sz w:val="22"/>
          <w:szCs w:val="22"/>
        </w:rPr>
      </w:pPr>
      <w:r w:rsidRPr="001430BF">
        <w:rPr>
          <w:rFonts w:ascii="Aptos" w:eastAsia="Calibri" w:hAnsi="Aptos"/>
          <w:sz w:val="22"/>
          <w:szCs w:val="22"/>
        </w:rPr>
        <w:t>T</w:t>
      </w:r>
      <w:r w:rsidR="00B34C67" w:rsidRPr="001430BF">
        <w:rPr>
          <w:rFonts w:ascii="Aptos" w:eastAsia="Calibri" w:hAnsi="Aptos"/>
          <w:sz w:val="22"/>
          <w:szCs w:val="22"/>
        </w:rPr>
        <w:t xml:space="preserve">he </w:t>
      </w:r>
      <w:r w:rsidR="004E0FED" w:rsidRPr="001430BF">
        <w:rPr>
          <w:rFonts w:ascii="Aptos" w:eastAsia="Calibri" w:hAnsi="Aptos"/>
          <w:sz w:val="22"/>
          <w:szCs w:val="22"/>
        </w:rPr>
        <w:t>Federal Court</w:t>
      </w:r>
      <w:r w:rsidR="00B34C67" w:rsidRPr="001430BF">
        <w:rPr>
          <w:rFonts w:ascii="Aptos" w:eastAsia="Calibri" w:hAnsi="Aptos"/>
          <w:sz w:val="22"/>
          <w:szCs w:val="22"/>
        </w:rPr>
        <w:t xml:space="preserve"> heard applications from </w:t>
      </w:r>
      <w:r w:rsidRPr="001430BF">
        <w:rPr>
          <w:rFonts w:ascii="Aptos" w:eastAsia="Calibri" w:hAnsi="Aptos"/>
          <w:sz w:val="22"/>
          <w:szCs w:val="22"/>
        </w:rPr>
        <w:t xml:space="preserve">at least </w:t>
      </w:r>
      <w:r w:rsidR="00FB3CFC">
        <w:rPr>
          <w:rFonts w:ascii="Aptos" w:eastAsia="Calibri" w:hAnsi="Aptos"/>
          <w:sz w:val="22"/>
          <w:szCs w:val="22"/>
        </w:rPr>
        <w:t>98</w:t>
      </w:r>
      <w:r w:rsidR="00B34C67" w:rsidRPr="001430BF">
        <w:rPr>
          <w:rFonts w:ascii="Aptos" w:eastAsia="Calibri" w:hAnsi="Aptos"/>
          <w:sz w:val="22"/>
          <w:szCs w:val="22"/>
        </w:rPr>
        <w:t>individuals seeking a review of death sentence under Act 847</w:t>
      </w:r>
      <w:r w:rsidRPr="001430BF">
        <w:rPr>
          <w:rFonts w:ascii="Aptos" w:eastAsia="Calibri" w:hAnsi="Aptos"/>
          <w:sz w:val="22"/>
          <w:szCs w:val="22"/>
        </w:rPr>
        <w:t xml:space="preserve"> between</w:t>
      </w:r>
      <w:r w:rsidR="00FB3CFC">
        <w:rPr>
          <w:rFonts w:ascii="Aptos" w:eastAsia="Calibri" w:hAnsi="Aptos"/>
          <w:sz w:val="22"/>
          <w:szCs w:val="22"/>
        </w:rPr>
        <w:t xml:space="preserve"> </w:t>
      </w:r>
      <w:r w:rsidRPr="001430BF">
        <w:rPr>
          <w:rFonts w:ascii="Aptos" w:eastAsia="Calibri" w:hAnsi="Aptos"/>
          <w:sz w:val="22"/>
          <w:szCs w:val="22"/>
        </w:rPr>
        <w:t>14 November 2023 and 1</w:t>
      </w:r>
      <w:r w:rsidR="00F1388D">
        <w:rPr>
          <w:rFonts w:ascii="Aptos" w:eastAsia="Calibri" w:hAnsi="Aptos"/>
          <w:sz w:val="22"/>
          <w:szCs w:val="22"/>
        </w:rPr>
        <w:t>4</w:t>
      </w:r>
      <w:r w:rsidRPr="001430BF">
        <w:rPr>
          <w:rFonts w:ascii="Aptos" w:eastAsia="Calibri" w:hAnsi="Aptos"/>
          <w:sz w:val="22"/>
          <w:szCs w:val="22"/>
        </w:rPr>
        <w:t xml:space="preserve"> February 2024</w:t>
      </w:r>
      <w:r w:rsidR="00B34C67" w:rsidRPr="001430BF">
        <w:rPr>
          <w:rFonts w:ascii="Aptos" w:eastAsia="Calibri" w:hAnsi="Aptos"/>
          <w:sz w:val="22"/>
          <w:szCs w:val="22"/>
        </w:rPr>
        <w:t xml:space="preserve">. Of these, </w:t>
      </w:r>
      <w:r w:rsidRPr="001430BF">
        <w:rPr>
          <w:rFonts w:ascii="Aptos" w:eastAsia="Calibri" w:hAnsi="Aptos"/>
          <w:sz w:val="22"/>
          <w:szCs w:val="22"/>
        </w:rPr>
        <w:t xml:space="preserve">we are </w:t>
      </w:r>
      <w:r w:rsidR="00DC73FA">
        <w:rPr>
          <w:rFonts w:ascii="Aptos" w:eastAsia="Calibri" w:hAnsi="Aptos"/>
          <w:sz w:val="22"/>
          <w:szCs w:val="22"/>
        </w:rPr>
        <w:t xml:space="preserve">made </w:t>
      </w:r>
      <w:r w:rsidRPr="001430BF">
        <w:rPr>
          <w:rFonts w:ascii="Aptos" w:eastAsia="Calibri" w:hAnsi="Aptos"/>
          <w:sz w:val="22"/>
          <w:szCs w:val="22"/>
        </w:rPr>
        <w:t xml:space="preserve">aware </w:t>
      </w:r>
      <w:r w:rsidR="00B84D89">
        <w:rPr>
          <w:rFonts w:ascii="Aptos" w:eastAsia="Calibri" w:hAnsi="Aptos"/>
          <w:sz w:val="22"/>
          <w:szCs w:val="22"/>
        </w:rPr>
        <w:t>that no less than 4</w:t>
      </w:r>
      <w:r w:rsidR="00B34C67" w:rsidRPr="001430BF">
        <w:rPr>
          <w:rFonts w:ascii="Aptos" w:eastAsia="Calibri" w:hAnsi="Aptos"/>
          <w:sz w:val="22"/>
          <w:szCs w:val="22"/>
        </w:rPr>
        <w:t xml:space="preserve"> individual</w:t>
      </w:r>
      <w:r w:rsidR="00B84D89">
        <w:rPr>
          <w:rFonts w:ascii="Aptos" w:eastAsia="Calibri" w:hAnsi="Aptos"/>
          <w:sz w:val="22"/>
          <w:szCs w:val="22"/>
        </w:rPr>
        <w:t>s</w:t>
      </w:r>
      <w:r w:rsidR="00B34C67" w:rsidRPr="001430BF">
        <w:rPr>
          <w:rFonts w:ascii="Aptos" w:eastAsia="Calibri" w:hAnsi="Aptos"/>
          <w:sz w:val="22"/>
          <w:szCs w:val="22"/>
        </w:rPr>
        <w:t xml:space="preserve"> </w:t>
      </w:r>
      <w:r w:rsidR="00B84D89">
        <w:rPr>
          <w:rFonts w:ascii="Aptos" w:eastAsia="Calibri" w:hAnsi="Aptos"/>
          <w:sz w:val="22"/>
          <w:szCs w:val="22"/>
        </w:rPr>
        <w:t xml:space="preserve">have been </w:t>
      </w:r>
      <w:r w:rsidR="004E0FED" w:rsidRPr="001430BF">
        <w:rPr>
          <w:rFonts w:ascii="Aptos" w:eastAsia="Calibri" w:hAnsi="Aptos"/>
          <w:sz w:val="22"/>
          <w:szCs w:val="22"/>
        </w:rPr>
        <w:t>resentenced to death</w:t>
      </w:r>
      <w:r w:rsidRPr="001430BF">
        <w:rPr>
          <w:rFonts w:ascii="Aptos" w:eastAsia="Calibri" w:hAnsi="Aptos"/>
          <w:sz w:val="22"/>
          <w:szCs w:val="22"/>
        </w:rPr>
        <w:t xml:space="preserve">, </w:t>
      </w:r>
      <w:r w:rsidR="00B34C67" w:rsidRPr="001430BF">
        <w:rPr>
          <w:rFonts w:ascii="Aptos" w:eastAsia="Calibri" w:hAnsi="Aptos"/>
          <w:sz w:val="22"/>
          <w:szCs w:val="22"/>
        </w:rPr>
        <w:t>unable to seek another review of their sentence under Act 847.</w:t>
      </w:r>
    </w:p>
    <w:p w14:paraId="143E81B7" w14:textId="77777777" w:rsidR="006B54B2" w:rsidRPr="001430BF" w:rsidRDefault="006B54B2" w:rsidP="006B54B2">
      <w:pPr>
        <w:jc w:val="both"/>
        <w:rPr>
          <w:rFonts w:ascii="Aptos" w:eastAsia="Calibri" w:hAnsi="Aptos"/>
          <w:sz w:val="22"/>
          <w:szCs w:val="22"/>
        </w:rPr>
      </w:pPr>
    </w:p>
    <w:p w14:paraId="5CBD9DBF" w14:textId="02CBD571" w:rsidR="006B54B2" w:rsidRPr="001430BF" w:rsidRDefault="006B54B2" w:rsidP="006B54B2">
      <w:pPr>
        <w:jc w:val="both"/>
        <w:rPr>
          <w:rFonts w:ascii="Aptos" w:eastAsia="Calibri" w:hAnsi="Aptos"/>
          <w:sz w:val="22"/>
          <w:szCs w:val="22"/>
        </w:rPr>
      </w:pPr>
      <w:r w:rsidRPr="001430BF">
        <w:rPr>
          <w:rFonts w:ascii="Aptos" w:eastAsia="Calibri" w:hAnsi="Aptos"/>
          <w:sz w:val="22"/>
          <w:szCs w:val="22"/>
        </w:rPr>
        <w:t>In</w:t>
      </w:r>
      <w:r w:rsidR="00B86B18" w:rsidRPr="001430BF">
        <w:rPr>
          <w:rFonts w:ascii="Aptos" w:eastAsia="Calibri" w:hAnsi="Aptos"/>
          <w:sz w:val="22"/>
          <w:szCs w:val="22"/>
        </w:rPr>
        <w:t xml:space="preserve"> the case </w:t>
      </w:r>
      <w:r w:rsidR="00F56117">
        <w:rPr>
          <w:rFonts w:ascii="Aptos" w:eastAsia="Calibri" w:hAnsi="Aptos"/>
          <w:sz w:val="22"/>
          <w:szCs w:val="22"/>
        </w:rPr>
        <w:t xml:space="preserve">of one </w:t>
      </w:r>
      <w:r w:rsidR="00B86B18" w:rsidRPr="001430BF">
        <w:rPr>
          <w:rFonts w:ascii="Aptos" w:eastAsia="Calibri" w:hAnsi="Aptos"/>
          <w:sz w:val="22"/>
          <w:szCs w:val="22"/>
        </w:rPr>
        <w:t xml:space="preserve">of the individual </w:t>
      </w:r>
      <w:r w:rsidRPr="001430BF">
        <w:rPr>
          <w:rFonts w:ascii="Aptos" w:eastAsia="Calibri" w:hAnsi="Aptos"/>
          <w:sz w:val="22"/>
          <w:szCs w:val="22"/>
        </w:rPr>
        <w:t xml:space="preserve">resentenced to death, there were clear indications that the person had a mental disability from the facts of the case. The person had been under a death sentence for </w:t>
      </w:r>
      <w:r w:rsidR="00716FB8">
        <w:rPr>
          <w:rFonts w:ascii="Aptos" w:eastAsia="Calibri" w:hAnsi="Aptos"/>
          <w:sz w:val="22"/>
          <w:szCs w:val="22"/>
        </w:rPr>
        <w:t>two decades</w:t>
      </w:r>
      <w:r w:rsidRPr="001430BF">
        <w:rPr>
          <w:rFonts w:ascii="Aptos" w:eastAsia="Calibri" w:hAnsi="Aptos"/>
          <w:sz w:val="22"/>
          <w:szCs w:val="22"/>
        </w:rPr>
        <w:t xml:space="preserve">. There had been discussions on </w:t>
      </w:r>
      <w:r w:rsidR="00716FB8">
        <w:rPr>
          <w:rFonts w:ascii="Aptos" w:eastAsia="Calibri" w:hAnsi="Aptos"/>
          <w:sz w:val="22"/>
          <w:szCs w:val="22"/>
        </w:rPr>
        <w:t>the person’s mental health</w:t>
      </w:r>
      <w:r w:rsidR="006234D2">
        <w:rPr>
          <w:rFonts w:ascii="Aptos" w:eastAsia="Calibri" w:hAnsi="Aptos"/>
          <w:sz w:val="22"/>
          <w:szCs w:val="22"/>
        </w:rPr>
        <w:t xml:space="preserve"> </w:t>
      </w:r>
      <w:r w:rsidR="00D94E63">
        <w:rPr>
          <w:rFonts w:ascii="Aptos" w:eastAsia="Calibri" w:hAnsi="Aptos"/>
          <w:sz w:val="22"/>
          <w:szCs w:val="22"/>
        </w:rPr>
        <w:t xml:space="preserve">in the earlier proceedings </w:t>
      </w:r>
      <w:r w:rsidR="003D171D">
        <w:rPr>
          <w:rFonts w:ascii="Aptos" w:eastAsia="Calibri" w:hAnsi="Aptos"/>
          <w:sz w:val="22"/>
          <w:szCs w:val="22"/>
        </w:rPr>
        <w:t xml:space="preserve">and the facts unveiled </w:t>
      </w:r>
      <w:r w:rsidR="00716FB8">
        <w:rPr>
          <w:rFonts w:ascii="Aptos" w:eastAsia="Calibri" w:hAnsi="Aptos"/>
          <w:sz w:val="22"/>
          <w:szCs w:val="22"/>
        </w:rPr>
        <w:t>indicat</w:t>
      </w:r>
      <w:r w:rsidR="00284920">
        <w:rPr>
          <w:rFonts w:ascii="Aptos" w:eastAsia="Calibri" w:hAnsi="Aptos"/>
          <w:sz w:val="22"/>
          <w:szCs w:val="22"/>
        </w:rPr>
        <w:t>es</w:t>
      </w:r>
      <w:r w:rsidR="00716FB8">
        <w:rPr>
          <w:rFonts w:ascii="Aptos" w:eastAsia="Calibri" w:hAnsi="Aptos"/>
          <w:sz w:val="22"/>
          <w:szCs w:val="22"/>
        </w:rPr>
        <w:t xml:space="preserve"> that they </w:t>
      </w:r>
      <w:r w:rsidR="0069299A">
        <w:rPr>
          <w:rFonts w:ascii="Aptos" w:eastAsia="Calibri" w:hAnsi="Aptos"/>
          <w:sz w:val="22"/>
          <w:szCs w:val="22"/>
        </w:rPr>
        <w:t xml:space="preserve">may have </w:t>
      </w:r>
      <w:r w:rsidR="00716FB8">
        <w:rPr>
          <w:rFonts w:ascii="Aptos" w:eastAsia="Calibri" w:hAnsi="Aptos"/>
          <w:sz w:val="22"/>
          <w:szCs w:val="22"/>
        </w:rPr>
        <w:t xml:space="preserve">suffered </w:t>
      </w:r>
      <w:r w:rsidR="002B1D1C">
        <w:rPr>
          <w:rFonts w:ascii="Aptos" w:eastAsia="Calibri" w:hAnsi="Aptos"/>
          <w:sz w:val="22"/>
          <w:szCs w:val="22"/>
        </w:rPr>
        <w:t xml:space="preserve">from </w:t>
      </w:r>
      <w:r w:rsidR="00716FB8">
        <w:rPr>
          <w:rFonts w:ascii="Aptos" w:eastAsia="Calibri" w:hAnsi="Aptos"/>
          <w:sz w:val="22"/>
          <w:szCs w:val="22"/>
        </w:rPr>
        <w:t>severe mental illness</w:t>
      </w:r>
      <w:r w:rsidRPr="001430BF">
        <w:rPr>
          <w:rFonts w:ascii="Aptos" w:eastAsia="Calibri" w:hAnsi="Aptos"/>
          <w:sz w:val="22"/>
          <w:szCs w:val="22"/>
        </w:rPr>
        <w:t xml:space="preserve">. We are deeply concerned that in this case, life-saving evidence on mental or intellectual disability was </w:t>
      </w:r>
      <w:r w:rsidR="00716FB8">
        <w:rPr>
          <w:rFonts w:ascii="Aptos" w:eastAsia="Calibri" w:hAnsi="Aptos"/>
          <w:sz w:val="22"/>
          <w:szCs w:val="22"/>
        </w:rPr>
        <w:t>not</w:t>
      </w:r>
      <w:r w:rsidR="009135E8" w:rsidRPr="009135E8">
        <w:rPr>
          <w:rFonts w:ascii="Aptos" w:eastAsia="Calibri" w:hAnsi="Aptos"/>
          <w:sz w:val="22"/>
          <w:szCs w:val="22"/>
        </w:rPr>
        <w:t xml:space="preserve"> </w:t>
      </w:r>
      <w:r w:rsidR="009135E8">
        <w:rPr>
          <w:rFonts w:ascii="Aptos" w:eastAsia="Calibri" w:hAnsi="Aptos"/>
          <w:sz w:val="22"/>
          <w:szCs w:val="22"/>
        </w:rPr>
        <w:t>discussed</w:t>
      </w:r>
      <w:r w:rsidR="009135E8" w:rsidRPr="001430BF">
        <w:rPr>
          <w:rFonts w:ascii="Aptos" w:eastAsia="Calibri" w:hAnsi="Aptos"/>
          <w:sz w:val="22"/>
          <w:szCs w:val="22"/>
        </w:rPr>
        <w:t xml:space="preserve"> during the resentencing hearing, which we observed in person. </w:t>
      </w:r>
    </w:p>
    <w:p w14:paraId="522D94A1" w14:textId="77777777" w:rsidR="00B34C67" w:rsidRPr="001430BF" w:rsidRDefault="00B34C67" w:rsidP="00EC3876">
      <w:pPr>
        <w:jc w:val="both"/>
        <w:rPr>
          <w:rFonts w:ascii="Aptos" w:eastAsia="Calibri" w:hAnsi="Aptos"/>
          <w:sz w:val="22"/>
          <w:szCs w:val="22"/>
        </w:rPr>
      </w:pPr>
    </w:p>
    <w:p w14:paraId="47141F59" w14:textId="38342B20" w:rsidR="004E0FED" w:rsidRPr="001430BF" w:rsidRDefault="006371E1" w:rsidP="00EC3876">
      <w:pPr>
        <w:jc w:val="both"/>
        <w:rPr>
          <w:rFonts w:ascii="Aptos" w:eastAsia="Calibri" w:hAnsi="Aptos"/>
          <w:sz w:val="22"/>
          <w:szCs w:val="22"/>
        </w:rPr>
      </w:pPr>
      <w:r>
        <w:rPr>
          <w:rFonts w:ascii="Aptos" w:eastAsia="Calibri" w:hAnsi="Aptos"/>
          <w:sz w:val="22"/>
          <w:szCs w:val="22"/>
        </w:rPr>
        <w:t xml:space="preserve">A plain reading of </w:t>
      </w:r>
      <w:r w:rsidR="000216CD">
        <w:rPr>
          <w:rFonts w:ascii="Aptos" w:eastAsia="Calibri" w:hAnsi="Aptos"/>
          <w:sz w:val="22"/>
          <w:szCs w:val="22"/>
        </w:rPr>
        <w:t xml:space="preserve">the provisions of </w:t>
      </w:r>
      <w:r>
        <w:rPr>
          <w:rFonts w:ascii="Aptos" w:eastAsia="Calibri" w:hAnsi="Aptos"/>
          <w:sz w:val="22"/>
          <w:szCs w:val="22"/>
        </w:rPr>
        <w:t>Act 847 does not appear to prevent</w:t>
      </w:r>
      <w:r w:rsidR="004E0FED" w:rsidRPr="001430BF">
        <w:rPr>
          <w:rFonts w:ascii="Aptos" w:eastAsia="Calibri" w:hAnsi="Aptos"/>
          <w:sz w:val="22"/>
          <w:szCs w:val="22"/>
        </w:rPr>
        <w:t xml:space="preserve"> individuals </w:t>
      </w:r>
      <w:r w:rsidR="00B86B18" w:rsidRPr="001430BF">
        <w:rPr>
          <w:rFonts w:ascii="Aptos" w:eastAsia="Calibri" w:hAnsi="Aptos"/>
          <w:sz w:val="22"/>
          <w:szCs w:val="22"/>
        </w:rPr>
        <w:t>from raising</w:t>
      </w:r>
      <w:r w:rsidR="004E0FED" w:rsidRPr="001430BF">
        <w:rPr>
          <w:rFonts w:ascii="Aptos" w:eastAsia="Calibri" w:hAnsi="Aptos"/>
          <w:sz w:val="22"/>
          <w:szCs w:val="22"/>
        </w:rPr>
        <w:t xml:space="preserve"> issues of mental </w:t>
      </w:r>
      <w:r w:rsidR="00716FB8">
        <w:rPr>
          <w:rFonts w:ascii="Aptos" w:eastAsia="Calibri" w:hAnsi="Aptos"/>
          <w:sz w:val="22"/>
          <w:szCs w:val="22"/>
        </w:rPr>
        <w:t>or</w:t>
      </w:r>
      <w:r w:rsidR="004E0FED" w:rsidRPr="001430BF">
        <w:rPr>
          <w:rFonts w:ascii="Aptos" w:eastAsia="Calibri" w:hAnsi="Aptos"/>
          <w:sz w:val="22"/>
          <w:szCs w:val="22"/>
        </w:rPr>
        <w:t xml:space="preserve"> intellectual disability during resentencing hearings. However, there is </w:t>
      </w:r>
      <w:r w:rsidR="004E0FED" w:rsidRPr="001430BF">
        <w:rPr>
          <w:rFonts w:ascii="Aptos" w:eastAsia="Calibri" w:hAnsi="Aptos"/>
          <w:sz w:val="22"/>
          <w:szCs w:val="22"/>
        </w:rPr>
        <w:lastRenderedPageBreak/>
        <w:t xml:space="preserve">extremely limited scope for an individual to obtain </w:t>
      </w:r>
      <w:r w:rsidR="00B86B18" w:rsidRPr="001430BF">
        <w:rPr>
          <w:rFonts w:ascii="Aptos" w:eastAsia="Calibri" w:hAnsi="Aptos"/>
          <w:sz w:val="22"/>
          <w:szCs w:val="22"/>
        </w:rPr>
        <w:t xml:space="preserve">expert evidence, or </w:t>
      </w:r>
      <w:r w:rsidR="004E0FED" w:rsidRPr="001430BF">
        <w:rPr>
          <w:rFonts w:ascii="Aptos" w:eastAsia="Calibri" w:hAnsi="Aptos"/>
          <w:sz w:val="22"/>
          <w:szCs w:val="22"/>
        </w:rPr>
        <w:t>an</w:t>
      </w:r>
      <w:r w:rsidR="00B86B18" w:rsidRPr="001430BF">
        <w:rPr>
          <w:rFonts w:ascii="Aptos" w:eastAsia="Calibri" w:hAnsi="Aptos"/>
          <w:sz w:val="22"/>
          <w:szCs w:val="22"/>
        </w:rPr>
        <w:t>y form of</w:t>
      </w:r>
      <w:r w:rsidR="004E0FED" w:rsidRPr="001430BF">
        <w:rPr>
          <w:rFonts w:ascii="Aptos" w:eastAsia="Calibri" w:hAnsi="Aptos"/>
          <w:sz w:val="22"/>
          <w:szCs w:val="22"/>
        </w:rPr>
        <w:t xml:space="preserve"> assessment on their mental or intellectual disability </w:t>
      </w:r>
      <w:r w:rsidR="00DC1690" w:rsidRPr="001430BF">
        <w:rPr>
          <w:rFonts w:ascii="Aptos" w:eastAsia="Calibri" w:hAnsi="Aptos"/>
          <w:sz w:val="22"/>
          <w:szCs w:val="22"/>
        </w:rPr>
        <w:t xml:space="preserve">in the context of </w:t>
      </w:r>
      <w:r w:rsidR="00DC1690" w:rsidRPr="001430BF">
        <w:rPr>
          <w:rFonts w:ascii="Aptos" w:eastAsia="Calibri" w:hAnsi="Aptos"/>
          <w:i/>
          <w:iCs/>
          <w:sz w:val="22"/>
          <w:szCs w:val="22"/>
        </w:rPr>
        <w:t>sentencing</w:t>
      </w:r>
      <w:r w:rsidR="00FF58C9">
        <w:rPr>
          <w:rFonts w:ascii="Aptos" w:eastAsia="Calibri" w:hAnsi="Aptos"/>
          <w:sz w:val="22"/>
          <w:szCs w:val="22"/>
        </w:rPr>
        <w:t xml:space="preserve"> given the</w:t>
      </w:r>
      <w:r w:rsidR="00CA4DB7">
        <w:rPr>
          <w:rFonts w:ascii="Aptos" w:eastAsia="Calibri" w:hAnsi="Aptos"/>
          <w:sz w:val="22"/>
          <w:szCs w:val="22"/>
        </w:rPr>
        <w:t xml:space="preserve"> current</w:t>
      </w:r>
      <w:r w:rsidR="00FF58C9">
        <w:rPr>
          <w:rFonts w:ascii="Aptos" w:eastAsia="Calibri" w:hAnsi="Aptos"/>
          <w:sz w:val="22"/>
          <w:szCs w:val="22"/>
        </w:rPr>
        <w:t xml:space="preserve"> legal framework on mental health assessments</w:t>
      </w:r>
      <w:r w:rsidR="00DC1690" w:rsidRPr="001430BF">
        <w:rPr>
          <w:rFonts w:ascii="Aptos" w:eastAsia="Calibri" w:hAnsi="Aptos"/>
          <w:sz w:val="22"/>
          <w:szCs w:val="22"/>
        </w:rPr>
        <w:t xml:space="preserve">. </w:t>
      </w:r>
      <w:r w:rsidR="001732CD">
        <w:rPr>
          <w:rFonts w:ascii="Aptos" w:eastAsia="Calibri" w:hAnsi="Aptos"/>
          <w:sz w:val="22"/>
          <w:szCs w:val="22"/>
        </w:rPr>
        <w:t>It appears that the</w:t>
      </w:r>
      <w:r w:rsidR="00DC1690" w:rsidRPr="001430BF">
        <w:rPr>
          <w:rFonts w:ascii="Aptos" w:eastAsia="Calibri" w:hAnsi="Aptos"/>
          <w:sz w:val="22"/>
          <w:szCs w:val="22"/>
        </w:rPr>
        <w:t xml:space="preserve"> only available avenue for assessments to be conducted is through section 342 of the Penal Code, which provides that a Judge or Magistrate and Public Prosecutor may order for an accused person to be remanded at a psychiatric hospital for assessment for a month, if there is reason to suspect that the accused person is of “unsound mind” and consequently </w:t>
      </w:r>
      <w:r w:rsidR="00DC1690" w:rsidRPr="001430BF">
        <w:rPr>
          <w:rFonts w:ascii="Aptos" w:eastAsia="Calibri" w:hAnsi="Aptos"/>
          <w:i/>
          <w:iCs/>
          <w:sz w:val="22"/>
          <w:szCs w:val="22"/>
        </w:rPr>
        <w:t>incapable of making their defence</w:t>
      </w:r>
      <w:r w:rsidR="00DC1690" w:rsidRPr="001430BF">
        <w:rPr>
          <w:rFonts w:ascii="Aptos" w:eastAsia="Calibri" w:hAnsi="Aptos"/>
          <w:sz w:val="22"/>
          <w:szCs w:val="22"/>
        </w:rPr>
        <w:t xml:space="preserve">. </w:t>
      </w:r>
      <w:r w:rsidR="00716FB8">
        <w:rPr>
          <w:rFonts w:ascii="Aptos" w:eastAsia="Calibri" w:hAnsi="Aptos"/>
          <w:sz w:val="22"/>
          <w:szCs w:val="22"/>
        </w:rPr>
        <w:t>The Penal Code stipulates that</w:t>
      </w:r>
      <w:r w:rsidR="00DC1690" w:rsidRPr="001430BF">
        <w:rPr>
          <w:rFonts w:ascii="Aptos" w:eastAsia="Calibri" w:hAnsi="Aptos"/>
          <w:sz w:val="22"/>
          <w:szCs w:val="22"/>
        </w:rPr>
        <w:t xml:space="preserve"> should be done at the earliest available opportunity, ideally before trial.</w:t>
      </w:r>
    </w:p>
    <w:p w14:paraId="205DBC8E" w14:textId="77777777" w:rsidR="004E0FED" w:rsidRPr="001430BF" w:rsidRDefault="004E0FED" w:rsidP="00EC3876">
      <w:pPr>
        <w:jc w:val="both"/>
        <w:rPr>
          <w:rFonts w:ascii="Aptos" w:eastAsia="Calibri" w:hAnsi="Aptos"/>
          <w:sz w:val="22"/>
          <w:szCs w:val="22"/>
        </w:rPr>
      </w:pPr>
    </w:p>
    <w:p w14:paraId="271227AF" w14:textId="6406F55B" w:rsidR="00DC1690" w:rsidRDefault="009C5198" w:rsidP="00EC3876">
      <w:pPr>
        <w:jc w:val="both"/>
        <w:rPr>
          <w:rFonts w:ascii="Aptos" w:eastAsia="Calibri" w:hAnsi="Aptos"/>
          <w:sz w:val="22"/>
          <w:szCs w:val="22"/>
        </w:rPr>
      </w:pPr>
      <w:r w:rsidRPr="001430BF">
        <w:rPr>
          <w:rFonts w:ascii="Aptos" w:eastAsia="Calibri" w:hAnsi="Aptos"/>
          <w:sz w:val="22"/>
          <w:szCs w:val="22"/>
        </w:rPr>
        <w:t xml:space="preserve">The current framework does not </w:t>
      </w:r>
      <w:r w:rsidR="00CA2866">
        <w:rPr>
          <w:rFonts w:ascii="Aptos" w:eastAsia="Calibri" w:hAnsi="Aptos"/>
          <w:sz w:val="22"/>
          <w:szCs w:val="22"/>
        </w:rPr>
        <w:t>create a clear and accessible avenue for</w:t>
      </w:r>
      <w:r w:rsidRPr="001430BF">
        <w:rPr>
          <w:rFonts w:ascii="Aptos" w:eastAsia="Calibri" w:hAnsi="Aptos"/>
          <w:sz w:val="22"/>
          <w:szCs w:val="22"/>
        </w:rPr>
        <w:t xml:space="preserve"> </w:t>
      </w:r>
      <w:r w:rsidR="00CA2866">
        <w:rPr>
          <w:rFonts w:ascii="Aptos" w:eastAsia="Calibri" w:hAnsi="Aptos"/>
          <w:sz w:val="22"/>
          <w:szCs w:val="22"/>
        </w:rPr>
        <w:t>resentencing applicants</w:t>
      </w:r>
      <w:r w:rsidRPr="001430BF">
        <w:rPr>
          <w:rFonts w:ascii="Aptos" w:eastAsia="Calibri" w:hAnsi="Aptos"/>
          <w:sz w:val="22"/>
          <w:szCs w:val="22"/>
        </w:rPr>
        <w:t xml:space="preserve"> to obtain assessments of mental or intellectual disability in the context of </w:t>
      </w:r>
      <w:r w:rsidRPr="001430BF">
        <w:rPr>
          <w:rFonts w:ascii="Aptos" w:eastAsia="Calibri" w:hAnsi="Aptos"/>
          <w:i/>
          <w:iCs/>
          <w:sz w:val="22"/>
          <w:szCs w:val="22"/>
        </w:rPr>
        <w:t>sentencing rather than conviction</w:t>
      </w:r>
      <w:r w:rsidRPr="001430BF">
        <w:rPr>
          <w:rFonts w:ascii="Aptos" w:eastAsia="Calibri" w:hAnsi="Aptos"/>
          <w:sz w:val="22"/>
          <w:szCs w:val="22"/>
        </w:rPr>
        <w:t>.</w:t>
      </w:r>
      <w:r>
        <w:rPr>
          <w:rFonts w:ascii="Aptos" w:eastAsia="Calibri" w:hAnsi="Aptos"/>
          <w:sz w:val="22"/>
          <w:szCs w:val="22"/>
        </w:rPr>
        <w:t xml:space="preserve"> </w:t>
      </w:r>
      <w:r w:rsidR="00DC1690" w:rsidRPr="001430BF">
        <w:rPr>
          <w:rFonts w:ascii="Aptos" w:eastAsia="Calibri" w:hAnsi="Aptos"/>
          <w:sz w:val="22"/>
          <w:szCs w:val="22"/>
        </w:rPr>
        <w:t xml:space="preserve">The question of whether a </w:t>
      </w:r>
      <w:r w:rsidR="00DC1690" w:rsidRPr="001430BF">
        <w:rPr>
          <w:rFonts w:ascii="Aptos" w:eastAsia="Calibri" w:hAnsi="Aptos"/>
          <w:i/>
          <w:iCs/>
          <w:sz w:val="22"/>
          <w:szCs w:val="22"/>
        </w:rPr>
        <w:t>sentence is proportionate</w:t>
      </w:r>
      <w:r w:rsidR="00DC1690" w:rsidRPr="001430BF">
        <w:rPr>
          <w:rFonts w:ascii="Aptos" w:eastAsia="Calibri" w:hAnsi="Aptos"/>
          <w:sz w:val="22"/>
          <w:szCs w:val="22"/>
        </w:rPr>
        <w:t xml:space="preserve"> given the circumstances of the offence committed as well as the circumstances of the individual convicted is </w:t>
      </w:r>
      <w:r w:rsidR="00DC1690" w:rsidRPr="001430BF">
        <w:rPr>
          <w:rFonts w:ascii="Aptos" w:eastAsia="Calibri" w:hAnsi="Aptos"/>
          <w:i/>
          <w:iCs/>
          <w:sz w:val="22"/>
          <w:szCs w:val="22"/>
        </w:rPr>
        <w:t>separate to the question of whether a person is of “unsound mind” and incapable of making their defence</w:t>
      </w:r>
      <w:r w:rsidR="00DC1690" w:rsidRPr="001430BF">
        <w:rPr>
          <w:rFonts w:ascii="Aptos" w:eastAsia="Calibri" w:hAnsi="Aptos"/>
          <w:sz w:val="22"/>
          <w:szCs w:val="22"/>
        </w:rPr>
        <w:t xml:space="preserve">. In the context of resentencing, individuals have been on death row for many years, sometimes over one or two decades, and are now being given an opportunity to seek a revision of their death sentences. </w:t>
      </w:r>
      <w:r>
        <w:rPr>
          <w:rFonts w:ascii="Aptos" w:eastAsia="Calibri" w:hAnsi="Aptos"/>
          <w:sz w:val="22"/>
          <w:szCs w:val="22"/>
        </w:rPr>
        <w:t xml:space="preserve">This is a valuable, one-time, life-saving opportunity and there is no clear path for individuals to adduce expert evidence of mental and intellectual disability </w:t>
      </w:r>
      <w:r w:rsidR="00716FB8">
        <w:rPr>
          <w:rFonts w:ascii="Aptos" w:eastAsia="Calibri" w:hAnsi="Aptos"/>
          <w:sz w:val="22"/>
          <w:szCs w:val="22"/>
        </w:rPr>
        <w:t>in order to</w:t>
      </w:r>
      <w:r>
        <w:rPr>
          <w:rFonts w:ascii="Aptos" w:eastAsia="Calibri" w:hAnsi="Aptos"/>
          <w:sz w:val="22"/>
          <w:szCs w:val="22"/>
        </w:rPr>
        <w:t xml:space="preserve"> </w:t>
      </w:r>
      <w:r w:rsidR="00F723CF">
        <w:rPr>
          <w:rFonts w:ascii="Aptos" w:eastAsia="Calibri" w:hAnsi="Aptos"/>
          <w:sz w:val="22"/>
          <w:szCs w:val="22"/>
        </w:rPr>
        <w:t>commute</w:t>
      </w:r>
      <w:r w:rsidR="00206A31">
        <w:rPr>
          <w:rFonts w:ascii="Aptos" w:eastAsia="Calibri" w:hAnsi="Aptos"/>
          <w:sz w:val="22"/>
          <w:szCs w:val="22"/>
        </w:rPr>
        <w:t xml:space="preserve"> </w:t>
      </w:r>
      <w:r>
        <w:rPr>
          <w:rFonts w:ascii="Aptos" w:eastAsia="Calibri" w:hAnsi="Aptos"/>
          <w:sz w:val="22"/>
          <w:szCs w:val="22"/>
        </w:rPr>
        <w:t>their death sentences.</w:t>
      </w:r>
    </w:p>
    <w:p w14:paraId="7E388D07" w14:textId="77777777" w:rsidR="009C5198" w:rsidRPr="001430BF" w:rsidRDefault="009C5198" w:rsidP="00EC3876">
      <w:pPr>
        <w:jc w:val="both"/>
        <w:rPr>
          <w:rFonts w:ascii="Aptos" w:eastAsia="Calibri" w:hAnsi="Aptos"/>
          <w:sz w:val="22"/>
          <w:szCs w:val="22"/>
        </w:rPr>
      </w:pPr>
    </w:p>
    <w:p w14:paraId="0EA56EC1" w14:textId="77777777" w:rsidR="00DC1690" w:rsidRPr="001430BF" w:rsidRDefault="00DC1690" w:rsidP="00EC3876">
      <w:pPr>
        <w:jc w:val="both"/>
        <w:rPr>
          <w:rFonts w:ascii="Aptos" w:eastAsia="Calibri" w:hAnsi="Aptos"/>
          <w:sz w:val="22"/>
          <w:szCs w:val="22"/>
        </w:rPr>
      </w:pPr>
    </w:p>
    <w:p w14:paraId="3E3BF4D0" w14:textId="508386D6" w:rsidR="0016294E" w:rsidRPr="001430BF" w:rsidRDefault="0016294E" w:rsidP="00CA2866">
      <w:pPr>
        <w:jc w:val="center"/>
        <w:rPr>
          <w:rFonts w:ascii="Aptos" w:eastAsia="Calibri" w:hAnsi="Aptos"/>
          <w:b/>
          <w:bCs/>
          <w:sz w:val="22"/>
          <w:szCs w:val="22"/>
        </w:rPr>
      </w:pPr>
      <w:r w:rsidRPr="001430BF">
        <w:rPr>
          <w:rFonts w:ascii="Aptos" w:eastAsia="Calibri" w:hAnsi="Aptos"/>
          <w:b/>
          <w:bCs/>
          <w:sz w:val="22"/>
          <w:szCs w:val="22"/>
        </w:rPr>
        <w:t>Singapore</w:t>
      </w:r>
    </w:p>
    <w:p w14:paraId="1965D9E2" w14:textId="77777777" w:rsidR="00AC5DE9" w:rsidRPr="001430BF" w:rsidRDefault="00AC5DE9" w:rsidP="00EC3876">
      <w:pPr>
        <w:jc w:val="both"/>
        <w:rPr>
          <w:rFonts w:ascii="Aptos" w:eastAsia="Calibri" w:hAnsi="Aptos"/>
          <w:sz w:val="22"/>
          <w:szCs w:val="22"/>
        </w:rPr>
      </w:pPr>
    </w:p>
    <w:p w14:paraId="23413197" w14:textId="6D52B7E6" w:rsidR="005966B8" w:rsidRPr="001430BF" w:rsidRDefault="009A6299" w:rsidP="00EC3876">
      <w:pPr>
        <w:jc w:val="both"/>
        <w:rPr>
          <w:rFonts w:ascii="Aptos" w:eastAsia="Calibri" w:hAnsi="Aptos"/>
          <w:sz w:val="22"/>
          <w:szCs w:val="22"/>
        </w:rPr>
      </w:pPr>
      <w:r w:rsidRPr="001430BF">
        <w:rPr>
          <w:rFonts w:ascii="Aptos" w:eastAsia="Calibri" w:hAnsi="Aptos"/>
          <w:sz w:val="22"/>
          <w:szCs w:val="22"/>
        </w:rPr>
        <w:t>In the last three years</w:t>
      </w:r>
      <w:r w:rsidR="002D4C15" w:rsidRPr="001430BF">
        <w:rPr>
          <w:rFonts w:ascii="Aptos" w:eastAsia="Calibri" w:hAnsi="Aptos"/>
          <w:sz w:val="22"/>
          <w:szCs w:val="22"/>
        </w:rPr>
        <w:t xml:space="preserve">, there </w:t>
      </w:r>
      <w:r w:rsidRPr="001430BF">
        <w:rPr>
          <w:rFonts w:ascii="Aptos" w:eastAsia="Calibri" w:hAnsi="Aptos"/>
          <w:sz w:val="22"/>
          <w:szCs w:val="22"/>
        </w:rPr>
        <w:t>has been</w:t>
      </w:r>
      <w:r w:rsidR="002D4C15" w:rsidRPr="001430BF">
        <w:rPr>
          <w:rFonts w:ascii="Aptos" w:eastAsia="Calibri" w:hAnsi="Aptos"/>
          <w:sz w:val="22"/>
          <w:szCs w:val="22"/>
        </w:rPr>
        <w:t xml:space="preserve"> extensive discussion on the rights of individuals with mental and intellectual disabilities facing the death penalty in Singapore, both within the country and the international community. Most of the discussion centred on the case of Nagaenthran Dharmalingam, a young man with intellectual disabilities executed for drug offences on 27 April 2022. </w:t>
      </w:r>
      <w:r w:rsidRPr="001430BF">
        <w:rPr>
          <w:rFonts w:ascii="Aptos" w:eastAsia="Calibri" w:hAnsi="Aptos"/>
          <w:sz w:val="22"/>
          <w:szCs w:val="22"/>
        </w:rPr>
        <w:t>H</w:t>
      </w:r>
      <w:r w:rsidR="002D4C15" w:rsidRPr="001430BF">
        <w:rPr>
          <w:rFonts w:ascii="Aptos" w:eastAsia="Calibri" w:hAnsi="Aptos"/>
          <w:sz w:val="22"/>
          <w:szCs w:val="22"/>
        </w:rPr>
        <w:t xml:space="preserve">is case highlighted significant barriers to access to justice for individuals with intellectual disabilities facing the death penalty in Singapore. </w:t>
      </w:r>
      <w:r w:rsidRPr="001430BF">
        <w:rPr>
          <w:rFonts w:ascii="Aptos" w:eastAsia="Calibri" w:hAnsi="Aptos"/>
          <w:sz w:val="22"/>
          <w:szCs w:val="22"/>
        </w:rPr>
        <w:t>Three more men, Rosman bin Abdullah, Pausi bin Jefridin and Roslan bin Bakar</w:t>
      </w:r>
      <w:r w:rsidR="005966B8" w:rsidRPr="001430BF">
        <w:rPr>
          <w:rFonts w:ascii="Aptos" w:eastAsia="Calibri" w:hAnsi="Aptos"/>
          <w:sz w:val="22"/>
          <w:szCs w:val="22"/>
        </w:rPr>
        <w:t>, who had adduced evidence of mental and intellectual disabilities during their court proceedings</w:t>
      </w:r>
      <w:r w:rsidRPr="001430BF">
        <w:rPr>
          <w:rFonts w:ascii="Aptos" w:eastAsia="Calibri" w:hAnsi="Aptos"/>
          <w:sz w:val="22"/>
          <w:szCs w:val="22"/>
        </w:rPr>
        <w:t xml:space="preserve"> </w:t>
      </w:r>
      <w:r w:rsidR="005966B8" w:rsidRPr="001430BF">
        <w:rPr>
          <w:rFonts w:ascii="Aptos" w:eastAsia="Calibri" w:hAnsi="Aptos"/>
          <w:sz w:val="22"/>
          <w:szCs w:val="22"/>
        </w:rPr>
        <w:t>were executed in 2022.</w:t>
      </w:r>
    </w:p>
    <w:p w14:paraId="17194525" w14:textId="77777777" w:rsidR="005966B8" w:rsidRPr="001430BF" w:rsidRDefault="005966B8" w:rsidP="00EC3876">
      <w:pPr>
        <w:jc w:val="both"/>
        <w:rPr>
          <w:rFonts w:ascii="Aptos" w:eastAsia="Calibri" w:hAnsi="Aptos"/>
          <w:sz w:val="22"/>
          <w:szCs w:val="22"/>
          <w:u w:val="single"/>
        </w:rPr>
      </w:pPr>
    </w:p>
    <w:p w14:paraId="607F476B" w14:textId="40F92227" w:rsidR="005966B8" w:rsidRPr="001430BF" w:rsidRDefault="005966B8" w:rsidP="00EC3876">
      <w:pPr>
        <w:jc w:val="both"/>
        <w:rPr>
          <w:rFonts w:ascii="Aptos" w:eastAsia="Calibri" w:hAnsi="Aptos"/>
          <w:sz w:val="22"/>
          <w:szCs w:val="22"/>
          <w:u w:val="single"/>
        </w:rPr>
      </w:pPr>
      <w:r w:rsidRPr="001430BF">
        <w:rPr>
          <w:rFonts w:ascii="Aptos" w:eastAsia="Calibri" w:hAnsi="Aptos"/>
          <w:sz w:val="22"/>
          <w:szCs w:val="22"/>
          <w:u w:val="single"/>
        </w:rPr>
        <w:t>Executions in violation of the Convention on the Rights of Persons with Disabilities</w:t>
      </w:r>
    </w:p>
    <w:p w14:paraId="3D2BACE4" w14:textId="77777777" w:rsidR="002D4C15" w:rsidRPr="001430BF" w:rsidRDefault="002D4C15" w:rsidP="00EC3876">
      <w:pPr>
        <w:jc w:val="both"/>
        <w:rPr>
          <w:rFonts w:ascii="Aptos" w:eastAsia="Calibri" w:hAnsi="Aptos"/>
          <w:sz w:val="22"/>
          <w:szCs w:val="22"/>
        </w:rPr>
      </w:pPr>
    </w:p>
    <w:p w14:paraId="5426B190" w14:textId="16518E7B" w:rsidR="002D4C15" w:rsidRPr="001430BF" w:rsidRDefault="002D4C15" w:rsidP="002D4C15">
      <w:pPr>
        <w:jc w:val="both"/>
        <w:rPr>
          <w:rFonts w:ascii="Aptos" w:eastAsia="Calibri" w:hAnsi="Aptos"/>
          <w:sz w:val="22"/>
          <w:szCs w:val="22"/>
        </w:rPr>
      </w:pPr>
      <w:r w:rsidRPr="002D4C15">
        <w:rPr>
          <w:rFonts w:ascii="Aptos" w:eastAsia="Calibri" w:hAnsi="Aptos"/>
          <w:sz w:val="22"/>
          <w:szCs w:val="22"/>
        </w:rPr>
        <w:t xml:space="preserve">Mr Nagaenthran fell squarely within the protection of the </w:t>
      </w:r>
      <w:r w:rsidR="004051F5" w:rsidRPr="001430BF">
        <w:rPr>
          <w:rFonts w:ascii="Aptos" w:eastAsia="Calibri" w:hAnsi="Aptos"/>
          <w:sz w:val="22"/>
          <w:szCs w:val="22"/>
        </w:rPr>
        <w:t>Convention on the Rights of Persons with Disabilities (CRPD)</w:t>
      </w:r>
      <w:r w:rsidRPr="002D4C15">
        <w:rPr>
          <w:rFonts w:ascii="Aptos" w:eastAsia="Calibri" w:hAnsi="Aptos"/>
          <w:sz w:val="22"/>
          <w:szCs w:val="22"/>
        </w:rPr>
        <w:t xml:space="preserve"> and was executed in violation of its provisions. During his legal proceedings, a total of five expert psychiatric and psychological reports variously found him to have an intellectual disability; borderline intellectual functioning; overall intellectual functioning in the extremely low range; an IQ score of 69 (which meets the criteria for intellectual disability in multiple internationally accepted diagnostic standards</w:t>
      </w:r>
      <w:r w:rsidRPr="002D4C15">
        <w:rPr>
          <w:rFonts w:ascii="Aptos" w:eastAsia="Calibri" w:hAnsi="Aptos"/>
          <w:sz w:val="22"/>
          <w:szCs w:val="22"/>
          <w:vertAlign w:val="superscript"/>
        </w:rPr>
        <w:footnoteReference w:id="1"/>
      </w:r>
      <w:r w:rsidRPr="002D4C15">
        <w:rPr>
          <w:rFonts w:ascii="Aptos" w:eastAsia="Calibri" w:hAnsi="Aptos"/>
          <w:sz w:val="22"/>
          <w:szCs w:val="22"/>
        </w:rPr>
        <w:t>); mild ADHD of the inattentive type; and impaired executive functioning skills.</w:t>
      </w:r>
      <w:r w:rsidRPr="002D4C15">
        <w:rPr>
          <w:rFonts w:ascii="Aptos" w:eastAsia="Calibri" w:hAnsi="Aptos"/>
          <w:sz w:val="22"/>
          <w:szCs w:val="22"/>
          <w:vertAlign w:val="superscript"/>
        </w:rPr>
        <w:footnoteReference w:id="2"/>
      </w:r>
    </w:p>
    <w:p w14:paraId="6F3BE453" w14:textId="77777777" w:rsidR="002D4C15" w:rsidRPr="002D4C15" w:rsidRDefault="002D4C15" w:rsidP="002D4C15">
      <w:pPr>
        <w:jc w:val="both"/>
        <w:rPr>
          <w:rFonts w:ascii="Aptos" w:eastAsia="Calibri" w:hAnsi="Aptos"/>
          <w:sz w:val="22"/>
          <w:szCs w:val="22"/>
        </w:rPr>
      </w:pPr>
    </w:p>
    <w:p w14:paraId="6B76B9E0" w14:textId="77777777" w:rsidR="002D4C15" w:rsidRPr="002D4C15" w:rsidRDefault="002D4C15" w:rsidP="002D4C15">
      <w:pPr>
        <w:jc w:val="both"/>
        <w:rPr>
          <w:rFonts w:ascii="Aptos" w:eastAsia="Calibri" w:hAnsi="Aptos"/>
          <w:sz w:val="22"/>
          <w:szCs w:val="22"/>
        </w:rPr>
      </w:pPr>
      <w:r w:rsidRPr="002D4C15">
        <w:rPr>
          <w:rFonts w:ascii="Aptos" w:eastAsia="Calibri" w:hAnsi="Aptos"/>
          <w:sz w:val="22"/>
          <w:szCs w:val="22"/>
        </w:rPr>
        <w:t>In the course of their legal proceedings, expert evidence that Mr Rosman, Mr Pausi and Mr Roslan had intellectual or psychosocial disabilities was adduced. In the three cases,</w:t>
      </w:r>
    </w:p>
    <w:p w14:paraId="60444BFB" w14:textId="77777777" w:rsidR="002D4C15" w:rsidRPr="001430BF" w:rsidRDefault="002D4C15" w:rsidP="002D4C15">
      <w:pPr>
        <w:jc w:val="both"/>
        <w:rPr>
          <w:rFonts w:ascii="Aptos" w:eastAsia="Calibri" w:hAnsi="Aptos"/>
          <w:i/>
          <w:sz w:val="22"/>
          <w:szCs w:val="22"/>
        </w:rPr>
      </w:pPr>
    </w:p>
    <w:p w14:paraId="44C5BB0A" w14:textId="67B32FF9" w:rsidR="002D4C15" w:rsidRPr="0066313F" w:rsidRDefault="002D4C15" w:rsidP="0066313F">
      <w:pPr>
        <w:pStyle w:val="Quote"/>
      </w:pPr>
      <w:r w:rsidRPr="0066313F">
        <w:t xml:space="preserve">‘psychiatrists called by the Defence during their respective court proceedings made observations as to their cognitive abilities. Roslan bin Bakar was assessed to have “limited capacity for judgement, decision-making, consequential thinking, impulse control and executive function”. The Prosecution in his case also stated that he was </w:t>
      </w:r>
      <w:r w:rsidRPr="0066313F">
        <w:rPr>
          <w:i w:val="0"/>
          <w:iCs/>
        </w:rPr>
        <w:t>“within the borderline range of intellectual functioning”</w:t>
      </w:r>
      <w:r w:rsidRPr="0066313F">
        <w:t>[.] His co-accused [Mr Pausi] was assessed to have an IQ of 67 by a psychiatrist, which is lower than the average individual’s IQ of between 90 and 109. Rosman bin Abdullah was assessed to display “ADHD symptomatology, low IQ, and stunted emotional development”.’</w:t>
      </w:r>
      <w:r w:rsidRPr="0066313F">
        <w:rPr>
          <w:vertAlign w:val="superscript"/>
        </w:rPr>
        <w:footnoteReference w:id="3"/>
      </w:r>
    </w:p>
    <w:p w14:paraId="7246DC1D" w14:textId="77777777" w:rsidR="002D4C15" w:rsidRPr="001430BF" w:rsidRDefault="002D4C15" w:rsidP="002D4C15">
      <w:pPr>
        <w:jc w:val="both"/>
        <w:rPr>
          <w:rFonts w:ascii="Aptos" w:eastAsia="Calibri" w:hAnsi="Aptos"/>
          <w:sz w:val="22"/>
          <w:szCs w:val="22"/>
        </w:rPr>
      </w:pPr>
    </w:p>
    <w:p w14:paraId="57CA4665" w14:textId="3ECD4D77" w:rsidR="004051F5" w:rsidRPr="001430BF" w:rsidRDefault="004051F5" w:rsidP="00EC3876">
      <w:pPr>
        <w:jc w:val="both"/>
        <w:rPr>
          <w:rFonts w:ascii="Aptos" w:eastAsia="Calibri" w:hAnsi="Aptos"/>
          <w:sz w:val="22"/>
          <w:szCs w:val="22"/>
        </w:rPr>
      </w:pPr>
      <w:r w:rsidRPr="001430BF">
        <w:rPr>
          <w:rFonts w:ascii="Aptos" w:eastAsia="Calibri" w:hAnsi="Aptos"/>
          <w:sz w:val="22"/>
          <w:szCs w:val="22"/>
        </w:rPr>
        <w:t xml:space="preserve">Under the CRPD, the death penalty should not be imposed on individuals with intellectual disabilities in Singapore. In September 2022, UN Committee on the Rights of Persons with Disabilities (CRPD Committee) </w:t>
      </w:r>
      <w:r w:rsidR="00AC5DE9" w:rsidRPr="001430BF">
        <w:rPr>
          <w:rFonts w:ascii="Aptos" w:eastAsia="Calibri" w:hAnsi="Aptos"/>
          <w:sz w:val="22"/>
          <w:szCs w:val="22"/>
        </w:rPr>
        <w:t>observed as follows:</w:t>
      </w:r>
    </w:p>
    <w:p w14:paraId="58D77996" w14:textId="77777777" w:rsidR="00AC5DE9" w:rsidRPr="001430BF" w:rsidRDefault="00AC5DE9" w:rsidP="00EC3876">
      <w:pPr>
        <w:jc w:val="both"/>
        <w:rPr>
          <w:rFonts w:ascii="Aptos" w:eastAsia="Calibri" w:hAnsi="Aptos"/>
          <w:sz w:val="22"/>
          <w:szCs w:val="22"/>
        </w:rPr>
      </w:pPr>
    </w:p>
    <w:p w14:paraId="54E6B126" w14:textId="1CDAC8DC" w:rsidR="00AC5DE9" w:rsidRPr="0066313F" w:rsidRDefault="00AC5DE9" w:rsidP="0066313F">
      <w:pPr>
        <w:pStyle w:val="Quote"/>
      </w:pPr>
      <w:r w:rsidRPr="0066313F">
        <w:t>‘The Committee is gravely concerned about the legality, the imposition and the execution of the death penalty in the State party on persons with intellectual disabilities, persons with psychosocial disabilities, and autistic persons, as well as for crimes not involving intentional killing. It is equally concerned about the execution of a person with intellectual disabilities despite the prior intervention of the Committee’s Chair.’</w:t>
      </w:r>
      <w:r w:rsidRPr="0066313F">
        <w:rPr>
          <w:rStyle w:val="FootnoteReference"/>
        </w:rPr>
        <w:footnoteReference w:id="4"/>
      </w:r>
    </w:p>
    <w:p w14:paraId="7F4BEE97" w14:textId="77777777" w:rsidR="004051F5" w:rsidRPr="001430BF" w:rsidRDefault="004051F5" w:rsidP="00EC3876">
      <w:pPr>
        <w:jc w:val="both"/>
        <w:rPr>
          <w:rFonts w:ascii="Aptos" w:eastAsia="Calibri" w:hAnsi="Aptos"/>
          <w:sz w:val="22"/>
          <w:szCs w:val="22"/>
        </w:rPr>
      </w:pPr>
    </w:p>
    <w:p w14:paraId="72D8FA7A" w14:textId="7580D268" w:rsidR="00AC5DE9" w:rsidRPr="001430BF" w:rsidRDefault="00AC5DE9" w:rsidP="00EC3876">
      <w:pPr>
        <w:jc w:val="both"/>
        <w:rPr>
          <w:rFonts w:ascii="Aptos" w:eastAsia="Calibri" w:hAnsi="Aptos"/>
          <w:sz w:val="22"/>
          <w:szCs w:val="22"/>
        </w:rPr>
      </w:pPr>
      <w:r w:rsidRPr="001430BF">
        <w:rPr>
          <w:rFonts w:ascii="Aptos" w:eastAsia="Calibri" w:hAnsi="Aptos"/>
          <w:sz w:val="22"/>
          <w:szCs w:val="22"/>
        </w:rPr>
        <w:t>The Committee</w:t>
      </w:r>
    </w:p>
    <w:p w14:paraId="79DABDEE" w14:textId="77777777" w:rsidR="00AC5DE9" w:rsidRPr="001430BF" w:rsidRDefault="00AC5DE9" w:rsidP="00EC3876">
      <w:pPr>
        <w:jc w:val="both"/>
        <w:rPr>
          <w:rFonts w:ascii="Aptos" w:eastAsia="Calibri" w:hAnsi="Aptos"/>
          <w:sz w:val="22"/>
          <w:szCs w:val="22"/>
        </w:rPr>
      </w:pPr>
    </w:p>
    <w:p w14:paraId="48187524" w14:textId="61823114" w:rsidR="00AC5DE9" w:rsidRPr="001430BF" w:rsidRDefault="004051F5" w:rsidP="001430BF">
      <w:pPr>
        <w:pStyle w:val="Quote"/>
      </w:pPr>
      <w:r w:rsidRPr="001430BF">
        <w:t xml:space="preserve">‘urgently </w:t>
      </w:r>
      <w:r w:rsidR="00AC5DE9" w:rsidRPr="001430BF">
        <w:t>[</w:t>
      </w:r>
      <w:r w:rsidRPr="001430BF">
        <w:t>recommend</w:t>
      </w:r>
      <w:r w:rsidR="00AC5DE9" w:rsidRPr="001430BF">
        <w:t xml:space="preserve"> </w:t>
      </w:r>
      <w:r w:rsidRPr="001430BF">
        <w:t>that Singapore] abolish the death penalty for persons with psychosocial disabilities, for persons with intellectual disabilities, and for autistic persons, as well as for crimes not involving intentional killing, and immediately halt all impositions and executions of the death penalty in such cases, in accordance with the limits established under international law.’</w:t>
      </w:r>
      <w:r w:rsidRPr="001430BF">
        <w:rPr>
          <w:vertAlign w:val="superscript"/>
        </w:rPr>
        <w:footnoteReference w:id="5"/>
      </w:r>
    </w:p>
    <w:p w14:paraId="0700C4E3" w14:textId="77777777" w:rsidR="001F25A3" w:rsidRPr="001430BF" w:rsidRDefault="001F25A3" w:rsidP="001F25A3">
      <w:pPr>
        <w:rPr>
          <w:rFonts w:ascii="Aptos" w:eastAsia="Calibri" w:hAnsi="Aptos"/>
          <w:sz w:val="22"/>
          <w:szCs w:val="22"/>
        </w:rPr>
      </w:pPr>
    </w:p>
    <w:p w14:paraId="398F8C78" w14:textId="65CE5226" w:rsidR="001F25A3" w:rsidRPr="001430BF" w:rsidRDefault="001430BF" w:rsidP="001F25A3">
      <w:pPr>
        <w:rPr>
          <w:rFonts w:ascii="Aptos" w:eastAsia="Calibri" w:hAnsi="Aptos"/>
          <w:sz w:val="22"/>
          <w:szCs w:val="22"/>
        </w:rPr>
      </w:pPr>
      <w:r w:rsidRPr="001430BF">
        <w:rPr>
          <w:rFonts w:ascii="Aptos" w:eastAsia="Calibri" w:hAnsi="Aptos"/>
          <w:sz w:val="22"/>
          <w:szCs w:val="22"/>
        </w:rPr>
        <w:t>Singapore has not taken steps towards implementing these recommendations</w:t>
      </w:r>
      <w:r w:rsidR="00AB300B">
        <w:rPr>
          <w:rFonts w:ascii="Aptos" w:eastAsia="Calibri" w:hAnsi="Aptos"/>
          <w:sz w:val="22"/>
          <w:szCs w:val="22"/>
        </w:rPr>
        <w:t xml:space="preserve"> and people with mental and intellectual disabilities in the country continue to be at increased risk of execution in violation of international law.</w:t>
      </w:r>
    </w:p>
    <w:sectPr w:rsidR="001F25A3" w:rsidRPr="001430BF">
      <w:headerReference w:type="default" r:id="rId8"/>
      <w:footerReference w:type="default" r:id="rId9"/>
      <w:pgSz w:w="11907" w:h="16840"/>
      <w:pgMar w:top="1701" w:right="1418" w:bottom="1644" w:left="141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65760" w14:textId="77777777" w:rsidR="00BC721B" w:rsidRDefault="00BC721B">
      <w:pPr>
        <w:spacing w:line="240" w:lineRule="auto"/>
      </w:pPr>
      <w:r>
        <w:separator/>
      </w:r>
    </w:p>
  </w:endnote>
  <w:endnote w:type="continuationSeparator" w:id="0">
    <w:p w14:paraId="360B4782" w14:textId="77777777" w:rsidR="00BC721B" w:rsidRDefault="00BC7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7575" w14:textId="77777777" w:rsidR="00B34C67" w:rsidRDefault="00B34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BFF6" w14:textId="77777777" w:rsidR="00BC721B" w:rsidRDefault="00BC721B">
      <w:pPr>
        <w:spacing w:line="240" w:lineRule="auto"/>
      </w:pPr>
      <w:r>
        <w:rPr>
          <w:color w:val="000000"/>
        </w:rPr>
        <w:separator/>
      </w:r>
    </w:p>
  </w:footnote>
  <w:footnote w:type="continuationSeparator" w:id="0">
    <w:p w14:paraId="794915E2" w14:textId="77777777" w:rsidR="00BC721B" w:rsidRDefault="00BC721B">
      <w:pPr>
        <w:spacing w:line="240" w:lineRule="auto"/>
      </w:pPr>
      <w:r>
        <w:continuationSeparator/>
      </w:r>
    </w:p>
  </w:footnote>
  <w:footnote w:id="1">
    <w:p w14:paraId="0ECBE7CA" w14:textId="77777777" w:rsidR="002D4C15" w:rsidRPr="00BA5466" w:rsidRDefault="002D4C15" w:rsidP="002D4C15">
      <w:pPr>
        <w:rPr>
          <w:rFonts w:ascii="Aptos" w:hAnsi="Aptos"/>
          <w:sz w:val="18"/>
          <w:szCs w:val="18"/>
        </w:rPr>
      </w:pPr>
      <w:r w:rsidRPr="00BA5466">
        <w:rPr>
          <w:rStyle w:val="FootnoteReference"/>
          <w:rFonts w:ascii="Aptos" w:hAnsi="Aptos"/>
          <w:sz w:val="18"/>
          <w:szCs w:val="18"/>
        </w:rPr>
        <w:footnoteRef/>
      </w:r>
      <w:r w:rsidRPr="00BA5466">
        <w:rPr>
          <w:rFonts w:ascii="Aptos" w:hAnsi="Aptos"/>
          <w:sz w:val="18"/>
          <w:szCs w:val="18"/>
        </w:rPr>
        <w:t xml:space="preserve"> International Statistical Classification of Diseases and Related Health Problems, 10th Revision (IDC-10), Code F70 &lt;</w:t>
      </w:r>
      <w:hyperlink r:id="rId1" w:anchor="/F70-F79" w:history="1">
        <w:r w:rsidRPr="00BA5466">
          <w:rPr>
            <w:rStyle w:val="Hyperlink"/>
            <w:rFonts w:ascii="Aptos" w:hAnsi="Aptos"/>
            <w:sz w:val="18"/>
            <w:szCs w:val="18"/>
          </w:rPr>
          <w:t>https://icd.who.int/browse10/2019/en#/F70-F79</w:t>
        </w:r>
      </w:hyperlink>
      <w:r w:rsidRPr="00BA5466">
        <w:rPr>
          <w:rFonts w:ascii="Aptos" w:hAnsi="Aptos"/>
          <w:sz w:val="18"/>
          <w:szCs w:val="18"/>
        </w:rPr>
        <w:t>&gt; ; American Psychiatric Association, DSM-5 Intellectual Disability Fact Sheet &lt;</w:t>
      </w:r>
      <w:hyperlink r:id="rId2">
        <w:r w:rsidRPr="00BA5466">
          <w:rPr>
            <w:rFonts w:ascii="Aptos" w:hAnsi="Aptos"/>
            <w:color w:val="0000FF"/>
            <w:sz w:val="18"/>
            <w:szCs w:val="18"/>
            <w:u w:val="single"/>
          </w:rPr>
          <w:t>https://www.psychiatry.org/File%20Library/Psychiatrists/Practice/DSM/APA_DSM-5-Intellectual-Disability.pdf</w:t>
        </w:r>
      </w:hyperlink>
      <w:r w:rsidRPr="00BA5466">
        <w:rPr>
          <w:rFonts w:ascii="Aptos" w:hAnsi="Aptos"/>
          <w:sz w:val="18"/>
          <w:szCs w:val="18"/>
        </w:rPr>
        <w:t>&gt;</w:t>
      </w:r>
    </w:p>
  </w:footnote>
  <w:footnote w:id="2">
    <w:p w14:paraId="3F87E728" w14:textId="77777777" w:rsidR="002D4C15" w:rsidRPr="00BA5466" w:rsidRDefault="002D4C15" w:rsidP="002D4C15">
      <w:pPr>
        <w:rPr>
          <w:rFonts w:ascii="Aptos" w:hAnsi="Aptos"/>
          <w:sz w:val="18"/>
          <w:szCs w:val="18"/>
        </w:rPr>
      </w:pPr>
      <w:r w:rsidRPr="00BA5466">
        <w:rPr>
          <w:rStyle w:val="FootnoteReference"/>
          <w:rFonts w:ascii="Aptos" w:hAnsi="Aptos"/>
          <w:sz w:val="18"/>
          <w:szCs w:val="18"/>
        </w:rPr>
        <w:footnoteRef/>
      </w:r>
      <w:r w:rsidRPr="00BA5466">
        <w:rPr>
          <w:rFonts w:ascii="Aptos" w:hAnsi="Aptos"/>
          <w:sz w:val="18"/>
          <w:szCs w:val="18"/>
        </w:rPr>
        <w:t xml:space="preserve"> </w:t>
      </w:r>
      <w:r w:rsidRPr="00BA5466">
        <w:rPr>
          <w:rFonts w:ascii="Aptos" w:hAnsi="Aptos"/>
          <w:i/>
          <w:sz w:val="18"/>
          <w:szCs w:val="18"/>
        </w:rPr>
        <w:t>Nagaenthran A/L K Dharmalingam v Public Prosecutor</w:t>
      </w:r>
      <w:r w:rsidRPr="00BA5466">
        <w:rPr>
          <w:rFonts w:ascii="Aptos" w:hAnsi="Aptos"/>
          <w:sz w:val="18"/>
          <w:szCs w:val="18"/>
        </w:rPr>
        <w:t xml:space="preserve"> [2017] SGHC 222</w:t>
      </w:r>
    </w:p>
  </w:footnote>
  <w:footnote w:id="3">
    <w:p w14:paraId="5BBBBAE7" w14:textId="77777777" w:rsidR="002D4C15" w:rsidRPr="00BA5466" w:rsidRDefault="002D4C15" w:rsidP="002D4C15">
      <w:pPr>
        <w:rPr>
          <w:rFonts w:ascii="Aptos" w:hAnsi="Aptos"/>
          <w:sz w:val="18"/>
          <w:szCs w:val="18"/>
        </w:rPr>
      </w:pPr>
      <w:r w:rsidRPr="00BA5466">
        <w:rPr>
          <w:rStyle w:val="FootnoteReference"/>
          <w:rFonts w:ascii="Aptos" w:hAnsi="Aptos"/>
          <w:sz w:val="18"/>
          <w:szCs w:val="18"/>
        </w:rPr>
        <w:footnoteRef/>
      </w:r>
      <w:r w:rsidRPr="00BA5466">
        <w:rPr>
          <w:rFonts w:ascii="Aptos" w:hAnsi="Aptos"/>
          <w:sz w:val="18"/>
          <w:szCs w:val="18"/>
        </w:rPr>
        <w:t xml:space="preserve"> Transformative Justice Collective, ‘Statement: Immediately halt scheduled executions’ (Transformative Justice Collective, 20 February 2022) &lt;</w:t>
      </w:r>
      <w:hyperlink r:id="rId3">
        <w:r w:rsidRPr="00BA5466">
          <w:rPr>
            <w:rFonts w:ascii="Aptos" w:hAnsi="Aptos"/>
            <w:color w:val="0000FF"/>
            <w:sz w:val="18"/>
            <w:szCs w:val="18"/>
            <w:u w:val="single"/>
          </w:rPr>
          <w:t>https://transformativejusticecollective.org/2022/02/20/immediately-halt-scheduled-executions/</w:t>
        </w:r>
      </w:hyperlink>
      <w:r w:rsidRPr="00BA5466">
        <w:rPr>
          <w:rFonts w:ascii="Aptos" w:hAnsi="Aptos"/>
          <w:sz w:val="18"/>
          <w:szCs w:val="18"/>
        </w:rPr>
        <w:t>&gt;</w:t>
      </w:r>
    </w:p>
  </w:footnote>
  <w:footnote w:id="4">
    <w:p w14:paraId="105852F4" w14:textId="0E6118EA" w:rsidR="00AC5DE9" w:rsidRPr="00BA5466" w:rsidRDefault="00AC5DE9">
      <w:pPr>
        <w:pStyle w:val="FootnoteText"/>
        <w:rPr>
          <w:rFonts w:ascii="Aptos" w:hAnsi="Aptos"/>
          <w:sz w:val="18"/>
          <w:szCs w:val="18"/>
          <w:lang w:val="en-US"/>
        </w:rPr>
      </w:pPr>
      <w:r w:rsidRPr="00BA5466">
        <w:rPr>
          <w:rStyle w:val="FootnoteReference"/>
          <w:rFonts w:ascii="Aptos" w:hAnsi="Aptos"/>
          <w:sz w:val="18"/>
          <w:szCs w:val="18"/>
        </w:rPr>
        <w:footnoteRef/>
      </w:r>
      <w:r w:rsidRPr="00BA5466">
        <w:rPr>
          <w:rFonts w:ascii="Aptos" w:hAnsi="Aptos"/>
          <w:sz w:val="18"/>
          <w:szCs w:val="18"/>
        </w:rPr>
        <w:t xml:space="preserve"> </w:t>
      </w:r>
      <w:r w:rsidRPr="00BA5466">
        <w:rPr>
          <w:rFonts w:ascii="Aptos" w:hAnsi="Aptos" w:cs="Arial"/>
          <w:sz w:val="18"/>
          <w:szCs w:val="18"/>
        </w:rPr>
        <w:t>Committee on the Rights of Persons with Disabilities, Concluding observations on the initial report of Singapore (Advance Unedited Version) (9 September 2022) UN Doc CRPD/C/SGP/CO/1 &lt;https://tbinternet.ohchr.org/_layouts/15/treatybodyexternal/Download.aspx?symbolno=CRPD%2FC%2FSGP%2FCO%2F1&amp;Lang=en&gt; [19]</w:t>
      </w:r>
    </w:p>
  </w:footnote>
  <w:footnote w:id="5">
    <w:p w14:paraId="441E799E" w14:textId="77777777" w:rsidR="004051F5" w:rsidRPr="00BA5466" w:rsidRDefault="004051F5" w:rsidP="004051F5">
      <w:pPr>
        <w:pStyle w:val="FootnoteText"/>
        <w:rPr>
          <w:rFonts w:ascii="Aptos" w:hAnsi="Aptos" w:cs="Arial"/>
          <w:sz w:val="18"/>
          <w:szCs w:val="18"/>
        </w:rPr>
      </w:pPr>
      <w:r w:rsidRPr="00BA5466">
        <w:rPr>
          <w:rStyle w:val="FootnoteReference"/>
          <w:rFonts w:ascii="Aptos" w:hAnsi="Aptos" w:cs="Arial"/>
          <w:sz w:val="18"/>
          <w:szCs w:val="18"/>
        </w:rPr>
        <w:footnoteRef/>
      </w:r>
      <w:r w:rsidRPr="00BA5466">
        <w:rPr>
          <w:rFonts w:ascii="Aptos" w:hAnsi="Aptos" w:cs="Arial"/>
          <w:sz w:val="18"/>
          <w:szCs w:val="18"/>
        </w:rPr>
        <w:t xml:space="preserve"> Committee on the Rights of Persons with Disabilities, Concluding observations on the initial report of Singapore (Advance Unedited Version) (9 September 2022) UN Doc CRPD/C/SGP/CO/1 &lt;https://tbinternet.ohchr.org/_layouts/15/treatybodyexternal/Download.aspx?symbolno=CRPD%2FC%2FSGP%2FCO%2F1&amp;Lang=en&gt;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5267" w14:textId="77777777" w:rsidR="00B34C67" w:rsidRDefault="00E46004">
    <w:pPr>
      <w:pStyle w:val="Header"/>
    </w:pPr>
    <w:r>
      <w:rPr>
        <w:noProof/>
        <w:lang w:eastAsia="en-GB"/>
      </w:rPr>
      <w:drawing>
        <wp:anchor distT="0" distB="0" distL="114300" distR="114300" simplePos="0" relativeHeight="251659264" behindDoc="0" locked="0" layoutInCell="1" allowOverlap="1" wp14:anchorId="34234FD9" wp14:editId="49BAFD24">
          <wp:simplePos x="0" y="0"/>
          <wp:positionH relativeFrom="column">
            <wp:posOffset>-228600</wp:posOffset>
          </wp:positionH>
          <wp:positionV relativeFrom="paragraph">
            <wp:posOffset>93982</wp:posOffset>
          </wp:positionV>
          <wp:extent cx="1647821" cy="409578"/>
          <wp:effectExtent l="0" t="0" r="0" b="9522"/>
          <wp:wrapNone/>
          <wp:docPr id="5" name="Picture 11" descr="reprieve_logo 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47821" cy="409578"/>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E16"/>
    <w:multiLevelType w:val="hybridMultilevel"/>
    <w:tmpl w:val="71FA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4140A"/>
    <w:multiLevelType w:val="hybridMultilevel"/>
    <w:tmpl w:val="E480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10588"/>
    <w:multiLevelType w:val="hybridMultilevel"/>
    <w:tmpl w:val="A7B4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716C2"/>
    <w:multiLevelType w:val="hybridMultilevel"/>
    <w:tmpl w:val="CCF0A942"/>
    <w:lvl w:ilvl="0" w:tplc="F95E1DA0">
      <w:start w:val="2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E3EFE"/>
    <w:multiLevelType w:val="hybridMultilevel"/>
    <w:tmpl w:val="207CA250"/>
    <w:lvl w:ilvl="0" w:tplc="F2C02E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A490F"/>
    <w:multiLevelType w:val="hybridMultilevel"/>
    <w:tmpl w:val="248C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B0456"/>
    <w:multiLevelType w:val="hybridMultilevel"/>
    <w:tmpl w:val="08A2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36144"/>
    <w:multiLevelType w:val="hybridMultilevel"/>
    <w:tmpl w:val="6C52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87543E"/>
    <w:multiLevelType w:val="multilevel"/>
    <w:tmpl w:val="1224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3E5CC5"/>
    <w:multiLevelType w:val="multilevel"/>
    <w:tmpl w:val="970E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84003">
    <w:abstractNumId w:val="3"/>
  </w:num>
  <w:num w:numId="2" w16cid:durableId="113642656">
    <w:abstractNumId w:val="4"/>
  </w:num>
  <w:num w:numId="3" w16cid:durableId="896628624">
    <w:abstractNumId w:val="0"/>
  </w:num>
  <w:num w:numId="4" w16cid:durableId="1500389745">
    <w:abstractNumId w:val="2"/>
  </w:num>
  <w:num w:numId="5" w16cid:durableId="272171189">
    <w:abstractNumId w:val="1"/>
  </w:num>
  <w:num w:numId="6" w16cid:durableId="1732070968">
    <w:abstractNumId w:val="5"/>
  </w:num>
  <w:num w:numId="7" w16cid:durableId="439379336">
    <w:abstractNumId w:val="7"/>
  </w:num>
  <w:num w:numId="8" w16cid:durableId="1243024500">
    <w:abstractNumId w:val="9"/>
  </w:num>
  <w:num w:numId="9" w16cid:durableId="295573747">
    <w:abstractNumId w:val="8"/>
  </w:num>
  <w:num w:numId="10" w16cid:durableId="13511059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91"/>
    <w:rsid w:val="000155D8"/>
    <w:rsid w:val="00017E1A"/>
    <w:rsid w:val="000216CD"/>
    <w:rsid w:val="00021719"/>
    <w:rsid w:val="00043C56"/>
    <w:rsid w:val="00066BA1"/>
    <w:rsid w:val="00073B85"/>
    <w:rsid w:val="000836E5"/>
    <w:rsid w:val="000A2DF5"/>
    <w:rsid w:val="001313EF"/>
    <w:rsid w:val="00140EEA"/>
    <w:rsid w:val="001430BF"/>
    <w:rsid w:val="0015061C"/>
    <w:rsid w:val="0016294E"/>
    <w:rsid w:val="001732CD"/>
    <w:rsid w:val="001F25A3"/>
    <w:rsid w:val="001F61F6"/>
    <w:rsid w:val="00201AB4"/>
    <w:rsid w:val="00206A31"/>
    <w:rsid w:val="002337D0"/>
    <w:rsid w:val="00262AC6"/>
    <w:rsid w:val="002674EC"/>
    <w:rsid w:val="00284920"/>
    <w:rsid w:val="002B1D1C"/>
    <w:rsid w:val="002B6A29"/>
    <w:rsid w:val="002D4C15"/>
    <w:rsid w:val="002E46EC"/>
    <w:rsid w:val="002E76BF"/>
    <w:rsid w:val="0030738B"/>
    <w:rsid w:val="003162B6"/>
    <w:rsid w:val="003171D7"/>
    <w:rsid w:val="0036408A"/>
    <w:rsid w:val="003669C9"/>
    <w:rsid w:val="003762BC"/>
    <w:rsid w:val="003A354B"/>
    <w:rsid w:val="003D171D"/>
    <w:rsid w:val="0040059C"/>
    <w:rsid w:val="004051F5"/>
    <w:rsid w:val="00426B6B"/>
    <w:rsid w:val="00445387"/>
    <w:rsid w:val="00464E7B"/>
    <w:rsid w:val="00466504"/>
    <w:rsid w:val="00491F0D"/>
    <w:rsid w:val="004B2FF9"/>
    <w:rsid w:val="004E0FED"/>
    <w:rsid w:val="004E38FC"/>
    <w:rsid w:val="00514C91"/>
    <w:rsid w:val="00582B67"/>
    <w:rsid w:val="00587512"/>
    <w:rsid w:val="005966B8"/>
    <w:rsid w:val="005A78DA"/>
    <w:rsid w:val="005B1CF4"/>
    <w:rsid w:val="005B6132"/>
    <w:rsid w:val="005B6A13"/>
    <w:rsid w:val="005D6F48"/>
    <w:rsid w:val="005E4555"/>
    <w:rsid w:val="006234D2"/>
    <w:rsid w:val="006264D6"/>
    <w:rsid w:val="006371E1"/>
    <w:rsid w:val="00647324"/>
    <w:rsid w:val="006624C0"/>
    <w:rsid w:val="0066313F"/>
    <w:rsid w:val="00663D9C"/>
    <w:rsid w:val="0069299A"/>
    <w:rsid w:val="00694F2D"/>
    <w:rsid w:val="006A7594"/>
    <w:rsid w:val="006B54B2"/>
    <w:rsid w:val="006B624E"/>
    <w:rsid w:val="006C0A44"/>
    <w:rsid w:val="006E6375"/>
    <w:rsid w:val="006E769C"/>
    <w:rsid w:val="006F0D55"/>
    <w:rsid w:val="00716FB8"/>
    <w:rsid w:val="00721914"/>
    <w:rsid w:val="0072708A"/>
    <w:rsid w:val="00796E79"/>
    <w:rsid w:val="007C0F7E"/>
    <w:rsid w:val="007C2814"/>
    <w:rsid w:val="007D5A2A"/>
    <w:rsid w:val="007F07E3"/>
    <w:rsid w:val="0087404C"/>
    <w:rsid w:val="00895656"/>
    <w:rsid w:val="00895FFE"/>
    <w:rsid w:val="008A0987"/>
    <w:rsid w:val="008A6748"/>
    <w:rsid w:val="008B42D1"/>
    <w:rsid w:val="008C477F"/>
    <w:rsid w:val="008F0C51"/>
    <w:rsid w:val="009135E8"/>
    <w:rsid w:val="00951825"/>
    <w:rsid w:val="00963D23"/>
    <w:rsid w:val="00971517"/>
    <w:rsid w:val="009903E2"/>
    <w:rsid w:val="009931C6"/>
    <w:rsid w:val="0099547A"/>
    <w:rsid w:val="009A36DD"/>
    <w:rsid w:val="009A6299"/>
    <w:rsid w:val="009C5198"/>
    <w:rsid w:val="009D1FF6"/>
    <w:rsid w:val="00A0249A"/>
    <w:rsid w:val="00A35501"/>
    <w:rsid w:val="00A440B9"/>
    <w:rsid w:val="00A52567"/>
    <w:rsid w:val="00A633F0"/>
    <w:rsid w:val="00A832D2"/>
    <w:rsid w:val="00A91E80"/>
    <w:rsid w:val="00A94BAB"/>
    <w:rsid w:val="00AB019D"/>
    <w:rsid w:val="00AB0C27"/>
    <w:rsid w:val="00AB300B"/>
    <w:rsid w:val="00AC5DE9"/>
    <w:rsid w:val="00AD2ED4"/>
    <w:rsid w:val="00AE1217"/>
    <w:rsid w:val="00AE16C8"/>
    <w:rsid w:val="00B160A0"/>
    <w:rsid w:val="00B16883"/>
    <w:rsid w:val="00B34C67"/>
    <w:rsid w:val="00B43E75"/>
    <w:rsid w:val="00B56D74"/>
    <w:rsid w:val="00B84D89"/>
    <w:rsid w:val="00B86B18"/>
    <w:rsid w:val="00B90452"/>
    <w:rsid w:val="00B947DE"/>
    <w:rsid w:val="00BA5466"/>
    <w:rsid w:val="00BC721B"/>
    <w:rsid w:val="00BE3462"/>
    <w:rsid w:val="00C205DF"/>
    <w:rsid w:val="00C21FE1"/>
    <w:rsid w:val="00C30EF8"/>
    <w:rsid w:val="00C3271C"/>
    <w:rsid w:val="00C32CC5"/>
    <w:rsid w:val="00C66599"/>
    <w:rsid w:val="00C9041D"/>
    <w:rsid w:val="00CA2866"/>
    <w:rsid w:val="00CA4DB7"/>
    <w:rsid w:val="00CC6EFC"/>
    <w:rsid w:val="00CD3911"/>
    <w:rsid w:val="00CE33A5"/>
    <w:rsid w:val="00CE707C"/>
    <w:rsid w:val="00D430D1"/>
    <w:rsid w:val="00D551A4"/>
    <w:rsid w:val="00D94E63"/>
    <w:rsid w:val="00DC1690"/>
    <w:rsid w:val="00DC73FA"/>
    <w:rsid w:val="00DD0D6F"/>
    <w:rsid w:val="00DE5937"/>
    <w:rsid w:val="00DF6073"/>
    <w:rsid w:val="00DF7C3F"/>
    <w:rsid w:val="00E065C2"/>
    <w:rsid w:val="00E06B31"/>
    <w:rsid w:val="00E12C61"/>
    <w:rsid w:val="00E1620D"/>
    <w:rsid w:val="00E3668B"/>
    <w:rsid w:val="00E45646"/>
    <w:rsid w:val="00E46004"/>
    <w:rsid w:val="00E538AD"/>
    <w:rsid w:val="00EC3876"/>
    <w:rsid w:val="00F0554E"/>
    <w:rsid w:val="00F06751"/>
    <w:rsid w:val="00F1388D"/>
    <w:rsid w:val="00F56117"/>
    <w:rsid w:val="00F6592A"/>
    <w:rsid w:val="00F723CF"/>
    <w:rsid w:val="00FA0BF1"/>
    <w:rsid w:val="00FB0DA1"/>
    <w:rsid w:val="00FB3CFC"/>
    <w:rsid w:val="00FC0832"/>
    <w:rsid w:val="00FC262B"/>
    <w:rsid w:val="00FE7078"/>
    <w:rsid w:val="00FF58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812E1"/>
  <w15:docId w15:val="{62D077C0-5AFB-4AEE-B448-7900FC6B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240" w:lineRule="atLeast"/>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link w:val="FooterChar"/>
    <w:pPr>
      <w:tabs>
        <w:tab w:val="center" w:pos="4320"/>
        <w:tab w:val="right" w:pos="8640"/>
      </w:tabs>
      <w:suppressAutoHyphens/>
      <w:spacing w:line="240" w:lineRule="atLeast"/>
    </w:pPr>
    <w:rPr>
      <w:rFonts w:ascii="Arial Bold" w:hAnsi="Arial Bold" w:cs="Tahoma"/>
      <w:b/>
      <w:color w:val="AFAFAF"/>
      <w:szCs w:val="16"/>
      <w:lang w:val="en-US" w:eastAsia="en-US"/>
    </w:rPr>
  </w:style>
  <w:style w:type="paragraph" w:customStyle="1" w:styleId="Normalbold">
    <w:name w:val="Normal bold"/>
    <w:basedOn w:val="Normal"/>
    <w:next w:val="Normal"/>
    <w:rPr>
      <w:b/>
    </w:rPr>
  </w:style>
  <w:style w:type="paragraph" w:styleId="BalloonText">
    <w:name w:val="Balloon Text"/>
    <w:basedOn w:val="Normal"/>
    <w:rPr>
      <w:rFonts w:ascii="Tahoma" w:hAnsi="Tahoma" w:cs="Tahoma"/>
      <w:sz w:val="16"/>
      <w:szCs w:val="16"/>
    </w:rPr>
  </w:style>
  <w:style w:type="paragraph" w:customStyle="1" w:styleId="Footersmall">
    <w:name w:val="Footer small"/>
    <w:basedOn w:val="Footer"/>
    <w:pPr>
      <w:spacing w:line="160" w:lineRule="exact"/>
    </w:pPr>
    <w:rPr>
      <w:sz w:val="12"/>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paragraph" w:styleId="PlainText">
    <w:name w:val="Plain Text"/>
    <w:basedOn w:val="Normal"/>
    <w:pPr>
      <w:spacing w:line="240" w:lineRule="auto"/>
    </w:pPr>
    <w:rPr>
      <w:rFonts w:ascii="Calibri" w:eastAsia="Calibri" w:hAnsi="Calibri"/>
      <w:sz w:val="22"/>
      <w:szCs w:val="21"/>
    </w:rPr>
  </w:style>
  <w:style w:type="character" w:customStyle="1" w:styleId="PlainTextChar">
    <w:name w:val="Plain Text Char"/>
    <w:rPr>
      <w:rFonts w:ascii="Calibri" w:eastAsia="Calibri" w:hAnsi="Calibri"/>
      <w:sz w:val="22"/>
      <w:szCs w:val="21"/>
      <w:lang w:eastAsia="en-US"/>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rPr>
      <w:position w:val="0"/>
      <w:vertAlign w:val="superscript"/>
    </w:rPr>
  </w:style>
  <w:style w:type="character" w:styleId="Strong">
    <w:name w:val="Strong"/>
    <w:basedOn w:val="DefaultParagraphFont"/>
    <w:uiPriority w:val="22"/>
    <w:qFormat/>
    <w:rsid w:val="00E3668B"/>
    <w:rPr>
      <w:b/>
      <w:bCs/>
    </w:rPr>
  </w:style>
  <w:style w:type="paragraph" w:styleId="NoSpacing">
    <w:name w:val="No Spacing"/>
    <w:uiPriority w:val="1"/>
    <w:qFormat/>
    <w:rsid w:val="00C3271C"/>
    <w:pPr>
      <w:suppressAutoHyphens/>
    </w:pPr>
    <w:rPr>
      <w:rFonts w:ascii="Arial" w:hAnsi="Arial"/>
      <w:szCs w:val="24"/>
      <w:lang w:val="en-US" w:eastAsia="en-US"/>
    </w:rPr>
  </w:style>
  <w:style w:type="paragraph" w:styleId="NormalWeb">
    <w:name w:val="Normal (Web)"/>
    <w:basedOn w:val="Normal"/>
    <w:uiPriority w:val="99"/>
    <w:unhideWhenUsed/>
    <w:rsid w:val="00FA0BF1"/>
    <w:pPr>
      <w:suppressAutoHyphens w:val="0"/>
      <w:autoSpaceDN/>
      <w:spacing w:before="100" w:beforeAutospacing="1" w:after="100" w:afterAutospacing="1" w:line="240" w:lineRule="auto"/>
      <w:textAlignment w:val="auto"/>
    </w:pPr>
    <w:rPr>
      <w:rFonts w:ascii="Times New Roman" w:hAnsi="Times New Roman"/>
      <w:sz w:val="24"/>
      <w:lang w:eastAsia="en-GB"/>
    </w:rPr>
  </w:style>
  <w:style w:type="character" w:customStyle="1" w:styleId="FooterChar">
    <w:name w:val="Footer Char"/>
    <w:basedOn w:val="DefaultParagraphFont"/>
    <w:link w:val="Footer"/>
    <w:rsid w:val="005E4555"/>
    <w:rPr>
      <w:rFonts w:ascii="Arial Bold" w:hAnsi="Arial Bold" w:cs="Tahoma"/>
      <w:b/>
      <w:color w:val="AFAFAF"/>
      <w:szCs w:val="16"/>
      <w:lang w:val="en-US" w:eastAsia="en-US"/>
    </w:rPr>
  </w:style>
  <w:style w:type="paragraph" w:customStyle="1" w:styleId="xmsonormal">
    <w:name w:val="x_msonormal"/>
    <w:basedOn w:val="Normal"/>
    <w:rsid w:val="001F61F6"/>
    <w:pPr>
      <w:suppressAutoHyphens w:val="0"/>
      <w:autoSpaceDN/>
      <w:spacing w:line="240" w:lineRule="auto"/>
      <w:textAlignment w:val="auto"/>
    </w:pPr>
    <w:rPr>
      <w:rFonts w:ascii="Times New Roman" w:eastAsiaTheme="minorHAnsi" w:hAnsi="Times New Roman"/>
      <w:sz w:val="24"/>
      <w:lang w:eastAsia="en-GB"/>
    </w:rPr>
  </w:style>
  <w:style w:type="character" w:styleId="CommentReference">
    <w:name w:val="annotation reference"/>
    <w:basedOn w:val="DefaultParagraphFont"/>
    <w:uiPriority w:val="99"/>
    <w:semiHidden/>
    <w:unhideWhenUsed/>
    <w:rsid w:val="00B86B18"/>
    <w:rPr>
      <w:sz w:val="16"/>
      <w:szCs w:val="16"/>
    </w:rPr>
  </w:style>
  <w:style w:type="paragraph" w:styleId="CommentText">
    <w:name w:val="annotation text"/>
    <w:basedOn w:val="Normal"/>
    <w:link w:val="CommentTextChar"/>
    <w:uiPriority w:val="99"/>
    <w:unhideWhenUsed/>
    <w:rsid w:val="00B86B18"/>
    <w:pPr>
      <w:spacing w:line="240" w:lineRule="auto"/>
    </w:pPr>
    <w:rPr>
      <w:szCs w:val="20"/>
    </w:rPr>
  </w:style>
  <w:style w:type="character" w:customStyle="1" w:styleId="CommentTextChar">
    <w:name w:val="Comment Text Char"/>
    <w:basedOn w:val="DefaultParagraphFont"/>
    <w:link w:val="CommentText"/>
    <w:uiPriority w:val="99"/>
    <w:rsid w:val="00B86B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86B18"/>
    <w:rPr>
      <w:b/>
      <w:bCs/>
    </w:rPr>
  </w:style>
  <w:style w:type="character" w:customStyle="1" w:styleId="CommentSubjectChar">
    <w:name w:val="Comment Subject Char"/>
    <w:basedOn w:val="CommentTextChar"/>
    <w:link w:val="CommentSubject"/>
    <w:uiPriority w:val="99"/>
    <w:semiHidden/>
    <w:rsid w:val="00B86B18"/>
    <w:rPr>
      <w:rFonts w:ascii="Arial" w:hAnsi="Arial"/>
      <w:b/>
      <w:bCs/>
      <w:lang w:eastAsia="en-US"/>
    </w:rPr>
  </w:style>
  <w:style w:type="paragraph" w:styleId="FootnoteText">
    <w:name w:val="footnote text"/>
    <w:basedOn w:val="Normal"/>
    <w:link w:val="FootnoteTextChar"/>
    <w:uiPriority w:val="99"/>
    <w:semiHidden/>
    <w:unhideWhenUsed/>
    <w:rsid w:val="0030738B"/>
    <w:pPr>
      <w:spacing w:line="240" w:lineRule="auto"/>
    </w:pPr>
    <w:rPr>
      <w:szCs w:val="20"/>
    </w:rPr>
  </w:style>
  <w:style w:type="character" w:customStyle="1" w:styleId="FootnoteTextChar">
    <w:name w:val="Footnote Text Char"/>
    <w:basedOn w:val="DefaultParagraphFont"/>
    <w:link w:val="FootnoteText"/>
    <w:uiPriority w:val="99"/>
    <w:semiHidden/>
    <w:rsid w:val="0030738B"/>
    <w:rPr>
      <w:rFonts w:ascii="Arial" w:hAnsi="Arial"/>
      <w:lang w:eastAsia="en-US"/>
    </w:rPr>
  </w:style>
  <w:style w:type="paragraph" w:styleId="Quote">
    <w:name w:val="Quote"/>
    <w:basedOn w:val="Normal"/>
    <w:next w:val="Normal"/>
    <w:link w:val="QuoteChar"/>
    <w:uiPriority w:val="29"/>
    <w:qFormat/>
    <w:rsid w:val="005966B8"/>
    <w:pPr>
      <w:ind w:left="720"/>
      <w:jc w:val="both"/>
    </w:pPr>
    <w:rPr>
      <w:rFonts w:ascii="Aptos" w:eastAsia="Calibri" w:hAnsi="Aptos"/>
      <w:i/>
      <w:szCs w:val="20"/>
    </w:rPr>
  </w:style>
  <w:style w:type="character" w:customStyle="1" w:styleId="QuoteChar">
    <w:name w:val="Quote Char"/>
    <w:basedOn w:val="DefaultParagraphFont"/>
    <w:link w:val="Quote"/>
    <w:uiPriority w:val="29"/>
    <w:rsid w:val="005966B8"/>
    <w:rPr>
      <w:rFonts w:ascii="Aptos" w:eastAsia="Calibri" w:hAnsi="Aptos"/>
      <w:i/>
      <w:lang w:eastAsia="en-US"/>
    </w:rPr>
  </w:style>
  <w:style w:type="paragraph" w:styleId="Revision">
    <w:name w:val="Revision"/>
    <w:hidden/>
    <w:uiPriority w:val="99"/>
    <w:semiHidden/>
    <w:rsid w:val="00A0249A"/>
    <w:pPr>
      <w:autoSpaceDN/>
      <w:textAlignment w:val="auto"/>
    </w:pPr>
    <w:rPr>
      <w:rFonts w:ascii="Arial" w:hAnsi="Arial"/>
      <w:szCs w:val="24"/>
      <w:lang w:eastAsia="en-US"/>
    </w:rPr>
  </w:style>
  <w:style w:type="character" w:styleId="UnresolvedMention">
    <w:name w:val="Unresolved Mention"/>
    <w:basedOn w:val="DefaultParagraphFont"/>
    <w:uiPriority w:val="99"/>
    <w:semiHidden/>
    <w:unhideWhenUsed/>
    <w:rsid w:val="00FB3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10192">
      <w:bodyDiv w:val="1"/>
      <w:marLeft w:val="0"/>
      <w:marRight w:val="0"/>
      <w:marTop w:val="0"/>
      <w:marBottom w:val="0"/>
      <w:divBdr>
        <w:top w:val="none" w:sz="0" w:space="0" w:color="auto"/>
        <w:left w:val="none" w:sz="0" w:space="0" w:color="auto"/>
        <w:bottom w:val="none" w:sz="0" w:space="0" w:color="auto"/>
        <w:right w:val="none" w:sz="0" w:space="0" w:color="auto"/>
      </w:divBdr>
    </w:div>
    <w:div w:id="1048341393">
      <w:bodyDiv w:val="1"/>
      <w:marLeft w:val="0"/>
      <w:marRight w:val="0"/>
      <w:marTop w:val="0"/>
      <w:marBottom w:val="0"/>
      <w:divBdr>
        <w:top w:val="none" w:sz="0" w:space="0" w:color="auto"/>
        <w:left w:val="none" w:sz="0" w:space="0" w:color="auto"/>
        <w:bottom w:val="none" w:sz="0" w:space="0" w:color="auto"/>
        <w:right w:val="none" w:sz="0" w:space="0" w:color="auto"/>
      </w:divBdr>
    </w:div>
    <w:div w:id="181371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transformativejusticecollective.org/2022/02/20/immediately-halt-scheduled-executions/" TargetMode="External"/><Relationship Id="rId2" Type="http://schemas.openxmlformats.org/officeDocument/2006/relationships/hyperlink" Target="https://www.psychiatry.org/File%20Library/Psychiatrists/Practice/DSM/APA_DSM-5-Intellectual-Disability.pdf" TargetMode="External"/><Relationship Id="rId1" Type="http://schemas.openxmlformats.org/officeDocument/2006/relationships/hyperlink" Target="https://icd.who.int/browse10/2019/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ffice%20Resources\Templates\Letterhead\2023_01_12_INT%20Letterhead%20TO%20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input-1</Doctype>
    <Contributor xmlns="d42e65b2-cf21-49c1-b27d-d23f90380c0e">Reprieve</Contributor>
  </documentManagement>
</p:properties>
</file>

<file path=customXml/itemProps1.xml><?xml version="1.0" encoding="utf-8"?>
<ds:datastoreItem xmlns:ds="http://schemas.openxmlformats.org/officeDocument/2006/customXml" ds:itemID="{EEE4A130-0179-4093-A48C-4D5A3DC5AB77}">
  <ds:schemaRefs>
    <ds:schemaRef ds:uri="http://schemas.openxmlformats.org/officeDocument/2006/bibliography"/>
  </ds:schemaRefs>
</ds:datastoreItem>
</file>

<file path=customXml/itemProps2.xml><?xml version="1.0" encoding="utf-8"?>
<ds:datastoreItem xmlns:ds="http://schemas.openxmlformats.org/officeDocument/2006/customXml" ds:itemID="{0295BCDF-087F-46BF-B61D-20DFED478BED}"/>
</file>

<file path=customXml/itemProps3.xml><?xml version="1.0" encoding="utf-8"?>
<ds:datastoreItem xmlns:ds="http://schemas.openxmlformats.org/officeDocument/2006/customXml" ds:itemID="{3E0A1975-6710-4F59-882E-08A675211C9F}"/>
</file>

<file path=customXml/itemProps4.xml><?xml version="1.0" encoding="utf-8"?>
<ds:datastoreItem xmlns:ds="http://schemas.openxmlformats.org/officeDocument/2006/customXml" ds:itemID="{8E43EB26-7880-4746-906F-4CE07273ADDB}"/>
</file>

<file path=docProps/app.xml><?xml version="1.0" encoding="utf-8"?>
<Properties xmlns="http://schemas.openxmlformats.org/officeDocument/2006/extended-properties" xmlns:vt="http://schemas.openxmlformats.org/officeDocument/2006/docPropsVTypes">
  <Template>2023_01_12_INT Letterhead TO USE</Template>
  <TotalTime>6</TotalTime>
  <Pages>4</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[Add recipient name and address]</vt:lpstr>
    </vt:vector>
  </TitlesOfParts>
  <Company>REPRIEVE</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recipient name and address]</dc:title>
  <dc:creator>Jaipreet Kaur</dc:creator>
  <cp:lastModifiedBy>Jeed Basyouni</cp:lastModifiedBy>
  <cp:revision>3</cp:revision>
  <cp:lastPrinted>2021-10-12T10:48:00Z</cp:lastPrinted>
  <dcterms:created xsi:type="dcterms:W3CDTF">2024-03-28T15:58:00Z</dcterms:created>
  <dcterms:modified xsi:type="dcterms:W3CDTF">2024-03-28T16:38:00Z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