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41F8" w14:textId="1A670287" w:rsidR="009B4249" w:rsidRDefault="0074674F" w:rsidP="00F31044">
      <w:pPr>
        <w:spacing w:line="276" w:lineRule="auto"/>
        <w:jc w:val="right"/>
        <w:rPr>
          <w:rFonts w:asciiTheme="majorHAnsi" w:eastAsia="Calibri" w:hAnsiTheme="majorHAnsi" w:cstheme="majorHAnsi"/>
          <w:b/>
          <w:bCs/>
          <w:sz w:val="36"/>
          <w:szCs w:val="36"/>
          <w:lang w:val="es-ES"/>
        </w:rPr>
      </w:pPr>
      <w:r>
        <w:rPr>
          <w:noProof/>
          <w:lang w:eastAsia="es-ES"/>
        </w:rPr>
        <w:drawing>
          <wp:inline distT="0" distB="0" distL="0" distR="0" wp14:anchorId="618067CB" wp14:editId="64915B08">
            <wp:extent cx="627293" cy="914400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27" cy="9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b/>
          <w:bCs/>
          <w:noProof/>
          <w:sz w:val="36"/>
          <w:szCs w:val="36"/>
        </w:rPr>
        <w:drawing>
          <wp:inline distT="0" distB="0" distL="0" distR="0" wp14:anchorId="0D71F800" wp14:editId="65A705AE">
            <wp:extent cx="712470" cy="921297"/>
            <wp:effectExtent l="0" t="0" r="0" b="0"/>
            <wp:docPr id="2" name="Imagen 2" descr="ayuntamiento-bilbao-logo-vector - Zorrozau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ntamiento-bilbao-logo-vector - Zorrozaur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0" r="30848"/>
                    <a:stretch/>
                  </pic:blipFill>
                  <pic:spPr bwMode="auto">
                    <a:xfrm>
                      <a:off x="0" y="0"/>
                      <a:ext cx="713909" cy="9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003CA" w14:textId="18B82D36" w:rsidR="009B4249" w:rsidRDefault="009B4249" w:rsidP="00AD389E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sz w:val="36"/>
          <w:szCs w:val="36"/>
          <w:lang w:val="es-ES"/>
        </w:rPr>
      </w:pPr>
    </w:p>
    <w:p w14:paraId="752A048A" w14:textId="22E7123F" w:rsidR="3788DFFB" w:rsidRPr="00AD389E" w:rsidRDefault="3788DFFB" w:rsidP="00AD389E">
      <w:pPr>
        <w:spacing w:line="276" w:lineRule="auto"/>
        <w:jc w:val="both"/>
        <w:rPr>
          <w:rFonts w:asciiTheme="majorHAnsi" w:eastAsia="Calibri" w:hAnsiTheme="majorHAnsi" w:cstheme="majorHAnsi"/>
          <w:b/>
          <w:bCs/>
          <w:sz w:val="36"/>
          <w:szCs w:val="36"/>
          <w:lang w:val="es-ES"/>
        </w:rPr>
      </w:pPr>
      <w:r w:rsidRPr="00AD389E">
        <w:rPr>
          <w:rFonts w:asciiTheme="majorHAnsi" w:eastAsia="Calibri" w:hAnsiTheme="majorHAnsi" w:cstheme="majorHAnsi"/>
          <w:b/>
          <w:bCs/>
          <w:sz w:val="36"/>
          <w:szCs w:val="36"/>
          <w:lang w:val="es-ES"/>
        </w:rPr>
        <w:t>Contribución al informe sobre los derechos culturales y la gobernanza del desarrollo</w:t>
      </w:r>
    </w:p>
    <w:p w14:paraId="1AE2A73F" w14:textId="6300721B" w:rsidR="3788DFFB" w:rsidRPr="00AD389E" w:rsidRDefault="3788DFFB" w:rsidP="00AD389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  <w:t xml:space="preserve"> </w:t>
      </w:r>
    </w:p>
    <w:p w14:paraId="5DBE2DD2" w14:textId="4A0F4381" w:rsidR="3788DFFB" w:rsidRPr="004E74D2" w:rsidRDefault="3788DFFB" w:rsidP="00AD389E">
      <w:pPr>
        <w:spacing w:line="276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val="es-ES"/>
        </w:rPr>
      </w:pPr>
      <w:r w:rsidRPr="004E74D2">
        <w:rPr>
          <w:rFonts w:asciiTheme="majorHAnsi" w:eastAsiaTheme="majorEastAsia" w:hAnsiTheme="majorHAnsi" w:cstheme="majorBidi"/>
          <w:b/>
          <w:sz w:val="22"/>
          <w:szCs w:val="22"/>
          <w:lang w:val="es-ES"/>
        </w:rPr>
        <w:t xml:space="preserve">La presente contribución ha sido elaborada por UN Etxea - Asociación del País Vasco para la UNESCO y el Ayuntamiento de Bilbao (Bizkaia, País Vasco). </w:t>
      </w:r>
    </w:p>
    <w:p w14:paraId="416FFA45" w14:textId="77777777" w:rsidR="00AD389E" w:rsidRPr="00AD389E" w:rsidRDefault="00AD389E" w:rsidP="00AD389E">
      <w:pPr>
        <w:spacing w:line="276" w:lineRule="auto"/>
        <w:contextualSpacing/>
        <w:jc w:val="both"/>
        <w:rPr>
          <w:rFonts w:asciiTheme="majorHAnsi" w:eastAsiaTheme="majorEastAsia" w:hAnsiTheme="majorHAnsi" w:cstheme="majorHAnsi"/>
          <w:b/>
          <w:bCs/>
          <w:sz w:val="22"/>
          <w:szCs w:val="22"/>
          <w:lang w:val="es-ES"/>
        </w:rPr>
      </w:pPr>
    </w:p>
    <w:p w14:paraId="0EDEA40F" w14:textId="6B90E811" w:rsidR="00AD389E" w:rsidRPr="00AF53D4" w:rsidRDefault="00AD389E" w:rsidP="00AD389E">
      <w:pPr>
        <w:spacing w:line="276" w:lineRule="auto"/>
        <w:contextualSpacing/>
        <w:jc w:val="both"/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</w:pPr>
      <w:r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 xml:space="preserve">Introducción </w:t>
      </w:r>
    </w:p>
    <w:p w14:paraId="1E6FE569" w14:textId="77777777" w:rsidR="002C12FE" w:rsidRDefault="002C12FE" w:rsidP="005C1AA9">
      <w:pPr>
        <w:spacing w:line="276" w:lineRule="auto"/>
        <w:contextualSpacing/>
        <w:jc w:val="both"/>
        <w:rPr>
          <w:rFonts w:asciiTheme="majorHAnsi" w:eastAsiaTheme="majorEastAsia" w:hAnsiTheme="majorHAnsi" w:cstheme="majorHAnsi"/>
          <w:b/>
          <w:bCs/>
          <w:sz w:val="22"/>
          <w:szCs w:val="22"/>
          <w:lang w:val="es-ES"/>
        </w:rPr>
      </w:pPr>
    </w:p>
    <w:p w14:paraId="4DDF5D20" w14:textId="6AAD890F" w:rsidR="005C1AA9" w:rsidRPr="00607CAC" w:rsidRDefault="005C1AA9" w:rsidP="005C1AA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Iniciamos esta contribución al Informe sobre los derechos culturales y la gobernanza del desarrollo </w:t>
      </w:r>
      <w:r w:rsidR="00385115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de la Relatora </w:t>
      </w:r>
      <w:r w:rsidR="00BB6193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especial de las </w:t>
      </w:r>
      <w:r w:rsidR="00BB6193" w:rsidRPr="00607CAC">
        <w:rPr>
          <w:rStyle w:val="nfasis"/>
          <w:rFonts w:asciiTheme="majorHAnsi" w:hAnsiTheme="majorHAnsi" w:cstheme="majorHAnsi"/>
          <w:i w:val="0"/>
          <w:iCs w:val="0"/>
          <w:sz w:val="22"/>
          <w:szCs w:val="22"/>
          <w:shd w:val="clear" w:color="auto" w:fill="FFFFFF"/>
          <w:lang w:val="es-ES"/>
        </w:rPr>
        <w:t>Naciones Unidas</w:t>
      </w:r>
      <w:r w:rsidR="00BB6193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 en la esfera de </w:t>
      </w:r>
      <w:r w:rsidR="00BB6193" w:rsidRPr="00607CAC">
        <w:rPr>
          <w:rStyle w:val="nfasis"/>
          <w:rFonts w:asciiTheme="majorHAnsi" w:hAnsiTheme="majorHAnsi" w:cstheme="majorHAnsi"/>
          <w:i w:val="0"/>
          <w:iCs w:val="0"/>
          <w:sz w:val="22"/>
          <w:szCs w:val="22"/>
          <w:shd w:val="clear" w:color="auto" w:fill="FFFFFF"/>
          <w:lang w:val="es-ES"/>
        </w:rPr>
        <w:t>los derechos culturales</w:t>
      </w:r>
      <w:r w:rsidR="00BB6193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 </w:t>
      </w:r>
      <w:r w:rsidR="00BB6193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recordando</w:t>
      </w:r>
      <w:r w:rsidR="00BB6193" w:rsidRPr="00607CAC">
        <w:rPr>
          <w:rFonts w:asciiTheme="majorHAnsi" w:hAnsiTheme="majorHAnsi" w:cstheme="majorHAnsi"/>
          <w:sz w:val="21"/>
          <w:szCs w:val="21"/>
          <w:shd w:val="clear" w:color="auto" w:fill="FFFFFF"/>
          <w:lang w:val="es-ES"/>
        </w:rPr>
        <w:t xml:space="preserve"> 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la “Declaración de Florencia: Cultura, Creatividad y Desarrollo Sostenible” (UNESCO, 2014) cuando </w:t>
      </w:r>
      <w:r w:rsidR="00BB6193" w:rsidRPr="00607CAC">
        <w:rPr>
          <w:rFonts w:asciiTheme="majorHAnsi" w:hAnsiTheme="majorHAnsi" w:cstheme="majorHAnsi"/>
          <w:sz w:val="22"/>
          <w:szCs w:val="22"/>
          <w:lang w:val="es-ES"/>
        </w:rPr>
        <w:t>a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>firma</w:t>
      </w:r>
      <w:r w:rsidR="00BB6193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ba 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que </w:t>
      </w:r>
      <w:r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>el desarrollo económico y social inclusivo requiere sistemas de gobernanza de la cultura y la creatividad que respondan a las exigencias y las necesidades de las personas. Los sistemas transparentes, participativos y bien fundamentados de gobernanza de la cultura entrañan una diversidad de voces, incluidas las de la sociedad civil y el sector privado, en los procesos de formulación de políticas que tienen en cuenta los derechos y los intereses de todos los miembros de la sociedad. Esto también implica la cooperación de todas las autoridades pertinentes, de todos los sectores (económico, social y ambiental) y en todos los niveles de gobiern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>o.</w:t>
      </w:r>
    </w:p>
    <w:p w14:paraId="62E4E5E8" w14:textId="77777777" w:rsidR="00BB6193" w:rsidRPr="00607CAC" w:rsidRDefault="00BB6193" w:rsidP="005C1AA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5707717" w14:textId="1E284081" w:rsidR="00792F94" w:rsidRPr="00C6203A" w:rsidRDefault="00792F94" w:rsidP="00045C0E">
      <w:pPr>
        <w:spacing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La gobernanza de la cultura abarca marcos normativos, políticas públicas, infraestructuras, capacidades institucionales y procesos que dan forma a los sectores culturales y creativos. </w:t>
      </w:r>
      <w:r w:rsidR="00045C0E" w:rsidRPr="00607CAC">
        <w:rPr>
          <w:rFonts w:asciiTheme="majorHAnsi" w:hAnsiTheme="majorHAnsi" w:cstheme="majorHAnsi"/>
          <w:sz w:val="22"/>
          <w:szCs w:val="22"/>
          <w:lang w:val="es-ES"/>
        </w:rPr>
        <w:t>Est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>a gobernanza tiene como finalidad promover la participación a todos los niveles y de todas las instancias, para fomentar la diversidad de voces</w:t>
      </w:r>
      <w:r w:rsidR="00802C37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r w:rsidR="00045C0E" w:rsidRPr="00607CAC">
        <w:rPr>
          <w:rFonts w:asciiTheme="majorHAnsi" w:hAnsiTheme="majorHAnsi" w:cstheme="majorHAnsi"/>
          <w:sz w:val="22"/>
          <w:szCs w:val="22"/>
          <w:lang w:val="es-ES"/>
        </w:rPr>
        <w:t>garantizar la diversidad cultural</w:t>
      </w:r>
      <w:r w:rsidR="00802C37">
        <w:rPr>
          <w:rFonts w:asciiTheme="majorHAnsi" w:hAnsiTheme="majorHAnsi" w:cstheme="majorHAnsi"/>
          <w:sz w:val="22"/>
          <w:szCs w:val="22"/>
          <w:lang w:val="es-ES"/>
        </w:rPr>
        <w:t xml:space="preserve"> y avanzar hacia políticas más integradas.</w:t>
      </w:r>
      <w:r w:rsidR="00C6203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6203A" w:rsidRPr="00C6203A">
        <w:rPr>
          <w:rFonts w:asciiTheme="majorHAnsi" w:hAnsiTheme="majorHAnsi" w:cstheme="majorHAnsi"/>
          <w:sz w:val="22"/>
          <w:szCs w:val="22"/>
          <w:lang w:val="es-ES"/>
        </w:rPr>
        <w:t>Los procesos participativos son fundamentales para la elaboración de políticas integradas</w:t>
      </w:r>
      <w:r w:rsidR="001A77C1">
        <w:rPr>
          <w:rFonts w:asciiTheme="majorHAnsi" w:hAnsiTheme="majorHAnsi" w:cstheme="majorHAnsi"/>
          <w:sz w:val="22"/>
          <w:szCs w:val="22"/>
          <w:lang w:val="es-ES"/>
        </w:rPr>
        <w:t xml:space="preserve"> y en coherencia. </w:t>
      </w:r>
    </w:p>
    <w:p w14:paraId="52F18981" w14:textId="77777777" w:rsidR="00792F94" w:rsidRPr="00607CAC" w:rsidRDefault="00792F94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FE7CE29" w14:textId="2695913D" w:rsidR="00D5330A" w:rsidRPr="00607CAC" w:rsidRDefault="001B0036" w:rsidP="00AD389E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En el </w:t>
      </w:r>
      <w:r w:rsidR="00E00834" w:rsidRPr="00607CAC">
        <w:rPr>
          <w:rFonts w:asciiTheme="majorHAnsi" w:hAnsiTheme="majorHAnsi" w:cstheme="majorHAnsi"/>
          <w:sz w:val="22"/>
          <w:szCs w:val="22"/>
          <w:lang w:val="es-ES"/>
        </w:rPr>
        <w:t>i</w:t>
      </w:r>
      <w:r w:rsidR="00BF4994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nforme </w:t>
      </w:r>
      <w:r w:rsidR="00CD3E14" w:rsidRPr="00607CAC">
        <w:rPr>
          <w:rFonts w:asciiTheme="majorHAnsi" w:hAnsiTheme="majorHAnsi" w:cstheme="majorHAnsi"/>
          <w:sz w:val="22"/>
          <w:szCs w:val="22"/>
          <w:lang w:val="es-ES"/>
        </w:rPr>
        <w:t>“</w:t>
      </w:r>
      <w:proofErr w:type="spellStart"/>
      <w:r w:rsidR="00BF4994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Re|pensar</w:t>
      </w:r>
      <w:proofErr w:type="spellEnd"/>
      <w:r w:rsidR="00BF4994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 las políticas para la creatividad: plantear la cultura como un bien público global</w:t>
      </w:r>
      <w:r w:rsidR="00CD3E14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”</w:t>
      </w:r>
      <w:r w:rsidR="00BF4994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 (UNESCO, 2022) </w:t>
      </w: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Mauricio Delfín </w:t>
      </w:r>
      <w:r w:rsidR="00E00834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aborda </w:t>
      </w:r>
      <w:r w:rsidR="00536E0F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la apertura de la </w:t>
      </w:r>
      <w:r w:rsidR="00E00834" w:rsidRPr="00607CAC">
        <w:rPr>
          <w:rFonts w:asciiTheme="majorHAnsi" w:hAnsiTheme="majorHAnsi" w:cstheme="majorHAnsi"/>
          <w:sz w:val="22"/>
          <w:szCs w:val="22"/>
          <w:lang w:val="es-ES"/>
        </w:rPr>
        <w:t>gobernanza cultural mediante la participación de la sociedad civil</w:t>
      </w:r>
      <w:r w:rsidR="00536E0F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BC5B4F" w:rsidRPr="00607CAC">
        <w:rPr>
          <w:rFonts w:asciiTheme="majorHAnsi" w:hAnsiTheme="majorHAnsi" w:cstheme="majorHAnsi"/>
          <w:sz w:val="22"/>
          <w:szCs w:val="22"/>
          <w:lang w:val="es-ES"/>
        </w:rPr>
        <w:t>Reconoce</w:t>
      </w:r>
      <w:r w:rsidR="00CD3E14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que</w:t>
      </w:r>
      <w:r w:rsidR="00CD3E1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las </w:t>
      </w:r>
      <w:r w:rsidR="00CD3E1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organizaciones de la sociedad civil gestionan y contribuyen a un amplio abanico de actividades en los sectores culturales y creativos, </w:t>
      </w:r>
      <w:r w:rsidR="00CD3E1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>(…)</w:t>
      </w:r>
      <w:r w:rsidR="00CD3E1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especialmente activas en los ámbitos menos cubiertos por las iniciativas públicas y establecen conexiones intersectoriales, lo que las convierte en agentes de primera línea para cultivar y promover la diversidad de las expresiones culturales. </w:t>
      </w:r>
    </w:p>
    <w:p w14:paraId="550DBFA4" w14:textId="77777777" w:rsidR="00D5330A" w:rsidRPr="00607CAC" w:rsidRDefault="00D5330A" w:rsidP="00AD389E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</w:p>
    <w:p w14:paraId="43297932" w14:textId="0ADCD616" w:rsidR="00D5330A" w:rsidRPr="00607CAC" w:rsidRDefault="00610E0A" w:rsidP="00AD389E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  <w:r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Delfín identifica como obstáculo para la plena </w:t>
      </w:r>
      <w:r w:rsidR="00052E95" w:rsidRPr="00607CAC">
        <w:rPr>
          <w:rFonts w:asciiTheme="majorHAnsi" w:hAnsiTheme="majorHAnsi" w:cstheme="majorHAnsi"/>
          <w:sz w:val="22"/>
          <w:szCs w:val="22"/>
          <w:lang w:val="es-ES"/>
        </w:rPr>
        <w:t>gobernanza cultural</w:t>
      </w:r>
      <w:r w:rsidR="00007FB4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que</w:t>
      </w:r>
      <w:r w:rsidR="00007FB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rara vez </w:t>
      </w:r>
      <w:r w:rsidR="00007FB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>intervienen en los procesos de toma de decisiones, seguimiento y evaluación para (re)pensar las políticas de fomento de la creatividad, lo que sugiere la necesidad de procesos más inclusivos y transparentes.</w:t>
      </w:r>
      <w:r w:rsidR="00007FB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</w:t>
      </w:r>
    </w:p>
    <w:p w14:paraId="4EF9C068" w14:textId="77777777" w:rsidR="00D5330A" w:rsidRPr="00607CAC" w:rsidRDefault="00D5330A" w:rsidP="00AD389E">
      <w:pPr>
        <w:spacing w:line="276" w:lineRule="auto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es-ES"/>
        </w:rPr>
      </w:pPr>
    </w:p>
    <w:p w14:paraId="2269F646" w14:textId="4FFD4AC0" w:rsidR="00BC5B4F" w:rsidRPr="00607CAC" w:rsidRDefault="00D40C2D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607CAC">
        <w:rPr>
          <w:rFonts w:asciiTheme="majorHAnsi" w:hAnsiTheme="majorHAnsi" w:cstheme="majorHAnsi"/>
          <w:sz w:val="22"/>
          <w:szCs w:val="22"/>
          <w:lang w:val="es-ES"/>
        </w:rPr>
        <w:t>A</w:t>
      </w:r>
      <w:r w:rsidR="00007FB4" w:rsidRPr="00607CAC">
        <w:rPr>
          <w:rFonts w:asciiTheme="majorHAnsi" w:hAnsiTheme="majorHAnsi" w:cstheme="majorHAnsi"/>
          <w:sz w:val="22"/>
          <w:szCs w:val="22"/>
          <w:lang w:val="es-ES"/>
        </w:rPr>
        <w:t>tendiendo a</w:t>
      </w:r>
      <w:r w:rsidR="00396C15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esa recomendación de</w:t>
      </w:r>
      <w:r w:rsidR="00007FB4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modelos </w:t>
      </w:r>
      <w:r w:rsidR="00396C15" w:rsidRPr="00607CAC">
        <w:rPr>
          <w:rFonts w:asciiTheme="majorHAnsi" w:hAnsiTheme="majorHAnsi" w:cstheme="majorHAnsi"/>
          <w:sz w:val="22"/>
          <w:szCs w:val="22"/>
          <w:lang w:val="es-ES"/>
        </w:rPr>
        <w:t>más participativos</w:t>
      </w:r>
      <w:r w:rsidR="00007FB4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desde </w:t>
      </w:r>
      <w:r w:rsidR="00213D35" w:rsidRPr="00607CAC">
        <w:rPr>
          <w:rFonts w:asciiTheme="majorHAnsi" w:hAnsiTheme="majorHAnsi" w:cstheme="majorHAnsi"/>
          <w:sz w:val="22"/>
          <w:szCs w:val="22"/>
          <w:lang w:val="es-ES"/>
        </w:rPr>
        <w:t>el diseño de</w:t>
      </w:r>
      <w:r w:rsidR="0059145B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las</w:t>
      </w:r>
      <w:r w:rsidR="00213D35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políticas hasta el seguimiento de su ejecución, </w:t>
      </w:r>
      <w:r w:rsidR="005A4F48" w:rsidRPr="00607CAC">
        <w:rPr>
          <w:rFonts w:asciiTheme="majorHAnsi" w:hAnsiTheme="majorHAnsi" w:cstheme="majorHAnsi"/>
          <w:sz w:val="22"/>
          <w:szCs w:val="22"/>
          <w:lang w:val="es-ES"/>
        </w:rPr>
        <w:t>presentaremos</w:t>
      </w:r>
      <w:r w:rsidR="00213D35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a conti</w:t>
      </w:r>
      <w:r w:rsidR="00805A21" w:rsidRPr="00607CAC">
        <w:rPr>
          <w:rFonts w:asciiTheme="majorHAnsi" w:hAnsiTheme="majorHAnsi" w:cstheme="majorHAnsi"/>
          <w:sz w:val="22"/>
          <w:szCs w:val="22"/>
          <w:lang w:val="es-ES"/>
        </w:rPr>
        <w:t>nuación al caso del “Plan Estratégico de Cultura 2023-2033” de la ciudad de Bilbao</w:t>
      </w:r>
      <w:r w:rsidR="007A0D91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, el </w:t>
      </w:r>
      <w:r w:rsidR="00F14AB4" w:rsidRPr="00607CAC">
        <w:rPr>
          <w:rFonts w:asciiTheme="majorHAnsi" w:hAnsiTheme="majorHAnsi" w:cstheme="majorHAnsi"/>
          <w:sz w:val="22"/>
          <w:szCs w:val="22"/>
          <w:lang w:val="es-ES"/>
        </w:rPr>
        <w:t>cual</w:t>
      </w:r>
      <w:r w:rsidR="007A0D91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se </w:t>
      </w:r>
      <w:r w:rsidR="00F14AB4" w:rsidRPr="00607CAC">
        <w:rPr>
          <w:rFonts w:asciiTheme="majorHAnsi" w:hAnsiTheme="majorHAnsi" w:cstheme="majorHAnsi"/>
          <w:sz w:val="22"/>
          <w:szCs w:val="22"/>
          <w:lang w:val="es-ES"/>
        </w:rPr>
        <w:t>construye</w:t>
      </w:r>
      <w:r w:rsidR="007A0D91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a través de un proceso de </w:t>
      </w:r>
      <w:r w:rsidR="00F14AB4" w:rsidRPr="00607CAC">
        <w:rPr>
          <w:rFonts w:asciiTheme="majorHAnsi" w:hAnsiTheme="majorHAnsi" w:cstheme="majorHAnsi"/>
          <w:sz w:val="22"/>
          <w:szCs w:val="22"/>
          <w:lang w:val="es-ES"/>
        </w:rPr>
        <w:t>grupos</w:t>
      </w:r>
      <w:r w:rsidR="007A0D91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de trabajo sectoriales y transversales, cuestionarios y encuentros en los que han participado artistas, agentes y asociaciones del sector cultural, representantes políticos y ciudadanía</w:t>
      </w:r>
      <w:r w:rsidR="00396C15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1B0036" w:rsidRPr="00607CAC">
        <w:rPr>
          <w:rFonts w:asciiTheme="majorHAnsi" w:hAnsiTheme="majorHAnsi" w:cstheme="majorHAnsi"/>
          <w:sz w:val="22"/>
          <w:szCs w:val="22"/>
          <w:lang w:val="es-ES"/>
        </w:rPr>
        <w:t>En este sentido, c</w:t>
      </w:r>
      <w:r w:rsidR="00BC5B4F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abe destacar </w:t>
      </w:r>
      <w:r w:rsidR="00C70269" w:rsidRPr="00607CAC">
        <w:rPr>
          <w:rFonts w:asciiTheme="majorHAnsi" w:hAnsiTheme="majorHAnsi" w:cstheme="majorHAnsi"/>
          <w:sz w:val="22"/>
          <w:szCs w:val="22"/>
          <w:lang w:val="es-ES"/>
        </w:rPr>
        <w:t>la siguiente afirmación de Delfín</w:t>
      </w:r>
      <w:r w:rsidR="00DD4828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cuando refiere que </w:t>
      </w:r>
      <w:r w:rsidR="00CD3E14" w:rsidRPr="00607CAC">
        <w:rPr>
          <w:rFonts w:asciiTheme="majorHAnsi" w:hAnsiTheme="majorHAnsi" w:cstheme="majorHAnsi"/>
          <w:i/>
          <w:iCs/>
          <w:sz w:val="22"/>
          <w:szCs w:val="22"/>
          <w:lang w:val="es-ES"/>
        </w:rPr>
        <w:t>las organizaciones de la sociedad civil que participan en alianzas con las autoridades locales a nivel subnacional tienden a lograr resultados más sólidos en la gobernanza cultural participativa</w:t>
      </w:r>
      <w:r w:rsidR="00C70269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7B44670C" w14:textId="77777777" w:rsidR="00384EBB" w:rsidRPr="00607CAC" w:rsidRDefault="00384EBB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2D82914" w14:textId="5EDDF971" w:rsidR="00384EBB" w:rsidRDefault="00B041B8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A</w:t>
      </w:r>
      <w:r w:rsidR="00384EBB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vanzar hacia la gobernanza cultural </w:t>
      </w:r>
      <w:r w:rsidR="00F5171D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requiere </w:t>
      </w:r>
      <w:r w:rsidR="00D5330A" w:rsidRPr="00607CAC">
        <w:rPr>
          <w:rFonts w:asciiTheme="majorHAnsi" w:hAnsiTheme="majorHAnsi" w:cstheme="majorHAnsi"/>
          <w:sz w:val="22"/>
          <w:szCs w:val="22"/>
          <w:lang w:val="es-ES"/>
        </w:rPr>
        <w:t>medidas</w:t>
      </w:r>
      <w:r w:rsidR="00702C61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047FA" w:rsidRPr="00607CAC">
        <w:rPr>
          <w:rFonts w:asciiTheme="majorHAnsi" w:hAnsiTheme="majorHAnsi" w:cstheme="majorHAnsi"/>
          <w:sz w:val="22"/>
          <w:szCs w:val="22"/>
          <w:lang w:val="es-ES"/>
        </w:rPr>
        <w:t>concretas</w:t>
      </w:r>
      <w:r w:rsidR="00CA0743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="006D79CC">
        <w:rPr>
          <w:rFonts w:asciiTheme="majorHAnsi" w:hAnsiTheme="majorHAnsi" w:cstheme="majorHAnsi"/>
          <w:sz w:val="22"/>
          <w:szCs w:val="22"/>
          <w:lang w:val="es-ES"/>
        </w:rPr>
        <w:t>por un lado,</w:t>
      </w:r>
      <w:r w:rsidR="00CA0743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047FA" w:rsidRPr="00607CAC">
        <w:rPr>
          <w:rFonts w:asciiTheme="majorHAnsi" w:hAnsiTheme="majorHAnsi" w:cstheme="majorHAnsi"/>
          <w:sz w:val="22"/>
          <w:szCs w:val="22"/>
          <w:lang w:val="es-ES"/>
        </w:rPr>
        <w:t>el fortalecimiento de</w:t>
      </w:r>
      <w:r w:rsidR="00D5330A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las competencias y capacidades de la sociedad civil</w:t>
      </w:r>
      <w:r w:rsidR="00D5330A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5171D" w:rsidRPr="00607CAC">
        <w:rPr>
          <w:rFonts w:asciiTheme="majorHAnsi" w:hAnsiTheme="majorHAnsi" w:cstheme="majorHAnsi"/>
          <w:sz w:val="22"/>
          <w:szCs w:val="22"/>
          <w:lang w:val="es-ES"/>
        </w:rPr>
        <w:t>y</w:t>
      </w:r>
      <w:r w:rsidR="00D5330A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5171D" w:rsidRPr="00607CAC">
        <w:rPr>
          <w:rFonts w:asciiTheme="majorHAnsi" w:hAnsiTheme="majorHAnsi" w:cstheme="majorHAnsi"/>
          <w:sz w:val="22"/>
          <w:szCs w:val="22"/>
          <w:lang w:val="es-ES"/>
        </w:rPr>
        <w:t>de</w:t>
      </w:r>
      <w:r w:rsidR="00D5330A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A0743" w:rsidRPr="00607CAC">
        <w:rPr>
          <w:rFonts w:asciiTheme="majorHAnsi" w:hAnsiTheme="majorHAnsi" w:cstheme="majorHAnsi"/>
          <w:sz w:val="22"/>
          <w:szCs w:val="22"/>
          <w:lang w:val="es-ES"/>
        </w:rPr>
        <w:t>las instituciones</w:t>
      </w:r>
      <w:r w:rsidR="00DE1053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 para propiciar una concepción holística de la cultura y el desarrollo sostenible y</w:t>
      </w:r>
      <w:r w:rsidR="006D79CC">
        <w:rPr>
          <w:rFonts w:asciiTheme="majorHAnsi" w:hAnsiTheme="majorHAnsi" w:cstheme="majorHAnsi"/>
          <w:sz w:val="22"/>
          <w:szCs w:val="22"/>
          <w:lang w:val="es-ES"/>
        </w:rPr>
        <w:t xml:space="preserve">, por otro lado, la sistematización y </w:t>
      </w:r>
      <w:r w:rsidR="00607CAC" w:rsidRPr="00607CAC">
        <w:rPr>
          <w:rFonts w:asciiTheme="majorHAnsi" w:hAnsiTheme="majorHAnsi" w:cstheme="majorHAnsi"/>
          <w:sz w:val="22"/>
          <w:szCs w:val="22"/>
          <w:lang w:val="es-ES"/>
        </w:rPr>
        <w:t xml:space="preserve">el establecimiento de mecanismos de participación y seguimiento. </w:t>
      </w:r>
    </w:p>
    <w:p w14:paraId="55455EE8" w14:textId="77777777" w:rsidR="00D85F16" w:rsidRDefault="00D85F16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8A0ED21" w14:textId="0176412F" w:rsidR="00DB56C4" w:rsidRPr="00DB0C36" w:rsidRDefault="00DB56C4" w:rsidP="00DB56C4">
      <w:pPr>
        <w:spacing w:line="276" w:lineRule="auto"/>
        <w:contextualSpacing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 xml:space="preserve">El fortalecimiento de capacidades para </w:t>
      </w:r>
      <w:r w:rsidRPr="00F26EED">
        <w:rPr>
          <w:rFonts w:asciiTheme="majorHAnsi" w:hAnsiTheme="majorHAnsi" w:cstheme="majorHAnsi"/>
          <w:sz w:val="22"/>
          <w:szCs w:val="22"/>
          <w:lang w:val="es-ES"/>
        </w:rPr>
        <w:t>la gobernanza participativa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 propicia </w:t>
      </w:r>
      <w:r w:rsidR="00EB6FB2">
        <w:rPr>
          <w:rFonts w:asciiTheme="majorHAnsi" w:hAnsiTheme="majorHAnsi" w:cstheme="majorHAnsi"/>
          <w:sz w:val="22"/>
          <w:szCs w:val="22"/>
          <w:lang w:val="es-ES"/>
        </w:rPr>
        <w:t xml:space="preserve">no sólo la mejora </w:t>
      </w:r>
      <w:r w:rsidR="00AE17A6">
        <w:rPr>
          <w:rFonts w:asciiTheme="majorHAnsi" w:hAnsiTheme="majorHAnsi" w:cstheme="majorHAnsi"/>
          <w:sz w:val="22"/>
          <w:szCs w:val="22"/>
          <w:lang w:val="es-ES"/>
        </w:rPr>
        <w:t xml:space="preserve">de la gestión e implementación de </w:t>
      </w:r>
      <w:r w:rsidR="00DE2220">
        <w:rPr>
          <w:rFonts w:asciiTheme="majorHAnsi" w:hAnsiTheme="majorHAnsi" w:cstheme="majorHAnsi"/>
          <w:sz w:val="22"/>
          <w:szCs w:val="22"/>
          <w:lang w:val="es-ES"/>
        </w:rPr>
        <w:t xml:space="preserve">proyectos, </w:t>
      </w:r>
      <w:r w:rsidR="00AE17A6">
        <w:rPr>
          <w:rFonts w:asciiTheme="majorHAnsi" w:hAnsiTheme="majorHAnsi" w:cstheme="majorHAnsi"/>
          <w:sz w:val="22"/>
          <w:szCs w:val="22"/>
          <w:lang w:val="es-ES"/>
        </w:rPr>
        <w:t>además</w:t>
      </w:r>
      <w:r w:rsidR="00DE2220">
        <w:rPr>
          <w:rFonts w:asciiTheme="majorHAnsi" w:hAnsiTheme="majorHAnsi" w:cstheme="majorHAnsi"/>
          <w:sz w:val="22"/>
          <w:szCs w:val="22"/>
          <w:lang w:val="es-ES"/>
        </w:rPr>
        <w:t>,</w:t>
      </w:r>
      <w:r w:rsidR="00AE17A6">
        <w:rPr>
          <w:rFonts w:asciiTheme="majorHAnsi" w:hAnsiTheme="majorHAnsi" w:cstheme="majorHAnsi"/>
          <w:sz w:val="22"/>
          <w:szCs w:val="22"/>
          <w:lang w:val="es-ES"/>
        </w:rPr>
        <w:t xml:space="preserve"> ha favorecido que estén en revisión </w:t>
      </w:r>
      <w:r w:rsidR="00AE17A6" w:rsidRPr="00F26EED">
        <w:rPr>
          <w:rFonts w:asciiTheme="majorHAnsi" w:hAnsiTheme="majorHAnsi" w:cstheme="majorHAnsi"/>
          <w:sz w:val="22"/>
          <w:szCs w:val="22"/>
          <w:lang w:val="es-ES"/>
        </w:rPr>
        <w:t>o</w:t>
      </w:r>
      <w:r w:rsidRPr="00F26EED">
        <w:rPr>
          <w:rFonts w:asciiTheme="majorHAnsi" w:hAnsiTheme="majorHAnsi" w:cstheme="majorHAnsi"/>
          <w:sz w:val="22"/>
          <w:szCs w:val="22"/>
          <w:lang w:val="es-ES"/>
        </w:rPr>
        <w:t xml:space="preserve"> formulación nuevos marcos normativos y estrategias sectoriales para los sectores culturales y creativos. </w:t>
      </w:r>
      <w:r w:rsidR="00D1657A" w:rsidRPr="00D1657A">
        <w:rPr>
          <w:rFonts w:asciiTheme="majorHAnsi" w:hAnsiTheme="majorHAnsi" w:cstheme="majorHAnsi"/>
          <w:i/>
          <w:iCs/>
          <w:sz w:val="22"/>
          <w:szCs w:val="22"/>
          <w:lang w:val="es-ES"/>
        </w:rPr>
        <w:t>Para que la gobernanza de la cultura sea sostenible, es necesario prestar más atención a la formación de las nuevas generaciones de responsables político</w:t>
      </w:r>
      <w:r w:rsidR="005668D6">
        <w:rPr>
          <w:rFonts w:asciiTheme="majorHAnsi" w:hAnsiTheme="majorHAnsi" w:cstheme="majorHAnsi"/>
          <w:i/>
          <w:iCs/>
          <w:sz w:val="22"/>
          <w:szCs w:val="22"/>
          <w:lang w:val="es-ES"/>
        </w:rPr>
        <w:t>/</w:t>
      </w:r>
      <w:r w:rsidR="00DB0C36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as </w:t>
      </w:r>
      <w:r w:rsidR="00DB0C36" w:rsidRPr="00D1657A">
        <w:rPr>
          <w:rFonts w:asciiTheme="majorHAnsi" w:hAnsiTheme="majorHAnsi" w:cstheme="majorHAnsi"/>
          <w:i/>
          <w:iCs/>
          <w:sz w:val="22"/>
          <w:szCs w:val="22"/>
          <w:lang w:val="es-ES"/>
        </w:rPr>
        <w:t>y</w:t>
      </w:r>
      <w:r w:rsidR="00D1657A" w:rsidRPr="00D1657A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 gestores</w:t>
      </w:r>
      <w:r w:rsidR="005668D6">
        <w:rPr>
          <w:rFonts w:asciiTheme="majorHAnsi" w:hAnsiTheme="majorHAnsi" w:cstheme="majorHAnsi"/>
          <w:i/>
          <w:iCs/>
          <w:sz w:val="22"/>
          <w:szCs w:val="22"/>
          <w:lang w:val="es-ES"/>
        </w:rPr>
        <w:t>/as</w:t>
      </w:r>
      <w:r w:rsidR="005668D6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r w:rsidR="00D105BA">
        <w:rPr>
          <w:rFonts w:asciiTheme="majorHAnsi" w:hAnsiTheme="majorHAnsi" w:cstheme="majorHAnsi"/>
          <w:sz w:val="22"/>
          <w:szCs w:val="22"/>
          <w:lang w:val="es-ES"/>
        </w:rPr>
        <w:t>menciona</w:t>
      </w:r>
      <w:r w:rsidR="005668D6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B0C36" w:rsidRPr="00DB0C36">
        <w:rPr>
          <w:rFonts w:asciiTheme="majorHAnsi" w:hAnsiTheme="majorHAnsi" w:cstheme="majorHAnsi"/>
          <w:sz w:val="22"/>
          <w:szCs w:val="22"/>
          <w:lang w:val="es-ES"/>
        </w:rPr>
        <w:t>Magdalena Moreno Mujica</w:t>
      </w:r>
      <w:r w:rsidR="007407BD">
        <w:rPr>
          <w:rFonts w:asciiTheme="majorHAnsi" w:hAnsiTheme="majorHAnsi" w:cstheme="majorHAnsi"/>
          <w:sz w:val="22"/>
          <w:szCs w:val="22"/>
          <w:lang w:val="es-ES"/>
        </w:rPr>
        <w:t xml:space="preserve"> en </w:t>
      </w:r>
      <w:r w:rsidR="00F11501" w:rsidRPr="00607CAC">
        <w:rPr>
          <w:rFonts w:asciiTheme="majorHAnsi" w:hAnsiTheme="majorHAnsi" w:cstheme="majorHAnsi"/>
          <w:sz w:val="22"/>
          <w:szCs w:val="22"/>
          <w:lang w:val="es-ES"/>
        </w:rPr>
        <w:t>“</w:t>
      </w:r>
      <w:proofErr w:type="spellStart"/>
      <w:r w:rsidR="00F11501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Re|pensar</w:t>
      </w:r>
      <w:proofErr w:type="spellEnd"/>
      <w:r w:rsidR="00F11501" w:rsidRPr="00607CAC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 las políticas para la creatividad: plantear la cultura como un bien público global” (UNESCO, 2022</w:t>
      </w:r>
      <w:r w:rsidR="00F11501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, </w:t>
      </w:r>
      <w:r w:rsidR="009A4573">
        <w:rPr>
          <w:rFonts w:asciiTheme="majorHAnsi" w:hAnsiTheme="majorHAnsi" w:cstheme="majorHAnsi"/>
          <w:sz w:val="22"/>
          <w:szCs w:val="22"/>
          <w:lang w:val="es-ES"/>
        </w:rPr>
        <w:t>pág. 59).</w:t>
      </w:r>
    </w:p>
    <w:p w14:paraId="2F676F0E" w14:textId="50B5F217" w:rsidR="00DB56C4" w:rsidRDefault="00DB56C4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8306A4B" w14:textId="77777777" w:rsidR="00C11F5C" w:rsidRDefault="00312058" w:rsidP="00CE3AD3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En cuanto a l</w:t>
      </w:r>
      <w:r w:rsidR="001C52E7">
        <w:rPr>
          <w:rFonts w:asciiTheme="majorHAnsi" w:hAnsiTheme="majorHAnsi" w:cstheme="majorHAnsi"/>
          <w:sz w:val="22"/>
          <w:szCs w:val="22"/>
          <w:lang w:val="es-ES"/>
        </w:rPr>
        <w:t xml:space="preserve">a creación de </w:t>
      </w:r>
      <w:r w:rsidR="00DE2220">
        <w:rPr>
          <w:rFonts w:asciiTheme="majorHAnsi" w:hAnsiTheme="majorHAnsi" w:cstheme="majorHAnsi"/>
          <w:sz w:val="22"/>
          <w:szCs w:val="22"/>
          <w:lang w:val="es-ES"/>
        </w:rPr>
        <w:t>mecanismos</w:t>
      </w:r>
      <w:r w:rsidR="001C52E7">
        <w:rPr>
          <w:rFonts w:asciiTheme="majorHAnsi" w:hAnsiTheme="majorHAnsi" w:cstheme="majorHAnsi"/>
          <w:sz w:val="22"/>
          <w:szCs w:val="22"/>
          <w:lang w:val="es-ES"/>
        </w:rPr>
        <w:t xml:space="preserve"> de seguimiento y rendición de cuentas </w:t>
      </w:r>
      <w:r w:rsidR="00E35C50">
        <w:rPr>
          <w:rFonts w:asciiTheme="majorHAnsi" w:hAnsiTheme="majorHAnsi" w:cstheme="majorHAnsi"/>
          <w:sz w:val="22"/>
          <w:szCs w:val="22"/>
          <w:lang w:val="es-ES"/>
        </w:rPr>
        <w:t>d</w:t>
      </w:r>
      <w:r w:rsidR="00E35C50">
        <w:rPr>
          <w:rFonts w:asciiTheme="majorHAnsi" w:hAnsiTheme="majorHAnsi" w:cstheme="majorHAnsi"/>
          <w:sz w:val="22"/>
          <w:szCs w:val="22"/>
          <w:lang w:val="es-ES"/>
        </w:rPr>
        <w:t>el estado de situación y avance en materia de derechos culturales</w:t>
      </w:r>
      <w:r w:rsidR="00E35C50">
        <w:rPr>
          <w:rFonts w:asciiTheme="majorHAnsi" w:hAnsiTheme="majorHAnsi" w:cstheme="majorHAnsi"/>
          <w:sz w:val="22"/>
          <w:szCs w:val="22"/>
          <w:lang w:val="es-ES"/>
        </w:rPr>
        <w:t xml:space="preserve">, </w:t>
      </w:r>
      <w:r w:rsidR="006D170E">
        <w:rPr>
          <w:rFonts w:asciiTheme="majorHAnsi" w:hAnsiTheme="majorHAnsi" w:cstheme="majorHAnsi"/>
          <w:sz w:val="22"/>
          <w:szCs w:val="22"/>
          <w:lang w:val="es-ES"/>
        </w:rPr>
        <w:t>en su relación con el diseño e implementación de políticas culturales</w:t>
      </w:r>
      <w:r w:rsidR="00E35C50">
        <w:rPr>
          <w:rFonts w:asciiTheme="majorHAnsi" w:hAnsiTheme="majorHAnsi" w:cstheme="majorHAnsi"/>
          <w:sz w:val="22"/>
          <w:szCs w:val="22"/>
          <w:lang w:val="es-ES"/>
        </w:rPr>
        <w:t>,</w:t>
      </w:r>
      <w:r w:rsidR="006B7C4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A5B76">
        <w:rPr>
          <w:rFonts w:asciiTheme="majorHAnsi" w:hAnsiTheme="majorHAnsi" w:cstheme="majorHAnsi"/>
          <w:sz w:val="22"/>
          <w:szCs w:val="22"/>
          <w:lang w:val="es-ES"/>
        </w:rPr>
        <w:t xml:space="preserve">resultarían </w:t>
      </w:r>
      <w:r w:rsidR="00704AC3">
        <w:rPr>
          <w:rFonts w:asciiTheme="majorHAnsi" w:hAnsiTheme="majorHAnsi" w:cstheme="majorHAnsi"/>
          <w:sz w:val="22"/>
          <w:szCs w:val="22"/>
          <w:lang w:val="es-ES"/>
        </w:rPr>
        <w:t>herramienta</w:t>
      </w:r>
      <w:r w:rsidR="002A5B76">
        <w:rPr>
          <w:rFonts w:asciiTheme="majorHAnsi" w:hAnsiTheme="majorHAnsi" w:cstheme="majorHAnsi"/>
          <w:sz w:val="22"/>
          <w:szCs w:val="22"/>
          <w:lang w:val="es-ES"/>
        </w:rPr>
        <w:t>s</w:t>
      </w:r>
      <w:r w:rsidR="00704AC3">
        <w:rPr>
          <w:rFonts w:asciiTheme="majorHAnsi" w:hAnsiTheme="majorHAnsi" w:cstheme="majorHAnsi"/>
          <w:sz w:val="22"/>
          <w:szCs w:val="22"/>
          <w:lang w:val="es-ES"/>
        </w:rPr>
        <w:t xml:space="preserve"> efica</w:t>
      </w:r>
      <w:r w:rsidR="002A5B76">
        <w:rPr>
          <w:rFonts w:asciiTheme="majorHAnsi" w:hAnsiTheme="majorHAnsi" w:cstheme="majorHAnsi"/>
          <w:sz w:val="22"/>
          <w:szCs w:val="22"/>
          <w:lang w:val="es-ES"/>
        </w:rPr>
        <w:t>ces</w:t>
      </w:r>
      <w:r w:rsidR="00067BC6">
        <w:rPr>
          <w:rFonts w:asciiTheme="majorHAnsi" w:hAnsiTheme="majorHAnsi" w:cstheme="majorHAnsi"/>
          <w:sz w:val="22"/>
          <w:szCs w:val="22"/>
          <w:lang w:val="es-ES"/>
        </w:rPr>
        <w:t xml:space="preserve"> para incorporar la dimensión cultural </w:t>
      </w:r>
      <w:r w:rsidR="00E35C50">
        <w:rPr>
          <w:rFonts w:asciiTheme="majorHAnsi" w:hAnsiTheme="majorHAnsi" w:cstheme="majorHAnsi"/>
          <w:sz w:val="22"/>
          <w:szCs w:val="22"/>
          <w:lang w:val="es-ES"/>
        </w:rPr>
        <w:t xml:space="preserve">en </w:t>
      </w:r>
      <w:r w:rsidR="004A5C64">
        <w:rPr>
          <w:rFonts w:asciiTheme="majorHAnsi" w:hAnsiTheme="majorHAnsi" w:cstheme="majorHAnsi"/>
          <w:sz w:val="22"/>
          <w:szCs w:val="22"/>
          <w:lang w:val="es-ES"/>
        </w:rPr>
        <w:t>los informes</w:t>
      </w:r>
      <w:r w:rsidR="006171CA">
        <w:rPr>
          <w:rFonts w:asciiTheme="majorHAnsi" w:hAnsiTheme="majorHAnsi" w:cstheme="majorHAnsi"/>
          <w:sz w:val="22"/>
          <w:szCs w:val="22"/>
          <w:lang w:val="es-ES"/>
        </w:rPr>
        <w:t xml:space="preserve"> locales</w:t>
      </w:r>
      <w:r w:rsidR="004A5C64">
        <w:rPr>
          <w:rFonts w:asciiTheme="majorHAnsi" w:hAnsiTheme="majorHAnsi" w:cstheme="majorHAnsi"/>
          <w:sz w:val="22"/>
          <w:szCs w:val="22"/>
          <w:lang w:val="es-ES"/>
        </w:rPr>
        <w:t xml:space="preserve"> voluntarios </w:t>
      </w:r>
      <w:r w:rsidR="00692937">
        <w:rPr>
          <w:rFonts w:asciiTheme="majorHAnsi" w:hAnsiTheme="majorHAnsi" w:cstheme="majorHAnsi"/>
          <w:sz w:val="22"/>
          <w:szCs w:val="22"/>
          <w:lang w:val="es-ES"/>
        </w:rPr>
        <w:t>sobre el progreso en el cumplimiento</w:t>
      </w:r>
      <w:r w:rsidR="004A5C64">
        <w:rPr>
          <w:rFonts w:asciiTheme="majorHAnsi" w:hAnsiTheme="majorHAnsi" w:cstheme="majorHAnsi"/>
          <w:sz w:val="22"/>
          <w:szCs w:val="22"/>
          <w:lang w:val="es-ES"/>
        </w:rPr>
        <w:t xml:space="preserve"> de los Objetivos de Desarrollo Sostenible</w:t>
      </w:r>
      <w:r w:rsidR="00692937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</w:p>
    <w:p w14:paraId="67BF1B54" w14:textId="77777777" w:rsidR="00C11F5C" w:rsidRDefault="00C11F5C" w:rsidP="00CE3AD3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6191C5A" w14:textId="60AD1313" w:rsidR="002A06E5" w:rsidRPr="005C73BB" w:rsidRDefault="00F144D7" w:rsidP="00CE3AD3">
      <w:pPr>
        <w:spacing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5C73BB">
        <w:rPr>
          <w:rFonts w:asciiTheme="majorHAnsi" w:hAnsiTheme="majorHAnsi" w:cstheme="majorHAnsi"/>
          <w:sz w:val="22"/>
          <w:szCs w:val="22"/>
          <w:lang w:val="es-ES"/>
        </w:rPr>
        <w:t>Con el objetivo de g</w:t>
      </w:r>
      <w:r w:rsidR="0047003A" w:rsidRPr="005C73BB">
        <w:rPr>
          <w:rFonts w:asciiTheme="majorHAnsi" w:hAnsiTheme="majorHAnsi" w:cstheme="majorHAnsi"/>
          <w:sz w:val="22"/>
          <w:szCs w:val="22"/>
          <w:lang w:val="es-ES"/>
        </w:rPr>
        <w:t>arantizar la adopción en todos los niveles de decisiones inclusivas, participativas y representativas que respondan a las necesidades</w:t>
      </w:r>
      <w:r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 de todas las personas, </w:t>
      </w:r>
      <w:r w:rsidR="00C11F5C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se ha de asegurar </w:t>
      </w:r>
      <w:r w:rsidR="002A06E5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que </w:t>
      </w:r>
      <w:r w:rsidR="00B6339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personas y </w:t>
      </w:r>
      <w:r w:rsidR="002A06E5" w:rsidRPr="005C73BB">
        <w:rPr>
          <w:rFonts w:asciiTheme="majorHAnsi" w:hAnsiTheme="majorHAnsi" w:cstheme="majorHAnsi"/>
          <w:sz w:val="22"/>
          <w:szCs w:val="22"/>
          <w:lang w:val="es-ES"/>
        </w:rPr>
        <w:t>grupos vulner</w:t>
      </w:r>
      <w:r w:rsidR="00B6339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ados </w:t>
      </w:r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(mayores, jóvenes, </w:t>
      </w:r>
      <w:r w:rsidR="000E6F20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mujeres, </w:t>
      </w:r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personas migrantes y solicitantes de asilo, </w:t>
      </w:r>
      <w:r w:rsidR="00C0345D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personas racializadas, </w:t>
      </w:r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personas con diversidad funcional, </w:t>
      </w:r>
      <w:r w:rsidR="000E6F20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personas </w:t>
      </w:r>
      <w:r w:rsidR="000E6F20" w:rsidRPr="005C73BB">
        <w:rPr>
          <w:rFonts w:asciiTheme="majorHAnsi" w:hAnsiTheme="majorHAnsi" w:cstheme="majorHAnsi"/>
          <w:color w:val="4D5156"/>
          <w:sz w:val="21"/>
          <w:szCs w:val="21"/>
          <w:shd w:val="clear" w:color="auto" w:fill="FFFFFF"/>
          <w:lang w:val="es-ES"/>
        </w:rPr>
        <w:t> </w:t>
      </w:r>
      <w:r w:rsidR="000E6F20" w:rsidRPr="005C73BB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LGTBIQ+</w:t>
      </w:r>
      <w:r w:rsidR="000E6F20" w:rsidRPr="005C73BB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>,</w:t>
      </w:r>
      <w:r w:rsidR="005C73BB" w:rsidRPr="005C73BB"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>etc</w:t>
      </w:r>
      <w:proofErr w:type="spellEnd"/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,) </w:t>
      </w:r>
      <w:r w:rsidR="002A06E5" w:rsidRPr="005C73BB">
        <w:rPr>
          <w:rFonts w:asciiTheme="majorHAnsi" w:hAnsiTheme="majorHAnsi" w:cstheme="majorHAnsi"/>
          <w:sz w:val="22"/>
          <w:szCs w:val="22"/>
          <w:lang w:val="es-ES"/>
        </w:rPr>
        <w:t>puedan acceder</w:t>
      </w:r>
      <w:r w:rsidR="00B63392" w:rsidRPr="005C73BB">
        <w:rPr>
          <w:rFonts w:asciiTheme="majorHAnsi" w:hAnsiTheme="majorHAnsi" w:cstheme="majorHAnsi"/>
          <w:sz w:val="22"/>
          <w:szCs w:val="22"/>
          <w:lang w:val="es-ES"/>
        </w:rPr>
        <w:t>, participar</w:t>
      </w:r>
      <w:r w:rsidR="002A06E5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33D62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y </w:t>
      </w:r>
      <w:r w:rsidR="002A06E5" w:rsidRPr="005C73BB">
        <w:rPr>
          <w:rFonts w:asciiTheme="majorHAnsi" w:hAnsiTheme="majorHAnsi" w:cstheme="majorHAnsi"/>
          <w:sz w:val="22"/>
          <w:szCs w:val="22"/>
          <w:lang w:val="es-ES"/>
        </w:rPr>
        <w:t xml:space="preserve">contribuir </w:t>
      </w:r>
      <w:r w:rsidR="00AE2007" w:rsidRPr="005C73BB">
        <w:rPr>
          <w:rFonts w:asciiTheme="majorHAnsi" w:hAnsiTheme="majorHAnsi" w:cstheme="majorHAnsi"/>
          <w:sz w:val="22"/>
          <w:szCs w:val="22"/>
          <w:lang w:val="es-ES"/>
        </w:rPr>
        <w:t>a los procesos y mecanismos establecidos.</w:t>
      </w:r>
    </w:p>
    <w:p w14:paraId="0FA624B7" w14:textId="77777777" w:rsidR="0047003A" w:rsidRPr="0047003A" w:rsidRDefault="0047003A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F0A1AED" w14:textId="2FDEEFB8" w:rsidR="64AD0F62" w:rsidRPr="00AF53D4" w:rsidRDefault="64AD0F62" w:rsidP="00AD389E">
      <w:pPr>
        <w:spacing w:line="276" w:lineRule="auto"/>
        <w:contextualSpacing/>
        <w:jc w:val="both"/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</w:pPr>
      <w:r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>C</w:t>
      </w:r>
      <w:r w:rsidR="22EAFF98"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>aso de estudio</w:t>
      </w:r>
      <w:r w:rsidR="63754A30"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>:</w:t>
      </w:r>
      <w:r w:rsidR="22EAFF98"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 xml:space="preserve"> </w:t>
      </w:r>
      <w:r w:rsidR="00AF53D4"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 xml:space="preserve">el </w:t>
      </w:r>
      <w:r w:rsidR="5CD1D59C" w:rsidRPr="00AF53D4">
        <w:rPr>
          <w:rFonts w:asciiTheme="majorHAnsi" w:eastAsiaTheme="majorEastAsia" w:hAnsiTheme="majorHAnsi" w:cstheme="majorHAnsi"/>
          <w:b/>
          <w:bCs/>
          <w:i/>
          <w:iCs/>
          <w:sz w:val="26"/>
          <w:szCs w:val="26"/>
          <w:lang w:val="es-ES"/>
        </w:rPr>
        <w:t>Plan Estratégico de Cultura 2023-2033</w:t>
      </w:r>
      <w:r w:rsidR="00AF53D4" w:rsidRPr="00AF53D4">
        <w:rPr>
          <w:rFonts w:asciiTheme="majorHAnsi" w:eastAsiaTheme="majorEastAsia" w:hAnsiTheme="majorHAnsi" w:cstheme="majorHAnsi"/>
          <w:b/>
          <w:bCs/>
          <w:i/>
          <w:iCs/>
          <w:sz w:val="26"/>
          <w:szCs w:val="26"/>
          <w:lang w:val="es-ES"/>
        </w:rPr>
        <w:t xml:space="preserve"> </w:t>
      </w:r>
      <w:r w:rsidR="00AF53D4" w:rsidRPr="00AF53D4"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>de la ciudad de Bilbao</w:t>
      </w:r>
    </w:p>
    <w:p w14:paraId="5846A816" w14:textId="077273DB" w:rsidR="71FF4D43" w:rsidRPr="00AD389E" w:rsidRDefault="71FF4D43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C5F4CCB" w14:textId="1785F3FF" w:rsidR="00E504AD" w:rsidRPr="00AD389E" w:rsidRDefault="00E504AD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Bilbao es un ejemplo </w:t>
      </w:r>
      <w:r w:rsidR="00A155BB">
        <w:rPr>
          <w:rFonts w:asciiTheme="majorHAnsi" w:hAnsiTheme="majorHAnsi" w:cstheme="majorHAnsi"/>
          <w:sz w:val="22"/>
          <w:szCs w:val="22"/>
          <w:lang w:val="es-ES"/>
        </w:rPr>
        <w:t xml:space="preserve">de cómo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la cultura </w:t>
      </w:r>
      <w:r w:rsidR="00A155BB">
        <w:rPr>
          <w:rFonts w:asciiTheme="majorHAnsi" w:hAnsiTheme="majorHAnsi" w:cstheme="majorHAnsi"/>
          <w:sz w:val="22"/>
          <w:szCs w:val="22"/>
          <w:lang w:val="es-ES"/>
        </w:rPr>
        <w:t>puede transformar una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ciudad. </w:t>
      </w:r>
      <w:r w:rsidR="009865E0">
        <w:rPr>
          <w:rFonts w:asciiTheme="majorHAnsi" w:hAnsiTheme="majorHAnsi" w:cstheme="majorHAnsi"/>
          <w:sz w:val="22"/>
          <w:szCs w:val="22"/>
          <w:lang w:val="es-ES"/>
        </w:rPr>
        <w:t xml:space="preserve">Hace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>tres décadas</w:t>
      </w:r>
      <w:r w:rsidR="009865E0">
        <w:rPr>
          <w:rFonts w:asciiTheme="majorHAnsi" w:hAnsiTheme="majorHAnsi" w:cstheme="majorHAnsi"/>
          <w:sz w:val="22"/>
          <w:szCs w:val="22"/>
          <w:lang w:val="es-ES"/>
        </w:rPr>
        <w:t xml:space="preserve"> Bilbao apostó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por un nuevo modelo de desarrollo urbano, a escala humana, basado en la sostenibilidad tanto medioambiental como económica y social.</w:t>
      </w:r>
      <w:r w:rsidR="00F05DF7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Un desarroll</w:t>
      </w:r>
      <w:r w:rsidR="00F50A5E" w:rsidRPr="00AD389E">
        <w:rPr>
          <w:rFonts w:asciiTheme="majorHAnsi" w:hAnsiTheme="majorHAnsi" w:cstheme="majorHAnsi"/>
          <w:sz w:val="22"/>
          <w:szCs w:val="22"/>
          <w:lang w:val="es-ES"/>
        </w:rPr>
        <w:t>o urbano que tiene precisamente</w:t>
      </w:r>
      <w:r w:rsidR="00F05DF7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en la cultura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una de sus principales señas de identidad, con el efecto del Museo Guggenheim Bilbao como su más famoso exponente.</w:t>
      </w:r>
      <w:r w:rsidR="00805A2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>Pero la apuesta por la cultura en Bilbao va mucho más allá del Museo. Bilbao reivindica que la cultura es el cuarto pilar del desarrollo</w:t>
      </w:r>
      <w:r w:rsidR="005D603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50A5E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sostenible </w:t>
      </w:r>
      <w:r w:rsidR="005D603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y que tiene un valor intrínseco, más allá de sus beneficios económicos o </w:t>
      </w:r>
      <w:r w:rsidR="00EC413D" w:rsidRPr="00AD389E">
        <w:rPr>
          <w:rFonts w:asciiTheme="majorHAnsi" w:hAnsiTheme="majorHAnsi" w:cstheme="majorHAnsi"/>
          <w:sz w:val="22"/>
          <w:szCs w:val="22"/>
          <w:lang w:val="es-ES"/>
        </w:rPr>
        <w:t>comunicativos</w:t>
      </w:r>
      <w:r w:rsidR="005D603C" w:rsidRPr="00AD389E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60256857" w14:textId="5BCA3FD3" w:rsidR="71FF4D43" w:rsidRDefault="71FF4D43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3EAA233" w14:textId="77777777" w:rsidR="002D18AF" w:rsidRPr="00AD389E" w:rsidRDefault="002D18AF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F11DEBC" w14:textId="77777777" w:rsidR="00F05DF7" w:rsidRPr="00AD389E" w:rsidRDefault="005D603C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lastRenderedPageBreak/>
        <w:t xml:space="preserve">En esa línea, Bilbao se adhirió en </w:t>
      </w:r>
      <w:r w:rsidR="00DA7AF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2005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a la </w:t>
      </w:r>
      <w:r w:rsidRPr="00AD389E">
        <w:rPr>
          <w:rFonts w:asciiTheme="majorHAnsi" w:hAnsiTheme="majorHAnsi" w:cstheme="majorHAnsi"/>
          <w:i/>
          <w:iCs/>
          <w:sz w:val="22"/>
          <w:szCs w:val="22"/>
          <w:lang w:val="es-ES"/>
        </w:rPr>
        <w:t>Agenda 21 de la cultura</w:t>
      </w:r>
      <w:r w:rsidR="00F05DF7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, a la que </w:t>
      </w:r>
      <w:r w:rsidR="00F50A5E" w:rsidRPr="00AD389E">
        <w:rPr>
          <w:rFonts w:asciiTheme="majorHAnsi" w:hAnsiTheme="majorHAnsi" w:cstheme="majorHAnsi"/>
          <w:sz w:val="22"/>
          <w:szCs w:val="22"/>
          <w:lang w:val="es-ES"/>
        </w:rPr>
        <w:t>dio</w:t>
      </w:r>
      <w:r w:rsidR="00F05DF7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continuidad práctica el documento </w:t>
      </w:r>
      <w:r w:rsidR="00F05DF7" w:rsidRPr="00AD389E">
        <w:rPr>
          <w:rFonts w:asciiTheme="majorHAnsi" w:hAnsiTheme="majorHAnsi" w:cstheme="majorHAnsi"/>
          <w:i/>
          <w:iCs/>
          <w:sz w:val="22"/>
          <w:szCs w:val="22"/>
          <w:lang w:val="es-ES"/>
        </w:rPr>
        <w:t>Cultura 21: Acciones</w:t>
      </w:r>
      <w:r w:rsidR="00F05DF7" w:rsidRPr="00AD389E">
        <w:rPr>
          <w:rFonts w:asciiTheme="majorHAnsi" w:hAnsiTheme="majorHAnsi" w:cstheme="majorHAnsi"/>
          <w:sz w:val="22"/>
          <w:szCs w:val="22"/>
          <w:lang w:val="es-ES"/>
        </w:rPr>
        <w:t>, que precisamente se aprobó en Bilbao en 2015 en el marco de la primera Cumbre de Cultura de CGLU (Ciudades y Gobiernos Locales Unidos).</w:t>
      </w:r>
    </w:p>
    <w:p w14:paraId="5564216E" w14:textId="34F3B172" w:rsidR="71FF4D43" w:rsidRPr="00AD389E" w:rsidRDefault="71FF4D43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B9ACE13" w14:textId="77777777" w:rsidR="0047459E" w:rsidRPr="00AD389E" w:rsidRDefault="00F05DF7" w:rsidP="00AD389E">
      <w:pPr>
        <w:pStyle w:val="Default"/>
        <w:widowControl w:val="0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>2023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Bilbao ha dado un paso más 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en su defensa de los derechos culturales con la aprobación del </w:t>
      </w:r>
      <w:r w:rsidR="00F50A5E" w:rsidRPr="00AD389E">
        <w:rPr>
          <w:rFonts w:asciiTheme="majorHAnsi" w:hAnsiTheme="majorHAnsi" w:cstheme="majorHAnsi"/>
          <w:i/>
          <w:iCs/>
          <w:color w:val="auto"/>
          <w:sz w:val="22"/>
          <w:szCs w:val="22"/>
        </w:rPr>
        <w:t>Plan Estratégico de Cultura 2023-2033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, hoja de ruta para la próxima década, con el objetivo de consolidar la cultura como elemento fundamental </w:t>
      </w:r>
      <w:r w:rsidR="000C43BD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en una doble dimensión: 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>para apoyar un desarrollo equilibrado y cohesionado d</w:t>
      </w:r>
      <w:r w:rsidR="00C9265C" w:rsidRPr="00AD389E">
        <w:rPr>
          <w:rFonts w:asciiTheme="majorHAnsi" w:hAnsiTheme="majorHAnsi" w:cstheme="majorHAnsi"/>
          <w:color w:val="auto"/>
          <w:sz w:val="22"/>
          <w:szCs w:val="22"/>
        </w:rPr>
        <w:t>e Bilbao y de su ciudadanía, y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para impulsar </w:t>
      </w:r>
      <w:r w:rsidR="000C43BD" w:rsidRPr="00AD389E">
        <w:rPr>
          <w:rFonts w:asciiTheme="majorHAnsi" w:hAnsiTheme="majorHAnsi" w:cstheme="majorHAnsi"/>
          <w:color w:val="auto"/>
          <w:sz w:val="22"/>
          <w:szCs w:val="22"/>
        </w:rPr>
        <w:t>su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desarrollo y </w:t>
      </w:r>
      <w:r w:rsidR="000C43BD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el </w:t>
      </w:r>
      <w:r w:rsidR="00F50A5E" w:rsidRPr="00AD389E">
        <w:rPr>
          <w:rFonts w:asciiTheme="majorHAnsi" w:hAnsiTheme="majorHAnsi" w:cstheme="majorHAnsi"/>
          <w:color w:val="auto"/>
          <w:sz w:val="22"/>
          <w:szCs w:val="22"/>
        </w:rPr>
        <w:t>de los sectores im</w:t>
      </w:r>
      <w:r w:rsidR="000C43BD" w:rsidRPr="00AD389E">
        <w:rPr>
          <w:rFonts w:asciiTheme="majorHAnsi" w:hAnsiTheme="majorHAnsi" w:cstheme="majorHAnsi"/>
          <w:color w:val="auto"/>
          <w:sz w:val="22"/>
          <w:szCs w:val="22"/>
        </w:rPr>
        <w:t>plicados en términos económicos.</w:t>
      </w:r>
    </w:p>
    <w:p w14:paraId="2CE0B1CE" w14:textId="77777777" w:rsidR="0047459E" w:rsidRPr="00AD389E" w:rsidRDefault="0047459E" w:rsidP="00AD389E">
      <w:pPr>
        <w:pStyle w:val="Default"/>
        <w:widowControl w:val="0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311EBE6" w14:textId="4FA60F96" w:rsidR="00AC4464" w:rsidRPr="00AD389E" w:rsidRDefault="00B74A19" w:rsidP="00AD389E">
      <w:pPr>
        <w:pStyle w:val="Default"/>
        <w:widowControl w:val="0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La elaboración del Plan </w:t>
      </w:r>
      <w:r w:rsidR="000C43BD" w:rsidRPr="00AD389E">
        <w:rPr>
          <w:rFonts w:asciiTheme="majorHAnsi" w:hAnsiTheme="majorHAnsi" w:cstheme="majorHAnsi"/>
          <w:color w:val="auto"/>
          <w:sz w:val="22"/>
          <w:szCs w:val="22"/>
        </w:rPr>
        <w:t>ha sido fruto de un largo proceso de escucha activa, a través de entrevistas en profundidad, mesas de trabajo sectoriales y transversales, cue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stionarios online y encuentros en los que han participado artistas, agentes y asociaciones del sector cultural, representantes </w:t>
      </w:r>
      <w:r w:rsidR="0F6A9E58" w:rsidRPr="00AD389E">
        <w:rPr>
          <w:rFonts w:asciiTheme="majorHAnsi" w:hAnsiTheme="majorHAnsi" w:cstheme="majorHAnsi"/>
          <w:color w:val="auto"/>
          <w:sz w:val="22"/>
          <w:szCs w:val="22"/>
        </w:rPr>
        <w:t>políticos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y ciudadanía. Durante más de medio año, </w:t>
      </w:r>
      <w:r w:rsidR="00C95EB6" w:rsidRPr="00AD389E">
        <w:rPr>
          <w:rFonts w:asciiTheme="majorHAnsi" w:hAnsiTheme="majorHAnsi" w:cstheme="majorHAnsi"/>
          <w:color w:val="auto"/>
          <w:sz w:val="22"/>
          <w:szCs w:val="22"/>
        </w:rPr>
        <w:t>cerca de 600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personas han participado activamente en </w:t>
      </w:r>
      <w:r w:rsidR="00C9265C" w:rsidRPr="00AD389E">
        <w:rPr>
          <w:rFonts w:asciiTheme="majorHAnsi" w:hAnsiTheme="majorHAnsi" w:cstheme="majorHAnsi"/>
          <w:color w:val="auto"/>
          <w:sz w:val="22"/>
          <w:szCs w:val="22"/>
        </w:rPr>
        <w:t>su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 elaboración, en el marco de un proceso participativo que ha recogido más de 5.000 aportaciones durante sus diferentes fases: diagnóstico de la situación de partida, identificación de los ret</w:t>
      </w:r>
      <w:r w:rsidR="00C95EB6" w:rsidRPr="00AD389E">
        <w:rPr>
          <w:rFonts w:asciiTheme="majorHAnsi" w:hAnsiTheme="majorHAnsi" w:cstheme="majorHAnsi"/>
          <w:color w:val="auto"/>
          <w:sz w:val="22"/>
          <w:szCs w:val="22"/>
        </w:rPr>
        <w:t xml:space="preserve">os de futuro y selección de las </w:t>
      </w:r>
      <w:r w:rsidRPr="00AD389E">
        <w:rPr>
          <w:rFonts w:asciiTheme="majorHAnsi" w:hAnsiTheme="majorHAnsi" w:cstheme="majorHAnsi"/>
          <w:color w:val="auto"/>
          <w:sz w:val="22"/>
          <w:szCs w:val="22"/>
        </w:rPr>
        <w:t>propuestas concretas a desarrollar</w:t>
      </w:r>
      <w:r w:rsidR="00C95EB6" w:rsidRPr="00AD389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193BC03" w14:textId="77777777" w:rsidR="00C95EB6" w:rsidRPr="00AD389E" w:rsidRDefault="00C95EB6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BA07051" w14:textId="77777777" w:rsidR="00C95EB6" w:rsidRPr="00AD389E" w:rsidRDefault="00E01C3A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El </w:t>
      </w:r>
      <w:r w:rsidRPr="00AD389E">
        <w:rPr>
          <w:rFonts w:asciiTheme="majorHAnsi" w:hAnsiTheme="majorHAnsi" w:cstheme="majorHAnsi"/>
          <w:i/>
          <w:iCs/>
          <w:sz w:val="22"/>
          <w:szCs w:val="22"/>
          <w:lang w:val="es-ES"/>
        </w:rPr>
        <w:t xml:space="preserve">Plan Estratégico de Cultura 2023-2033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se estructura en diez grandes líneas de trabajo y se operativiza en 135 </w:t>
      </w:r>
      <w:r w:rsidR="001C6B28" w:rsidRPr="00AD389E">
        <w:rPr>
          <w:rFonts w:asciiTheme="majorHAnsi" w:hAnsiTheme="majorHAnsi" w:cstheme="majorHAnsi"/>
          <w:sz w:val="22"/>
          <w:szCs w:val="22"/>
          <w:lang w:val="es-ES"/>
        </w:rPr>
        <w:t>acciones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que </w:t>
      </w:r>
      <w:r w:rsidR="001C6B28" w:rsidRPr="00AD389E">
        <w:rPr>
          <w:rFonts w:asciiTheme="majorHAnsi" w:hAnsiTheme="majorHAnsi" w:cstheme="majorHAnsi"/>
          <w:sz w:val="22"/>
          <w:szCs w:val="22"/>
          <w:lang w:val="es-ES"/>
        </w:rPr>
        <w:t>recogen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las diferentes sensibilidades existentes en el ámbito cultural</w:t>
      </w:r>
      <w:r w:rsidR="001C6B28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y persiguen impulsar la actividad cultural local, proyectar la imagen internacional de Bilbao como ciudad cultural, impulsar la participación y el consumo cultural, poner en valor </w:t>
      </w:r>
      <w:r w:rsidR="003B5B93" w:rsidRPr="00AD389E">
        <w:rPr>
          <w:rFonts w:asciiTheme="majorHAnsi" w:hAnsiTheme="majorHAnsi" w:cstheme="majorHAnsi"/>
          <w:sz w:val="22"/>
          <w:szCs w:val="22"/>
          <w:lang w:val="es-ES"/>
        </w:rPr>
        <w:t>nuestros</w:t>
      </w:r>
      <w:r w:rsidR="001C6B28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activos culturales, atraer nuevas actividades y apoyar el desarrollo de las Industrias Culturales y Creativas.</w:t>
      </w:r>
    </w:p>
    <w:p w14:paraId="1501BA3B" w14:textId="77777777" w:rsidR="001C6B28" w:rsidRPr="00AD389E" w:rsidRDefault="001C6B28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E522500" w14:textId="77777777" w:rsidR="00C96696" w:rsidRDefault="00C96696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Mediante este Plan, el Ayuntamiento de Bilbao se suma a la Declaración final </w:t>
      </w:r>
      <w:r w:rsidR="002F49B2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de </w:t>
      </w:r>
      <w:r w:rsidRPr="00AD389E">
        <w:rPr>
          <w:rFonts w:asciiTheme="majorHAnsi" w:hAnsiTheme="majorHAnsi" w:cstheme="majorHAnsi"/>
          <w:i/>
          <w:iCs/>
          <w:sz w:val="22"/>
          <w:szCs w:val="22"/>
          <w:lang w:val="es-ES"/>
        </w:rPr>
        <w:t>Mondiacult 2022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y se compromete a “fomentar un entorno propicio para el respeto y el ejercicio de todos los derechos humanos, en particular los derechos culturales —individuales y colectivos—, en todos los ámbitos de la cultura, desde el patrimonio cultural hasta los sectores culturales y creativos, incluido en el entorno digital”.</w:t>
      </w:r>
    </w:p>
    <w:p w14:paraId="415EC2D6" w14:textId="77777777" w:rsidR="000211FF" w:rsidRPr="00AD389E" w:rsidRDefault="000211FF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0625A5A" w14:textId="77777777" w:rsidR="00F10510" w:rsidRPr="00AD389E" w:rsidRDefault="00F10510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El Plan </w:t>
      </w:r>
      <w:r w:rsidR="002F49B2" w:rsidRPr="00AD389E">
        <w:rPr>
          <w:rFonts w:asciiTheme="majorHAnsi" w:hAnsiTheme="majorHAnsi" w:cstheme="majorHAnsi"/>
          <w:sz w:val="22"/>
          <w:szCs w:val="22"/>
          <w:lang w:val="es-ES"/>
        </w:rPr>
        <w:t>garantiza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una programación cultural </w:t>
      </w:r>
      <w:r w:rsidR="002F49B2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municipal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>estable, plural y de calidad, disponiendo de un presupuesto y unos recursos adecuados para facilitar el acceso a la cultura y posibilitar que el conjunto de la ciudadanía pu</w:t>
      </w:r>
      <w:r w:rsidR="0013720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eda desarrollar sus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capacidades creativas e identidades culturales. </w:t>
      </w:r>
    </w:p>
    <w:p w14:paraId="36C44DDB" w14:textId="2F91B315" w:rsidR="71FF4D43" w:rsidRPr="00AD389E" w:rsidRDefault="71FF4D43" w:rsidP="00AD3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830F128" w14:textId="77777777" w:rsidR="0047459E" w:rsidRPr="00AD389E" w:rsidRDefault="0047459E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La cultura se entiende como un factor integrador y de cohesión entre los diferentes barrios de la ciudad, por lo que se apuesta por el equilibrio entre centro y periferia </w:t>
      </w:r>
      <w:r w:rsidR="0013720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mediante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>la descentralización de las actividades culturales.</w:t>
      </w:r>
      <w:r w:rsidR="00BD7FE1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Unas actividades que, en una amplia medida, se desarrollan de manera gratuita y en el espacio público</w:t>
      </w:r>
      <w:r w:rsidR="00066F43" w:rsidRPr="00AD389E">
        <w:rPr>
          <w:rFonts w:asciiTheme="majorHAnsi" w:hAnsiTheme="majorHAnsi" w:cstheme="majorHAnsi"/>
          <w:sz w:val="22"/>
          <w:szCs w:val="22"/>
          <w:lang w:val="es-ES"/>
        </w:rPr>
        <w:t>, buscando democratizar el acceso a la cultura</w:t>
      </w:r>
      <w:r w:rsidR="00DF6528" w:rsidRPr="00AD389E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0DA4BCDC" w14:textId="40F292D6" w:rsidR="71FF4D43" w:rsidRPr="00AD389E" w:rsidRDefault="71FF4D43" w:rsidP="00AD3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8A069CB" w14:textId="77777777" w:rsidR="00DF6528" w:rsidRPr="00AD389E" w:rsidRDefault="00DF6528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>Dado que Bilbao forma parte del País Vasco, comunidad con una lengua propia y una fuerte identidad cultural, el apoyo a la cultura local es otra de las principales características del Plan.</w:t>
      </w:r>
      <w:r w:rsidR="00066F43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Esto se complementa con la atención a la diversidad, generando un</w:t>
      </w:r>
      <w:r w:rsidR="00DF027C" w:rsidRPr="00AD389E">
        <w:rPr>
          <w:rFonts w:asciiTheme="majorHAnsi" w:hAnsiTheme="majorHAnsi" w:cstheme="majorHAnsi"/>
          <w:sz w:val="22"/>
          <w:szCs w:val="22"/>
          <w:lang w:val="es-ES"/>
        </w:rPr>
        <w:t>a cultura inclusiva que reconozca</w:t>
      </w:r>
      <w:r w:rsidR="00066F43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las diferentes miradas de una sociedad cada vez más diversa en términos sociales, económicos, culturales, de edad, de capacidades, etc.</w:t>
      </w:r>
    </w:p>
    <w:p w14:paraId="06656A41" w14:textId="3083A667" w:rsidR="71FF4D43" w:rsidRPr="00AD389E" w:rsidRDefault="71FF4D43" w:rsidP="00AD3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D07578D" w14:textId="77777777" w:rsidR="00066F43" w:rsidRPr="00AD389E" w:rsidRDefault="00066F43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La igualdad de género es también parte sustancial de la visión propuesta, buscando incidir positivamente en la mejora de la posición de las mujeres en la vida cultural de Bilbao. </w:t>
      </w:r>
    </w:p>
    <w:p w14:paraId="14F1F60A" w14:textId="48E716BB" w:rsidR="71FF4D43" w:rsidRPr="00AD389E" w:rsidRDefault="71FF4D43" w:rsidP="00AD389E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DB6AF02" w14:textId="77777777" w:rsidR="00066F43" w:rsidRPr="00AD389E" w:rsidRDefault="00066F43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La incorporación de la sostenibilidad en el Plan busca </w:t>
      </w:r>
      <w:r w:rsidR="00DF027C"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contribuir 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>a la descarbonización de la cultura. La integración de los ODS y el impulso de un ODS específicamente cultural es también parte de la visión propuesta.</w:t>
      </w:r>
    </w:p>
    <w:p w14:paraId="69B89F59" w14:textId="1666A86A" w:rsidR="71FF4D43" w:rsidRPr="00AD389E" w:rsidRDefault="71FF4D43" w:rsidP="00AD3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464EA6B" w14:textId="3905A4DF" w:rsidR="00DF027C" w:rsidRPr="00AD389E" w:rsidRDefault="00DF027C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>El Plan prevé la creación de un Consejo Municipal de Cultura</w:t>
      </w:r>
      <w:r w:rsidR="0068029B" w:rsidRPr="00AD389E">
        <w:rPr>
          <w:rFonts w:asciiTheme="majorHAnsi" w:hAnsiTheme="majorHAnsi" w:cstheme="majorHAnsi"/>
          <w:sz w:val="22"/>
          <w:szCs w:val="22"/>
          <w:lang w:val="es-ES"/>
        </w:rPr>
        <w:t>, así como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otros instrumentos de participación social (</w:t>
      </w:r>
      <w:r w:rsidRPr="00AD389E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encuestas de usos de los espacios urbanos, concursos de ideas, presupuestos participativos sobre cultura,</w:t>
      </w:r>
      <w:r w:rsidR="15D134BC" w:rsidRPr="00AD389E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etc.</w:t>
      </w:r>
      <w:r w:rsidRPr="00AD389E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) para que la ciudadanía y agentes culturales puedan tener un rol más activo en la toma de decisiones sobr</w:t>
      </w:r>
      <w:r w:rsidR="0068029B" w:rsidRPr="00AD389E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e la acción cultural municipal.</w:t>
      </w:r>
    </w:p>
    <w:p w14:paraId="5756AABE" w14:textId="303943D5" w:rsidR="71FF4D43" w:rsidRPr="00AD389E" w:rsidRDefault="71FF4D43" w:rsidP="00AD3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</w:p>
    <w:p w14:paraId="0E81ED1B" w14:textId="0C82EBA5" w:rsidR="00066F43" w:rsidRPr="00AD389E" w:rsidRDefault="00EC413D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D389E">
        <w:rPr>
          <w:rFonts w:asciiTheme="majorHAnsi" w:hAnsiTheme="majorHAnsi" w:cstheme="majorHAnsi"/>
          <w:sz w:val="22"/>
          <w:szCs w:val="22"/>
          <w:lang w:val="es-ES"/>
        </w:rPr>
        <w:t>Con este Plan a diez años, cuyo texto completo puede consultarse e</w:t>
      </w:r>
      <w:r w:rsidR="008C57F8">
        <w:rPr>
          <w:rFonts w:asciiTheme="majorHAnsi" w:hAnsiTheme="majorHAnsi" w:cstheme="majorHAnsi"/>
          <w:sz w:val="22"/>
          <w:szCs w:val="22"/>
          <w:lang w:val="es-ES"/>
        </w:rPr>
        <w:t xml:space="preserve">n el siguiente </w:t>
      </w:r>
      <w:hyperlink r:id="rId10" w:history="1">
        <w:r w:rsidR="008C57F8" w:rsidRPr="008C57F8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enlace</w:t>
        </w:r>
      </w:hyperlink>
      <w:r w:rsidR="008C57F8">
        <w:rPr>
          <w:rFonts w:asciiTheme="majorHAnsi" w:hAnsiTheme="majorHAnsi" w:cstheme="majorHAnsi"/>
          <w:sz w:val="22"/>
          <w:szCs w:val="22"/>
          <w:lang w:val="es-ES"/>
        </w:rPr>
        <w:t>,</w:t>
      </w:r>
      <w:r w:rsidRPr="00AD389E">
        <w:rPr>
          <w:rFonts w:asciiTheme="majorHAnsi" w:hAnsiTheme="majorHAnsi" w:cstheme="majorHAnsi"/>
          <w:sz w:val="22"/>
          <w:szCs w:val="22"/>
          <w:lang w:val="es-ES"/>
        </w:rPr>
        <w:t xml:space="preserve"> Bilbao </w:t>
      </w:r>
      <w:r w:rsidR="00425B0B" w:rsidRPr="00AD389E">
        <w:rPr>
          <w:rFonts w:asciiTheme="majorHAnsi" w:hAnsiTheme="majorHAnsi" w:cstheme="majorHAnsi"/>
          <w:sz w:val="22"/>
          <w:szCs w:val="22"/>
          <w:lang w:val="es-ES"/>
        </w:rPr>
        <w:t>reafirma su compromiso con la cultura como herramienta clave del desarrollo.</w:t>
      </w:r>
    </w:p>
    <w:p w14:paraId="1043D188" w14:textId="77777777" w:rsidR="008441B1" w:rsidRDefault="008441B1" w:rsidP="00AD389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5288822" w14:textId="6C369FED" w:rsidR="00AF53D4" w:rsidRDefault="00AF53D4" w:rsidP="00CC23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line="276" w:lineRule="auto"/>
        <w:jc w:val="both"/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</w:pPr>
      <w:r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  <w:t>Contacto</w:t>
      </w:r>
    </w:p>
    <w:p w14:paraId="16739A72" w14:textId="77777777" w:rsidR="00CC23B6" w:rsidRDefault="00CC23B6" w:rsidP="00CC23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eastAsiaTheme="majorEastAsia" w:hAnsiTheme="majorHAnsi" w:cstheme="majorHAnsi"/>
          <w:b/>
          <w:bCs/>
          <w:sz w:val="26"/>
          <w:szCs w:val="26"/>
          <w:lang w:val="es-ES"/>
        </w:rPr>
      </w:pPr>
    </w:p>
    <w:p w14:paraId="4854C40E" w14:textId="797C650B" w:rsidR="00932FDE" w:rsidRDefault="00CC23B6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0B5D023" wp14:editId="343D400C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627293" cy="914400"/>
            <wp:effectExtent l="0" t="0" r="0" b="0"/>
            <wp:wrapSquare wrapText="bothSides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3D4">
        <w:rPr>
          <w:rFonts w:asciiTheme="majorHAnsi" w:hAnsiTheme="majorHAnsi" w:cstheme="majorHAnsi"/>
          <w:sz w:val="22"/>
          <w:szCs w:val="22"/>
          <w:lang w:val="es-ES"/>
        </w:rPr>
        <w:t xml:space="preserve">Begoña Guzmán Sánchez. </w:t>
      </w:r>
    </w:p>
    <w:p w14:paraId="4B4EE245" w14:textId="3BBDC005" w:rsidR="00932FDE" w:rsidRDefault="00AF53D4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 xml:space="preserve">Responsable de Cultura para la Transformación Social. </w:t>
      </w:r>
    </w:p>
    <w:p w14:paraId="427BA764" w14:textId="50E3B977" w:rsidR="00932FDE" w:rsidRDefault="00AF53D4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 xml:space="preserve">UN Etxea – Asociación del País Vasco para la UNESCO. </w:t>
      </w:r>
    </w:p>
    <w:p w14:paraId="19BBB08D" w14:textId="5D171EB7" w:rsidR="00AF53D4" w:rsidRDefault="00932FDE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hyperlink r:id="rId11" w:history="1">
        <w:r w:rsidRPr="001F54D4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b.guzman@unetxea.org</w:t>
        </w:r>
      </w:hyperlink>
    </w:p>
    <w:p w14:paraId="1D90DBB3" w14:textId="5488D032" w:rsidR="00CC23B6" w:rsidRDefault="00CC23B6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Style w:val="Hipervnculo"/>
          <w:rFonts w:asciiTheme="majorHAnsi" w:hAnsiTheme="majorHAnsi" w:cstheme="majorHAnsi"/>
          <w:sz w:val="22"/>
          <w:szCs w:val="22"/>
          <w:lang w:val="es-ES"/>
        </w:rPr>
      </w:pPr>
      <w:hyperlink r:id="rId12" w:history="1">
        <w:r w:rsidRPr="001F54D4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https://unetxea.org/</w:t>
        </w:r>
      </w:hyperlink>
    </w:p>
    <w:p w14:paraId="6BDA279B" w14:textId="77777777" w:rsidR="00CC23B6" w:rsidRDefault="00CC23B6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Style w:val="Hipervnculo"/>
          <w:rFonts w:asciiTheme="majorHAnsi" w:hAnsiTheme="majorHAnsi" w:cstheme="majorHAnsi"/>
          <w:sz w:val="22"/>
          <w:szCs w:val="22"/>
          <w:lang w:val="es-ES"/>
        </w:rPr>
      </w:pPr>
    </w:p>
    <w:p w14:paraId="0950A794" w14:textId="76649499" w:rsidR="00932FDE" w:rsidRDefault="00932FDE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1FAFBA1" w14:textId="04838507" w:rsidR="00932FDE" w:rsidRDefault="00CC23B6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0D0905" wp14:editId="72647445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712470" cy="921297"/>
            <wp:effectExtent l="0" t="0" r="0" b="0"/>
            <wp:wrapSquare wrapText="bothSides"/>
            <wp:docPr id="5" name="Imagen 5" descr="ayuntamiento-bilbao-logo-vector - Zorrozau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ntamiento-bilbao-logo-vector - Zorrozaur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0" r="30848"/>
                    <a:stretch/>
                  </pic:blipFill>
                  <pic:spPr bwMode="auto">
                    <a:xfrm>
                      <a:off x="0" y="0"/>
                      <a:ext cx="712470" cy="9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1AF">
        <w:rPr>
          <w:rFonts w:asciiTheme="majorHAnsi" w:hAnsiTheme="majorHAnsi" w:cstheme="majorHAnsi"/>
          <w:sz w:val="22"/>
          <w:szCs w:val="22"/>
          <w:lang w:val="es-ES"/>
        </w:rPr>
        <w:t>Gonzalo</w:t>
      </w:r>
      <w:r w:rsidR="00EC1634">
        <w:rPr>
          <w:rFonts w:asciiTheme="majorHAnsi" w:hAnsiTheme="majorHAnsi" w:cstheme="majorHAnsi"/>
          <w:sz w:val="22"/>
          <w:szCs w:val="22"/>
          <w:lang w:val="es-ES"/>
        </w:rPr>
        <w:t xml:space="preserve"> Olabarria Villota. </w:t>
      </w:r>
    </w:p>
    <w:p w14:paraId="75AB8E89" w14:textId="3C9B8C51" w:rsidR="00932FDE" w:rsidRDefault="00EC1634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Concejal de Cultura.</w:t>
      </w:r>
    </w:p>
    <w:p w14:paraId="2F9B847E" w14:textId="5EABEBD7" w:rsidR="00932FDE" w:rsidRDefault="00EC1634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Ayuntamiento de Bilbao.</w:t>
      </w:r>
    </w:p>
    <w:p w14:paraId="3819856A" w14:textId="7C3692D6" w:rsidR="00AF53D4" w:rsidRDefault="00000000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hyperlink r:id="rId13" w:history="1">
        <w:r w:rsidR="00175B33" w:rsidRPr="001F54D4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kulturazinegotzi@bilbao.eus</w:t>
        </w:r>
      </w:hyperlink>
      <w:r w:rsidR="00175B33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70DE3C3A" w14:textId="18B964C6" w:rsidR="00932FDE" w:rsidRPr="00AD389E" w:rsidRDefault="00932FDE" w:rsidP="00932F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hyperlink r:id="rId14">
        <w:r w:rsidRPr="00AD389E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www.bilbao.eus</w:t>
        </w:r>
      </w:hyperlink>
    </w:p>
    <w:sectPr w:rsidR="00932FDE" w:rsidRPr="00AD389E" w:rsidSect="009B4249">
      <w:footerReference w:type="default" r:id="rId15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B1F" w14:textId="77777777" w:rsidR="00CA79E4" w:rsidRDefault="00CA79E4" w:rsidP="00AD389E">
      <w:r>
        <w:separator/>
      </w:r>
    </w:p>
  </w:endnote>
  <w:endnote w:type="continuationSeparator" w:id="0">
    <w:p w14:paraId="2D6F38CB" w14:textId="77777777" w:rsidR="00CA79E4" w:rsidRDefault="00CA79E4" w:rsidP="00AD389E">
      <w:r>
        <w:continuationSeparator/>
      </w:r>
    </w:p>
  </w:endnote>
  <w:endnote w:type="continuationNotice" w:id="1">
    <w:p w14:paraId="76A1D6B7" w14:textId="77777777" w:rsidR="00CA79E4" w:rsidRDefault="00CA7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02985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18"/>
      </w:rPr>
    </w:sdtEndPr>
    <w:sdtContent>
      <w:p w14:paraId="339FF2E1" w14:textId="6446FD5C" w:rsidR="00262BAA" w:rsidRPr="00262BAA" w:rsidRDefault="00262BAA">
        <w:pPr>
          <w:pStyle w:val="Piedepgina"/>
          <w:jc w:val="center"/>
          <w:rPr>
            <w:rFonts w:asciiTheme="majorHAnsi" w:hAnsiTheme="majorHAnsi" w:cstheme="majorHAnsi"/>
            <w:sz w:val="20"/>
            <w:szCs w:val="18"/>
          </w:rPr>
        </w:pPr>
        <w:r w:rsidRPr="00262BAA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Pr="00262BAA">
          <w:rPr>
            <w:rFonts w:asciiTheme="majorHAnsi" w:hAnsiTheme="majorHAnsi" w:cstheme="majorHAnsi"/>
            <w:sz w:val="20"/>
            <w:szCs w:val="18"/>
          </w:rPr>
          <w:instrText>PAGE   \* MERGEFORMAT</w:instrText>
        </w:r>
        <w:r w:rsidRPr="00262BAA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Pr="00262BAA">
          <w:rPr>
            <w:rFonts w:asciiTheme="majorHAnsi" w:hAnsiTheme="majorHAnsi" w:cstheme="majorHAnsi"/>
            <w:sz w:val="20"/>
            <w:szCs w:val="18"/>
            <w:lang w:val="es-ES"/>
          </w:rPr>
          <w:t>2</w:t>
        </w:r>
        <w:r w:rsidRPr="00262BAA">
          <w:rPr>
            <w:rFonts w:asciiTheme="majorHAnsi" w:hAnsiTheme="majorHAnsi" w:cstheme="majorHAnsi"/>
            <w:sz w:val="20"/>
            <w:szCs w:val="18"/>
          </w:rPr>
          <w:fldChar w:fldCharType="end"/>
        </w:r>
      </w:p>
    </w:sdtContent>
  </w:sdt>
  <w:p w14:paraId="5A75A194" w14:textId="77777777" w:rsidR="00262BAA" w:rsidRDefault="00262B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40BB" w14:textId="77777777" w:rsidR="00CA79E4" w:rsidRDefault="00CA79E4" w:rsidP="00AD389E">
      <w:r>
        <w:separator/>
      </w:r>
    </w:p>
  </w:footnote>
  <w:footnote w:type="continuationSeparator" w:id="0">
    <w:p w14:paraId="397E6C93" w14:textId="77777777" w:rsidR="00CA79E4" w:rsidRDefault="00CA79E4" w:rsidP="00AD389E">
      <w:r>
        <w:continuationSeparator/>
      </w:r>
    </w:p>
  </w:footnote>
  <w:footnote w:type="continuationNotice" w:id="1">
    <w:p w14:paraId="2F580587" w14:textId="77777777" w:rsidR="00CA79E4" w:rsidRDefault="00CA7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56F"/>
    <w:multiLevelType w:val="multilevel"/>
    <w:tmpl w:val="F60E2214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  <w:bCs w:val="0"/>
        <w:i w:val="0"/>
        <w:strike w:val="0"/>
        <w:color w:val="009999"/>
      </w:rPr>
    </w:lvl>
    <w:lvl w:ilvl="1">
      <w:start w:val="1"/>
      <w:numFmt w:val="lowerLetter"/>
      <w:lvlText w:val="%2."/>
      <w:lvlJc w:val="left"/>
      <w:pPr>
        <w:ind w:left="145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7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7" w:hanging="3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7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7" w:hanging="3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7" w:hanging="380"/>
      </w:pPr>
      <w:rPr>
        <w:rFonts w:hint="default"/>
      </w:rPr>
    </w:lvl>
  </w:abstractNum>
  <w:num w:numId="1" w16cid:durableId="198404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10"/>
    <w:rsid w:val="00007FB4"/>
    <w:rsid w:val="000211FF"/>
    <w:rsid w:val="000269DD"/>
    <w:rsid w:val="00035184"/>
    <w:rsid w:val="00045C0E"/>
    <w:rsid w:val="00052E95"/>
    <w:rsid w:val="00066F43"/>
    <w:rsid w:val="00067BC6"/>
    <w:rsid w:val="000C43BD"/>
    <w:rsid w:val="000E6F20"/>
    <w:rsid w:val="0013720C"/>
    <w:rsid w:val="001546FD"/>
    <w:rsid w:val="00157E51"/>
    <w:rsid w:val="00167445"/>
    <w:rsid w:val="001710A6"/>
    <w:rsid w:val="00175B33"/>
    <w:rsid w:val="001A77C1"/>
    <w:rsid w:val="001B0036"/>
    <w:rsid w:val="001C52E7"/>
    <w:rsid w:val="001C6B28"/>
    <w:rsid w:val="001E3936"/>
    <w:rsid w:val="002058AA"/>
    <w:rsid w:val="00213D35"/>
    <w:rsid w:val="00234AC1"/>
    <w:rsid w:val="00240606"/>
    <w:rsid w:val="00262BAA"/>
    <w:rsid w:val="00295299"/>
    <w:rsid w:val="002A06E5"/>
    <w:rsid w:val="002A5B76"/>
    <w:rsid w:val="002B199A"/>
    <w:rsid w:val="002C12FE"/>
    <w:rsid w:val="002C199C"/>
    <w:rsid w:val="002D18AF"/>
    <w:rsid w:val="002F49B2"/>
    <w:rsid w:val="00312058"/>
    <w:rsid w:val="003169EE"/>
    <w:rsid w:val="00317E56"/>
    <w:rsid w:val="00375043"/>
    <w:rsid w:val="00384EBB"/>
    <w:rsid w:val="00385115"/>
    <w:rsid w:val="003921AF"/>
    <w:rsid w:val="00396C15"/>
    <w:rsid w:val="003B5B93"/>
    <w:rsid w:val="004071DD"/>
    <w:rsid w:val="00425B0B"/>
    <w:rsid w:val="00447C84"/>
    <w:rsid w:val="00455715"/>
    <w:rsid w:val="00463962"/>
    <w:rsid w:val="0047003A"/>
    <w:rsid w:val="0047459E"/>
    <w:rsid w:val="00474C28"/>
    <w:rsid w:val="00476F1A"/>
    <w:rsid w:val="004A5C64"/>
    <w:rsid w:val="004E74D2"/>
    <w:rsid w:val="00536E0F"/>
    <w:rsid w:val="005668D6"/>
    <w:rsid w:val="00573C08"/>
    <w:rsid w:val="00586DC2"/>
    <w:rsid w:val="0059145B"/>
    <w:rsid w:val="005A4F48"/>
    <w:rsid w:val="005C1AA9"/>
    <w:rsid w:val="005C73BB"/>
    <w:rsid w:val="005D603C"/>
    <w:rsid w:val="006042A2"/>
    <w:rsid w:val="006047FA"/>
    <w:rsid w:val="00607CAC"/>
    <w:rsid w:val="00610E0A"/>
    <w:rsid w:val="006171CA"/>
    <w:rsid w:val="0068029B"/>
    <w:rsid w:val="00692937"/>
    <w:rsid w:val="006B7C41"/>
    <w:rsid w:val="006D170E"/>
    <w:rsid w:val="006D79CC"/>
    <w:rsid w:val="00701E9D"/>
    <w:rsid w:val="00702C61"/>
    <w:rsid w:val="00704AC3"/>
    <w:rsid w:val="00705CC0"/>
    <w:rsid w:val="007163AD"/>
    <w:rsid w:val="007407BD"/>
    <w:rsid w:val="0074674F"/>
    <w:rsid w:val="00792F94"/>
    <w:rsid w:val="007A0D91"/>
    <w:rsid w:val="007F1E16"/>
    <w:rsid w:val="00802C37"/>
    <w:rsid w:val="00805A21"/>
    <w:rsid w:val="008441B1"/>
    <w:rsid w:val="00871FCE"/>
    <w:rsid w:val="008C57F8"/>
    <w:rsid w:val="00932FDE"/>
    <w:rsid w:val="00933D62"/>
    <w:rsid w:val="009865E0"/>
    <w:rsid w:val="009A4573"/>
    <w:rsid w:val="009B4249"/>
    <w:rsid w:val="009D120C"/>
    <w:rsid w:val="00A155BB"/>
    <w:rsid w:val="00A31019"/>
    <w:rsid w:val="00AC4464"/>
    <w:rsid w:val="00AD389E"/>
    <w:rsid w:val="00AE17A6"/>
    <w:rsid w:val="00AE2007"/>
    <w:rsid w:val="00AF53D4"/>
    <w:rsid w:val="00B041B8"/>
    <w:rsid w:val="00B40380"/>
    <w:rsid w:val="00B63392"/>
    <w:rsid w:val="00B74A19"/>
    <w:rsid w:val="00B76553"/>
    <w:rsid w:val="00B976EB"/>
    <w:rsid w:val="00BB6193"/>
    <w:rsid w:val="00BC5B4F"/>
    <w:rsid w:val="00BD7FE1"/>
    <w:rsid w:val="00BF4994"/>
    <w:rsid w:val="00C0345D"/>
    <w:rsid w:val="00C11F5C"/>
    <w:rsid w:val="00C16EF2"/>
    <w:rsid w:val="00C55204"/>
    <w:rsid w:val="00C6203A"/>
    <w:rsid w:val="00C70269"/>
    <w:rsid w:val="00C83310"/>
    <w:rsid w:val="00C9265C"/>
    <w:rsid w:val="00C95EB6"/>
    <w:rsid w:val="00C96696"/>
    <w:rsid w:val="00CA0743"/>
    <w:rsid w:val="00CA6C8F"/>
    <w:rsid w:val="00CA79E4"/>
    <w:rsid w:val="00CC23B6"/>
    <w:rsid w:val="00CD0A2A"/>
    <w:rsid w:val="00CD3E14"/>
    <w:rsid w:val="00CE3AD3"/>
    <w:rsid w:val="00D105BA"/>
    <w:rsid w:val="00D12F04"/>
    <w:rsid w:val="00D1657A"/>
    <w:rsid w:val="00D24CBF"/>
    <w:rsid w:val="00D40C2D"/>
    <w:rsid w:val="00D5330A"/>
    <w:rsid w:val="00D6645B"/>
    <w:rsid w:val="00D67EC2"/>
    <w:rsid w:val="00D84DFD"/>
    <w:rsid w:val="00D85F16"/>
    <w:rsid w:val="00DA7AFC"/>
    <w:rsid w:val="00DB0C36"/>
    <w:rsid w:val="00DB56C4"/>
    <w:rsid w:val="00DD4828"/>
    <w:rsid w:val="00DE1053"/>
    <w:rsid w:val="00DE2220"/>
    <w:rsid w:val="00DF027C"/>
    <w:rsid w:val="00DF6528"/>
    <w:rsid w:val="00E00834"/>
    <w:rsid w:val="00E01C3A"/>
    <w:rsid w:val="00E35C50"/>
    <w:rsid w:val="00E504AD"/>
    <w:rsid w:val="00E55C58"/>
    <w:rsid w:val="00E579D8"/>
    <w:rsid w:val="00EA6631"/>
    <w:rsid w:val="00EB6FB2"/>
    <w:rsid w:val="00EC1634"/>
    <w:rsid w:val="00EC413D"/>
    <w:rsid w:val="00F05DF7"/>
    <w:rsid w:val="00F10510"/>
    <w:rsid w:val="00F11501"/>
    <w:rsid w:val="00F144D7"/>
    <w:rsid w:val="00F14AB4"/>
    <w:rsid w:val="00F26EED"/>
    <w:rsid w:val="00F31044"/>
    <w:rsid w:val="00F50A5E"/>
    <w:rsid w:val="00F5171D"/>
    <w:rsid w:val="00F758C4"/>
    <w:rsid w:val="00F94F00"/>
    <w:rsid w:val="00FB516E"/>
    <w:rsid w:val="01A9A3BB"/>
    <w:rsid w:val="0F6A9E58"/>
    <w:rsid w:val="15D134BC"/>
    <w:rsid w:val="22EAFF98"/>
    <w:rsid w:val="2945FAF8"/>
    <w:rsid w:val="2A160C88"/>
    <w:rsid w:val="3091D78B"/>
    <w:rsid w:val="3788DFFB"/>
    <w:rsid w:val="4A156EBC"/>
    <w:rsid w:val="4EE8DFDF"/>
    <w:rsid w:val="51BFE450"/>
    <w:rsid w:val="56F3F1C4"/>
    <w:rsid w:val="588FC225"/>
    <w:rsid w:val="5CD1D59C"/>
    <w:rsid w:val="5FBDE0AD"/>
    <w:rsid w:val="63754A30"/>
    <w:rsid w:val="64AD0F62"/>
    <w:rsid w:val="67120314"/>
    <w:rsid w:val="68DAACAE"/>
    <w:rsid w:val="6A49A3D6"/>
    <w:rsid w:val="6C1C7172"/>
    <w:rsid w:val="71FF4D43"/>
    <w:rsid w:val="775228B5"/>
    <w:rsid w:val="7B3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C1B8"/>
  <w15:chartTrackingRefBased/>
  <w15:docId w15:val="{D4437022-10B3-4D61-8D69-6BBD604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A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D67EC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528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28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67EC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n-GB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AD389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D389E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AD389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89E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AF53D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B6193"/>
    <w:rPr>
      <w:i/>
      <w:iCs/>
    </w:rPr>
  </w:style>
  <w:style w:type="character" w:customStyle="1" w:styleId="highlight">
    <w:name w:val="highlight"/>
    <w:basedOn w:val="Fuentedeprrafopredeter"/>
    <w:rsid w:val="0070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lturazinegotzi@bilbao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etxe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uzman@unetxe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lbao.eus/cs/Satellite?cid=1279224016667&amp;language=es&amp;pagename=Bilbaonet%2FPage%2FBIO_contenidoFi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lbao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95C2-6DFE-4277-BA65-F4C3252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1681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Links>
    <vt:vector size="18" baseType="variant">
      <vt:variant>
        <vt:i4>5898339</vt:i4>
      </vt:variant>
      <vt:variant>
        <vt:i4>6</vt:i4>
      </vt:variant>
      <vt:variant>
        <vt:i4>0</vt:i4>
      </vt:variant>
      <vt:variant>
        <vt:i4>5</vt:i4>
      </vt:variant>
      <vt:variant>
        <vt:lpwstr>mailto:kulturazinegotzi@bilbao.eus</vt:lpwstr>
      </vt:variant>
      <vt:variant>
        <vt:lpwstr/>
      </vt:variant>
      <vt:variant>
        <vt:i4>2031732</vt:i4>
      </vt:variant>
      <vt:variant>
        <vt:i4>3</vt:i4>
      </vt:variant>
      <vt:variant>
        <vt:i4>0</vt:i4>
      </vt:variant>
      <vt:variant>
        <vt:i4>5</vt:i4>
      </vt:variant>
      <vt:variant>
        <vt:lpwstr>mailto:b.guzman@unetxea.org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http://www.bilbao.eus/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Iñaki Lopez de Aguileta Diaz</dc:creator>
  <cp:keywords/>
  <dc:description/>
  <cp:lastModifiedBy>Begoña Guzmán</cp:lastModifiedBy>
  <cp:revision>125</cp:revision>
  <cp:lastPrinted>2023-04-21T07:47:00Z</cp:lastPrinted>
  <dcterms:created xsi:type="dcterms:W3CDTF">2023-04-21T13:06:00Z</dcterms:created>
  <dcterms:modified xsi:type="dcterms:W3CDTF">2023-04-28T12:35:00Z</dcterms:modified>
</cp:coreProperties>
</file>