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678F" w14:textId="77777777" w:rsidR="00315052" w:rsidRPr="00523C38" w:rsidRDefault="00315052" w:rsidP="00523C38">
      <w:pPr>
        <w:autoSpaceDE w:val="0"/>
        <w:autoSpaceDN w:val="0"/>
        <w:adjustRightInd w:val="0"/>
        <w:spacing w:after="0" w:line="240" w:lineRule="auto"/>
        <w:jc w:val="both"/>
        <w:rPr>
          <w:rFonts w:ascii="Arial" w:hAnsi="Arial" w:cs="Arial"/>
          <w:b/>
          <w:color w:val="000000" w:themeColor="text1"/>
          <w:sz w:val="20"/>
          <w:szCs w:val="20"/>
          <w:lang w:val="fr-FR"/>
        </w:rPr>
      </w:pPr>
    </w:p>
    <w:p w14:paraId="074EDB67" w14:textId="26528F24" w:rsidR="005A3D4C" w:rsidRPr="002720F5" w:rsidRDefault="00DD39E2" w:rsidP="00583B7D">
      <w:pPr>
        <w:autoSpaceDE w:val="0"/>
        <w:autoSpaceDN w:val="0"/>
        <w:adjustRightInd w:val="0"/>
        <w:spacing w:after="0" w:line="240" w:lineRule="auto"/>
        <w:ind w:left="1416"/>
        <w:jc w:val="both"/>
        <w:rPr>
          <w:rFonts w:ascii="Arial" w:hAnsi="Arial" w:cs="Arial"/>
          <w:b/>
          <w:color w:val="000000" w:themeColor="text1"/>
          <w:sz w:val="20"/>
          <w:szCs w:val="20"/>
          <w:lang w:val="fr-FR"/>
        </w:rPr>
      </w:pPr>
      <w:r w:rsidRPr="00523C38">
        <w:rPr>
          <w:rFonts w:ascii="Arial" w:hAnsi="Arial" w:cs="Arial"/>
          <w:color w:val="000000" w:themeColor="text1"/>
          <w:sz w:val="20"/>
          <w:szCs w:val="20"/>
          <w:lang w:val="fr-FR"/>
        </w:rPr>
        <w:tab/>
      </w:r>
      <w:r w:rsidRPr="00523C38">
        <w:rPr>
          <w:rFonts w:ascii="Arial" w:hAnsi="Arial" w:cs="Arial"/>
          <w:color w:val="000000" w:themeColor="text1"/>
          <w:sz w:val="20"/>
          <w:szCs w:val="20"/>
          <w:lang w:val="fr-FR"/>
        </w:rPr>
        <w:tab/>
      </w:r>
      <w:r w:rsidRPr="00523C38">
        <w:rPr>
          <w:rFonts w:ascii="Arial" w:hAnsi="Arial" w:cs="Arial"/>
          <w:color w:val="000000" w:themeColor="text1"/>
          <w:sz w:val="20"/>
          <w:szCs w:val="20"/>
          <w:lang w:val="fr-FR"/>
        </w:rPr>
        <w:tab/>
      </w:r>
      <w:r w:rsidRPr="00523C38">
        <w:rPr>
          <w:rFonts w:ascii="Arial" w:hAnsi="Arial" w:cs="Arial"/>
          <w:color w:val="000000" w:themeColor="text1"/>
          <w:sz w:val="20"/>
          <w:szCs w:val="20"/>
          <w:lang w:val="fr-FR"/>
        </w:rPr>
        <w:tab/>
      </w:r>
      <w:r w:rsidRPr="00523C38">
        <w:rPr>
          <w:rFonts w:ascii="Arial" w:hAnsi="Arial" w:cs="Arial"/>
          <w:color w:val="000000" w:themeColor="text1"/>
          <w:sz w:val="20"/>
          <w:szCs w:val="20"/>
          <w:lang w:val="fr-FR"/>
        </w:rPr>
        <w:tab/>
      </w:r>
      <w:r w:rsidRPr="00523C38">
        <w:rPr>
          <w:rFonts w:ascii="Arial" w:hAnsi="Arial" w:cs="Arial"/>
          <w:color w:val="000000" w:themeColor="text1"/>
          <w:sz w:val="20"/>
          <w:szCs w:val="20"/>
          <w:lang w:val="fr-FR"/>
        </w:rPr>
        <w:tab/>
      </w:r>
      <w:r w:rsidRPr="00523C38">
        <w:rPr>
          <w:rFonts w:ascii="Arial" w:hAnsi="Arial" w:cs="Arial"/>
          <w:color w:val="000000" w:themeColor="text1"/>
          <w:sz w:val="20"/>
          <w:szCs w:val="20"/>
          <w:lang w:val="fr-FR"/>
        </w:rPr>
        <w:tab/>
      </w:r>
      <w:r w:rsidRPr="00583B7D">
        <w:rPr>
          <w:rFonts w:ascii="Arial" w:hAnsi="Arial" w:cs="Arial"/>
          <w:color w:val="000000" w:themeColor="text1"/>
          <w:sz w:val="20"/>
          <w:szCs w:val="20"/>
          <w:lang w:val="fr-FR"/>
        </w:rPr>
        <w:tab/>
      </w:r>
      <w:r w:rsidR="005A3D4C" w:rsidRPr="002720F5">
        <w:rPr>
          <w:rFonts w:ascii="Arial" w:hAnsi="Arial" w:cs="Arial"/>
          <w:color w:val="000000" w:themeColor="text1"/>
          <w:sz w:val="20"/>
          <w:szCs w:val="20"/>
          <w:lang w:val="fr-FR"/>
        </w:rPr>
        <w:t xml:space="preserve">Berne, le </w:t>
      </w:r>
      <w:r w:rsidR="00CD75BE" w:rsidRPr="002720F5">
        <w:rPr>
          <w:rFonts w:ascii="Arial" w:hAnsi="Arial" w:cs="Arial"/>
          <w:color w:val="000000" w:themeColor="text1"/>
          <w:sz w:val="20"/>
          <w:szCs w:val="20"/>
          <w:lang w:val="fr-FR"/>
        </w:rPr>
        <w:t>1</w:t>
      </w:r>
      <w:r w:rsidR="00143263">
        <w:rPr>
          <w:rFonts w:ascii="Arial" w:hAnsi="Arial" w:cs="Arial"/>
          <w:color w:val="000000" w:themeColor="text1"/>
          <w:sz w:val="20"/>
          <w:szCs w:val="20"/>
          <w:lang w:val="fr-FR"/>
        </w:rPr>
        <w:t>4</w:t>
      </w:r>
      <w:r w:rsidR="005A3D4C" w:rsidRPr="002720F5">
        <w:rPr>
          <w:rFonts w:ascii="Arial" w:hAnsi="Arial" w:cs="Arial"/>
          <w:color w:val="000000" w:themeColor="text1"/>
          <w:sz w:val="20"/>
          <w:szCs w:val="20"/>
          <w:lang w:val="fr-FR"/>
        </w:rPr>
        <w:t xml:space="preserve"> </w:t>
      </w:r>
      <w:r w:rsidRPr="002720F5">
        <w:rPr>
          <w:rFonts w:ascii="Arial" w:hAnsi="Arial" w:cs="Arial"/>
          <w:color w:val="000000" w:themeColor="text1"/>
          <w:sz w:val="20"/>
          <w:szCs w:val="20"/>
          <w:lang w:val="fr-FR"/>
        </w:rPr>
        <w:t>avril</w:t>
      </w:r>
      <w:r w:rsidR="005A3D4C" w:rsidRPr="002720F5">
        <w:rPr>
          <w:rFonts w:ascii="Arial" w:hAnsi="Arial" w:cs="Arial"/>
          <w:color w:val="000000" w:themeColor="text1"/>
          <w:sz w:val="20"/>
          <w:szCs w:val="20"/>
          <w:lang w:val="fr-FR"/>
        </w:rPr>
        <w:t xml:space="preserve"> 202</w:t>
      </w:r>
      <w:r w:rsidR="00143263">
        <w:rPr>
          <w:rFonts w:ascii="Arial" w:hAnsi="Arial" w:cs="Arial"/>
          <w:color w:val="000000" w:themeColor="text1"/>
          <w:sz w:val="20"/>
          <w:szCs w:val="20"/>
          <w:lang w:val="fr-FR"/>
        </w:rPr>
        <w:t>3</w:t>
      </w:r>
    </w:p>
    <w:p w14:paraId="7743BAF5" w14:textId="77777777" w:rsidR="00BB6914" w:rsidRPr="00583B7D" w:rsidRDefault="00BB6914" w:rsidP="00583B7D">
      <w:pPr>
        <w:autoSpaceDE w:val="0"/>
        <w:autoSpaceDN w:val="0"/>
        <w:adjustRightInd w:val="0"/>
        <w:spacing w:after="0" w:line="240" w:lineRule="auto"/>
        <w:jc w:val="both"/>
        <w:rPr>
          <w:rFonts w:ascii="Arial" w:hAnsi="Arial" w:cs="Arial"/>
          <w:color w:val="000000" w:themeColor="text1"/>
          <w:sz w:val="20"/>
          <w:szCs w:val="20"/>
          <w:lang w:val="fr-FR"/>
        </w:rPr>
      </w:pPr>
    </w:p>
    <w:p w14:paraId="7C684036" w14:textId="773A9CF6" w:rsidR="00FC4E9C" w:rsidRPr="00143263" w:rsidRDefault="00143263" w:rsidP="00143263">
      <w:pPr>
        <w:pBdr>
          <w:bottom w:val="single" w:sz="6" w:space="0" w:color="auto"/>
        </w:pBdr>
        <w:autoSpaceDE w:val="0"/>
        <w:autoSpaceDN w:val="0"/>
        <w:adjustRightInd w:val="0"/>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Swiss contribution</w:t>
      </w:r>
      <w:r w:rsidRPr="00143263">
        <w:rPr>
          <w:rFonts w:ascii="Arial" w:hAnsi="Arial" w:cs="Arial"/>
          <w:b/>
          <w:color w:val="000000" w:themeColor="text1"/>
          <w:sz w:val="20"/>
          <w:szCs w:val="20"/>
        </w:rPr>
        <w:t xml:space="preserve"> to the call for papers</w:t>
      </w:r>
      <w:r>
        <w:rPr>
          <w:rFonts w:ascii="Arial" w:hAnsi="Arial" w:cs="Arial"/>
          <w:b/>
          <w:color w:val="000000" w:themeColor="text1"/>
          <w:sz w:val="20"/>
          <w:szCs w:val="20"/>
        </w:rPr>
        <w:t xml:space="preserve"> of the</w:t>
      </w:r>
      <w:r w:rsidRPr="00143263">
        <w:rPr>
          <w:rFonts w:ascii="Arial" w:hAnsi="Arial" w:cs="Arial"/>
          <w:b/>
          <w:color w:val="000000" w:themeColor="text1"/>
          <w:sz w:val="20"/>
          <w:szCs w:val="20"/>
        </w:rPr>
        <w:t xml:space="preserve"> Special Rapporteu</w:t>
      </w:r>
      <w:r>
        <w:rPr>
          <w:rFonts w:ascii="Arial" w:hAnsi="Arial" w:cs="Arial"/>
          <w:b/>
          <w:color w:val="000000" w:themeColor="text1"/>
          <w:sz w:val="20"/>
          <w:szCs w:val="20"/>
        </w:rPr>
        <w:t>r</w:t>
      </w:r>
      <w:r w:rsidRPr="00143263">
        <w:rPr>
          <w:rFonts w:ascii="Arial" w:hAnsi="Arial" w:cs="Arial"/>
          <w:b/>
          <w:color w:val="000000" w:themeColor="text1"/>
          <w:sz w:val="20"/>
          <w:szCs w:val="20"/>
        </w:rPr>
        <w:t xml:space="preserve"> in the field of cultural rights on issues related to the policies and methodologies adopted by national and international trade and development agencies as operational actors of development agendas</w:t>
      </w:r>
      <w:r w:rsidR="00CD75BE" w:rsidRPr="00143263">
        <w:rPr>
          <w:rFonts w:ascii="Arial" w:hAnsi="Arial" w:cs="Arial"/>
          <w:b/>
          <w:color w:val="000000" w:themeColor="text1"/>
          <w:sz w:val="20"/>
          <w:szCs w:val="20"/>
        </w:rPr>
        <w:t>.</w:t>
      </w:r>
    </w:p>
    <w:p w14:paraId="46745785" w14:textId="77777777" w:rsidR="000B0391" w:rsidRPr="00143263" w:rsidRDefault="000B0391" w:rsidP="00583B7D">
      <w:pPr>
        <w:pBdr>
          <w:bottom w:val="single" w:sz="6" w:space="0" w:color="auto"/>
        </w:pBdr>
        <w:autoSpaceDE w:val="0"/>
        <w:autoSpaceDN w:val="0"/>
        <w:adjustRightInd w:val="0"/>
        <w:spacing w:after="0" w:line="240" w:lineRule="auto"/>
        <w:jc w:val="both"/>
        <w:rPr>
          <w:rFonts w:ascii="Arial" w:hAnsi="Arial" w:cs="Arial"/>
          <w:b/>
          <w:bCs/>
          <w:color w:val="000000" w:themeColor="text1"/>
          <w:sz w:val="20"/>
          <w:szCs w:val="20"/>
        </w:rPr>
      </w:pPr>
    </w:p>
    <w:p w14:paraId="784E658D" w14:textId="77777777" w:rsidR="00C04675" w:rsidRPr="00143263" w:rsidRDefault="00C04675" w:rsidP="00583B7D">
      <w:pPr>
        <w:spacing w:after="0" w:line="240" w:lineRule="auto"/>
        <w:jc w:val="both"/>
        <w:rPr>
          <w:rFonts w:ascii="Arial" w:hAnsi="Arial" w:cs="Arial"/>
          <w:b/>
          <w:color w:val="000000" w:themeColor="text1"/>
          <w:sz w:val="20"/>
          <w:szCs w:val="20"/>
        </w:rPr>
      </w:pPr>
    </w:p>
    <w:p w14:paraId="1B52838C" w14:textId="77777777" w:rsidR="00143263" w:rsidRDefault="00143263" w:rsidP="00143263">
      <w:pPr>
        <w:rPr>
          <w:szCs w:val="20"/>
          <w:lang w:val="en-GB"/>
        </w:rPr>
      </w:pPr>
      <w:r>
        <w:rPr>
          <w:rFonts w:ascii="TimesNewRoman,Bold" w:hAnsi="TimesNewRoman,Bold" w:cs="TimesNewRoman,Bold"/>
          <w:b/>
          <w:bCs/>
          <w:sz w:val="24"/>
          <w:lang w:val="en-GB"/>
        </w:rPr>
        <w:t xml:space="preserve">Main questions </w:t>
      </w:r>
      <w:r>
        <w:rPr>
          <w:rFonts w:ascii="TimesNewRoman" w:hAnsi="TimesNewRoman" w:cs="TimesNewRoman"/>
          <w:sz w:val="24"/>
          <w:lang w:val="en-GB"/>
        </w:rPr>
        <w:t>(for all stakeholders)</w:t>
      </w:r>
    </w:p>
    <w:tbl>
      <w:tblPr>
        <w:tblStyle w:val="TableGrid"/>
        <w:tblW w:w="0" w:type="auto"/>
        <w:tblLook w:val="04A0" w:firstRow="1" w:lastRow="0" w:firstColumn="1" w:lastColumn="0" w:noHBand="0" w:noVBand="1"/>
      </w:tblPr>
      <w:tblGrid>
        <w:gridCol w:w="4736"/>
        <w:gridCol w:w="4326"/>
      </w:tblGrid>
      <w:tr w:rsidR="00143263" w14:paraId="1703E4D8" w14:textId="77777777" w:rsidTr="0049606C">
        <w:tc>
          <w:tcPr>
            <w:tcW w:w="7621" w:type="dxa"/>
          </w:tcPr>
          <w:p w14:paraId="478D4110" w14:textId="77777777" w:rsidR="00143263" w:rsidRPr="00310DDD" w:rsidRDefault="00143263" w:rsidP="0049606C">
            <w:pPr>
              <w:autoSpaceDE w:val="0"/>
              <w:autoSpaceDN w:val="0"/>
              <w:adjustRightInd w:val="0"/>
              <w:rPr>
                <w:szCs w:val="20"/>
                <w:lang w:val="en-GB"/>
              </w:rPr>
            </w:pPr>
            <w:r w:rsidRPr="00310DDD">
              <w:rPr>
                <w:rFonts w:ascii="TimesNewRoman" w:hAnsi="TimesNewRoman" w:cs="TimesNewRoman"/>
                <w:lang w:val="en-GB"/>
              </w:rPr>
              <w:t>1. How are human rights generally integrated in your policies and programmes? Please indicate if human rights are mandatory considerations, at what stage of the programme they are integrated and if any, what kind of impact assessment and monitoring is done of their implementation.</w:t>
            </w:r>
          </w:p>
        </w:tc>
        <w:tc>
          <w:tcPr>
            <w:tcW w:w="7622" w:type="dxa"/>
          </w:tcPr>
          <w:p w14:paraId="1105ED4A" w14:textId="77777777" w:rsidR="00143263" w:rsidRDefault="00143263" w:rsidP="00143263">
            <w:pPr>
              <w:numPr>
                <w:ilvl w:val="0"/>
                <w:numId w:val="31"/>
              </w:numPr>
              <w:spacing w:after="0" w:line="240" w:lineRule="auto"/>
              <w:ind w:left="540"/>
              <w:textAlignment w:val="center"/>
              <w:rPr>
                <w:rFonts w:eastAsia="Times New Roman" w:cs="Arial"/>
                <w:szCs w:val="20"/>
                <w:lang w:val="en-GB" w:eastAsia="en-GB"/>
              </w:rPr>
            </w:pPr>
            <w:r w:rsidRPr="0011277F">
              <w:rPr>
                <w:rFonts w:eastAsia="Times New Roman" w:cs="Arial"/>
                <w:szCs w:val="20"/>
                <w:lang w:val="en-GB" w:eastAsia="en-GB"/>
              </w:rPr>
              <w:t>The Federal Constitution tasks the Federal Council with promoting human rights and democracy around the world (Art. 54 para. 2 of the Federal Constitution of the Swiss Confederation).</w:t>
            </w:r>
          </w:p>
          <w:p w14:paraId="2B6CE7A2" w14:textId="77777777" w:rsidR="00143263" w:rsidRPr="00143263" w:rsidRDefault="00143263" w:rsidP="00143263">
            <w:pPr>
              <w:numPr>
                <w:ilvl w:val="0"/>
                <w:numId w:val="32"/>
              </w:numPr>
              <w:spacing w:after="0" w:line="240" w:lineRule="auto"/>
              <w:ind w:left="540"/>
              <w:textAlignment w:val="center"/>
              <w:rPr>
                <w:rFonts w:eastAsia="Times New Roman" w:cs="Arial"/>
                <w:szCs w:val="20"/>
                <w:lang w:val="en-US" w:eastAsia="en-GB"/>
              </w:rPr>
            </w:pPr>
            <w:r>
              <w:rPr>
                <w:rFonts w:eastAsia="Times New Roman" w:cs="Arial"/>
                <w:szCs w:val="20"/>
                <w:lang w:val="en-GB" w:eastAsia="en-GB"/>
              </w:rPr>
              <w:t>At the political level, the</w:t>
            </w:r>
            <w:r w:rsidRPr="00DD53F3">
              <w:rPr>
                <w:rFonts w:eastAsia="Times New Roman" w:cs="Arial"/>
                <w:szCs w:val="20"/>
                <w:lang w:val="en-GB" w:eastAsia="en-GB"/>
              </w:rPr>
              <w:t xml:space="preserve"> </w:t>
            </w:r>
            <w:hyperlink r:id="rId11" w:history="1">
              <w:r w:rsidRPr="00741991">
                <w:rPr>
                  <w:rStyle w:val="Hyperlink"/>
                  <w:rFonts w:eastAsia="Times New Roman" w:cs="Arial"/>
                  <w:szCs w:val="20"/>
                  <w:lang w:val="en-GB" w:eastAsia="en-GB"/>
                </w:rPr>
                <w:t>Foreign Policy Strategy 2020–23</w:t>
              </w:r>
            </w:hyperlink>
            <w:r w:rsidRPr="00DD53F3">
              <w:rPr>
                <w:rFonts w:eastAsia="Times New Roman" w:cs="Arial"/>
                <w:szCs w:val="20"/>
                <w:lang w:val="en-GB" w:eastAsia="en-GB"/>
              </w:rPr>
              <w:t xml:space="preserve"> </w:t>
            </w:r>
            <w:r>
              <w:rPr>
                <w:rFonts w:eastAsia="Times New Roman" w:cs="Arial"/>
                <w:szCs w:val="20"/>
                <w:lang w:val="en-GB" w:eastAsia="en-GB"/>
              </w:rPr>
              <w:t>sets out how Switzerland works to protect human rights. Furthermore, t</w:t>
            </w:r>
            <w:r w:rsidRPr="00DD53F3">
              <w:rPr>
                <w:rFonts w:eastAsia="Times New Roman" w:cs="Arial"/>
                <w:szCs w:val="20"/>
                <w:lang w:val="en-GB" w:eastAsia="en-GB"/>
              </w:rPr>
              <w:t xml:space="preserve">he </w:t>
            </w:r>
            <w:hyperlink r:id="rId12" w:history="1">
              <w:r w:rsidRPr="00741991">
                <w:rPr>
                  <w:rStyle w:val="Hyperlink"/>
                  <w:rFonts w:eastAsia="Times New Roman" w:cs="Arial"/>
                  <w:szCs w:val="20"/>
                  <w:lang w:val="en-GB" w:eastAsia="en-GB"/>
                </w:rPr>
                <w:t>Human Rights Guidelines 2021–24</w:t>
              </w:r>
            </w:hyperlink>
            <w:r w:rsidRPr="00DD53F3">
              <w:rPr>
                <w:rFonts w:eastAsia="Times New Roman" w:cs="Arial"/>
                <w:szCs w:val="20"/>
                <w:lang w:val="en-GB" w:eastAsia="en-GB"/>
              </w:rPr>
              <w:t xml:space="preserve"> also lay out Switzerland's efforts to promote human rights in the fields of peace and security, the economy, and sustainability.</w:t>
            </w:r>
            <w:r w:rsidRPr="0011277F" w:rsidDel="00F844F5">
              <w:rPr>
                <w:rFonts w:eastAsia="Times New Roman" w:cs="Arial"/>
                <w:szCs w:val="20"/>
                <w:lang w:val="en-GB" w:eastAsia="en-GB"/>
              </w:rPr>
              <w:t xml:space="preserve"> </w:t>
            </w:r>
            <w:r w:rsidRPr="00143263">
              <w:rPr>
                <w:rFonts w:eastAsia="Times New Roman" w:cs="Arial"/>
                <w:szCs w:val="20"/>
                <w:lang w:val="en-US" w:eastAsia="en-GB"/>
              </w:rPr>
              <w:t xml:space="preserve">To promote human rights is integral part of Switzerland’s poverty reduction mandate. It is essential for the implementation of the Swiss Strategy on International Cooperation 2021-24 (especially sub objectives 7-10). SDC reconfirmed its human rights commitment with the </w:t>
            </w:r>
            <w:r w:rsidRPr="00143263">
              <w:rPr>
                <w:rFonts w:eastAsia="Times New Roman" w:cs="Arial"/>
                <w:b/>
                <w:bCs/>
                <w:szCs w:val="20"/>
                <w:lang w:val="en-US" w:eastAsia="en-GB"/>
              </w:rPr>
              <w:t>SDC guidance on human rights</w:t>
            </w:r>
            <w:r w:rsidRPr="00143263">
              <w:rPr>
                <w:rFonts w:eastAsia="Times New Roman" w:cs="Arial"/>
                <w:szCs w:val="20"/>
                <w:lang w:val="en-US" w:eastAsia="en-GB"/>
              </w:rPr>
              <w:t xml:space="preserve"> in 2019 (</w:t>
            </w:r>
            <w:hyperlink r:id="rId13" w:history="1">
              <w:r w:rsidRPr="00143263">
                <w:rPr>
                  <w:rStyle w:val="Hyperlink"/>
                  <w:lang w:val="en-US"/>
                </w:rPr>
                <w:t>SDC Guidance on Human Rights in Development and Cooperation</w:t>
              </w:r>
            </w:hyperlink>
            <w:r w:rsidRPr="00143263">
              <w:rPr>
                <w:lang w:val="en-US"/>
              </w:rPr>
              <w:t>)</w:t>
            </w:r>
            <w:r w:rsidRPr="00143263">
              <w:rPr>
                <w:rFonts w:eastAsia="Times New Roman" w:cs="Arial"/>
                <w:szCs w:val="20"/>
                <w:lang w:val="en-US" w:eastAsia="en-GB"/>
              </w:rPr>
              <w:t xml:space="preserve">. </w:t>
            </w:r>
          </w:p>
          <w:p w14:paraId="0BFEEABA" w14:textId="77777777" w:rsidR="00143263" w:rsidRPr="00143263" w:rsidRDefault="00143263" w:rsidP="00143263">
            <w:pPr>
              <w:numPr>
                <w:ilvl w:val="0"/>
                <w:numId w:val="32"/>
              </w:numPr>
              <w:spacing w:after="0" w:line="240" w:lineRule="auto"/>
              <w:ind w:left="540"/>
              <w:textAlignment w:val="center"/>
              <w:rPr>
                <w:rFonts w:eastAsia="Times New Roman" w:cs="Arial"/>
                <w:szCs w:val="20"/>
                <w:lang w:val="en-US" w:eastAsia="en-GB"/>
              </w:rPr>
            </w:pPr>
            <w:r w:rsidRPr="00143263">
              <w:rPr>
                <w:rFonts w:eastAsia="Times New Roman" w:cs="Arial"/>
                <w:szCs w:val="20"/>
                <w:lang w:val="en-US" w:eastAsia="en-GB"/>
              </w:rPr>
              <w:t xml:space="preserve">Through its HR treaty ratifications, Switzerland has a </w:t>
            </w:r>
            <w:r w:rsidRPr="00143263">
              <w:rPr>
                <w:rFonts w:eastAsia="Times New Roman" w:cs="Arial"/>
                <w:b/>
                <w:bCs/>
                <w:szCs w:val="20"/>
                <w:lang w:val="en-US" w:eastAsia="en-GB"/>
              </w:rPr>
              <w:t>legal obligation</w:t>
            </w:r>
            <w:r w:rsidRPr="00143263">
              <w:rPr>
                <w:rFonts w:eastAsia="Times New Roman" w:cs="Arial"/>
                <w:szCs w:val="20"/>
                <w:lang w:val="en-US" w:eastAsia="en-GB"/>
              </w:rPr>
              <w:t xml:space="preserve"> to ensure that all its interventions in international cooperation are accurately and explicitly in line with human rights law and international humanitarian law.</w:t>
            </w:r>
            <w:r w:rsidRPr="00143263">
              <w:rPr>
                <w:rFonts w:eastAsia="Times New Roman" w:cs="Arial"/>
                <w:szCs w:val="20"/>
                <w:lang w:val="en-US" w:eastAsia="en-GB"/>
              </w:rPr>
              <w:softHyphen/>
              <w:t xml:space="preserve"> </w:t>
            </w:r>
          </w:p>
          <w:p w14:paraId="4D7F8FE0" w14:textId="77777777" w:rsidR="00143263" w:rsidRPr="00143263" w:rsidRDefault="00143263" w:rsidP="00143263">
            <w:pPr>
              <w:numPr>
                <w:ilvl w:val="0"/>
                <w:numId w:val="32"/>
              </w:numPr>
              <w:spacing w:after="0" w:line="240" w:lineRule="auto"/>
              <w:ind w:left="540"/>
              <w:textAlignment w:val="center"/>
              <w:rPr>
                <w:rFonts w:eastAsia="Times New Roman" w:cs="Arial"/>
                <w:szCs w:val="20"/>
                <w:lang w:val="en-US" w:eastAsia="en-GB"/>
              </w:rPr>
            </w:pPr>
            <w:r w:rsidRPr="00143263">
              <w:rPr>
                <w:lang w:val="en-US"/>
              </w:rPr>
              <w:t xml:space="preserve">SDC applies a human rights-based approach to all its interventions as part of project cycle management and </w:t>
            </w:r>
            <w:r w:rsidRPr="00143263">
              <w:rPr>
                <w:lang w:val="en-US"/>
              </w:rPr>
              <w:lastRenderedPageBreak/>
              <w:t>strategic orientation, thereby contributing directly to the realization of one or several human rights.</w:t>
            </w:r>
          </w:p>
          <w:p w14:paraId="31BF67F5" w14:textId="77777777" w:rsidR="00143263" w:rsidRDefault="00143263" w:rsidP="0049606C">
            <w:pPr>
              <w:rPr>
                <w:szCs w:val="20"/>
                <w:lang w:val="en-GB"/>
              </w:rPr>
            </w:pPr>
          </w:p>
        </w:tc>
      </w:tr>
      <w:tr w:rsidR="00143263" w:rsidRPr="00A661CF" w14:paraId="55747475" w14:textId="77777777" w:rsidTr="0049606C">
        <w:tc>
          <w:tcPr>
            <w:tcW w:w="7621" w:type="dxa"/>
          </w:tcPr>
          <w:p w14:paraId="0B6EE6D9" w14:textId="77777777" w:rsidR="00143263" w:rsidRPr="00310DDD" w:rsidRDefault="00143263" w:rsidP="0049606C">
            <w:pPr>
              <w:autoSpaceDE w:val="0"/>
              <w:autoSpaceDN w:val="0"/>
              <w:adjustRightInd w:val="0"/>
              <w:rPr>
                <w:rFonts w:ascii="TimesNewRoman" w:hAnsi="TimesNewRoman" w:cs="TimesNewRoman"/>
                <w:lang w:val="en-GB"/>
              </w:rPr>
            </w:pPr>
            <w:r w:rsidRPr="00310DDD">
              <w:rPr>
                <w:rFonts w:ascii="TimesNewRoman" w:hAnsi="TimesNewRoman" w:cs="TimesNewRoman"/>
                <w:lang w:val="en-GB"/>
              </w:rPr>
              <w:lastRenderedPageBreak/>
              <w:t>2. Please provide examples of any programmes that contribute to the respect, protection and implementation of cultural rights, in particular:</w:t>
            </w:r>
          </w:p>
          <w:p w14:paraId="389AC509" w14:textId="77777777" w:rsidR="00143263" w:rsidRPr="00310DDD" w:rsidRDefault="00143263" w:rsidP="00143263">
            <w:pPr>
              <w:pStyle w:val="ListParagraph"/>
              <w:numPr>
                <w:ilvl w:val="0"/>
                <w:numId w:val="28"/>
              </w:numPr>
              <w:autoSpaceDE w:val="0"/>
              <w:autoSpaceDN w:val="0"/>
              <w:adjustRightInd w:val="0"/>
              <w:contextualSpacing/>
              <w:rPr>
                <w:rFonts w:ascii="TimesNewRoman" w:hAnsi="TimesNewRoman" w:cs="TimesNewRoman"/>
                <w:lang w:val="en-GB"/>
              </w:rPr>
            </w:pPr>
            <w:r w:rsidRPr="00310DDD">
              <w:rPr>
                <w:rFonts w:ascii="TimesNewRoman" w:hAnsi="TimesNewRoman" w:cs="TimesNewRoman"/>
                <w:lang w:val="en-GB"/>
              </w:rPr>
              <w:t>The right to choose and maintain one’s identity, and to take part in the cultural life of one’s choice;</w:t>
            </w:r>
          </w:p>
          <w:p w14:paraId="2485B892" w14:textId="77777777" w:rsidR="00143263" w:rsidRPr="00310DDD" w:rsidRDefault="00143263" w:rsidP="00143263">
            <w:pPr>
              <w:pStyle w:val="ListParagraph"/>
              <w:numPr>
                <w:ilvl w:val="0"/>
                <w:numId w:val="28"/>
              </w:numPr>
              <w:autoSpaceDE w:val="0"/>
              <w:autoSpaceDN w:val="0"/>
              <w:adjustRightInd w:val="0"/>
              <w:contextualSpacing/>
              <w:rPr>
                <w:rFonts w:ascii="TimesNewRoman" w:hAnsi="TimesNewRoman" w:cs="TimesNewRoman"/>
                <w:lang w:val="en-GB"/>
              </w:rPr>
            </w:pPr>
            <w:r w:rsidRPr="00310DDD">
              <w:rPr>
                <w:rFonts w:ascii="TimesNewRoman" w:hAnsi="TimesNewRoman" w:cs="TimesNewRoman"/>
                <w:lang w:val="en-GB"/>
              </w:rPr>
              <w:t>The right to access, enjoy and transmit cultural heritage, including languages and ways of life;</w:t>
            </w:r>
          </w:p>
          <w:p w14:paraId="39068BC3" w14:textId="77777777" w:rsidR="00143263" w:rsidRPr="00310DDD" w:rsidRDefault="00143263" w:rsidP="00143263">
            <w:pPr>
              <w:pStyle w:val="ListParagraph"/>
              <w:numPr>
                <w:ilvl w:val="0"/>
                <w:numId w:val="28"/>
              </w:numPr>
              <w:autoSpaceDE w:val="0"/>
              <w:autoSpaceDN w:val="0"/>
              <w:adjustRightInd w:val="0"/>
              <w:contextualSpacing/>
              <w:rPr>
                <w:rFonts w:ascii="TimesNewRoman" w:hAnsi="TimesNewRoman" w:cs="TimesNewRoman"/>
                <w:lang w:val="en-GB"/>
              </w:rPr>
            </w:pPr>
            <w:r w:rsidRPr="00310DDD">
              <w:rPr>
                <w:rFonts w:ascii="TimesNewRoman" w:hAnsi="TimesNewRoman" w:cs="TimesNewRoman"/>
                <w:lang w:val="en-GB"/>
              </w:rPr>
              <w:t>The right to access and transmit creative expressions and knowledge, and to access the creativity and knowledge of others;</w:t>
            </w:r>
          </w:p>
          <w:p w14:paraId="4B2C7FB2" w14:textId="77777777" w:rsidR="00143263" w:rsidRPr="00310DDD" w:rsidRDefault="00143263" w:rsidP="00143263">
            <w:pPr>
              <w:pStyle w:val="ListParagraph"/>
              <w:numPr>
                <w:ilvl w:val="0"/>
                <w:numId w:val="28"/>
              </w:numPr>
              <w:autoSpaceDE w:val="0"/>
              <w:autoSpaceDN w:val="0"/>
              <w:adjustRightInd w:val="0"/>
              <w:contextualSpacing/>
              <w:rPr>
                <w:rFonts w:ascii="TimesNewRoman" w:hAnsi="TimesNewRoman" w:cs="TimesNewRoman"/>
                <w:lang w:val="en-GB"/>
              </w:rPr>
            </w:pPr>
            <w:r w:rsidRPr="00310DDD">
              <w:rPr>
                <w:rFonts w:ascii="TimesNewRoman" w:hAnsi="TimesNewRoman" w:cs="TimesNewRoman"/>
                <w:lang w:val="en-GB"/>
              </w:rPr>
              <w:t>The right to access to the benefits of science and its applications, including scientific knowledge, technology, and opportunities to contribute to the scientific enterprise;</w:t>
            </w:r>
          </w:p>
          <w:p w14:paraId="052BB0ED" w14:textId="77777777" w:rsidR="00143263" w:rsidRPr="00310DDD" w:rsidRDefault="00143263" w:rsidP="00143263">
            <w:pPr>
              <w:pStyle w:val="ListParagraph"/>
              <w:numPr>
                <w:ilvl w:val="0"/>
                <w:numId w:val="28"/>
              </w:numPr>
              <w:autoSpaceDE w:val="0"/>
              <w:autoSpaceDN w:val="0"/>
              <w:adjustRightInd w:val="0"/>
              <w:contextualSpacing/>
              <w:rPr>
                <w:rFonts w:ascii="TimesNewRoman" w:hAnsi="TimesNewRoman" w:cs="TimesNewRoman"/>
                <w:lang w:val="en-GB"/>
              </w:rPr>
            </w:pPr>
            <w:r w:rsidRPr="00310DDD">
              <w:rPr>
                <w:rFonts w:ascii="TimesNewRoman" w:hAnsi="TimesNewRoman" w:cs="TimesNewRoman"/>
                <w:lang w:val="en-GB"/>
              </w:rPr>
              <w:t>The right to benefit from the protection of the moral and material interests resulting from any scientific, literary or artistic production of which one is the author;</w:t>
            </w:r>
          </w:p>
          <w:p w14:paraId="782F1EBB" w14:textId="77777777" w:rsidR="00143263" w:rsidRPr="00310DDD" w:rsidRDefault="00143263" w:rsidP="00143263">
            <w:pPr>
              <w:pStyle w:val="ListParagraph"/>
              <w:numPr>
                <w:ilvl w:val="0"/>
                <w:numId w:val="28"/>
              </w:numPr>
              <w:autoSpaceDE w:val="0"/>
              <w:autoSpaceDN w:val="0"/>
              <w:adjustRightInd w:val="0"/>
              <w:contextualSpacing/>
              <w:rPr>
                <w:szCs w:val="20"/>
                <w:lang w:val="en-GB"/>
              </w:rPr>
            </w:pPr>
            <w:r w:rsidRPr="00310DDD">
              <w:rPr>
                <w:rFonts w:ascii="TimesNewRoman" w:hAnsi="TimesNewRoman" w:cs="TimesNewRoman"/>
                <w:lang w:val="en-GB"/>
              </w:rPr>
              <w:t xml:space="preserve">The right to take part in decision making processes that have an impact on one’s cultural life, including: </w:t>
            </w:r>
          </w:p>
          <w:p w14:paraId="42BAD356" w14:textId="77777777" w:rsidR="00143263" w:rsidRPr="00310DDD" w:rsidRDefault="00143263" w:rsidP="00143263">
            <w:pPr>
              <w:pStyle w:val="ListParagraph"/>
              <w:numPr>
                <w:ilvl w:val="1"/>
                <w:numId w:val="28"/>
              </w:numPr>
              <w:autoSpaceDE w:val="0"/>
              <w:autoSpaceDN w:val="0"/>
              <w:adjustRightInd w:val="0"/>
              <w:contextualSpacing/>
              <w:rPr>
                <w:rFonts w:ascii="TimesNewRoman" w:hAnsi="TimesNewRoman" w:cs="TimesNewRoman"/>
                <w:lang w:val="en-GB"/>
              </w:rPr>
            </w:pPr>
            <w:r w:rsidRPr="00310DDD">
              <w:rPr>
                <w:rFonts w:ascii="TimesNewRoman" w:hAnsi="TimesNewRoman" w:cs="TimesNewRoman"/>
                <w:lang w:val="en-GB"/>
              </w:rPr>
              <w:t>the right of effective participation and consultation for minorities;</w:t>
            </w:r>
          </w:p>
          <w:p w14:paraId="144A5732" w14:textId="77777777" w:rsidR="00143263" w:rsidRPr="00310DDD" w:rsidRDefault="00143263" w:rsidP="00143263">
            <w:pPr>
              <w:pStyle w:val="ListParagraph"/>
              <w:numPr>
                <w:ilvl w:val="1"/>
                <w:numId w:val="28"/>
              </w:numPr>
              <w:autoSpaceDE w:val="0"/>
              <w:autoSpaceDN w:val="0"/>
              <w:adjustRightInd w:val="0"/>
              <w:contextualSpacing/>
              <w:rPr>
                <w:rFonts w:ascii="TimesNewRoman" w:hAnsi="TimesNewRoman" w:cs="TimesNewRoman"/>
                <w:lang w:val="en-GB"/>
              </w:rPr>
            </w:pPr>
            <w:r w:rsidRPr="00310DDD">
              <w:rPr>
                <w:rFonts w:ascii="TimesNewRoman" w:hAnsi="TimesNewRoman" w:cs="TimesNewRoman"/>
                <w:lang w:val="en-GB"/>
              </w:rPr>
              <w:t>the right to free, prior and informed consent by indigenous peoples and by local populations.</w:t>
            </w:r>
          </w:p>
          <w:p w14:paraId="02FFE18D" w14:textId="77777777" w:rsidR="00143263" w:rsidRPr="00310DDD" w:rsidRDefault="00143263" w:rsidP="0049606C">
            <w:pPr>
              <w:pStyle w:val="ListParagraph"/>
              <w:rPr>
                <w:szCs w:val="20"/>
                <w:lang w:val="en-GB"/>
              </w:rPr>
            </w:pPr>
          </w:p>
        </w:tc>
        <w:tc>
          <w:tcPr>
            <w:tcW w:w="7622" w:type="dxa"/>
          </w:tcPr>
          <w:p w14:paraId="2D7C7D2B" w14:textId="77777777" w:rsidR="00143263" w:rsidRPr="00310DDD" w:rsidRDefault="00143263" w:rsidP="0049606C">
            <w:pPr>
              <w:autoSpaceDE w:val="0"/>
              <w:autoSpaceDN w:val="0"/>
              <w:adjustRightInd w:val="0"/>
              <w:rPr>
                <w:rFonts w:ascii="TimesNewRoman" w:hAnsi="TimesNewRoman" w:cs="TimesNewRoman"/>
                <w:lang w:val="en-GB"/>
              </w:rPr>
            </w:pPr>
            <w:r w:rsidRPr="00310DDD">
              <w:rPr>
                <w:rFonts w:ascii="TimesNewRoman" w:hAnsi="TimesNewRoman" w:cs="TimesNewRoman"/>
                <w:lang w:val="en-GB"/>
              </w:rPr>
              <w:t>SDC considers the access to and the free participation in cultural life as a human right and includes it accordingly in its international development cooperation.</w:t>
            </w:r>
          </w:p>
          <w:p w14:paraId="1BDAB524" w14:textId="77777777" w:rsidR="00143263" w:rsidRPr="00310DDD" w:rsidRDefault="00143263" w:rsidP="0049606C">
            <w:pPr>
              <w:autoSpaceDE w:val="0"/>
              <w:autoSpaceDN w:val="0"/>
              <w:adjustRightInd w:val="0"/>
              <w:rPr>
                <w:rFonts w:ascii="TimesNewRoman" w:hAnsi="TimesNewRoman" w:cs="TimesNewRoman"/>
                <w:lang w:val="en-GB"/>
              </w:rPr>
            </w:pPr>
          </w:p>
          <w:p w14:paraId="3063DA61" w14:textId="77777777" w:rsidR="00143263" w:rsidRPr="00310DDD" w:rsidRDefault="00143263" w:rsidP="0049606C">
            <w:pPr>
              <w:autoSpaceDE w:val="0"/>
              <w:autoSpaceDN w:val="0"/>
              <w:adjustRightInd w:val="0"/>
              <w:rPr>
                <w:rFonts w:ascii="TimesNewRoman" w:hAnsi="TimesNewRoman" w:cs="TimesNewRoman"/>
                <w:lang w:val="en-GB"/>
              </w:rPr>
            </w:pPr>
            <w:r w:rsidRPr="00310DDD">
              <w:rPr>
                <w:rFonts w:ascii="TimesNewRoman" w:hAnsi="TimesNewRoman" w:cs="TimesNewRoman"/>
                <w:lang w:val="en-GB"/>
              </w:rPr>
              <w:t>SDC supports in over 40 country programs interventions in the area of arts and culture with at least one percent of the budget (“culture-%”). A special focus is being laid on the participation of minorities and socially disadvantaged groups.</w:t>
            </w:r>
          </w:p>
          <w:p w14:paraId="01BD8CD7" w14:textId="77777777" w:rsidR="00143263" w:rsidRPr="00310DDD" w:rsidRDefault="00143263" w:rsidP="0049606C">
            <w:pPr>
              <w:autoSpaceDE w:val="0"/>
              <w:autoSpaceDN w:val="0"/>
              <w:adjustRightInd w:val="0"/>
              <w:rPr>
                <w:rFonts w:ascii="TimesNewRoman" w:hAnsi="TimesNewRoman" w:cs="TimesNewRoman"/>
                <w:lang w:val="en-GB"/>
              </w:rPr>
            </w:pPr>
          </w:p>
          <w:p w14:paraId="5FD0C029" w14:textId="77777777" w:rsidR="00143263" w:rsidRPr="00310DDD" w:rsidRDefault="00143263" w:rsidP="0049606C">
            <w:pPr>
              <w:autoSpaceDE w:val="0"/>
              <w:autoSpaceDN w:val="0"/>
              <w:adjustRightInd w:val="0"/>
              <w:rPr>
                <w:rFonts w:ascii="TimesNewRoman" w:hAnsi="TimesNewRoman" w:cs="TimesNewRoman"/>
                <w:lang w:val="en-GB"/>
              </w:rPr>
            </w:pPr>
            <w:r w:rsidRPr="00310DDD">
              <w:rPr>
                <w:rFonts w:ascii="TimesNewRoman" w:hAnsi="TimesNewRoman" w:cs="TimesNewRoman"/>
                <w:lang w:val="en-GB"/>
              </w:rPr>
              <w:t xml:space="preserve">Selected project examples: </w:t>
            </w:r>
          </w:p>
          <w:p w14:paraId="6668DD9B" w14:textId="77777777" w:rsidR="00143263" w:rsidRPr="00310DDD" w:rsidRDefault="00143263" w:rsidP="0049606C">
            <w:pPr>
              <w:autoSpaceDE w:val="0"/>
              <w:autoSpaceDN w:val="0"/>
              <w:adjustRightInd w:val="0"/>
              <w:rPr>
                <w:rFonts w:ascii="TimesNewRoman" w:hAnsi="TimesNewRoman" w:cs="TimesNewRoman"/>
                <w:lang w:val="en-GB"/>
              </w:rPr>
            </w:pPr>
            <w:r w:rsidRPr="00310DDD">
              <w:rPr>
                <w:rFonts w:ascii="TimesNewRoman" w:hAnsi="TimesNewRoman" w:cs="TimesNewRoman"/>
                <w:lang w:val="en-GB"/>
              </w:rPr>
              <w:t xml:space="preserve">(1) Ukraine: Preservation and promotion of the cultural traditions and modern arts of the indigenous people of Crimea with a focus on Crimean Tatars; </w:t>
            </w:r>
          </w:p>
          <w:p w14:paraId="600A65B0" w14:textId="77777777" w:rsidR="00143263" w:rsidRPr="00310DDD" w:rsidRDefault="00143263" w:rsidP="0049606C">
            <w:pPr>
              <w:autoSpaceDE w:val="0"/>
              <w:autoSpaceDN w:val="0"/>
              <w:adjustRightInd w:val="0"/>
              <w:rPr>
                <w:rFonts w:ascii="TimesNewRoman" w:hAnsi="TimesNewRoman" w:cs="TimesNewRoman"/>
                <w:lang w:val="en-GB"/>
              </w:rPr>
            </w:pPr>
            <w:r w:rsidRPr="00310DDD">
              <w:rPr>
                <w:rFonts w:ascii="TimesNewRoman" w:hAnsi="TimesNewRoman" w:cs="TimesNewRoman"/>
                <w:lang w:val="en-GB"/>
              </w:rPr>
              <w:t>(2) Bolivia: “Rescue and revalorisation of the Amazonian Maropa language through stories and puppets”. Contribution to the rescue, reappropriation and continuity of the Amazonian Maropa language, with intergenerational bridges and an audible record of the language (App), which is at risk of extinction.</w:t>
            </w:r>
          </w:p>
          <w:p w14:paraId="09EBFDBD" w14:textId="77777777" w:rsidR="00143263" w:rsidRPr="00310DDD" w:rsidRDefault="00143263" w:rsidP="0049606C">
            <w:pPr>
              <w:autoSpaceDE w:val="0"/>
              <w:autoSpaceDN w:val="0"/>
              <w:adjustRightInd w:val="0"/>
              <w:rPr>
                <w:rFonts w:ascii="TimesNewRoman" w:hAnsi="TimesNewRoman" w:cs="TimesNewRoman"/>
                <w:lang w:val="en-GB"/>
              </w:rPr>
            </w:pPr>
            <w:r w:rsidRPr="00310DDD">
              <w:rPr>
                <w:rFonts w:ascii="TimesNewRoman" w:hAnsi="TimesNewRoman" w:cs="TimesNewRoman"/>
                <w:lang w:val="en-GB"/>
              </w:rPr>
              <w:t>(3) In Somalia, SDC supports online archiving of the primarily oral Somali culture (sounds, poems, religious and historical manuscripts etc.) in order to make it accessible to future generations.</w:t>
            </w:r>
          </w:p>
          <w:p w14:paraId="3D71E53F" w14:textId="77777777" w:rsidR="00143263" w:rsidRPr="00310DDD" w:rsidRDefault="00143263" w:rsidP="0049606C">
            <w:pPr>
              <w:autoSpaceDE w:val="0"/>
              <w:autoSpaceDN w:val="0"/>
              <w:adjustRightInd w:val="0"/>
              <w:rPr>
                <w:rFonts w:ascii="TimesNewRoman" w:hAnsi="TimesNewRoman" w:cs="TimesNewRoman"/>
                <w:lang w:val="en-GB"/>
              </w:rPr>
            </w:pPr>
          </w:p>
        </w:tc>
      </w:tr>
      <w:tr w:rsidR="00143263" w:rsidRPr="003F571B" w14:paraId="1C255B37" w14:textId="77777777" w:rsidTr="0049606C">
        <w:tc>
          <w:tcPr>
            <w:tcW w:w="7621" w:type="dxa"/>
          </w:tcPr>
          <w:p w14:paraId="6FA48CC9" w14:textId="77777777" w:rsidR="00143263" w:rsidRPr="00310DDD" w:rsidRDefault="00143263" w:rsidP="0049606C">
            <w:pPr>
              <w:autoSpaceDE w:val="0"/>
              <w:autoSpaceDN w:val="0"/>
              <w:adjustRightInd w:val="0"/>
              <w:rPr>
                <w:rFonts w:ascii="TimesNewRoman" w:hAnsi="TimesNewRoman" w:cs="TimesNewRoman"/>
                <w:lang w:val="en-GB"/>
              </w:rPr>
            </w:pPr>
            <w:r w:rsidRPr="00310DDD">
              <w:rPr>
                <w:rFonts w:ascii="TimesNewRoman" w:hAnsi="TimesNewRoman" w:cs="TimesNewRoman"/>
                <w:lang w:val="en-GB"/>
              </w:rPr>
              <w:t>3. Please provide recent examples of programmes, policies and commitments</w:t>
            </w:r>
          </w:p>
          <w:p w14:paraId="16B9E485" w14:textId="77777777" w:rsidR="00143263" w:rsidRPr="00310DDD" w:rsidRDefault="00143263" w:rsidP="0049606C">
            <w:pPr>
              <w:autoSpaceDE w:val="0"/>
              <w:autoSpaceDN w:val="0"/>
              <w:adjustRightInd w:val="0"/>
              <w:rPr>
                <w:rFonts w:ascii="TimesNewRoman" w:hAnsi="TimesNewRoman" w:cs="TimesNewRoman"/>
                <w:lang w:val="en-GB"/>
              </w:rPr>
            </w:pPr>
            <w:r w:rsidRPr="00310DDD">
              <w:rPr>
                <w:rFonts w:ascii="TimesNewRoman" w:hAnsi="TimesNewRoman" w:cs="TimesNewRoman"/>
                <w:lang w:val="en-GB"/>
              </w:rPr>
              <w:t>where:</w:t>
            </w:r>
          </w:p>
          <w:p w14:paraId="74809290" w14:textId="77777777" w:rsidR="00143263" w:rsidRPr="00310DDD" w:rsidRDefault="00143263" w:rsidP="00143263">
            <w:pPr>
              <w:pStyle w:val="ListParagraph"/>
              <w:numPr>
                <w:ilvl w:val="1"/>
                <w:numId w:val="28"/>
              </w:numPr>
              <w:autoSpaceDE w:val="0"/>
              <w:autoSpaceDN w:val="0"/>
              <w:adjustRightInd w:val="0"/>
              <w:ind w:left="360"/>
              <w:contextualSpacing/>
              <w:rPr>
                <w:rFonts w:ascii="TimesNewRoman" w:hAnsi="TimesNewRoman" w:cs="TimesNewRoman"/>
                <w:lang w:val="en-GB"/>
              </w:rPr>
            </w:pPr>
            <w:r w:rsidRPr="00310DDD">
              <w:rPr>
                <w:rFonts w:ascii="TimesNewRoman" w:hAnsi="TimesNewRoman" w:cs="TimesNewRoman"/>
                <w:lang w:val="en-GB"/>
              </w:rPr>
              <w:t>sustainable development is discussed beyond wealth accumulation model;</w:t>
            </w:r>
          </w:p>
          <w:p w14:paraId="03838CC3" w14:textId="77777777" w:rsidR="00143263" w:rsidRPr="00310DDD" w:rsidRDefault="00143263" w:rsidP="00143263">
            <w:pPr>
              <w:pStyle w:val="ListParagraph"/>
              <w:numPr>
                <w:ilvl w:val="1"/>
                <w:numId w:val="28"/>
              </w:numPr>
              <w:autoSpaceDE w:val="0"/>
              <w:autoSpaceDN w:val="0"/>
              <w:adjustRightInd w:val="0"/>
              <w:ind w:left="360"/>
              <w:contextualSpacing/>
              <w:rPr>
                <w:rFonts w:ascii="TimesNewRoman" w:hAnsi="TimesNewRoman" w:cs="TimesNewRoman"/>
                <w:lang w:val="en-GB"/>
              </w:rPr>
            </w:pPr>
            <w:r w:rsidRPr="00310DDD">
              <w:rPr>
                <w:rFonts w:ascii="TimesNewRoman" w:hAnsi="TimesNewRoman" w:cs="TimesNewRoman"/>
                <w:lang w:val="en-GB"/>
              </w:rPr>
              <w:t>cultural rights are mentioned and explained;</w:t>
            </w:r>
          </w:p>
          <w:p w14:paraId="68BBBE6C" w14:textId="77777777" w:rsidR="00143263" w:rsidRPr="00310DDD" w:rsidRDefault="00143263" w:rsidP="00143263">
            <w:pPr>
              <w:pStyle w:val="ListParagraph"/>
              <w:numPr>
                <w:ilvl w:val="1"/>
                <w:numId w:val="28"/>
              </w:numPr>
              <w:autoSpaceDE w:val="0"/>
              <w:autoSpaceDN w:val="0"/>
              <w:adjustRightInd w:val="0"/>
              <w:ind w:left="360"/>
              <w:contextualSpacing/>
              <w:rPr>
                <w:rFonts w:ascii="TimesNewRoman" w:hAnsi="TimesNewRoman" w:cs="TimesNewRoman"/>
                <w:lang w:val="en-GB"/>
              </w:rPr>
            </w:pPr>
            <w:r w:rsidRPr="00310DDD">
              <w:rPr>
                <w:rFonts w:ascii="TimesNewRoman" w:hAnsi="TimesNewRoman" w:cs="TimesNewRoman"/>
                <w:lang w:val="en-GB"/>
              </w:rPr>
              <w:t>cultural development is mentioned and explained;</w:t>
            </w:r>
          </w:p>
          <w:p w14:paraId="05852E2C" w14:textId="77777777" w:rsidR="00143263" w:rsidRPr="00310DDD" w:rsidRDefault="00143263" w:rsidP="00143263">
            <w:pPr>
              <w:pStyle w:val="ListParagraph"/>
              <w:numPr>
                <w:ilvl w:val="1"/>
                <w:numId w:val="28"/>
              </w:numPr>
              <w:autoSpaceDE w:val="0"/>
              <w:autoSpaceDN w:val="0"/>
              <w:adjustRightInd w:val="0"/>
              <w:ind w:left="360"/>
              <w:contextualSpacing/>
              <w:rPr>
                <w:rFonts w:ascii="TimesNewRoman" w:hAnsi="TimesNewRoman" w:cs="TimesNewRoman"/>
                <w:lang w:val="en-GB"/>
              </w:rPr>
            </w:pPr>
            <w:r w:rsidRPr="00310DDD">
              <w:rPr>
                <w:rFonts w:ascii="TimesNewRoman" w:hAnsi="TimesNewRoman" w:cs="TimesNewRoman"/>
                <w:lang w:val="en-GB"/>
              </w:rPr>
              <w:lastRenderedPageBreak/>
              <w:t>the expression of cultural diversity is respected, protected and</w:t>
            </w:r>
          </w:p>
          <w:p w14:paraId="614907E7" w14:textId="77777777" w:rsidR="00143263" w:rsidRPr="00310DDD" w:rsidRDefault="00143263" w:rsidP="00143263">
            <w:pPr>
              <w:pStyle w:val="ListParagraph"/>
              <w:numPr>
                <w:ilvl w:val="0"/>
                <w:numId w:val="29"/>
              </w:numPr>
              <w:autoSpaceDE w:val="0"/>
              <w:autoSpaceDN w:val="0"/>
              <w:adjustRightInd w:val="0"/>
              <w:ind w:left="360"/>
              <w:contextualSpacing/>
              <w:rPr>
                <w:rFonts w:ascii="TimesNewRoman" w:hAnsi="TimesNewRoman" w:cs="TimesNewRoman"/>
                <w:lang w:val="en-GB"/>
              </w:rPr>
            </w:pPr>
            <w:r w:rsidRPr="00310DDD">
              <w:rPr>
                <w:rFonts w:ascii="TimesNewRoman" w:hAnsi="TimesNewRoman" w:cs="TimesNewRoman"/>
                <w:lang w:val="en-GB"/>
              </w:rPr>
              <w:t>implemented;</w:t>
            </w:r>
          </w:p>
          <w:p w14:paraId="49C1126B" w14:textId="77777777" w:rsidR="00143263" w:rsidRPr="00310DDD" w:rsidRDefault="00143263" w:rsidP="00143263">
            <w:pPr>
              <w:pStyle w:val="ListParagraph"/>
              <w:numPr>
                <w:ilvl w:val="0"/>
                <w:numId w:val="29"/>
              </w:numPr>
              <w:autoSpaceDE w:val="0"/>
              <w:autoSpaceDN w:val="0"/>
              <w:adjustRightInd w:val="0"/>
              <w:ind w:left="360"/>
              <w:contextualSpacing/>
              <w:rPr>
                <w:rFonts w:ascii="TimesNewRoman" w:hAnsi="TimesNewRoman" w:cs="TimesNewRoman"/>
                <w:lang w:val="en-GB"/>
              </w:rPr>
            </w:pPr>
            <w:r w:rsidRPr="00310DDD">
              <w:rPr>
                <w:rFonts w:ascii="TimesNewRoman" w:hAnsi="TimesNewRoman" w:cs="TimesNewRoman"/>
                <w:lang w:val="en-GB"/>
              </w:rPr>
              <w:t>marginalized voices and aspirations are identified and heard;</w:t>
            </w:r>
          </w:p>
          <w:p w14:paraId="0EEC631F" w14:textId="77777777" w:rsidR="00143263" w:rsidRPr="00310DDD" w:rsidRDefault="00143263" w:rsidP="00143263">
            <w:pPr>
              <w:pStyle w:val="ListParagraph"/>
              <w:numPr>
                <w:ilvl w:val="0"/>
                <w:numId w:val="29"/>
              </w:numPr>
              <w:autoSpaceDE w:val="0"/>
              <w:autoSpaceDN w:val="0"/>
              <w:adjustRightInd w:val="0"/>
              <w:ind w:left="360"/>
              <w:contextualSpacing/>
              <w:rPr>
                <w:rFonts w:ascii="TimesNewRoman" w:hAnsi="TimesNewRoman" w:cs="TimesNewRoman"/>
                <w:lang w:val="en-GB"/>
              </w:rPr>
            </w:pPr>
            <w:r w:rsidRPr="00310DDD">
              <w:rPr>
                <w:rFonts w:ascii="TimesNewRoman" w:hAnsi="TimesNewRoman" w:cs="TimesNewRoman"/>
                <w:lang w:val="en-GB"/>
              </w:rPr>
              <w:t>commitment to ensure that development is self-determined and community</w:t>
            </w:r>
          </w:p>
          <w:p w14:paraId="1DA36458" w14:textId="77777777" w:rsidR="00143263" w:rsidRPr="00310DDD" w:rsidRDefault="00143263" w:rsidP="00143263">
            <w:pPr>
              <w:pStyle w:val="ListParagraph"/>
              <w:numPr>
                <w:ilvl w:val="0"/>
                <w:numId w:val="29"/>
              </w:numPr>
              <w:autoSpaceDE w:val="0"/>
              <w:autoSpaceDN w:val="0"/>
              <w:adjustRightInd w:val="0"/>
              <w:ind w:left="360"/>
              <w:contextualSpacing/>
              <w:rPr>
                <w:rFonts w:ascii="TimesNewRoman" w:hAnsi="TimesNewRoman" w:cs="TimesNewRoman"/>
                <w:lang w:val="en-GB"/>
              </w:rPr>
            </w:pPr>
            <w:r w:rsidRPr="00310DDD">
              <w:rPr>
                <w:rFonts w:ascii="TimesNewRoman" w:hAnsi="TimesNewRoman" w:cs="TimesNewRoman"/>
                <w:lang w:val="en-GB"/>
              </w:rPr>
              <w:t>led are included;</w:t>
            </w:r>
          </w:p>
          <w:p w14:paraId="204D53C5" w14:textId="77777777" w:rsidR="00143263" w:rsidRPr="00310DDD" w:rsidRDefault="00143263" w:rsidP="00143263">
            <w:pPr>
              <w:pStyle w:val="ListParagraph"/>
              <w:numPr>
                <w:ilvl w:val="0"/>
                <w:numId w:val="29"/>
              </w:numPr>
              <w:autoSpaceDE w:val="0"/>
              <w:autoSpaceDN w:val="0"/>
              <w:adjustRightInd w:val="0"/>
              <w:ind w:left="360"/>
              <w:contextualSpacing/>
              <w:rPr>
                <w:rFonts w:ascii="TimesNewRoman" w:hAnsi="TimesNewRoman" w:cs="TimesNewRoman"/>
                <w:lang w:val="en-GB"/>
              </w:rPr>
            </w:pPr>
            <w:r w:rsidRPr="00310DDD">
              <w:rPr>
                <w:rFonts w:ascii="TimesNewRoman" w:hAnsi="TimesNewRoman" w:cs="TimesNewRoman"/>
                <w:lang w:val="en-GB"/>
              </w:rPr>
              <w:t>commitment to take into account the local aspirations, values and</w:t>
            </w:r>
          </w:p>
          <w:p w14:paraId="51937133" w14:textId="77777777" w:rsidR="00143263" w:rsidRPr="00310DDD" w:rsidRDefault="00143263" w:rsidP="00143263">
            <w:pPr>
              <w:pStyle w:val="ListParagraph"/>
              <w:numPr>
                <w:ilvl w:val="0"/>
                <w:numId w:val="29"/>
              </w:numPr>
              <w:autoSpaceDE w:val="0"/>
              <w:autoSpaceDN w:val="0"/>
              <w:adjustRightInd w:val="0"/>
              <w:ind w:left="360"/>
              <w:contextualSpacing/>
              <w:rPr>
                <w:rFonts w:ascii="TimesNewRoman" w:hAnsi="TimesNewRoman" w:cs="TimesNewRoman"/>
                <w:lang w:val="en-GB"/>
              </w:rPr>
            </w:pPr>
            <w:r w:rsidRPr="00310DDD">
              <w:rPr>
                <w:rFonts w:ascii="TimesNewRoman" w:hAnsi="TimesNewRoman" w:cs="TimesNewRoman"/>
                <w:lang w:val="en-GB"/>
              </w:rPr>
              <w:t>priorities, rather than work on a one-size-fits-all model, are explicit;</w:t>
            </w:r>
          </w:p>
          <w:p w14:paraId="206A9A0E" w14:textId="77777777" w:rsidR="00143263" w:rsidRPr="00310DDD" w:rsidRDefault="00143263" w:rsidP="00143263">
            <w:pPr>
              <w:pStyle w:val="ListParagraph"/>
              <w:numPr>
                <w:ilvl w:val="0"/>
                <w:numId w:val="29"/>
              </w:numPr>
              <w:ind w:left="360"/>
              <w:contextualSpacing/>
              <w:rPr>
                <w:szCs w:val="20"/>
                <w:lang w:val="en-GB"/>
              </w:rPr>
            </w:pPr>
            <w:r w:rsidRPr="00310DDD">
              <w:rPr>
                <w:rFonts w:ascii="TimesNewRoman" w:hAnsi="TimesNewRoman" w:cs="TimesNewRoman"/>
                <w:lang w:val="en-GB"/>
              </w:rPr>
              <w:t>- commitments are made to ensure forward looking development.</w:t>
            </w:r>
          </w:p>
        </w:tc>
        <w:tc>
          <w:tcPr>
            <w:tcW w:w="7622" w:type="dxa"/>
          </w:tcPr>
          <w:p w14:paraId="34A4CD79" w14:textId="77777777" w:rsidR="00143263" w:rsidRPr="00310DDD" w:rsidRDefault="00143263" w:rsidP="0049606C">
            <w:pPr>
              <w:rPr>
                <w:rFonts w:ascii="TimesNewRoman" w:hAnsi="TimesNewRoman" w:cs="TimesNewRoman"/>
                <w:lang w:val="en-GB"/>
              </w:rPr>
            </w:pPr>
            <w:r w:rsidRPr="00310DDD">
              <w:rPr>
                <w:rFonts w:ascii="TimesNewRoman" w:hAnsi="TimesNewRoman" w:cs="TimesNewRoman"/>
                <w:lang w:val="en-GB"/>
              </w:rPr>
              <w:lastRenderedPageBreak/>
              <w:t xml:space="preserve">The SDC Thematic Guidance on Culture and Development reflects on the relevance of culture as a human right, shows the interlinkages between culture and sustainable development, points out the protection of cultural rights and focuses on the importance of cultural diversity. In this guidance, SDC considers the following key issues for culture and development: </w:t>
            </w:r>
          </w:p>
          <w:p w14:paraId="316B7240" w14:textId="77777777" w:rsidR="00143263" w:rsidRPr="00310DDD" w:rsidRDefault="00143263" w:rsidP="0049606C">
            <w:pPr>
              <w:rPr>
                <w:rFonts w:ascii="TimesNewRoman" w:hAnsi="TimesNewRoman" w:cs="TimesNewRoman"/>
                <w:lang w:val="en-GB"/>
              </w:rPr>
            </w:pPr>
          </w:p>
          <w:p w14:paraId="020ACC2F" w14:textId="77777777" w:rsidR="00143263" w:rsidRPr="00310DDD" w:rsidRDefault="00143263" w:rsidP="00143263">
            <w:pPr>
              <w:pStyle w:val="ListParagraph"/>
              <w:numPr>
                <w:ilvl w:val="0"/>
                <w:numId w:val="30"/>
              </w:numPr>
              <w:ind w:left="360"/>
              <w:contextualSpacing/>
              <w:rPr>
                <w:rFonts w:ascii="TimesNewRoman" w:hAnsi="TimesNewRoman" w:cs="TimesNewRoman"/>
                <w:lang w:val="en-GB"/>
              </w:rPr>
            </w:pPr>
            <w:r w:rsidRPr="00310DDD">
              <w:rPr>
                <w:rFonts w:ascii="TimesNewRoman" w:hAnsi="TimesNewRoman" w:cs="TimesNewRoman"/>
                <w:lang w:val="en-GB"/>
              </w:rPr>
              <w:t>Intercultural dialogue and exchange lays the foundation for peaceful relations between people, communities and states. Exchanging ideas and openly debating differences is essential to mutual understanding and tolerance. The non-recognition of a minority, a language or religious traditions can stir up tensions, or even unleash conflict.</w:t>
            </w:r>
          </w:p>
          <w:p w14:paraId="7347CCC3" w14:textId="77777777" w:rsidR="00143263" w:rsidRPr="00310DDD" w:rsidRDefault="00143263" w:rsidP="0049606C">
            <w:pPr>
              <w:rPr>
                <w:rFonts w:ascii="TimesNewRoman" w:hAnsi="TimesNewRoman" w:cs="TimesNewRoman"/>
                <w:lang w:val="en-GB"/>
              </w:rPr>
            </w:pPr>
          </w:p>
          <w:p w14:paraId="24873CB2" w14:textId="77777777" w:rsidR="00143263" w:rsidRPr="00310DDD" w:rsidRDefault="00143263" w:rsidP="00143263">
            <w:pPr>
              <w:pStyle w:val="ListParagraph"/>
              <w:numPr>
                <w:ilvl w:val="0"/>
                <w:numId w:val="30"/>
              </w:numPr>
              <w:ind w:left="360"/>
              <w:contextualSpacing/>
              <w:rPr>
                <w:rFonts w:ascii="TimesNewRoman" w:hAnsi="TimesNewRoman" w:cs="TimesNewRoman"/>
                <w:lang w:val="en-GB"/>
              </w:rPr>
            </w:pPr>
            <w:r w:rsidRPr="00310DDD">
              <w:rPr>
                <w:rFonts w:ascii="TimesNewRoman" w:hAnsi="TimesNewRoman" w:cs="TimesNewRoman"/>
                <w:lang w:val="en-GB"/>
              </w:rPr>
              <w:t>Cultural rights, such as accessing and participating in a cultural life of one’s own choosing, are a part of human rights and are indispensable to human dignity and individual fulfilment. Support for cultural diversity and intercultural dialogue is important for peacebuilding and for sustainable development in general.</w:t>
            </w:r>
          </w:p>
          <w:p w14:paraId="733039C6" w14:textId="77777777" w:rsidR="00143263" w:rsidRPr="00143263" w:rsidRDefault="00143263" w:rsidP="0049606C">
            <w:pPr>
              <w:rPr>
                <w:lang w:val="en-US"/>
              </w:rPr>
            </w:pPr>
          </w:p>
        </w:tc>
      </w:tr>
      <w:tr w:rsidR="00143263" w14:paraId="7E8AD34D" w14:textId="77777777" w:rsidTr="0049606C">
        <w:tc>
          <w:tcPr>
            <w:tcW w:w="7621" w:type="dxa"/>
          </w:tcPr>
          <w:p w14:paraId="6029113D" w14:textId="77777777" w:rsidR="00143263" w:rsidRPr="00310DDD" w:rsidRDefault="00143263" w:rsidP="0049606C">
            <w:pPr>
              <w:autoSpaceDE w:val="0"/>
              <w:autoSpaceDN w:val="0"/>
              <w:adjustRightInd w:val="0"/>
              <w:rPr>
                <w:szCs w:val="20"/>
                <w:lang w:val="en-GB"/>
              </w:rPr>
            </w:pPr>
            <w:r w:rsidRPr="00310DDD">
              <w:rPr>
                <w:rFonts w:ascii="TimesNewRoman" w:hAnsi="TimesNewRoman" w:cs="TimesNewRoman"/>
                <w:lang w:val="en-GB"/>
              </w:rPr>
              <w:lastRenderedPageBreak/>
              <w:t>4. Please provide information on any monitoring or evaluation mechanisms assessing the impacts of your development programmes or policies on cultural rights. Also please discuss any mechanism to submit complaints and seek reparation in cases of violations.</w:t>
            </w:r>
          </w:p>
        </w:tc>
        <w:tc>
          <w:tcPr>
            <w:tcW w:w="7622" w:type="dxa"/>
          </w:tcPr>
          <w:p w14:paraId="22873D35" w14:textId="77777777" w:rsidR="00143263" w:rsidRPr="00310DDD" w:rsidRDefault="00143263" w:rsidP="0049606C">
            <w:pPr>
              <w:rPr>
                <w:rFonts w:ascii="TimesNewRoman" w:hAnsi="TimesNewRoman" w:cs="TimesNewRoman"/>
                <w:lang w:val="en-GB"/>
              </w:rPr>
            </w:pPr>
            <w:r w:rsidRPr="00310DDD">
              <w:rPr>
                <w:rFonts w:ascii="TimesNewRoman" w:hAnsi="TimesNewRoman" w:cs="TimesNewRoman"/>
                <w:lang w:val="en-GB"/>
              </w:rPr>
              <w:t>The SDC monitors results in a manner that is suited to the nature of culture programmes. In general, culture programmes are monitored using the SDC’s standard monitoring tools. In working with its partners, however, the SDC takes into account, both at the planning stage and in its assessment of results that such programmes are intended to bring about changes that are primarily qualitative in nature, and thus often difficult to measure or to predict. It is careful to observe, to listen, and to identify the intangible effects of its support, making use of information sources (testimonials, narratives) that complement its standard tools (logical framework approach).</w:t>
            </w:r>
          </w:p>
          <w:p w14:paraId="3943F13F" w14:textId="77777777" w:rsidR="00143263" w:rsidRPr="00310DDD" w:rsidRDefault="00143263" w:rsidP="0049606C">
            <w:pPr>
              <w:rPr>
                <w:rFonts w:ascii="TimesNewRoman" w:hAnsi="TimesNewRoman" w:cs="TimesNewRoman"/>
                <w:lang w:val="en-GB"/>
              </w:rPr>
            </w:pPr>
          </w:p>
        </w:tc>
      </w:tr>
    </w:tbl>
    <w:p w14:paraId="2ED933E0" w14:textId="77777777" w:rsidR="00143263" w:rsidRDefault="00143263" w:rsidP="00143263">
      <w:pPr>
        <w:rPr>
          <w:szCs w:val="20"/>
          <w:lang w:val="en-GB"/>
        </w:rPr>
      </w:pPr>
    </w:p>
    <w:p w14:paraId="5DA7D870" w14:textId="77777777" w:rsidR="00143263" w:rsidRDefault="00143263" w:rsidP="00143263">
      <w:pPr>
        <w:rPr>
          <w:szCs w:val="20"/>
          <w:lang w:val="en-GB"/>
        </w:rPr>
      </w:pPr>
    </w:p>
    <w:p w14:paraId="0B272625" w14:textId="77777777" w:rsidR="00143263" w:rsidRDefault="00143263" w:rsidP="00143263">
      <w:pPr>
        <w:rPr>
          <w:rFonts w:ascii="TimesNewRoman,Bold" w:hAnsi="TimesNewRoman,Bold" w:cs="TimesNewRoman,Bold"/>
          <w:b/>
          <w:bCs/>
          <w:sz w:val="24"/>
          <w:lang w:val="en-GB"/>
        </w:rPr>
      </w:pPr>
      <w:r>
        <w:rPr>
          <w:rFonts w:ascii="TimesNewRoman,Bold" w:hAnsi="TimesNewRoman,Bold" w:cs="TimesNewRoman,Bold"/>
          <w:b/>
          <w:bCs/>
          <w:sz w:val="24"/>
          <w:lang w:val="en-GB"/>
        </w:rPr>
        <w:t>Additional questions for Governments and their national development agencies</w:t>
      </w:r>
    </w:p>
    <w:tbl>
      <w:tblPr>
        <w:tblStyle w:val="TableGrid"/>
        <w:tblW w:w="0" w:type="auto"/>
        <w:tblLook w:val="04A0" w:firstRow="1" w:lastRow="0" w:firstColumn="1" w:lastColumn="0" w:noHBand="0" w:noVBand="1"/>
      </w:tblPr>
      <w:tblGrid>
        <w:gridCol w:w="4280"/>
        <w:gridCol w:w="4782"/>
      </w:tblGrid>
      <w:tr w:rsidR="00143263" w14:paraId="42327DFE" w14:textId="77777777" w:rsidTr="0049606C">
        <w:tc>
          <w:tcPr>
            <w:tcW w:w="7621" w:type="dxa"/>
          </w:tcPr>
          <w:p w14:paraId="77EF0AAB" w14:textId="77777777" w:rsidR="00143263" w:rsidRPr="00310DDD" w:rsidRDefault="00143263" w:rsidP="0049606C">
            <w:pPr>
              <w:autoSpaceDE w:val="0"/>
              <w:autoSpaceDN w:val="0"/>
              <w:adjustRightInd w:val="0"/>
              <w:rPr>
                <w:szCs w:val="20"/>
                <w:lang w:val="en-GB"/>
              </w:rPr>
            </w:pPr>
            <w:r w:rsidRPr="00310DDD">
              <w:rPr>
                <w:rFonts w:ascii="TimesNewRoman" w:hAnsi="TimesNewRoman" w:cs="TimesNewRoman"/>
                <w:lang w:val="en-GB"/>
              </w:rPr>
              <w:t xml:space="preserve">1. How are human rights generally integrated in your development policies and programmes both in your internal policies </w:t>
            </w:r>
            <w:r w:rsidRPr="00310DDD">
              <w:rPr>
                <w:rFonts w:ascii="TimesNewRoman" w:hAnsi="TimesNewRoman" w:cs="TimesNewRoman"/>
                <w:lang w:val="en-GB"/>
              </w:rPr>
              <w:lastRenderedPageBreak/>
              <w:t>and in all programmes of development assistance and cooperation?</w:t>
            </w:r>
          </w:p>
        </w:tc>
        <w:tc>
          <w:tcPr>
            <w:tcW w:w="7622" w:type="dxa"/>
          </w:tcPr>
          <w:p w14:paraId="287928ED" w14:textId="77777777" w:rsidR="00143263" w:rsidRPr="00143263" w:rsidRDefault="00143263" w:rsidP="0049606C">
            <w:pPr>
              <w:rPr>
                <w:lang w:val="en-US"/>
              </w:rPr>
            </w:pPr>
            <w:r w:rsidRPr="00143263">
              <w:rPr>
                <w:lang w:val="en-US"/>
              </w:rPr>
              <w:lastRenderedPageBreak/>
              <w:t xml:space="preserve">See </w:t>
            </w:r>
            <w:hyperlink r:id="rId14" w:history="1">
              <w:r w:rsidRPr="00143263">
                <w:rPr>
                  <w:rStyle w:val="Hyperlink"/>
                  <w:lang w:val="en-US"/>
                </w:rPr>
                <w:t>SDC Guidance on Human Rights in Development and Cooperation</w:t>
              </w:r>
            </w:hyperlink>
          </w:p>
          <w:p w14:paraId="4B23C7AA" w14:textId="77777777" w:rsidR="00143263" w:rsidRDefault="00143263" w:rsidP="00143263">
            <w:pPr>
              <w:pStyle w:val="ListParagraph"/>
              <w:numPr>
                <w:ilvl w:val="0"/>
                <w:numId w:val="34"/>
              </w:numPr>
              <w:contextualSpacing/>
              <w:rPr>
                <w:szCs w:val="20"/>
                <w:lang w:val="en-GB"/>
              </w:rPr>
            </w:pPr>
            <w:r>
              <w:rPr>
                <w:szCs w:val="20"/>
                <w:lang w:val="en-GB"/>
              </w:rPr>
              <w:t>SDC</w:t>
            </w:r>
            <w:r w:rsidRPr="009A3EB7">
              <w:rPr>
                <w:szCs w:val="20"/>
                <w:lang w:val="en-GB"/>
              </w:rPr>
              <w:t xml:space="preserve"> applies a human rights-based approach to all its interventions. This </w:t>
            </w:r>
            <w:r w:rsidRPr="009A3EB7">
              <w:rPr>
                <w:szCs w:val="20"/>
                <w:lang w:val="en-GB"/>
              </w:rPr>
              <w:lastRenderedPageBreak/>
              <w:t>means (1) starting from the standards set out in the international human rights framework, (2) integrating human rights principles (equality, non-discrimination, accountability, transparency) in our policies and programmes, and (3) empowering rights-holders and strengthening duty-bearers across all thematic areas of interventions.</w:t>
            </w:r>
          </w:p>
          <w:p w14:paraId="36AFAE1C" w14:textId="77777777" w:rsidR="00143263" w:rsidRPr="009A3EB7" w:rsidRDefault="00143263" w:rsidP="00143263">
            <w:pPr>
              <w:pStyle w:val="ListParagraph"/>
              <w:numPr>
                <w:ilvl w:val="0"/>
                <w:numId w:val="34"/>
              </w:numPr>
              <w:contextualSpacing/>
              <w:rPr>
                <w:szCs w:val="20"/>
                <w:lang w:val="en-GB"/>
              </w:rPr>
            </w:pPr>
            <w:r>
              <w:rPr>
                <w:rFonts w:eastAsia="Times New Roman" w:cs="Arial"/>
                <w:szCs w:val="20"/>
                <w:lang w:val="en-GB" w:eastAsia="en-GB"/>
              </w:rPr>
              <w:t xml:space="preserve">The </w:t>
            </w:r>
            <w:r w:rsidRPr="00143263">
              <w:rPr>
                <w:rFonts w:eastAsia="Times New Roman" w:cs="Arial"/>
                <w:szCs w:val="20"/>
                <w:lang w:val="en-US" w:eastAsia="en-GB"/>
              </w:rPr>
              <w:t>Human Rights based approach is applied at all levels:</w:t>
            </w:r>
          </w:p>
          <w:p w14:paraId="0CB72A7D" w14:textId="77777777" w:rsidR="00143263" w:rsidRPr="00143263" w:rsidRDefault="00143263" w:rsidP="00143263">
            <w:pPr>
              <w:numPr>
                <w:ilvl w:val="0"/>
                <w:numId w:val="33"/>
              </w:numPr>
              <w:spacing w:after="0" w:line="240" w:lineRule="auto"/>
              <w:textAlignment w:val="center"/>
              <w:rPr>
                <w:rFonts w:eastAsia="Times New Roman" w:cs="Arial"/>
                <w:szCs w:val="20"/>
                <w:lang w:val="en-US" w:eastAsia="en-GB"/>
              </w:rPr>
            </w:pPr>
            <w:r w:rsidRPr="00143263">
              <w:rPr>
                <w:rFonts w:eastAsia="Times New Roman" w:cs="Arial"/>
                <w:szCs w:val="20"/>
                <w:lang w:val="en-US" w:eastAsia="en-GB"/>
              </w:rPr>
              <w:t>Normative level: build on HR framework and principles in definition of visions, cooperation programmes, policies</w:t>
            </w:r>
          </w:p>
          <w:p w14:paraId="69E5A75E" w14:textId="77777777" w:rsidR="00143263" w:rsidRPr="00143263" w:rsidRDefault="00143263" w:rsidP="00143263">
            <w:pPr>
              <w:numPr>
                <w:ilvl w:val="0"/>
                <w:numId w:val="33"/>
              </w:numPr>
              <w:spacing w:after="0" w:line="240" w:lineRule="auto"/>
              <w:textAlignment w:val="center"/>
              <w:rPr>
                <w:rFonts w:eastAsia="Times New Roman" w:cs="Arial"/>
                <w:szCs w:val="20"/>
                <w:lang w:val="en-US" w:eastAsia="en-GB"/>
              </w:rPr>
            </w:pPr>
            <w:r w:rsidRPr="00143263">
              <w:rPr>
                <w:rFonts w:eastAsia="Times New Roman" w:cs="Arial"/>
                <w:szCs w:val="20"/>
                <w:lang w:val="en-US" w:eastAsia="en-GB"/>
              </w:rPr>
              <w:t>Analytical level: include HR in analysis of context and impact of SDC's activities</w:t>
            </w:r>
          </w:p>
          <w:p w14:paraId="2A52B690" w14:textId="77777777" w:rsidR="00143263" w:rsidRPr="00143263" w:rsidRDefault="00143263" w:rsidP="00143263">
            <w:pPr>
              <w:numPr>
                <w:ilvl w:val="0"/>
                <w:numId w:val="33"/>
              </w:numPr>
              <w:spacing w:after="0" w:line="240" w:lineRule="auto"/>
              <w:textAlignment w:val="center"/>
              <w:rPr>
                <w:rFonts w:eastAsia="Times New Roman" w:cs="Arial"/>
                <w:szCs w:val="20"/>
                <w:lang w:val="en-US" w:eastAsia="en-GB"/>
              </w:rPr>
            </w:pPr>
            <w:r w:rsidRPr="00143263">
              <w:rPr>
                <w:rFonts w:eastAsia="Times New Roman" w:cs="Arial"/>
                <w:szCs w:val="20"/>
                <w:lang w:val="en-US" w:eastAsia="en-GB"/>
              </w:rPr>
              <w:t>Operational level: use HRBA as guidance in projects and programmes</w:t>
            </w:r>
          </w:p>
        </w:tc>
      </w:tr>
      <w:tr w:rsidR="00143263" w14:paraId="07763A0B" w14:textId="77777777" w:rsidTr="0049606C">
        <w:tc>
          <w:tcPr>
            <w:tcW w:w="7621" w:type="dxa"/>
          </w:tcPr>
          <w:p w14:paraId="26183E49" w14:textId="77777777" w:rsidR="00143263" w:rsidRPr="00310DDD" w:rsidRDefault="00143263" w:rsidP="0049606C">
            <w:pPr>
              <w:autoSpaceDE w:val="0"/>
              <w:autoSpaceDN w:val="0"/>
              <w:adjustRightInd w:val="0"/>
              <w:rPr>
                <w:szCs w:val="20"/>
                <w:lang w:val="en-GB"/>
              </w:rPr>
            </w:pPr>
            <w:r w:rsidRPr="00310DDD">
              <w:rPr>
                <w:rFonts w:ascii="TimesNewRoman" w:hAnsi="TimesNewRoman" w:cs="TimesNewRoman"/>
                <w:lang w:val="en-GB"/>
              </w:rPr>
              <w:lastRenderedPageBreak/>
              <w:t>2. What human rights guarantees have your Government and its agencies integrated in the development strategies, programmes and cooperation and assistance agreements?</w:t>
            </w:r>
          </w:p>
        </w:tc>
        <w:tc>
          <w:tcPr>
            <w:tcW w:w="7622" w:type="dxa"/>
          </w:tcPr>
          <w:p w14:paraId="0B1A352A" w14:textId="77777777" w:rsidR="00143263" w:rsidRDefault="00143263" w:rsidP="0049606C">
            <w:pPr>
              <w:rPr>
                <w:szCs w:val="20"/>
                <w:lang w:val="en-GB"/>
              </w:rPr>
            </w:pPr>
            <w:r>
              <w:rPr>
                <w:szCs w:val="20"/>
                <w:lang w:val="en-GB"/>
              </w:rPr>
              <w:t>Switzerland includes in its bilateral cooperation treaties as well as project agreements an artile on the basis of cooperation, which states that r</w:t>
            </w:r>
            <w:r w:rsidRPr="009A3EB7">
              <w:rPr>
                <w:szCs w:val="20"/>
                <w:lang w:val="en-GB"/>
              </w:rPr>
              <w:t xml:space="preserve">espect of human rights and democratic principles as set out in particular in the Universal Declaration of Human Rights inspires the internal and external policies of </w:t>
            </w:r>
            <w:r>
              <w:rPr>
                <w:szCs w:val="20"/>
                <w:lang w:val="en-GB"/>
              </w:rPr>
              <w:t>Switzerland and the partner country</w:t>
            </w:r>
            <w:r w:rsidRPr="009A3EB7">
              <w:rPr>
                <w:szCs w:val="20"/>
                <w:lang w:val="en-GB"/>
              </w:rPr>
              <w:t xml:space="preserve"> and constitutes an essential element on an equal footing with </w:t>
            </w:r>
            <w:r>
              <w:rPr>
                <w:szCs w:val="20"/>
                <w:lang w:val="en-GB"/>
              </w:rPr>
              <w:t>regard to the bilateral cooperation/programme</w:t>
            </w:r>
            <w:r w:rsidRPr="009A3EB7">
              <w:rPr>
                <w:szCs w:val="20"/>
                <w:lang w:val="en-GB"/>
              </w:rPr>
              <w:t>.</w:t>
            </w:r>
          </w:p>
        </w:tc>
      </w:tr>
      <w:tr w:rsidR="00143263" w14:paraId="25A715AC" w14:textId="77777777" w:rsidTr="0049606C">
        <w:tc>
          <w:tcPr>
            <w:tcW w:w="7621" w:type="dxa"/>
          </w:tcPr>
          <w:p w14:paraId="5D9D6ACC" w14:textId="77777777" w:rsidR="00143263" w:rsidRPr="00310DDD" w:rsidRDefault="00143263" w:rsidP="0049606C">
            <w:pPr>
              <w:autoSpaceDE w:val="0"/>
              <w:autoSpaceDN w:val="0"/>
              <w:adjustRightInd w:val="0"/>
              <w:rPr>
                <w:szCs w:val="20"/>
                <w:lang w:val="en-GB"/>
              </w:rPr>
            </w:pPr>
            <w:r w:rsidRPr="00310DDD">
              <w:rPr>
                <w:rFonts w:ascii="TimesNewRoman" w:hAnsi="TimesNewRoman" w:cs="TimesNewRoman"/>
                <w:lang w:val="en-GB"/>
              </w:rPr>
              <w:t>3. Are there participatory processes influencing and informing the elaboration, implementation and evaluation of the development policies and programmes conducted by your Government abroad? If so, how are they integrated?</w:t>
            </w:r>
          </w:p>
        </w:tc>
        <w:tc>
          <w:tcPr>
            <w:tcW w:w="7622" w:type="dxa"/>
          </w:tcPr>
          <w:p w14:paraId="7B16F3CA" w14:textId="77777777" w:rsidR="00143263" w:rsidRDefault="00143263" w:rsidP="0049606C">
            <w:pPr>
              <w:rPr>
                <w:szCs w:val="20"/>
                <w:lang w:val="en-GB"/>
              </w:rPr>
            </w:pPr>
            <w:r>
              <w:rPr>
                <w:szCs w:val="20"/>
                <w:lang w:val="en-GB"/>
              </w:rPr>
              <w:t>Switzerland puts a strong emphasis on participatory approaches. With regard to international cooperation, this happens as follows:</w:t>
            </w:r>
          </w:p>
          <w:p w14:paraId="3A938ADD" w14:textId="77777777" w:rsidR="00143263" w:rsidRDefault="00143263" w:rsidP="00143263">
            <w:pPr>
              <w:pStyle w:val="ListParagraph"/>
              <w:numPr>
                <w:ilvl w:val="0"/>
                <w:numId w:val="35"/>
              </w:numPr>
              <w:contextualSpacing/>
              <w:rPr>
                <w:szCs w:val="20"/>
                <w:lang w:val="en-GB"/>
              </w:rPr>
            </w:pPr>
            <w:r>
              <w:rPr>
                <w:szCs w:val="20"/>
                <w:lang w:val="en-GB"/>
              </w:rPr>
              <w:t xml:space="preserve">Since 2021, the </w:t>
            </w:r>
            <w:r w:rsidRPr="0080149C">
              <w:rPr>
                <w:b/>
                <w:szCs w:val="20"/>
                <w:lang w:val="en-GB"/>
              </w:rPr>
              <w:t>international cooperation strategy</w:t>
            </w:r>
            <w:r>
              <w:rPr>
                <w:szCs w:val="20"/>
                <w:lang w:val="en-GB"/>
              </w:rPr>
              <w:t xml:space="preserve"> is </w:t>
            </w:r>
            <w:r w:rsidRPr="0080149C">
              <w:rPr>
                <w:szCs w:val="20"/>
                <w:lang w:val="en-GB"/>
              </w:rPr>
              <w:t>subject to a public consultation procedure</w:t>
            </w:r>
            <w:r>
              <w:rPr>
                <w:szCs w:val="20"/>
                <w:lang w:val="en-GB"/>
              </w:rPr>
              <w:t xml:space="preserve"> in Switzerland</w:t>
            </w:r>
          </w:p>
          <w:p w14:paraId="49430B23" w14:textId="77777777" w:rsidR="00143263" w:rsidRPr="0080149C" w:rsidRDefault="00143263" w:rsidP="00143263">
            <w:pPr>
              <w:pStyle w:val="ListParagraph"/>
              <w:numPr>
                <w:ilvl w:val="0"/>
                <w:numId w:val="35"/>
              </w:numPr>
              <w:contextualSpacing/>
              <w:rPr>
                <w:szCs w:val="20"/>
                <w:lang w:val="en-GB"/>
              </w:rPr>
            </w:pPr>
            <w:r w:rsidRPr="0080149C">
              <w:rPr>
                <w:b/>
                <w:szCs w:val="20"/>
                <w:lang w:val="en-GB"/>
              </w:rPr>
              <w:t>Cooperation programmes</w:t>
            </w:r>
            <w:r>
              <w:rPr>
                <w:szCs w:val="20"/>
                <w:lang w:val="en-GB"/>
              </w:rPr>
              <w:t xml:space="preserve"> with partner countries are subject to c</w:t>
            </w:r>
            <w:r w:rsidRPr="00143263">
              <w:rPr>
                <w:lang w:val="en-US"/>
              </w:rPr>
              <w:t>onsultations in the partner country. This process generally includes government offices, civil society in the partner country, local private sector, the local donor community and multilateral actors.</w:t>
            </w:r>
          </w:p>
          <w:p w14:paraId="2C0F292A" w14:textId="77777777" w:rsidR="00143263" w:rsidRPr="0080149C" w:rsidRDefault="00143263" w:rsidP="00143263">
            <w:pPr>
              <w:pStyle w:val="ListParagraph"/>
              <w:numPr>
                <w:ilvl w:val="0"/>
                <w:numId w:val="35"/>
              </w:numPr>
              <w:contextualSpacing/>
              <w:rPr>
                <w:szCs w:val="20"/>
                <w:lang w:val="en-GB"/>
              </w:rPr>
            </w:pPr>
            <w:r w:rsidRPr="00143263">
              <w:rPr>
                <w:lang w:val="en-US"/>
              </w:rPr>
              <w:t xml:space="preserve">At </w:t>
            </w:r>
            <w:r w:rsidRPr="00143263">
              <w:rPr>
                <w:b/>
                <w:lang w:val="en-US"/>
              </w:rPr>
              <w:t>project level</w:t>
            </w:r>
            <w:r w:rsidRPr="00143263">
              <w:rPr>
                <w:lang w:val="en-US"/>
              </w:rPr>
              <w:t xml:space="preserve">, several tools exist to ensure participation of the local </w:t>
            </w:r>
            <w:r w:rsidRPr="00143263">
              <w:rPr>
                <w:lang w:val="en-US"/>
              </w:rPr>
              <w:lastRenderedPageBreak/>
              <w:t xml:space="preserve">community, for example </w:t>
            </w:r>
            <w:hyperlink r:id="rId15" w:history="1">
              <w:r w:rsidRPr="00143263">
                <w:rPr>
                  <w:rStyle w:val="Hyperlink"/>
                  <w:lang w:val="en-US"/>
                </w:rPr>
                <w:t>Participatory Assessment</w:t>
              </w:r>
            </w:hyperlink>
          </w:p>
          <w:p w14:paraId="5CAAF5DD" w14:textId="77777777" w:rsidR="00143263" w:rsidRDefault="00143263" w:rsidP="0049606C">
            <w:pPr>
              <w:rPr>
                <w:szCs w:val="20"/>
                <w:lang w:val="en-GB"/>
              </w:rPr>
            </w:pPr>
          </w:p>
        </w:tc>
      </w:tr>
      <w:tr w:rsidR="00143263" w14:paraId="4304767B" w14:textId="77777777" w:rsidTr="0049606C">
        <w:tc>
          <w:tcPr>
            <w:tcW w:w="7621" w:type="dxa"/>
          </w:tcPr>
          <w:p w14:paraId="15F74107" w14:textId="77777777" w:rsidR="00143263" w:rsidRPr="00310DDD" w:rsidRDefault="00143263" w:rsidP="0049606C">
            <w:pPr>
              <w:autoSpaceDE w:val="0"/>
              <w:autoSpaceDN w:val="0"/>
              <w:adjustRightInd w:val="0"/>
              <w:rPr>
                <w:szCs w:val="20"/>
                <w:lang w:val="en-GB"/>
              </w:rPr>
            </w:pPr>
            <w:r w:rsidRPr="00310DDD">
              <w:rPr>
                <w:rFonts w:ascii="TimesNewRoman" w:hAnsi="TimesNewRoman" w:cs="TimesNewRoman"/>
                <w:lang w:val="en-GB"/>
              </w:rPr>
              <w:lastRenderedPageBreak/>
              <w:t>4. Have the development priorities or the assistance provided by global agencies (such as the World Bank, the IMF and any other relevant international trade and development organisations) impacted the cultural rights and diversity aspects of your country’s development policies? Please provide positive and negative examples where relevant, especially after 2018.</w:t>
            </w:r>
          </w:p>
        </w:tc>
        <w:tc>
          <w:tcPr>
            <w:tcW w:w="7622" w:type="dxa"/>
          </w:tcPr>
          <w:p w14:paraId="49865F57" w14:textId="77777777" w:rsidR="00143263" w:rsidRDefault="00143263" w:rsidP="0049606C">
            <w:pPr>
              <w:rPr>
                <w:szCs w:val="20"/>
                <w:lang w:val="en-GB"/>
              </w:rPr>
            </w:pPr>
            <w:r w:rsidRPr="00310DDD">
              <w:rPr>
                <w:rFonts w:ascii="TimesNewRoman" w:hAnsi="TimesNewRoman" w:cs="TimesNewRoman"/>
                <w:lang w:val="en-GB"/>
              </w:rPr>
              <w:t>The “UNESCO 2005 convention on the protection and promotion of the diversity of cultural expressions” has profoundly influenced the SDC Culture policy in the reorientation of the SDC's cultural programme in 2010.</w:t>
            </w:r>
          </w:p>
        </w:tc>
      </w:tr>
    </w:tbl>
    <w:p w14:paraId="29CDB7C5" w14:textId="69954F9C" w:rsidR="00DD39E2" w:rsidRPr="00143263" w:rsidRDefault="00DD39E2" w:rsidP="00143263">
      <w:pPr>
        <w:pStyle w:val="ListParagraph"/>
        <w:numPr>
          <w:ilvl w:val="0"/>
          <w:numId w:val="27"/>
        </w:numPr>
        <w:tabs>
          <w:tab w:val="left" w:pos="284"/>
        </w:tabs>
        <w:autoSpaceDE w:val="0"/>
        <w:autoSpaceDN w:val="0"/>
        <w:adjustRightInd w:val="0"/>
        <w:ind w:left="0" w:firstLine="0"/>
        <w:contextualSpacing/>
        <w:jc w:val="both"/>
        <w:rPr>
          <w:rFonts w:ascii="Arial" w:hAnsi="Arial" w:cs="Arial"/>
          <w:sz w:val="20"/>
          <w:szCs w:val="20"/>
          <w:lang w:val="en-US"/>
        </w:rPr>
      </w:pPr>
    </w:p>
    <w:sectPr w:rsidR="00DD39E2" w:rsidRPr="00143263" w:rsidSect="00911349">
      <w:headerReference w:type="default" r:id="rId16"/>
      <w:footerReference w:type="default" r:id="rId17"/>
      <w:headerReference w:type="first" r:id="rId18"/>
      <w:footerReference w:type="first" r:id="rId19"/>
      <w:pgSz w:w="11907" w:h="16840" w:code="9"/>
      <w:pgMar w:top="340" w:right="1134" w:bottom="907" w:left="1701" w:header="680"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D30ED" w14:textId="77777777" w:rsidR="00CB0DE9" w:rsidRDefault="00CB0DE9">
      <w:pPr>
        <w:spacing w:line="240" w:lineRule="auto"/>
      </w:pPr>
      <w:r>
        <w:separator/>
      </w:r>
    </w:p>
  </w:endnote>
  <w:endnote w:type="continuationSeparator" w:id="0">
    <w:p w14:paraId="1DFBFA4E" w14:textId="77777777" w:rsidR="00CB0DE9" w:rsidRDefault="00CB0D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4" w:type="dxa"/>
      <w:tblLayout w:type="fixed"/>
      <w:tblCellMar>
        <w:left w:w="0" w:type="dxa"/>
        <w:right w:w="0" w:type="dxa"/>
      </w:tblCellMar>
      <w:tblLook w:val="01E0" w:firstRow="1" w:lastRow="1" w:firstColumn="1" w:lastColumn="1" w:noHBand="0" w:noVBand="0"/>
    </w:tblPr>
    <w:tblGrid>
      <w:gridCol w:w="9485"/>
      <w:gridCol w:w="409"/>
    </w:tblGrid>
    <w:tr w:rsidR="00754672" w:rsidRPr="00D33E17" w14:paraId="7F407D3B" w14:textId="77777777" w:rsidTr="00CC58A5">
      <w:trPr>
        <w:cantSplit/>
      </w:trPr>
      <w:tc>
        <w:tcPr>
          <w:tcW w:w="9611" w:type="dxa"/>
          <w:gridSpan w:val="2"/>
          <w:vAlign w:val="bottom"/>
        </w:tcPr>
        <w:p w14:paraId="75DECBE1" w14:textId="3CD1A700" w:rsidR="00754672" w:rsidRPr="00D33E17" w:rsidRDefault="00754672" w:rsidP="00A4182F">
          <w:pPr>
            <w:pStyle w:val="Seite"/>
          </w:pPr>
          <w:r w:rsidRPr="00D33E17">
            <w:fldChar w:fldCharType="begin"/>
          </w:r>
          <w:r w:rsidRPr="00D33E17">
            <w:instrText xml:space="preserve"> PAGE  </w:instrText>
          </w:r>
          <w:r w:rsidRPr="00D33E17">
            <w:fldChar w:fldCharType="separate"/>
          </w:r>
          <w:r w:rsidR="007F4878">
            <w:rPr>
              <w:noProof/>
            </w:rPr>
            <w:t>4</w:t>
          </w:r>
          <w:r w:rsidRPr="00D33E17">
            <w:fldChar w:fldCharType="end"/>
          </w:r>
          <w:r w:rsidRPr="00D33E17">
            <w:t>/</w:t>
          </w:r>
          <w:r w:rsidR="005D2361">
            <w:fldChar w:fldCharType="begin"/>
          </w:r>
          <w:r w:rsidR="005D2361">
            <w:instrText xml:space="preserve"> NUMPAGES  </w:instrText>
          </w:r>
          <w:r w:rsidR="005D2361">
            <w:fldChar w:fldCharType="separate"/>
          </w:r>
          <w:r w:rsidR="007F4878">
            <w:rPr>
              <w:noProof/>
            </w:rPr>
            <w:t>4</w:t>
          </w:r>
          <w:r w:rsidR="005D2361">
            <w:rPr>
              <w:noProof/>
            </w:rPr>
            <w:fldChar w:fldCharType="end"/>
          </w:r>
        </w:p>
      </w:tc>
    </w:tr>
    <w:tr w:rsidR="00754672" w:rsidRPr="00604327" w14:paraId="792E7BDB" w14:textId="77777777" w:rsidTr="00CC58A5">
      <w:trPr>
        <w:gridAfter w:val="1"/>
        <w:wAfter w:w="397" w:type="dxa"/>
        <w:cantSplit/>
        <w:trHeight w:hRule="exact" w:val="595"/>
      </w:trPr>
      <w:tc>
        <w:tcPr>
          <w:tcW w:w="9214" w:type="dxa"/>
          <w:vAlign w:val="bottom"/>
        </w:tcPr>
        <w:p w14:paraId="6811426F" w14:textId="77777777" w:rsidR="00754672" w:rsidRPr="00604327" w:rsidRDefault="00754672" w:rsidP="00A4182F">
          <w:pPr>
            <w:pStyle w:val="Pfad"/>
          </w:pPr>
        </w:p>
      </w:tc>
    </w:tr>
  </w:tbl>
  <w:p w14:paraId="0752711B" w14:textId="77777777" w:rsidR="00754672" w:rsidRPr="00604327" w:rsidRDefault="00754672" w:rsidP="00A4182F">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5" w:type="dxa"/>
      <w:tblCellMar>
        <w:left w:w="0" w:type="dxa"/>
        <w:right w:w="0" w:type="dxa"/>
      </w:tblCellMar>
      <w:tblLook w:val="01E0" w:firstRow="1" w:lastRow="1" w:firstColumn="1" w:lastColumn="1" w:noHBand="0" w:noVBand="0"/>
    </w:tblPr>
    <w:tblGrid>
      <w:gridCol w:w="4253"/>
      <w:gridCol w:w="4962"/>
    </w:tblGrid>
    <w:tr w:rsidR="00754672" w:rsidRPr="001F317A" w14:paraId="72E1D4CF" w14:textId="77777777" w:rsidTr="00CC58A5">
      <w:trPr>
        <w:cantSplit/>
        <w:trHeight w:val="1000"/>
      </w:trPr>
      <w:tc>
        <w:tcPr>
          <w:tcW w:w="4253" w:type="dxa"/>
        </w:tcPr>
        <w:p w14:paraId="2CEA2CCF" w14:textId="77777777" w:rsidR="00754672" w:rsidRPr="00D33E17" w:rsidRDefault="00754672" w:rsidP="00754672">
          <w:pPr>
            <w:pStyle w:val="Footer"/>
          </w:pPr>
        </w:p>
      </w:tc>
      <w:tc>
        <w:tcPr>
          <w:tcW w:w="4253" w:type="dxa"/>
        </w:tcPr>
        <w:p w14:paraId="2EC5BC9E" w14:textId="77777777" w:rsidR="00754672" w:rsidRPr="007B145E" w:rsidRDefault="00754672" w:rsidP="00754672">
          <w:pPr>
            <w:pStyle w:val="KopfDept"/>
            <w:spacing w:after="0"/>
            <w:rPr>
              <w:b/>
              <w:lang w:val="fr-FR"/>
            </w:rPr>
          </w:pPr>
        </w:p>
      </w:tc>
    </w:tr>
    <w:tr w:rsidR="00754672" w:rsidRPr="00604327" w14:paraId="1961208D" w14:textId="77777777" w:rsidTr="00CC58A5">
      <w:trPr>
        <w:cantSplit/>
        <w:trHeight w:hRule="exact" w:val="595"/>
      </w:trPr>
      <w:tc>
        <w:tcPr>
          <w:tcW w:w="9214" w:type="dxa"/>
          <w:gridSpan w:val="2"/>
          <w:vAlign w:val="bottom"/>
        </w:tcPr>
        <w:p w14:paraId="5CADFA1D" w14:textId="77777777" w:rsidR="00754672" w:rsidRPr="00604327" w:rsidRDefault="00754672" w:rsidP="00A4182F">
          <w:pPr>
            <w:pStyle w:val="Pfad"/>
          </w:pPr>
        </w:p>
      </w:tc>
    </w:tr>
  </w:tbl>
  <w:p w14:paraId="3E2A77EC" w14:textId="77777777" w:rsidR="00754672" w:rsidRPr="00604327" w:rsidRDefault="00754672" w:rsidP="00A4182F">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A077" w14:textId="77777777" w:rsidR="00CB0DE9" w:rsidRDefault="00CB0DE9">
      <w:pPr>
        <w:spacing w:line="240" w:lineRule="auto"/>
      </w:pPr>
      <w:r>
        <w:separator/>
      </w:r>
    </w:p>
  </w:footnote>
  <w:footnote w:type="continuationSeparator" w:id="0">
    <w:p w14:paraId="46DABC71" w14:textId="77777777" w:rsidR="00CB0DE9" w:rsidRDefault="00CB0D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754672" w14:paraId="009C1FD3" w14:textId="77777777">
      <w:trPr>
        <w:cantSplit/>
        <w:trHeight w:hRule="exact" w:val="20"/>
      </w:trPr>
      <w:tc>
        <w:tcPr>
          <w:tcW w:w="4848" w:type="dxa"/>
        </w:tcPr>
        <w:p w14:paraId="620A8DBA" w14:textId="77777777" w:rsidR="00754672" w:rsidRPr="00E534A0" w:rsidRDefault="00754672" w:rsidP="00A4182F">
          <w:pPr>
            <w:pStyle w:val="Logo"/>
          </w:pPr>
        </w:p>
      </w:tc>
      <w:tc>
        <w:tcPr>
          <w:tcW w:w="4961" w:type="dxa"/>
        </w:tcPr>
        <w:p w14:paraId="49EC12DA" w14:textId="77777777" w:rsidR="00754672" w:rsidRPr="00D33E17" w:rsidRDefault="00754672" w:rsidP="00A4182F">
          <w:pPr>
            <w:pStyle w:val="Header"/>
          </w:pPr>
        </w:p>
      </w:tc>
    </w:tr>
  </w:tbl>
  <w:p w14:paraId="007D80FA" w14:textId="77777777" w:rsidR="00754672" w:rsidRPr="00BF5039" w:rsidRDefault="00754672" w:rsidP="00A4182F">
    <w:pPr>
      <w:pStyle w:val="Header"/>
      <w:rPr>
        <w:b/>
      </w:rPr>
    </w:pPr>
    <w:r w:rsidRPr="00BF5039">
      <w:rPr>
        <w:b/>
      </w:rPr>
      <w:fldChar w:fldCharType="begin"/>
    </w:r>
    <w:r w:rsidRPr="00BF5039">
      <w:rPr>
        <w:b/>
      </w:rPr>
      <w:instrText xml:space="preserve"> DOCVARIABLE  Klassifizierungsvermerk  \* MERGEFORMAT </w:instrText>
    </w:r>
    <w:r w:rsidRPr="00BF5039">
      <w:rPr>
        <w:b/>
      </w:rPr>
      <w:fldChar w:fldCharType="end"/>
    </w:r>
  </w:p>
  <w:p w14:paraId="69C9A773" w14:textId="77777777" w:rsidR="00754672" w:rsidRDefault="00754672" w:rsidP="00A4182F">
    <w:pPr>
      <w:pStyle w:val="Header"/>
      <w:spacing w:after="11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0" w:type="dxa"/>
        <w:right w:w="0" w:type="dxa"/>
      </w:tblCellMar>
      <w:tblLook w:val="01E0" w:firstRow="1" w:lastRow="1" w:firstColumn="1" w:lastColumn="1" w:noHBand="0" w:noVBand="0"/>
    </w:tblPr>
    <w:tblGrid>
      <w:gridCol w:w="4848"/>
      <w:gridCol w:w="4961"/>
    </w:tblGrid>
    <w:tr w:rsidR="00754672" w:rsidRPr="00143263" w14:paraId="2BA6BAA6" w14:textId="77777777" w:rsidTr="00CC58A5">
      <w:trPr>
        <w:cantSplit/>
        <w:trHeight w:hRule="exact" w:val="1840"/>
      </w:trPr>
      <w:tc>
        <w:tcPr>
          <w:tcW w:w="4848" w:type="dxa"/>
        </w:tcPr>
        <w:p w14:paraId="57B1E992" w14:textId="77777777" w:rsidR="00754672" w:rsidRPr="00E534A0" w:rsidRDefault="00A84A5A" w:rsidP="00A4182F">
          <w:pPr>
            <w:pStyle w:val="Logo"/>
          </w:pPr>
          <w:r>
            <w:drawing>
              <wp:inline distT="0" distB="0" distL="0" distR="0" wp14:anchorId="5987D3D0" wp14:editId="4AD5C6B3">
                <wp:extent cx="2009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76300"/>
                        </a:xfrm>
                        <a:prstGeom prst="rect">
                          <a:avLst/>
                        </a:prstGeom>
                        <a:noFill/>
                        <a:ln>
                          <a:noFill/>
                        </a:ln>
                      </pic:spPr>
                    </pic:pic>
                  </a:graphicData>
                </a:graphic>
              </wp:inline>
            </w:drawing>
          </w:r>
        </w:p>
      </w:tc>
      <w:tc>
        <w:tcPr>
          <w:tcW w:w="4961" w:type="dxa"/>
        </w:tcPr>
        <w:p w14:paraId="5F5A70D0" w14:textId="77777777" w:rsidR="00754672" w:rsidRPr="00CB3A78" w:rsidRDefault="00315052" w:rsidP="00B33013">
          <w:pPr>
            <w:pStyle w:val="KopfDept"/>
            <w:jc w:val="right"/>
            <w:rPr>
              <w:rFonts w:ascii="Arial" w:hAnsi="Arial" w:cs="Arial"/>
              <w:lang w:val="fr-CH"/>
            </w:rPr>
          </w:pPr>
          <w:r w:rsidRPr="00CB3A78">
            <w:rPr>
              <w:rFonts w:ascii="Arial" w:hAnsi="Arial" w:cs="Arial"/>
              <w:lang w:val="fr-FR"/>
            </w:rPr>
            <w:t>Département fédéral des affaires étrangères DFAE</w:t>
          </w:r>
        </w:p>
      </w:tc>
    </w:tr>
  </w:tbl>
  <w:p w14:paraId="3653390A" w14:textId="77777777" w:rsidR="00754672" w:rsidRPr="00315052" w:rsidRDefault="00754672" w:rsidP="00A4182F">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4A5"/>
    <w:multiLevelType w:val="hybridMultilevel"/>
    <w:tmpl w:val="6C8A7DE8"/>
    <w:lvl w:ilvl="0" w:tplc="EBE8DC84">
      <w:start w:val="13"/>
      <w:numFmt w:val="decimal"/>
      <w:lvlText w:val="%1."/>
      <w:lvlJc w:val="left"/>
      <w:pPr>
        <w:ind w:left="8352" w:hanging="360"/>
      </w:pPr>
      <w:rPr>
        <w:rFonts w:hint="default"/>
      </w:rPr>
    </w:lvl>
    <w:lvl w:ilvl="1" w:tplc="08070019" w:tentative="1">
      <w:start w:val="1"/>
      <w:numFmt w:val="lowerLetter"/>
      <w:lvlText w:val="%2."/>
      <w:lvlJc w:val="left"/>
      <w:pPr>
        <w:ind w:left="9072" w:hanging="360"/>
      </w:pPr>
    </w:lvl>
    <w:lvl w:ilvl="2" w:tplc="0807001B" w:tentative="1">
      <w:start w:val="1"/>
      <w:numFmt w:val="lowerRoman"/>
      <w:lvlText w:val="%3."/>
      <w:lvlJc w:val="right"/>
      <w:pPr>
        <w:ind w:left="9792" w:hanging="180"/>
      </w:pPr>
    </w:lvl>
    <w:lvl w:ilvl="3" w:tplc="0807000F" w:tentative="1">
      <w:start w:val="1"/>
      <w:numFmt w:val="decimal"/>
      <w:lvlText w:val="%4."/>
      <w:lvlJc w:val="left"/>
      <w:pPr>
        <w:ind w:left="10512" w:hanging="360"/>
      </w:pPr>
    </w:lvl>
    <w:lvl w:ilvl="4" w:tplc="08070019" w:tentative="1">
      <w:start w:val="1"/>
      <w:numFmt w:val="lowerLetter"/>
      <w:lvlText w:val="%5."/>
      <w:lvlJc w:val="left"/>
      <w:pPr>
        <w:ind w:left="11232" w:hanging="360"/>
      </w:pPr>
    </w:lvl>
    <w:lvl w:ilvl="5" w:tplc="0807001B" w:tentative="1">
      <w:start w:val="1"/>
      <w:numFmt w:val="lowerRoman"/>
      <w:lvlText w:val="%6."/>
      <w:lvlJc w:val="right"/>
      <w:pPr>
        <w:ind w:left="11952" w:hanging="180"/>
      </w:pPr>
    </w:lvl>
    <w:lvl w:ilvl="6" w:tplc="0807000F" w:tentative="1">
      <w:start w:val="1"/>
      <w:numFmt w:val="decimal"/>
      <w:lvlText w:val="%7."/>
      <w:lvlJc w:val="left"/>
      <w:pPr>
        <w:ind w:left="12672" w:hanging="360"/>
      </w:pPr>
    </w:lvl>
    <w:lvl w:ilvl="7" w:tplc="08070019" w:tentative="1">
      <w:start w:val="1"/>
      <w:numFmt w:val="lowerLetter"/>
      <w:lvlText w:val="%8."/>
      <w:lvlJc w:val="left"/>
      <w:pPr>
        <w:ind w:left="13392" w:hanging="360"/>
      </w:pPr>
    </w:lvl>
    <w:lvl w:ilvl="8" w:tplc="0807001B" w:tentative="1">
      <w:start w:val="1"/>
      <w:numFmt w:val="lowerRoman"/>
      <w:lvlText w:val="%9."/>
      <w:lvlJc w:val="right"/>
      <w:pPr>
        <w:ind w:left="14112" w:hanging="180"/>
      </w:pPr>
    </w:lvl>
  </w:abstractNum>
  <w:abstractNum w:abstractNumId="1" w15:restartNumberingAfterBreak="0">
    <w:nsid w:val="035B74F4"/>
    <w:multiLevelType w:val="hybridMultilevel"/>
    <w:tmpl w:val="1C869BE6"/>
    <w:lvl w:ilvl="0" w:tplc="8C9CD456">
      <w:start w:val="2"/>
      <w:numFmt w:val="bullet"/>
      <w:lvlText w:val="-"/>
      <w:lvlJc w:val="left"/>
      <w:pPr>
        <w:ind w:left="1440" w:hanging="360"/>
      </w:pPr>
      <w:rPr>
        <w:rFonts w:ascii="TimesNewRoman" w:eastAsiaTheme="minorHAnsi"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72E25"/>
    <w:multiLevelType w:val="hybridMultilevel"/>
    <w:tmpl w:val="D664787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40D24F1"/>
    <w:multiLevelType w:val="hybridMultilevel"/>
    <w:tmpl w:val="CE44C5BE"/>
    <w:lvl w:ilvl="0" w:tplc="217AB376">
      <w:start w:val="1"/>
      <w:numFmt w:val="bullet"/>
      <w:lvlText w:val="•"/>
      <w:lvlJc w:val="left"/>
      <w:pPr>
        <w:tabs>
          <w:tab w:val="num" w:pos="-360"/>
        </w:tabs>
        <w:ind w:left="-360" w:hanging="360"/>
      </w:pPr>
      <w:rPr>
        <w:rFonts w:ascii="Arial" w:hAnsi="Arial" w:hint="default"/>
      </w:rPr>
    </w:lvl>
    <w:lvl w:ilvl="1" w:tplc="6A7229D2" w:tentative="1">
      <w:start w:val="1"/>
      <w:numFmt w:val="bullet"/>
      <w:lvlText w:val="•"/>
      <w:lvlJc w:val="left"/>
      <w:pPr>
        <w:tabs>
          <w:tab w:val="num" w:pos="360"/>
        </w:tabs>
        <w:ind w:left="360" w:hanging="360"/>
      </w:pPr>
      <w:rPr>
        <w:rFonts w:ascii="Arial" w:hAnsi="Arial" w:hint="default"/>
      </w:rPr>
    </w:lvl>
    <w:lvl w:ilvl="2" w:tplc="E1E21B0A" w:tentative="1">
      <w:start w:val="1"/>
      <w:numFmt w:val="bullet"/>
      <w:lvlText w:val="•"/>
      <w:lvlJc w:val="left"/>
      <w:pPr>
        <w:tabs>
          <w:tab w:val="num" w:pos="1080"/>
        </w:tabs>
        <w:ind w:left="1080" w:hanging="360"/>
      </w:pPr>
      <w:rPr>
        <w:rFonts w:ascii="Arial" w:hAnsi="Arial" w:hint="default"/>
      </w:rPr>
    </w:lvl>
    <w:lvl w:ilvl="3" w:tplc="980EEAAA" w:tentative="1">
      <w:start w:val="1"/>
      <w:numFmt w:val="bullet"/>
      <w:lvlText w:val="•"/>
      <w:lvlJc w:val="left"/>
      <w:pPr>
        <w:tabs>
          <w:tab w:val="num" w:pos="1800"/>
        </w:tabs>
        <w:ind w:left="1800" w:hanging="360"/>
      </w:pPr>
      <w:rPr>
        <w:rFonts w:ascii="Arial" w:hAnsi="Arial" w:hint="default"/>
      </w:rPr>
    </w:lvl>
    <w:lvl w:ilvl="4" w:tplc="FDB239BC" w:tentative="1">
      <w:start w:val="1"/>
      <w:numFmt w:val="bullet"/>
      <w:lvlText w:val="•"/>
      <w:lvlJc w:val="left"/>
      <w:pPr>
        <w:tabs>
          <w:tab w:val="num" w:pos="2520"/>
        </w:tabs>
        <w:ind w:left="2520" w:hanging="360"/>
      </w:pPr>
      <w:rPr>
        <w:rFonts w:ascii="Arial" w:hAnsi="Arial" w:hint="default"/>
      </w:rPr>
    </w:lvl>
    <w:lvl w:ilvl="5" w:tplc="497A337C" w:tentative="1">
      <w:start w:val="1"/>
      <w:numFmt w:val="bullet"/>
      <w:lvlText w:val="•"/>
      <w:lvlJc w:val="left"/>
      <w:pPr>
        <w:tabs>
          <w:tab w:val="num" w:pos="3240"/>
        </w:tabs>
        <w:ind w:left="3240" w:hanging="360"/>
      </w:pPr>
      <w:rPr>
        <w:rFonts w:ascii="Arial" w:hAnsi="Arial" w:hint="default"/>
      </w:rPr>
    </w:lvl>
    <w:lvl w:ilvl="6" w:tplc="8424B89A" w:tentative="1">
      <w:start w:val="1"/>
      <w:numFmt w:val="bullet"/>
      <w:lvlText w:val="•"/>
      <w:lvlJc w:val="left"/>
      <w:pPr>
        <w:tabs>
          <w:tab w:val="num" w:pos="3960"/>
        </w:tabs>
        <w:ind w:left="3960" w:hanging="360"/>
      </w:pPr>
      <w:rPr>
        <w:rFonts w:ascii="Arial" w:hAnsi="Arial" w:hint="default"/>
      </w:rPr>
    </w:lvl>
    <w:lvl w:ilvl="7" w:tplc="97F4E394" w:tentative="1">
      <w:start w:val="1"/>
      <w:numFmt w:val="bullet"/>
      <w:lvlText w:val="•"/>
      <w:lvlJc w:val="left"/>
      <w:pPr>
        <w:tabs>
          <w:tab w:val="num" w:pos="4680"/>
        </w:tabs>
        <w:ind w:left="4680" w:hanging="360"/>
      </w:pPr>
      <w:rPr>
        <w:rFonts w:ascii="Arial" w:hAnsi="Arial" w:hint="default"/>
      </w:rPr>
    </w:lvl>
    <w:lvl w:ilvl="8" w:tplc="5A40B1F6" w:tentative="1">
      <w:start w:val="1"/>
      <w:numFmt w:val="bullet"/>
      <w:lvlText w:val="•"/>
      <w:lvlJc w:val="left"/>
      <w:pPr>
        <w:tabs>
          <w:tab w:val="num" w:pos="5400"/>
        </w:tabs>
        <w:ind w:left="5400" w:hanging="360"/>
      </w:pPr>
      <w:rPr>
        <w:rFonts w:ascii="Arial" w:hAnsi="Arial" w:hint="default"/>
      </w:rPr>
    </w:lvl>
  </w:abstractNum>
  <w:abstractNum w:abstractNumId="4" w15:restartNumberingAfterBreak="0">
    <w:nsid w:val="07CF4D43"/>
    <w:multiLevelType w:val="hybridMultilevel"/>
    <w:tmpl w:val="5278608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12F1636D"/>
    <w:multiLevelType w:val="hybridMultilevel"/>
    <w:tmpl w:val="6D1A1884"/>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6B97D1B"/>
    <w:multiLevelType w:val="hybridMultilevel"/>
    <w:tmpl w:val="F5289E86"/>
    <w:lvl w:ilvl="0" w:tplc="41C8EB3C">
      <w:start w:val="1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C5462B"/>
    <w:multiLevelType w:val="multilevel"/>
    <w:tmpl w:val="3558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F14A6D"/>
    <w:multiLevelType w:val="hybridMultilevel"/>
    <w:tmpl w:val="BC405F18"/>
    <w:lvl w:ilvl="0" w:tplc="C4BE58B0">
      <w:start w:val="1"/>
      <w:numFmt w:val="upp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D7A6F1D"/>
    <w:multiLevelType w:val="hybridMultilevel"/>
    <w:tmpl w:val="170EEA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3AC0D13"/>
    <w:multiLevelType w:val="hybridMultilevel"/>
    <w:tmpl w:val="897A8C9E"/>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9DC5DCD"/>
    <w:multiLevelType w:val="hybridMultilevel"/>
    <w:tmpl w:val="D1D80552"/>
    <w:lvl w:ilvl="0" w:tplc="69D215E8">
      <w:start w:val="1"/>
      <w:numFmt w:val="decimal"/>
      <w:lvlText w:val="%1."/>
      <w:lvlJc w:val="left"/>
      <w:pPr>
        <w:ind w:left="720" w:hanging="360"/>
      </w:pPr>
      <w:rPr>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0AE0F92"/>
    <w:multiLevelType w:val="hybridMultilevel"/>
    <w:tmpl w:val="02247AE8"/>
    <w:lvl w:ilvl="0" w:tplc="A68E22F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2D94423"/>
    <w:multiLevelType w:val="hybridMultilevel"/>
    <w:tmpl w:val="75C69BE8"/>
    <w:lvl w:ilvl="0" w:tplc="08070019">
      <w:start w:val="1"/>
      <w:numFmt w:val="lowerLetter"/>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4" w15:restartNumberingAfterBreak="0">
    <w:nsid w:val="46976479"/>
    <w:multiLevelType w:val="hybridMultilevel"/>
    <w:tmpl w:val="69C2B816"/>
    <w:lvl w:ilvl="0" w:tplc="1FBA9CF4">
      <w:numFmt w:val="bullet"/>
      <w:lvlText w:val="-"/>
      <w:lvlJc w:val="left"/>
      <w:pPr>
        <w:ind w:left="785" w:hanging="360"/>
      </w:pPr>
      <w:rPr>
        <w:rFonts w:ascii="Arial" w:eastAsia="Times New Roman" w:hAnsi="Arial" w:cs="Arial" w:hint="default"/>
        <w:color w:val="000000" w:themeColor="text1"/>
      </w:rPr>
    </w:lvl>
    <w:lvl w:ilvl="1" w:tplc="08070003">
      <w:start w:val="1"/>
      <w:numFmt w:val="bullet"/>
      <w:lvlText w:val="o"/>
      <w:lvlJc w:val="left"/>
      <w:pPr>
        <w:ind w:left="1505" w:hanging="360"/>
      </w:pPr>
      <w:rPr>
        <w:rFonts w:ascii="Courier New" w:hAnsi="Courier New" w:cs="Courier New" w:hint="default"/>
      </w:rPr>
    </w:lvl>
    <w:lvl w:ilvl="2" w:tplc="08070005">
      <w:start w:val="1"/>
      <w:numFmt w:val="bullet"/>
      <w:lvlText w:val=""/>
      <w:lvlJc w:val="left"/>
      <w:pPr>
        <w:ind w:left="2225" w:hanging="360"/>
      </w:pPr>
      <w:rPr>
        <w:rFonts w:ascii="Wingdings" w:hAnsi="Wingdings" w:hint="default"/>
      </w:rPr>
    </w:lvl>
    <w:lvl w:ilvl="3" w:tplc="08070001">
      <w:start w:val="1"/>
      <w:numFmt w:val="bullet"/>
      <w:lvlText w:val=""/>
      <w:lvlJc w:val="left"/>
      <w:pPr>
        <w:ind w:left="2945" w:hanging="360"/>
      </w:pPr>
      <w:rPr>
        <w:rFonts w:ascii="Symbol" w:hAnsi="Symbol" w:hint="default"/>
      </w:rPr>
    </w:lvl>
    <w:lvl w:ilvl="4" w:tplc="08070003">
      <w:start w:val="1"/>
      <w:numFmt w:val="bullet"/>
      <w:lvlText w:val="o"/>
      <w:lvlJc w:val="left"/>
      <w:pPr>
        <w:ind w:left="3665" w:hanging="360"/>
      </w:pPr>
      <w:rPr>
        <w:rFonts w:ascii="Courier New" w:hAnsi="Courier New" w:cs="Courier New" w:hint="default"/>
      </w:rPr>
    </w:lvl>
    <w:lvl w:ilvl="5" w:tplc="08070005">
      <w:start w:val="1"/>
      <w:numFmt w:val="bullet"/>
      <w:lvlText w:val=""/>
      <w:lvlJc w:val="left"/>
      <w:pPr>
        <w:ind w:left="4385" w:hanging="360"/>
      </w:pPr>
      <w:rPr>
        <w:rFonts w:ascii="Wingdings" w:hAnsi="Wingdings" w:hint="default"/>
      </w:rPr>
    </w:lvl>
    <w:lvl w:ilvl="6" w:tplc="08070001">
      <w:start w:val="1"/>
      <w:numFmt w:val="bullet"/>
      <w:lvlText w:val=""/>
      <w:lvlJc w:val="left"/>
      <w:pPr>
        <w:ind w:left="5105" w:hanging="360"/>
      </w:pPr>
      <w:rPr>
        <w:rFonts w:ascii="Symbol" w:hAnsi="Symbol" w:hint="default"/>
      </w:rPr>
    </w:lvl>
    <w:lvl w:ilvl="7" w:tplc="08070003">
      <w:start w:val="1"/>
      <w:numFmt w:val="bullet"/>
      <w:lvlText w:val="o"/>
      <w:lvlJc w:val="left"/>
      <w:pPr>
        <w:ind w:left="5825" w:hanging="360"/>
      </w:pPr>
      <w:rPr>
        <w:rFonts w:ascii="Courier New" w:hAnsi="Courier New" w:cs="Courier New" w:hint="default"/>
      </w:rPr>
    </w:lvl>
    <w:lvl w:ilvl="8" w:tplc="08070005">
      <w:start w:val="1"/>
      <w:numFmt w:val="bullet"/>
      <w:lvlText w:val=""/>
      <w:lvlJc w:val="left"/>
      <w:pPr>
        <w:ind w:left="6545" w:hanging="360"/>
      </w:pPr>
      <w:rPr>
        <w:rFonts w:ascii="Wingdings" w:hAnsi="Wingdings" w:hint="default"/>
      </w:rPr>
    </w:lvl>
  </w:abstractNum>
  <w:abstractNum w:abstractNumId="15" w15:restartNumberingAfterBreak="0">
    <w:nsid w:val="46C36F5A"/>
    <w:multiLevelType w:val="hybridMultilevel"/>
    <w:tmpl w:val="496E5D22"/>
    <w:lvl w:ilvl="0" w:tplc="C8D65478">
      <w:start w:val="1"/>
      <w:numFmt w:val="bullet"/>
      <w:lvlText w:val="-"/>
      <w:lvlJc w:val="left"/>
      <w:pPr>
        <w:ind w:left="720" w:hanging="360"/>
      </w:pPr>
      <w:rPr>
        <w:rFonts w:ascii="Symbol" w:eastAsia="Times New Roman"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E6367DB"/>
    <w:multiLevelType w:val="hybridMultilevel"/>
    <w:tmpl w:val="F6DC1438"/>
    <w:lvl w:ilvl="0" w:tplc="6C88113E">
      <w:start w:val="5"/>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F134DCB"/>
    <w:multiLevelType w:val="hybridMultilevel"/>
    <w:tmpl w:val="53B83168"/>
    <w:lvl w:ilvl="0" w:tplc="9200A0A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F425F3C"/>
    <w:multiLevelType w:val="hybridMultilevel"/>
    <w:tmpl w:val="816A1CCA"/>
    <w:lvl w:ilvl="0" w:tplc="3A10F514">
      <w:start w:val="20"/>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2CC2C89"/>
    <w:multiLevelType w:val="hybridMultilevel"/>
    <w:tmpl w:val="8A567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6395F"/>
    <w:multiLevelType w:val="hybridMultilevel"/>
    <w:tmpl w:val="9620F4EC"/>
    <w:lvl w:ilvl="0" w:tplc="08090001">
      <w:start w:val="1"/>
      <w:numFmt w:val="bullet"/>
      <w:lvlText w:val=""/>
      <w:lvlJc w:val="left"/>
      <w:pPr>
        <w:ind w:left="720" w:hanging="360"/>
      </w:pPr>
      <w:rPr>
        <w:rFonts w:ascii="Symbol" w:hAnsi="Symbol" w:hint="default"/>
      </w:rPr>
    </w:lvl>
    <w:lvl w:ilvl="1" w:tplc="8C9CD456">
      <w:start w:val="2"/>
      <w:numFmt w:val="bullet"/>
      <w:lvlText w:val="-"/>
      <w:lvlJc w:val="left"/>
      <w:pPr>
        <w:ind w:left="1440" w:hanging="360"/>
      </w:pPr>
      <w:rPr>
        <w:rFonts w:ascii="TimesNewRoman" w:eastAsiaTheme="minorHAnsi" w:hAnsi="TimesNewRoman" w:cs="TimesNew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874CC6"/>
    <w:multiLevelType w:val="hybridMultilevel"/>
    <w:tmpl w:val="00C4A66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56C03CBA"/>
    <w:multiLevelType w:val="hybridMultilevel"/>
    <w:tmpl w:val="B4D0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55B0B"/>
    <w:multiLevelType w:val="hybridMultilevel"/>
    <w:tmpl w:val="1B9ECB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E60592D"/>
    <w:multiLevelType w:val="multilevel"/>
    <w:tmpl w:val="DE1C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D7212D"/>
    <w:multiLevelType w:val="hybridMultilevel"/>
    <w:tmpl w:val="20A839C2"/>
    <w:lvl w:ilvl="0" w:tplc="C708EFE0">
      <w:start w:val="3"/>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5EFB18A0"/>
    <w:multiLevelType w:val="multilevel"/>
    <w:tmpl w:val="E22683EA"/>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7" w15:restartNumberingAfterBreak="0">
    <w:nsid w:val="67434CB1"/>
    <w:multiLevelType w:val="hybridMultilevel"/>
    <w:tmpl w:val="3FB0C62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674A5206"/>
    <w:multiLevelType w:val="hybridMultilevel"/>
    <w:tmpl w:val="F112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6C6EB2"/>
    <w:multiLevelType w:val="hybridMultilevel"/>
    <w:tmpl w:val="FACC1D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A7C6E2C"/>
    <w:multiLevelType w:val="hybridMultilevel"/>
    <w:tmpl w:val="DA14E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DE40413"/>
    <w:multiLevelType w:val="hybridMultilevel"/>
    <w:tmpl w:val="74C4EEAA"/>
    <w:lvl w:ilvl="0" w:tplc="75DA9D02">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78400838"/>
    <w:multiLevelType w:val="hybridMultilevel"/>
    <w:tmpl w:val="0A0A68B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3" w15:restartNumberingAfterBreak="0">
    <w:nsid w:val="7D2E2EEB"/>
    <w:multiLevelType w:val="hybridMultilevel"/>
    <w:tmpl w:val="4CC44F2A"/>
    <w:lvl w:ilvl="0" w:tplc="1E96DEC0">
      <w:start w:val="2"/>
      <w:numFmt w:val="decimal"/>
      <w:lvlText w:val="%1."/>
      <w:lvlJc w:val="left"/>
      <w:pPr>
        <w:ind w:left="360" w:hanging="360"/>
      </w:pPr>
      <w:rPr>
        <w:rFonts w:cs="Times New Roman"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16cid:durableId="427047326">
    <w:abstractNumId w:val="14"/>
  </w:num>
  <w:num w:numId="2" w16cid:durableId="597761676">
    <w:abstractNumId w:val="14"/>
  </w:num>
  <w:num w:numId="3" w16cid:durableId="140969576">
    <w:abstractNumId w:val="12"/>
  </w:num>
  <w:num w:numId="4" w16cid:durableId="1766683675">
    <w:abstractNumId w:val="3"/>
  </w:num>
  <w:num w:numId="5" w16cid:durableId="856120371">
    <w:abstractNumId w:val="29"/>
  </w:num>
  <w:num w:numId="6" w16cid:durableId="963926338">
    <w:abstractNumId w:val="32"/>
  </w:num>
  <w:num w:numId="7" w16cid:durableId="764769656">
    <w:abstractNumId w:val="9"/>
  </w:num>
  <w:num w:numId="8" w16cid:durableId="1169711026">
    <w:abstractNumId w:val="27"/>
  </w:num>
  <w:num w:numId="9" w16cid:durableId="840699460">
    <w:abstractNumId w:val="16"/>
  </w:num>
  <w:num w:numId="10" w16cid:durableId="508064127">
    <w:abstractNumId w:val="21"/>
  </w:num>
  <w:num w:numId="11" w16cid:durableId="630137041">
    <w:abstractNumId w:val="4"/>
  </w:num>
  <w:num w:numId="12" w16cid:durableId="1997996845">
    <w:abstractNumId w:val="10"/>
  </w:num>
  <w:num w:numId="13" w16cid:durableId="1253854659">
    <w:abstractNumId w:val="33"/>
  </w:num>
  <w:num w:numId="14" w16cid:durableId="611404820">
    <w:abstractNumId w:val="2"/>
  </w:num>
  <w:num w:numId="15" w16cid:durableId="2026974995">
    <w:abstractNumId w:val="13"/>
  </w:num>
  <w:num w:numId="16" w16cid:durableId="742145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4044102">
    <w:abstractNumId w:val="19"/>
  </w:num>
  <w:num w:numId="18" w16cid:durableId="995498426">
    <w:abstractNumId w:val="8"/>
  </w:num>
  <w:num w:numId="19" w16cid:durableId="35130302">
    <w:abstractNumId w:val="0"/>
  </w:num>
  <w:num w:numId="20" w16cid:durableId="1418357689">
    <w:abstractNumId w:val="17"/>
  </w:num>
  <w:num w:numId="21" w16cid:durableId="1925871188">
    <w:abstractNumId w:val="18"/>
  </w:num>
  <w:num w:numId="22" w16cid:durableId="1488669773">
    <w:abstractNumId w:val="31"/>
  </w:num>
  <w:num w:numId="23" w16cid:durableId="1209412472">
    <w:abstractNumId w:val="25"/>
  </w:num>
  <w:num w:numId="24" w16cid:durableId="1793589624">
    <w:abstractNumId w:val="6"/>
  </w:num>
  <w:num w:numId="25" w16cid:durableId="616909979">
    <w:abstractNumId w:val="23"/>
  </w:num>
  <w:num w:numId="26" w16cid:durableId="1632129555">
    <w:abstractNumId w:val="15"/>
  </w:num>
  <w:num w:numId="27" w16cid:durableId="1135256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49893647">
    <w:abstractNumId w:val="20"/>
  </w:num>
  <w:num w:numId="29" w16cid:durableId="458954134">
    <w:abstractNumId w:val="1"/>
  </w:num>
  <w:num w:numId="30" w16cid:durableId="817723548">
    <w:abstractNumId w:val="5"/>
  </w:num>
  <w:num w:numId="31" w16cid:durableId="489639500">
    <w:abstractNumId w:val="24"/>
  </w:num>
  <w:num w:numId="32" w16cid:durableId="449906280">
    <w:abstractNumId w:val="7"/>
  </w:num>
  <w:num w:numId="33" w16cid:durableId="2033189306">
    <w:abstractNumId w:val="26"/>
  </w:num>
  <w:num w:numId="34" w16cid:durableId="963849615">
    <w:abstractNumId w:val="28"/>
  </w:num>
  <w:num w:numId="35" w16cid:durableId="192422016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052"/>
    <w:rsid w:val="000236FA"/>
    <w:rsid w:val="0003175D"/>
    <w:rsid w:val="000318AE"/>
    <w:rsid w:val="00042B0E"/>
    <w:rsid w:val="000666CB"/>
    <w:rsid w:val="0008262C"/>
    <w:rsid w:val="0009201D"/>
    <w:rsid w:val="000A4A24"/>
    <w:rsid w:val="000B022B"/>
    <w:rsid w:val="000B0391"/>
    <w:rsid w:val="000B61D4"/>
    <w:rsid w:val="000C22C7"/>
    <w:rsid w:val="000C30EF"/>
    <w:rsid w:val="000C34D0"/>
    <w:rsid w:val="000C5B67"/>
    <w:rsid w:val="000D3769"/>
    <w:rsid w:val="000E30B3"/>
    <w:rsid w:val="000E3474"/>
    <w:rsid w:val="00107992"/>
    <w:rsid w:val="001207CB"/>
    <w:rsid w:val="00121E06"/>
    <w:rsid w:val="001250A0"/>
    <w:rsid w:val="00143263"/>
    <w:rsid w:val="00171975"/>
    <w:rsid w:val="00187FAB"/>
    <w:rsid w:val="001A2FAE"/>
    <w:rsid w:val="001A5F3A"/>
    <w:rsid w:val="001C33B6"/>
    <w:rsid w:val="001E12C2"/>
    <w:rsid w:val="001E32A7"/>
    <w:rsid w:val="001F2A53"/>
    <w:rsid w:val="001F317A"/>
    <w:rsid w:val="001F77BD"/>
    <w:rsid w:val="00202696"/>
    <w:rsid w:val="002221EE"/>
    <w:rsid w:val="002720F5"/>
    <w:rsid w:val="00276D7D"/>
    <w:rsid w:val="002B0021"/>
    <w:rsid w:val="002B3C80"/>
    <w:rsid w:val="002E7B63"/>
    <w:rsid w:val="002F6508"/>
    <w:rsid w:val="00311EA3"/>
    <w:rsid w:val="00315052"/>
    <w:rsid w:val="00322D35"/>
    <w:rsid w:val="00364678"/>
    <w:rsid w:val="00384794"/>
    <w:rsid w:val="00384B6C"/>
    <w:rsid w:val="003C475B"/>
    <w:rsid w:val="003C4DC8"/>
    <w:rsid w:val="003D01DE"/>
    <w:rsid w:val="003D385E"/>
    <w:rsid w:val="003E662B"/>
    <w:rsid w:val="0042125E"/>
    <w:rsid w:val="00423BFF"/>
    <w:rsid w:val="00425937"/>
    <w:rsid w:val="0043572E"/>
    <w:rsid w:val="00445B4C"/>
    <w:rsid w:val="004462D7"/>
    <w:rsid w:val="0045068D"/>
    <w:rsid w:val="00456D4D"/>
    <w:rsid w:val="00463C46"/>
    <w:rsid w:val="00465A09"/>
    <w:rsid w:val="00473E87"/>
    <w:rsid w:val="00475100"/>
    <w:rsid w:val="00496147"/>
    <w:rsid w:val="004A3102"/>
    <w:rsid w:val="004B46F0"/>
    <w:rsid w:val="004C4652"/>
    <w:rsid w:val="004E3AC5"/>
    <w:rsid w:val="004F0B8C"/>
    <w:rsid w:val="004F5A3F"/>
    <w:rsid w:val="00503292"/>
    <w:rsid w:val="00510363"/>
    <w:rsid w:val="0051365B"/>
    <w:rsid w:val="00523C38"/>
    <w:rsid w:val="00523D9D"/>
    <w:rsid w:val="00531FA7"/>
    <w:rsid w:val="00550A28"/>
    <w:rsid w:val="005664E6"/>
    <w:rsid w:val="00567F37"/>
    <w:rsid w:val="00574DC7"/>
    <w:rsid w:val="00583B7D"/>
    <w:rsid w:val="00586AA3"/>
    <w:rsid w:val="005A3D4C"/>
    <w:rsid w:val="005A64AB"/>
    <w:rsid w:val="005B2F82"/>
    <w:rsid w:val="005C3E56"/>
    <w:rsid w:val="005D197D"/>
    <w:rsid w:val="005D2361"/>
    <w:rsid w:val="005E62EB"/>
    <w:rsid w:val="005E6CB2"/>
    <w:rsid w:val="005F4E4D"/>
    <w:rsid w:val="0060170D"/>
    <w:rsid w:val="00637D01"/>
    <w:rsid w:val="00651EDB"/>
    <w:rsid w:val="006748CB"/>
    <w:rsid w:val="0069095D"/>
    <w:rsid w:val="0069777C"/>
    <w:rsid w:val="006B6419"/>
    <w:rsid w:val="006E00CF"/>
    <w:rsid w:val="006F0C08"/>
    <w:rsid w:val="007543DC"/>
    <w:rsid w:val="00754672"/>
    <w:rsid w:val="00755AF4"/>
    <w:rsid w:val="00765350"/>
    <w:rsid w:val="00767FEB"/>
    <w:rsid w:val="007B145E"/>
    <w:rsid w:val="007F4878"/>
    <w:rsid w:val="00810612"/>
    <w:rsid w:val="00835461"/>
    <w:rsid w:val="008446E5"/>
    <w:rsid w:val="008577C8"/>
    <w:rsid w:val="008B0A3C"/>
    <w:rsid w:val="008C71C4"/>
    <w:rsid w:val="008F310B"/>
    <w:rsid w:val="0091119D"/>
    <w:rsid w:val="00911349"/>
    <w:rsid w:val="00920496"/>
    <w:rsid w:val="00920B47"/>
    <w:rsid w:val="0092697B"/>
    <w:rsid w:val="00945760"/>
    <w:rsid w:val="009527DB"/>
    <w:rsid w:val="0097218C"/>
    <w:rsid w:val="00990E67"/>
    <w:rsid w:val="009A119B"/>
    <w:rsid w:val="009B0F37"/>
    <w:rsid w:val="009D1677"/>
    <w:rsid w:val="009E1E43"/>
    <w:rsid w:val="009E6B77"/>
    <w:rsid w:val="009F6138"/>
    <w:rsid w:val="00A01AAD"/>
    <w:rsid w:val="00A204AF"/>
    <w:rsid w:val="00A353B4"/>
    <w:rsid w:val="00A35AF5"/>
    <w:rsid w:val="00A4182F"/>
    <w:rsid w:val="00A84A5A"/>
    <w:rsid w:val="00A84C6A"/>
    <w:rsid w:val="00AB5344"/>
    <w:rsid w:val="00AE26CB"/>
    <w:rsid w:val="00AF745B"/>
    <w:rsid w:val="00B05EFE"/>
    <w:rsid w:val="00B14EA6"/>
    <w:rsid w:val="00B261A7"/>
    <w:rsid w:val="00B33013"/>
    <w:rsid w:val="00B34BD8"/>
    <w:rsid w:val="00B6521A"/>
    <w:rsid w:val="00B7052A"/>
    <w:rsid w:val="00B7363D"/>
    <w:rsid w:val="00B90126"/>
    <w:rsid w:val="00BA02E5"/>
    <w:rsid w:val="00BB6914"/>
    <w:rsid w:val="00C04675"/>
    <w:rsid w:val="00C16AD1"/>
    <w:rsid w:val="00C21216"/>
    <w:rsid w:val="00C4149C"/>
    <w:rsid w:val="00C603B0"/>
    <w:rsid w:val="00C9171C"/>
    <w:rsid w:val="00C9755F"/>
    <w:rsid w:val="00CA047B"/>
    <w:rsid w:val="00CA7E6D"/>
    <w:rsid w:val="00CB0DE9"/>
    <w:rsid w:val="00CB3A78"/>
    <w:rsid w:val="00CC58A5"/>
    <w:rsid w:val="00CD1DE3"/>
    <w:rsid w:val="00CD1FA7"/>
    <w:rsid w:val="00CD75BE"/>
    <w:rsid w:val="00CE3D6C"/>
    <w:rsid w:val="00CE4369"/>
    <w:rsid w:val="00D00E9F"/>
    <w:rsid w:val="00D51AA8"/>
    <w:rsid w:val="00D53635"/>
    <w:rsid w:val="00D64807"/>
    <w:rsid w:val="00D670D1"/>
    <w:rsid w:val="00D756EA"/>
    <w:rsid w:val="00D96723"/>
    <w:rsid w:val="00DA2685"/>
    <w:rsid w:val="00DB7674"/>
    <w:rsid w:val="00DD39E2"/>
    <w:rsid w:val="00DF3DF3"/>
    <w:rsid w:val="00DF53A6"/>
    <w:rsid w:val="00E14515"/>
    <w:rsid w:val="00E31A82"/>
    <w:rsid w:val="00E522BB"/>
    <w:rsid w:val="00E977F2"/>
    <w:rsid w:val="00EA3CD5"/>
    <w:rsid w:val="00EB760B"/>
    <w:rsid w:val="00EF0F1D"/>
    <w:rsid w:val="00EF6253"/>
    <w:rsid w:val="00F00B46"/>
    <w:rsid w:val="00F15939"/>
    <w:rsid w:val="00F16CF8"/>
    <w:rsid w:val="00F32216"/>
    <w:rsid w:val="00F609DC"/>
    <w:rsid w:val="00F64E32"/>
    <w:rsid w:val="00F93978"/>
    <w:rsid w:val="00F96024"/>
    <w:rsid w:val="00F97863"/>
    <w:rsid w:val="00FA20E3"/>
    <w:rsid w:val="00FB7502"/>
    <w:rsid w:val="00FC4E9C"/>
    <w:rsid w:val="00FD2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FFF086"/>
  <w15:docId w15:val="{9EE894CA-4749-4148-8CE0-EA98A7A7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052"/>
    <w:pPr>
      <w:spacing w:after="160" w:line="259" w:lineRule="auto"/>
    </w:pPr>
    <w:rPr>
      <w:rFonts w:asciiTheme="minorHAnsi" w:eastAsiaTheme="minorEastAsia" w:hAnsiTheme="minorHAnsi" w:cstheme="minorBidi"/>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182F"/>
    <w:pPr>
      <w:suppressAutoHyphens/>
      <w:spacing w:line="200" w:lineRule="exact"/>
    </w:pPr>
    <w:rPr>
      <w:noProof/>
      <w:sz w:val="15"/>
    </w:rPr>
  </w:style>
  <w:style w:type="paragraph" w:styleId="Footer">
    <w:name w:val="footer"/>
    <w:basedOn w:val="Normal"/>
    <w:rsid w:val="00A4182F"/>
    <w:pPr>
      <w:suppressAutoHyphens/>
      <w:spacing w:line="200" w:lineRule="exact"/>
    </w:pPr>
    <w:rPr>
      <w:noProof/>
      <w:sz w:val="15"/>
      <w:szCs w:val="15"/>
    </w:rPr>
  </w:style>
  <w:style w:type="paragraph" w:customStyle="1" w:styleId="KopfDept">
    <w:name w:val="KopfDept"/>
    <w:basedOn w:val="Header"/>
    <w:next w:val="Normal"/>
    <w:rsid w:val="00A4182F"/>
    <w:pPr>
      <w:spacing w:after="100"/>
      <w:contextualSpacing/>
    </w:pPr>
  </w:style>
  <w:style w:type="paragraph" w:customStyle="1" w:styleId="Logo">
    <w:name w:val="Logo"/>
    <w:rsid w:val="00A4182F"/>
    <w:rPr>
      <w:rFonts w:ascii="Arial" w:hAnsi="Arial"/>
      <w:noProof/>
      <w:sz w:val="15"/>
      <w:lang w:val="de-CH" w:eastAsia="de-CH"/>
    </w:rPr>
  </w:style>
  <w:style w:type="paragraph" w:customStyle="1" w:styleId="Ref">
    <w:name w:val="Ref"/>
    <w:basedOn w:val="Normal"/>
    <w:next w:val="Normal"/>
    <w:rsid w:val="00A4182F"/>
    <w:pPr>
      <w:spacing w:line="200" w:lineRule="exact"/>
    </w:pPr>
    <w:rPr>
      <w:sz w:val="15"/>
    </w:rPr>
  </w:style>
  <w:style w:type="paragraph" w:customStyle="1" w:styleId="Form">
    <w:name w:val="Form"/>
    <w:basedOn w:val="Normal"/>
    <w:rsid w:val="00A4182F"/>
    <w:rPr>
      <w:sz w:val="15"/>
    </w:rPr>
  </w:style>
  <w:style w:type="paragraph" w:styleId="Title">
    <w:name w:val="Title"/>
    <w:basedOn w:val="Normal"/>
    <w:next w:val="Normal"/>
    <w:qFormat/>
    <w:rsid w:val="00A4182F"/>
    <w:pPr>
      <w:spacing w:line="480" w:lineRule="exact"/>
      <w:outlineLvl w:val="0"/>
    </w:pPr>
    <w:rPr>
      <w:rFonts w:cs="Arial"/>
      <w:b/>
      <w:bCs/>
      <w:kern w:val="28"/>
      <w:sz w:val="42"/>
      <w:szCs w:val="32"/>
    </w:rPr>
  </w:style>
  <w:style w:type="paragraph" w:customStyle="1" w:styleId="Pfad">
    <w:name w:val="Pfad"/>
    <w:next w:val="Footer"/>
    <w:rsid w:val="00A4182F"/>
    <w:pPr>
      <w:spacing w:line="160" w:lineRule="exact"/>
    </w:pPr>
    <w:rPr>
      <w:rFonts w:ascii="Arial" w:hAnsi="Arial"/>
      <w:noProof/>
      <w:sz w:val="12"/>
      <w:szCs w:val="12"/>
      <w:lang w:val="de-CH" w:eastAsia="de-CH"/>
    </w:rPr>
  </w:style>
  <w:style w:type="paragraph" w:customStyle="1" w:styleId="Linie1">
    <w:name w:val="Linie1"/>
    <w:basedOn w:val="Normal"/>
    <w:next w:val="Normal"/>
    <w:rsid w:val="00A4182F"/>
    <w:pPr>
      <w:pBdr>
        <w:top w:val="single" w:sz="2" w:space="1" w:color="auto"/>
      </w:pBdr>
      <w:spacing w:before="270" w:line="160" w:lineRule="exact"/>
      <w:ind w:left="28" w:right="28"/>
    </w:pPr>
  </w:style>
  <w:style w:type="paragraph" w:customStyle="1" w:styleId="Seite">
    <w:name w:val="Seite"/>
    <w:basedOn w:val="Normal"/>
    <w:rsid w:val="00A4182F"/>
    <w:pPr>
      <w:suppressAutoHyphens/>
      <w:spacing w:line="200" w:lineRule="exact"/>
      <w:jc w:val="right"/>
    </w:pPr>
    <w:rPr>
      <w:sz w:val="14"/>
      <w:szCs w:val="14"/>
    </w:rPr>
  </w:style>
  <w:style w:type="paragraph" w:customStyle="1" w:styleId="Linie2">
    <w:name w:val="Linie2"/>
    <w:basedOn w:val="Normal"/>
    <w:next w:val="Normal"/>
    <w:rsid w:val="00A4182F"/>
    <w:pPr>
      <w:pBdr>
        <w:bottom w:val="single" w:sz="2" w:space="1" w:color="auto"/>
      </w:pBdr>
      <w:spacing w:before="90" w:after="340"/>
    </w:pPr>
  </w:style>
  <w:style w:type="paragraph" w:customStyle="1" w:styleId="Platzhalter">
    <w:name w:val="Platzhalter"/>
    <w:basedOn w:val="Normal"/>
    <w:rsid w:val="00A4182F"/>
    <w:pPr>
      <w:spacing w:line="240" w:lineRule="auto"/>
    </w:pPr>
    <w:rPr>
      <w:sz w:val="2"/>
      <w:szCs w:val="2"/>
    </w:rPr>
  </w:style>
  <w:style w:type="paragraph" w:styleId="BalloonText">
    <w:name w:val="Balloon Text"/>
    <w:basedOn w:val="Normal"/>
    <w:semiHidden/>
    <w:rsid w:val="00496147"/>
    <w:rPr>
      <w:rFonts w:ascii="Tahoma" w:hAnsi="Tahoma" w:cs="Tahoma"/>
      <w:sz w:val="16"/>
      <w:szCs w:val="16"/>
    </w:rPr>
  </w:style>
  <w:style w:type="paragraph" w:styleId="EndnoteText">
    <w:name w:val="endnote text"/>
    <w:basedOn w:val="Normal"/>
    <w:link w:val="EndnoteTextChar"/>
    <w:uiPriority w:val="99"/>
    <w:semiHidden/>
    <w:unhideWhenUsed/>
    <w:rsid w:val="003150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5052"/>
    <w:rPr>
      <w:rFonts w:asciiTheme="minorHAnsi" w:eastAsiaTheme="minorEastAsia" w:hAnsiTheme="minorHAnsi" w:cstheme="minorBidi"/>
      <w:lang w:eastAsia="ko-KR"/>
    </w:rPr>
  </w:style>
  <w:style w:type="character" w:styleId="EndnoteReference">
    <w:name w:val="endnote reference"/>
    <w:basedOn w:val="DefaultParagraphFont"/>
    <w:uiPriority w:val="99"/>
    <w:semiHidden/>
    <w:unhideWhenUsed/>
    <w:rsid w:val="00315052"/>
    <w:rPr>
      <w:vertAlign w:val="superscript"/>
    </w:rPr>
  </w:style>
  <w:style w:type="character" w:styleId="Hyperlink">
    <w:name w:val="Hyperlink"/>
    <w:basedOn w:val="DefaultParagraphFont"/>
    <w:uiPriority w:val="99"/>
    <w:unhideWhenUsed/>
    <w:rsid w:val="00CE4369"/>
    <w:rPr>
      <w:color w:val="0000FF"/>
      <w:u w:val="single"/>
    </w:rPr>
  </w:style>
  <w:style w:type="paragraph" w:styleId="ListParagraph">
    <w:name w:val="List Paragraph"/>
    <w:basedOn w:val="Normal"/>
    <w:uiPriority w:val="34"/>
    <w:qFormat/>
    <w:rsid w:val="00CE4369"/>
    <w:pPr>
      <w:spacing w:after="0" w:line="240" w:lineRule="auto"/>
      <w:ind w:left="720"/>
    </w:pPr>
    <w:rPr>
      <w:rFonts w:ascii="Times New Roman" w:eastAsiaTheme="minorHAnsi" w:hAnsi="Times New Roman" w:cs="Times New Roman"/>
      <w:sz w:val="24"/>
      <w:szCs w:val="24"/>
      <w:lang w:val="de-CH" w:eastAsia="de-CH"/>
    </w:rPr>
  </w:style>
  <w:style w:type="character" w:styleId="CommentReference">
    <w:name w:val="annotation reference"/>
    <w:basedOn w:val="DefaultParagraphFont"/>
    <w:uiPriority w:val="99"/>
    <w:semiHidden/>
    <w:unhideWhenUsed/>
    <w:rsid w:val="00445B4C"/>
    <w:rPr>
      <w:sz w:val="16"/>
      <w:szCs w:val="16"/>
    </w:rPr>
  </w:style>
  <w:style w:type="paragraph" w:styleId="CommentText">
    <w:name w:val="annotation text"/>
    <w:basedOn w:val="Normal"/>
    <w:link w:val="CommentTextChar"/>
    <w:uiPriority w:val="99"/>
    <w:semiHidden/>
    <w:unhideWhenUsed/>
    <w:rsid w:val="00445B4C"/>
    <w:pPr>
      <w:spacing w:line="240" w:lineRule="auto"/>
    </w:pPr>
    <w:rPr>
      <w:sz w:val="20"/>
      <w:szCs w:val="20"/>
    </w:rPr>
  </w:style>
  <w:style w:type="character" w:customStyle="1" w:styleId="CommentTextChar">
    <w:name w:val="Comment Text Char"/>
    <w:basedOn w:val="DefaultParagraphFont"/>
    <w:link w:val="CommentText"/>
    <w:uiPriority w:val="99"/>
    <w:semiHidden/>
    <w:rsid w:val="00445B4C"/>
    <w:rPr>
      <w:rFonts w:asciiTheme="minorHAnsi" w:eastAsiaTheme="minorEastAsia" w:hAnsiTheme="minorHAnsi" w:cstheme="minorBidi"/>
      <w:lang w:eastAsia="ko-KR"/>
    </w:rPr>
  </w:style>
  <w:style w:type="paragraph" w:styleId="CommentSubject">
    <w:name w:val="annotation subject"/>
    <w:basedOn w:val="CommentText"/>
    <w:next w:val="CommentText"/>
    <w:link w:val="CommentSubjectChar"/>
    <w:uiPriority w:val="99"/>
    <w:semiHidden/>
    <w:unhideWhenUsed/>
    <w:rsid w:val="00445B4C"/>
    <w:rPr>
      <w:b/>
      <w:bCs/>
    </w:rPr>
  </w:style>
  <w:style w:type="character" w:customStyle="1" w:styleId="CommentSubjectChar">
    <w:name w:val="Comment Subject Char"/>
    <w:basedOn w:val="CommentTextChar"/>
    <w:link w:val="CommentSubject"/>
    <w:uiPriority w:val="99"/>
    <w:semiHidden/>
    <w:rsid w:val="00445B4C"/>
    <w:rPr>
      <w:rFonts w:asciiTheme="minorHAnsi" w:eastAsiaTheme="minorEastAsia" w:hAnsiTheme="minorHAnsi" w:cstheme="minorBidi"/>
      <w:b/>
      <w:bCs/>
      <w:lang w:eastAsia="ko-KR"/>
    </w:rPr>
  </w:style>
  <w:style w:type="paragraph" w:styleId="FootnoteText">
    <w:name w:val="footnote text"/>
    <w:basedOn w:val="Normal"/>
    <w:link w:val="FootnoteTextChar"/>
    <w:uiPriority w:val="99"/>
    <w:semiHidden/>
    <w:unhideWhenUsed/>
    <w:rsid w:val="00445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B4C"/>
    <w:rPr>
      <w:rFonts w:asciiTheme="minorHAnsi" w:eastAsiaTheme="minorEastAsia" w:hAnsiTheme="minorHAnsi" w:cstheme="minorBidi"/>
      <w:lang w:eastAsia="ko-KR"/>
    </w:rPr>
  </w:style>
  <w:style w:type="character" w:styleId="FootnoteReference">
    <w:name w:val="footnote reference"/>
    <w:basedOn w:val="DefaultParagraphFont"/>
    <w:uiPriority w:val="99"/>
    <w:semiHidden/>
    <w:unhideWhenUsed/>
    <w:rsid w:val="00445B4C"/>
    <w:rPr>
      <w:vertAlign w:val="superscript"/>
    </w:rPr>
  </w:style>
  <w:style w:type="character" w:styleId="FollowedHyperlink">
    <w:name w:val="FollowedHyperlink"/>
    <w:basedOn w:val="DefaultParagraphFont"/>
    <w:uiPriority w:val="99"/>
    <w:semiHidden/>
    <w:unhideWhenUsed/>
    <w:rsid w:val="000E3474"/>
    <w:rPr>
      <w:color w:val="800080" w:themeColor="followedHyperlink"/>
      <w:u w:val="single"/>
    </w:rPr>
  </w:style>
  <w:style w:type="table" w:styleId="TableGrid">
    <w:name w:val="Table Grid"/>
    <w:basedOn w:val="TableNormal"/>
    <w:uiPriority w:val="59"/>
    <w:rsid w:val="00143263"/>
    <w:rPr>
      <w:rFonts w:eastAsiaTheme="minorHAnsi"/>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16633">
      <w:bodyDiv w:val="1"/>
      <w:marLeft w:val="0"/>
      <w:marRight w:val="0"/>
      <w:marTop w:val="0"/>
      <w:marBottom w:val="0"/>
      <w:divBdr>
        <w:top w:val="none" w:sz="0" w:space="0" w:color="auto"/>
        <w:left w:val="none" w:sz="0" w:space="0" w:color="auto"/>
        <w:bottom w:val="none" w:sz="0" w:space="0" w:color="auto"/>
        <w:right w:val="none" w:sz="0" w:space="0" w:color="auto"/>
      </w:divBdr>
    </w:div>
    <w:div w:id="700936014">
      <w:bodyDiv w:val="1"/>
      <w:marLeft w:val="0"/>
      <w:marRight w:val="0"/>
      <w:marTop w:val="0"/>
      <w:marBottom w:val="0"/>
      <w:divBdr>
        <w:top w:val="none" w:sz="0" w:space="0" w:color="auto"/>
        <w:left w:val="none" w:sz="0" w:space="0" w:color="auto"/>
        <w:bottom w:val="none" w:sz="0" w:space="0" w:color="auto"/>
        <w:right w:val="none" w:sz="0" w:space="0" w:color="auto"/>
      </w:divBdr>
    </w:div>
    <w:div w:id="741440956">
      <w:bodyDiv w:val="1"/>
      <w:marLeft w:val="0"/>
      <w:marRight w:val="0"/>
      <w:marTop w:val="0"/>
      <w:marBottom w:val="0"/>
      <w:divBdr>
        <w:top w:val="none" w:sz="0" w:space="0" w:color="auto"/>
        <w:left w:val="none" w:sz="0" w:space="0" w:color="auto"/>
        <w:bottom w:val="none" w:sz="0" w:space="0" w:color="auto"/>
        <w:right w:val="none" w:sz="0" w:space="0" w:color="auto"/>
      </w:divBdr>
    </w:div>
    <w:div w:id="779305082">
      <w:bodyDiv w:val="1"/>
      <w:marLeft w:val="0"/>
      <w:marRight w:val="0"/>
      <w:marTop w:val="0"/>
      <w:marBottom w:val="0"/>
      <w:divBdr>
        <w:top w:val="none" w:sz="0" w:space="0" w:color="auto"/>
        <w:left w:val="none" w:sz="0" w:space="0" w:color="auto"/>
        <w:bottom w:val="none" w:sz="0" w:space="0" w:color="auto"/>
        <w:right w:val="none" w:sz="0" w:space="0" w:color="auto"/>
      </w:divBdr>
    </w:div>
    <w:div w:id="1021469681">
      <w:bodyDiv w:val="1"/>
      <w:marLeft w:val="0"/>
      <w:marRight w:val="0"/>
      <w:marTop w:val="0"/>
      <w:marBottom w:val="0"/>
      <w:divBdr>
        <w:top w:val="none" w:sz="0" w:space="0" w:color="auto"/>
        <w:left w:val="none" w:sz="0" w:space="0" w:color="auto"/>
        <w:bottom w:val="none" w:sz="0" w:space="0" w:color="auto"/>
        <w:right w:val="none" w:sz="0" w:space="0" w:color="auto"/>
      </w:divBdr>
    </w:div>
    <w:div w:id="1150707995">
      <w:bodyDiv w:val="1"/>
      <w:marLeft w:val="0"/>
      <w:marRight w:val="0"/>
      <w:marTop w:val="0"/>
      <w:marBottom w:val="0"/>
      <w:divBdr>
        <w:top w:val="none" w:sz="0" w:space="0" w:color="auto"/>
        <w:left w:val="none" w:sz="0" w:space="0" w:color="auto"/>
        <w:bottom w:val="none" w:sz="0" w:space="0" w:color="auto"/>
        <w:right w:val="none" w:sz="0" w:space="0" w:color="auto"/>
      </w:divBdr>
    </w:div>
    <w:div w:id="1157069279">
      <w:bodyDiv w:val="1"/>
      <w:marLeft w:val="0"/>
      <w:marRight w:val="0"/>
      <w:marTop w:val="0"/>
      <w:marBottom w:val="0"/>
      <w:divBdr>
        <w:top w:val="none" w:sz="0" w:space="0" w:color="auto"/>
        <w:left w:val="none" w:sz="0" w:space="0" w:color="auto"/>
        <w:bottom w:val="none" w:sz="0" w:space="0" w:color="auto"/>
        <w:right w:val="none" w:sz="0" w:space="0" w:color="auto"/>
      </w:divBdr>
    </w:div>
    <w:div w:id="1585072514">
      <w:bodyDiv w:val="1"/>
      <w:marLeft w:val="0"/>
      <w:marRight w:val="0"/>
      <w:marTop w:val="0"/>
      <w:marBottom w:val="0"/>
      <w:divBdr>
        <w:top w:val="none" w:sz="0" w:space="0" w:color="auto"/>
        <w:left w:val="none" w:sz="0" w:space="0" w:color="auto"/>
        <w:bottom w:val="none" w:sz="0" w:space="0" w:color="auto"/>
        <w:right w:val="none" w:sz="0" w:space="0" w:color="auto"/>
      </w:divBdr>
    </w:div>
    <w:div w:id="1776092838">
      <w:bodyDiv w:val="1"/>
      <w:marLeft w:val="0"/>
      <w:marRight w:val="0"/>
      <w:marTop w:val="0"/>
      <w:marBottom w:val="0"/>
      <w:divBdr>
        <w:top w:val="none" w:sz="0" w:space="0" w:color="auto"/>
        <w:left w:val="none" w:sz="0" w:space="0" w:color="auto"/>
        <w:bottom w:val="none" w:sz="0" w:space="0" w:color="auto"/>
        <w:right w:val="none" w:sz="0" w:space="0" w:color="auto"/>
      </w:divBdr>
    </w:div>
    <w:div w:id="1862741467">
      <w:bodyDiv w:val="1"/>
      <w:marLeft w:val="0"/>
      <w:marRight w:val="0"/>
      <w:marTop w:val="0"/>
      <w:marBottom w:val="0"/>
      <w:divBdr>
        <w:top w:val="none" w:sz="0" w:space="0" w:color="auto"/>
        <w:left w:val="none" w:sz="0" w:space="0" w:color="auto"/>
        <w:bottom w:val="none" w:sz="0" w:space="0" w:color="auto"/>
        <w:right w:val="none" w:sz="0" w:space="0" w:color="auto"/>
      </w:divBdr>
    </w:div>
    <w:div w:id="19719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areweb.ch/site/PGE/DocumentsFCHR/SDC%20Guidance%20on%20Human%20Rights%20in%20Development%20and%20Cooperation%20EN.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ewsd.admin.ch/newsd/message/attachments/67117.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a.admin.ch/eda/en/fdfa/foreign-policy/implementing-foreign-policy/aussenpolitischestrategie.html" TargetMode="External"/><Relationship Id="rId5" Type="http://schemas.openxmlformats.org/officeDocument/2006/relationships/numbering" Target="numbering.xml"/><Relationship Id="rId15" Type="http://schemas.openxmlformats.org/officeDocument/2006/relationships/hyperlink" Target="https://www.shareweb.ch/site/Poverty-Wellbeing/pa-to-leave-no-one-behind"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areweb.ch/site/PGE/DocumentsFCHR/SDC%20Guidance%20on%20Human%20Rights%20in%20Development%20and%20Cooperation%20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55D86-9877-40D8-9CCC-99F2EB29AB0B}">
  <ds:schemaRefs>
    <ds:schemaRef ds:uri="http://schemas.openxmlformats.org/officeDocument/2006/bibliography"/>
  </ds:schemaRefs>
</ds:datastoreItem>
</file>

<file path=customXml/itemProps2.xml><?xml version="1.0" encoding="utf-8"?>
<ds:datastoreItem xmlns:ds="http://schemas.openxmlformats.org/officeDocument/2006/customXml" ds:itemID="{F5AFFE88-6904-4C8D-932C-B3B2A2994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5D9FE7-FD77-4BFB-AF48-B83329991CB7}">
  <ds:schemaRefs>
    <ds:schemaRef ds:uri="http://schemas.microsoft.com/sharepoint/v3/contenttype/forms"/>
  </ds:schemaRefs>
</ds:datastoreItem>
</file>

<file path=customXml/itemProps4.xml><?xml version="1.0" encoding="utf-8"?>
<ds:datastoreItem xmlns:ds="http://schemas.openxmlformats.org/officeDocument/2006/customXml" ds:itemID="{55826FA3-CCC2-4D8D-A6F3-D9A4C41E1F9A}">
  <ds:schemaRefs>
    <ds:schemaRef ds:uri="http://www.w3.org/XML/1998/namespace"/>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1556</Words>
  <Characters>8870</Characters>
  <Application>Microsoft Office Word</Application>
  <DocSecurity>0</DocSecurity>
  <Lines>73</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Note de service</vt:lpstr>
      <vt:lpstr>Note de service</vt:lpstr>
    </vt:vector>
  </TitlesOfParts>
  <Company>EDA</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service</dc:title>
  <dc:creator>Friedmann Rémy EDA FRY</dc:creator>
  <cp:lastModifiedBy>Johanne Bouchard</cp:lastModifiedBy>
  <cp:revision>2</cp:revision>
  <cp:lastPrinted>2007-03-02T11:19:00Z</cp:lastPrinted>
  <dcterms:created xsi:type="dcterms:W3CDTF">2023-04-17T09:01:00Z</dcterms:created>
  <dcterms:modified xsi:type="dcterms:W3CDTF">2023-04-17T09:01:00Z</dcterms:modified>
</cp:coreProperties>
</file>