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C21A" w14:textId="77777777" w:rsidR="00A708B9" w:rsidRDefault="00A708B9" w:rsidP="00A708B9">
      <w:pPr>
        <w:jc w:val="center"/>
        <w:rPr>
          <w:rFonts w:ascii="Roboto" w:eastAsia="Times New Roman" w:hAnsi="Roboto" w:cs="Times New Roman"/>
          <w:sz w:val="24"/>
          <w:szCs w:val="24"/>
          <w:lang w:eastAsia="en-GB"/>
        </w:rPr>
      </w:pPr>
      <w:r>
        <w:rPr>
          <w:rFonts w:ascii="Times New Roman" w:hAnsi="Times New Roman"/>
          <w:b/>
          <w:bCs/>
          <w:noProof/>
          <w:sz w:val="24"/>
          <w:szCs w:val="24"/>
        </w:rPr>
        <w:drawing>
          <wp:anchor distT="0" distB="0" distL="114300" distR="114300" simplePos="0" relativeHeight="251659264" behindDoc="0" locked="0" layoutInCell="1" allowOverlap="1" wp14:anchorId="61747D78" wp14:editId="4CFE59DB">
            <wp:simplePos x="0" y="0"/>
            <wp:positionH relativeFrom="margin">
              <wp:posOffset>1905</wp:posOffset>
            </wp:positionH>
            <wp:positionV relativeFrom="paragraph">
              <wp:posOffset>1270</wp:posOffset>
            </wp:positionV>
            <wp:extent cx="1791335" cy="471561"/>
            <wp:effectExtent l="0" t="0" r="0" b="508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471561"/>
                    </a:xfrm>
                    <a:prstGeom prst="rect">
                      <a:avLst/>
                    </a:prstGeom>
                  </pic:spPr>
                </pic:pic>
              </a:graphicData>
            </a:graphic>
            <wp14:sizeRelH relativeFrom="margin">
              <wp14:pctWidth>0</wp14:pctWidth>
            </wp14:sizeRelH>
            <wp14:sizeRelV relativeFrom="margin">
              <wp14:pctHeight>0</wp14:pctHeight>
            </wp14:sizeRelV>
          </wp:anchor>
        </w:drawing>
      </w:r>
    </w:p>
    <w:p w14:paraId="5A541A0A" w14:textId="77777777" w:rsidR="00A708B9" w:rsidRDefault="00A708B9" w:rsidP="00A708B9">
      <w:pPr>
        <w:jc w:val="center"/>
        <w:rPr>
          <w:rFonts w:ascii="Roboto" w:eastAsia="Times New Roman" w:hAnsi="Roboto" w:cs="Times New Roman"/>
          <w:sz w:val="24"/>
          <w:szCs w:val="24"/>
          <w:lang w:eastAsia="en-GB"/>
        </w:rPr>
      </w:pPr>
    </w:p>
    <w:p w14:paraId="6777CD1E" w14:textId="77777777" w:rsidR="00A708B9" w:rsidRPr="007A6961" w:rsidRDefault="00A708B9" w:rsidP="00A708B9">
      <w:pPr>
        <w:jc w:val="center"/>
        <w:rPr>
          <w:rFonts w:eastAsia="Times New Roman" w:cstheme="minorHAnsi"/>
          <w:sz w:val="24"/>
          <w:szCs w:val="24"/>
          <w:lang w:eastAsia="en-GB"/>
        </w:rPr>
      </w:pPr>
    </w:p>
    <w:p w14:paraId="2A6FBD79" w14:textId="2788413F" w:rsidR="00A708B9" w:rsidRPr="007A6961" w:rsidRDefault="00A708B9" w:rsidP="00A708B9">
      <w:pPr>
        <w:rPr>
          <w:rFonts w:eastAsia="Times New Roman" w:cstheme="minorHAnsi"/>
          <w:sz w:val="24"/>
          <w:szCs w:val="24"/>
          <w:lang w:eastAsia="en-GB"/>
        </w:rPr>
      </w:pPr>
      <w:r w:rsidRPr="007A6961">
        <w:rPr>
          <w:rFonts w:eastAsia="Times New Roman" w:cstheme="minorHAnsi"/>
          <w:b/>
          <w:bCs/>
          <w:sz w:val="24"/>
          <w:szCs w:val="24"/>
          <w:lang w:val="en-GB" w:eastAsia="en-GB"/>
        </w:rPr>
        <w:t>Input for</w:t>
      </w:r>
      <w:r w:rsidR="008A26DE" w:rsidRPr="007A6961">
        <w:rPr>
          <w:rFonts w:eastAsia="Times New Roman" w:cstheme="minorHAnsi"/>
          <w:b/>
          <w:bCs/>
          <w:sz w:val="24"/>
          <w:szCs w:val="24"/>
          <w:lang w:eastAsia="en-GB"/>
        </w:rPr>
        <w:t xml:space="preserve"> Special Rapporteur in the Field of Cultural Rights</w:t>
      </w:r>
      <w:r w:rsidRPr="007A6961">
        <w:rPr>
          <w:rFonts w:eastAsia="Times New Roman" w:cstheme="minorHAnsi"/>
          <w:b/>
          <w:bCs/>
          <w:sz w:val="24"/>
          <w:szCs w:val="24"/>
          <w:lang w:val="en-GB" w:eastAsia="en-GB"/>
        </w:rPr>
        <w:t xml:space="preserve"> </w:t>
      </w:r>
      <w:r w:rsidRPr="007A6961">
        <w:rPr>
          <w:rFonts w:eastAsia="Times New Roman" w:cstheme="minorHAnsi"/>
          <w:b/>
          <w:bCs/>
          <w:sz w:val="24"/>
          <w:szCs w:val="24"/>
          <w:lang w:eastAsia="en-GB"/>
        </w:rPr>
        <w:t>Report</w:t>
      </w:r>
      <w:r w:rsidR="008A26DE" w:rsidRPr="007A6961">
        <w:rPr>
          <w:rFonts w:eastAsia="Times New Roman" w:cstheme="minorHAnsi"/>
          <w:b/>
          <w:bCs/>
          <w:sz w:val="24"/>
          <w:szCs w:val="24"/>
          <w:lang w:val="en-GB" w:eastAsia="en-GB"/>
        </w:rPr>
        <w:t>:</w:t>
      </w:r>
      <w:r w:rsidR="008A26DE" w:rsidRPr="007A6961">
        <w:rPr>
          <w:rFonts w:eastAsia="Times New Roman" w:cstheme="minorHAnsi"/>
          <w:sz w:val="24"/>
          <w:szCs w:val="24"/>
          <w:lang w:val="en-GB" w:eastAsia="en-GB"/>
        </w:rPr>
        <w:t xml:space="preserve"> </w:t>
      </w:r>
      <w:r w:rsidR="008A26DE" w:rsidRPr="007A6961">
        <w:rPr>
          <w:rFonts w:eastAsia="Times New Roman" w:cstheme="minorHAnsi"/>
          <w:sz w:val="24"/>
          <w:szCs w:val="24"/>
          <w:lang w:eastAsia="en-GB"/>
        </w:rPr>
        <w:br/>
      </w:r>
      <w:r w:rsidRPr="007A6961">
        <w:rPr>
          <w:rFonts w:eastAsia="Times New Roman" w:cstheme="minorHAnsi"/>
          <w:lang w:eastAsia="en-GB"/>
        </w:rPr>
        <w:t>Cultural Rights and the Governance of Development</w:t>
      </w:r>
    </w:p>
    <w:p w14:paraId="78BFAE8B" w14:textId="4B569274" w:rsidR="00A708B9" w:rsidRPr="008A26DE" w:rsidRDefault="00A708B9" w:rsidP="00A708B9">
      <w:pPr>
        <w:rPr>
          <w:rFonts w:ascii="Roboto" w:eastAsia="Times New Roman" w:hAnsi="Roboto" w:cs="Times New Roman"/>
          <w:sz w:val="24"/>
          <w:szCs w:val="24"/>
          <w:lang w:val="en-GB" w:eastAsia="en-GB"/>
        </w:rPr>
      </w:pPr>
    </w:p>
    <w:p w14:paraId="1BC4A180" w14:textId="069FBEC0" w:rsidR="00A708B9" w:rsidRDefault="00A708B9" w:rsidP="00A708B9">
      <w:pPr>
        <w:rPr>
          <w:rFonts w:eastAsia="Times New Roman"/>
        </w:rPr>
      </w:pPr>
      <w:r w:rsidRPr="00933572">
        <w:rPr>
          <w:rFonts w:eastAsia="Times New Roman"/>
          <w:b/>
          <w:bCs/>
        </w:rPr>
        <w:t>Response by</w:t>
      </w:r>
      <w:r w:rsidRPr="007466DA">
        <w:rPr>
          <w:rFonts w:eastAsia="Times New Roman"/>
        </w:rPr>
        <w:t xml:space="preserve">: The International Federation of Library Associations and Institutions (IFLA) </w:t>
      </w:r>
      <w:r>
        <w:rPr>
          <w:rFonts w:eastAsia="Times New Roman"/>
        </w:rPr>
        <w:br/>
      </w:r>
      <w:r w:rsidRPr="00933572">
        <w:rPr>
          <w:rFonts w:eastAsia="Times New Roman"/>
          <w:b/>
          <w:bCs/>
        </w:rPr>
        <w:t>Website</w:t>
      </w:r>
      <w:r w:rsidRPr="007466DA">
        <w:rPr>
          <w:rFonts w:eastAsia="Times New Roman"/>
        </w:rPr>
        <w:t xml:space="preserve">: </w:t>
      </w:r>
      <w:hyperlink r:id="rId9" w:history="1">
        <w:r w:rsidR="007A6961" w:rsidRPr="007A182F">
          <w:rPr>
            <w:rStyle w:val="Hyperlink"/>
            <w:rFonts w:eastAsia="Times New Roman"/>
          </w:rPr>
          <w:t>https://www.ifla.org/</w:t>
        </w:r>
      </w:hyperlink>
      <w:r w:rsidR="007A6961">
        <w:rPr>
          <w:rFonts w:eastAsia="Times New Roman"/>
          <w:lang w:val="en-GB"/>
        </w:rPr>
        <w:t xml:space="preserve"> </w:t>
      </w:r>
      <w:r w:rsidRPr="007466DA">
        <w:rPr>
          <w:rFonts w:eastAsia="Times New Roman"/>
        </w:rPr>
        <w:t xml:space="preserve"> </w:t>
      </w:r>
      <w:r>
        <w:rPr>
          <w:rFonts w:eastAsia="Times New Roman"/>
        </w:rPr>
        <w:br/>
      </w:r>
      <w:r w:rsidRPr="00933572">
        <w:rPr>
          <w:rFonts w:eastAsia="Times New Roman"/>
          <w:b/>
          <w:bCs/>
        </w:rPr>
        <w:t>Contact</w:t>
      </w:r>
      <w:r>
        <w:rPr>
          <w:rFonts w:eastAsia="Times New Roman"/>
        </w:rPr>
        <w:t>: Claire McGuire (</w:t>
      </w:r>
      <w:hyperlink r:id="rId10" w:history="1">
        <w:r w:rsidRPr="00A8212D">
          <w:rPr>
            <w:rStyle w:val="Hyperlink"/>
            <w:rFonts w:eastAsia="Times New Roman"/>
          </w:rPr>
          <w:t>claire.mcguire@ifla.org</w:t>
        </w:r>
      </w:hyperlink>
      <w:r>
        <w:rPr>
          <w:rFonts w:eastAsia="Times New Roman"/>
        </w:rPr>
        <w:t xml:space="preserve">) </w:t>
      </w:r>
    </w:p>
    <w:p w14:paraId="4575A549" w14:textId="77777777" w:rsidR="00A708B9" w:rsidRDefault="00A708B9" w:rsidP="00A708B9">
      <w:pPr>
        <w:rPr>
          <w:rFonts w:ascii="Roboto" w:eastAsia="Times New Roman" w:hAnsi="Roboto" w:cs="Times New Roman"/>
          <w:sz w:val="24"/>
          <w:szCs w:val="24"/>
          <w:lang w:eastAsia="en-GB"/>
        </w:rPr>
      </w:pPr>
    </w:p>
    <w:p w14:paraId="18C29698" w14:textId="099BB58E" w:rsidR="00700201" w:rsidRPr="004E6042" w:rsidRDefault="00700201" w:rsidP="00171A6D">
      <w:pPr>
        <w:numPr>
          <w:ilvl w:val="0"/>
          <w:numId w:val="2"/>
        </w:numPr>
        <w:tabs>
          <w:tab w:val="clear" w:pos="720"/>
          <w:tab w:val="num" w:pos="284"/>
        </w:tabs>
        <w:spacing w:before="100" w:beforeAutospacing="1" w:after="100" w:afterAutospacing="1" w:line="240" w:lineRule="auto"/>
        <w:ind w:left="284" w:hanging="284"/>
        <w:rPr>
          <w:rFonts w:eastAsia="Times New Roman" w:cstheme="minorHAnsi"/>
          <w:b/>
        </w:rPr>
      </w:pPr>
      <w:r w:rsidRPr="004E6042">
        <w:rPr>
          <w:rFonts w:eastAsia="Times New Roman" w:cstheme="minorHAnsi"/>
          <w:b/>
        </w:rPr>
        <w:t>How are human rights generally integrated in your policies and programmes? Please indicate if human rights are mandatory considerations, at what stage of the programme they are integrated and if any, what kind of impact assessment and monitoring is done of their implementation.</w:t>
      </w:r>
    </w:p>
    <w:p w14:paraId="3590BC83" w14:textId="2CE4F395" w:rsidR="00CF137B" w:rsidRPr="004E6042" w:rsidRDefault="00487CE6" w:rsidP="00690DE8">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IFLA’s </w:t>
      </w:r>
      <w:r w:rsidR="00762DB8" w:rsidRPr="004E6042">
        <w:rPr>
          <w:rFonts w:eastAsia="Times New Roman" w:cstheme="minorHAnsi"/>
          <w:lang w:val="en-GB"/>
        </w:rPr>
        <w:t xml:space="preserve">core </w:t>
      </w:r>
      <w:r w:rsidRPr="004E6042">
        <w:rPr>
          <w:rFonts w:eastAsia="Times New Roman" w:cstheme="minorHAnsi"/>
          <w:lang w:val="en-GB"/>
        </w:rPr>
        <w:t>values</w:t>
      </w:r>
      <w:r w:rsidR="00CB3DDD" w:rsidRPr="004E6042">
        <w:rPr>
          <w:rFonts w:eastAsia="Times New Roman" w:cstheme="minorHAnsi"/>
          <w:lang w:val="en-GB"/>
        </w:rPr>
        <w:t xml:space="preserve"> centre the principles of </w:t>
      </w:r>
      <w:r w:rsidR="00CB3DDD" w:rsidRPr="004E6042">
        <w:rPr>
          <w:rFonts w:eastAsia="Times New Roman" w:cstheme="minorHAnsi"/>
        </w:rPr>
        <w:t>freedom of access to information, ideas and works of imagination and freedom of</w:t>
      </w:r>
      <w:r w:rsidR="00CB3DDD" w:rsidRPr="004E6042">
        <w:rPr>
          <w:rFonts w:eastAsia="Times New Roman" w:cstheme="minorHAnsi"/>
          <w:lang w:val="en-GB"/>
        </w:rPr>
        <w:t xml:space="preserve"> </w:t>
      </w:r>
      <w:r w:rsidR="00CB3DDD" w:rsidRPr="004E6042">
        <w:rPr>
          <w:rFonts w:eastAsia="Times New Roman" w:cstheme="minorHAnsi"/>
        </w:rPr>
        <w:t>expression</w:t>
      </w:r>
      <w:r w:rsidR="00CB3DDD" w:rsidRPr="004E6042">
        <w:rPr>
          <w:rFonts w:eastAsia="Times New Roman" w:cstheme="minorHAnsi"/>
          <w:lang w:val="en-GB"/>
        </w:rPr>
        <w:t xml:space="preserve">, </w:t>
      </w:r>
      <w:r w:rsidR="00CB3DDD" w:rsidRPr="004E6042">
        <w:rPr>
          <w:rFonts w:eastAsia="Times New Roman" w:cstheme="minorHAnsi"/>
        </w:rPr>
        <w:t>embodied in Article 19 of the Universal Declaration of Human Rights</w:t>
      </w:r>
      <w:r w:rsidR="00CB3DDD" w:rsidRPr="004E6042">
        <w:rPr>
          <w:rFonts w:eastAsia="Times New Roman" w:cstheme="minorHAnsi"/>
          <w:lang w:val="en-GB"/>
        </w:rPr>
        <w:t xml:space="preserve"> [</w:t>
      </w:r>
      <w:hyperlink r:id="rId11">
        <w:r w:rsidR="00C42074" w:rsidRPr="004E6042">
          <w:rPr>
            <w:rStyle w:val="Hyperlink"/>
            <w:rFonts w:eastAsia="Times New Roman" w:cstheme="minorHAnsi"/>
            <w:lang w:val="en-GB"/>
          </w:rPr>
          <w:t>IFLA S</w:t>
        </w:r>
        <w:r w:rsidR="00CB3DDD" w:rsidRPr="004E6042">
          <w:rPr>
            <w:rStyle w:val="Hyperlink"/>
            <w:rFonts w:eastAsia="Times New Roman" w:cstheme="minorHAnsi"/>
            <w:lang w:val="en-GB"/>
          </w:rPr>
          <w:t>tatutes</w:t>
        </w:r>
      </w:hyperlink>
      <w:r w:rsidR="00762DB8" w:rsidRPr="004E6042">
        <w:rPr>
          <w:rFonts w:eastAsia="Times New Roman" w:cstheme="minorHAnsi"/>
          <w:lang w:val="en-GB"/>
        </w:rPr>
        <w:t xml:space="preserve"> article</w:t>
      </w:r>
      <w:r w:rsidR="00CB3DDD" w:rsidRPr="004E6042">
        <w:rPr>
          <w:rFonts w:eastAsia="Times New Roman" w:cstheme="minorHAnsi"/>
          <w:lang w:val="en-GB"/>
        </w:rPr>
        <w:t xml:space="preserve"> 2.3]</w:t>
      </w:r>
      <w:r w:rsidR="00762DB8" w:rsidRPr="004E6042">
        <w:rPr>
          <w:rFonts w:eastAsia="Times New Roman" w:cstheme="minorHAnsi"/>
          <w:lang w:val="en-GB"/>
        </w:rPr>
        <w:t xml:space="preserve">. </w:t>
      </w:r>
    </w:p>
    <w:p w14:paraId="7BA9137A" w14:textId="77777777" w:rsidR="00EE5943" w:rsidRPr="004E6042" w:rsidRDefault="001F14D3" w:rsidP="00690DE8">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All </w:t>
      </w:r>
      <w:r w:rsidR="00CC6E68" w:rsidRPr="004E6042">
        <w:rPr>
          <w:rFonts w:eastAsia="Times New Roman" w:cstheme="minorHAnsi"/>
          <w:lang w:val="en-GB"/>
        </w:rPr>
        <w:t xml:space="preserve">of IFLA activities are </w:t>
      </w:r>
      <w:r w:rsidR="00421FF0" w:rsidRPr="004E6042">
        <w:rPr>
          <w:rFonts w:eastAsia="Times New Roman" w:cstheme="minorHAnsi"/>
          <w:lang w:val="en-GB"/>
        </w:rPr>
        <w:t xml:space="preserve">steered by these core values. </w:t>
      </w:r>
      <w:r w:rsidR="00762DB8" w:rsidRPr="004E6042">
        <w:rPr>
          <w:rFonts w:eastAsia="Times New Roman" w:cstheme="minorHAnsi"/>
          <w:lang w:val="en-GB"/>
        </w:rPr>
        <w:t xml:space="preserve">The organisation’s engagement in development is </w:t>
      </w:r>
      <w:r w:rsidR="00DE3206" w:rsidRPr="004E6042">
        <w:rPr>
          <w:rFonts w:eastAsia="Times New Roman" w:cstheme="minorHAnsi"/>
          <w:lang w:val="en-GB"/>
        </w:rPr>
        <w:t xml:space="preserve">informed by the belief that people, communities and organizations need universal and equitable access to information, ideas and works of imagination for their social, educational, cultural, democratic and economic well-being. </w:t>
      </w:r>
    </w:p>
    <w:p w14:paraId="670142B3" w14:textId="6E109902" w:rsidR="00762DB8" w:rsidRPr="004E6042" w:rsidRDefault="0087690A" w:rsidP="197BFB0B">
      <w:pPr>
        <w:spacing w:before="100" w:beforeAutospacing="1" w:after="100" w:afterAutospacing="1" w:line="240" w:lineRule="auto"/>
        <w:rPr>
          <w:rFonts w:eastAsia="Times New Roman" w:cstheme="minorHAnsi"/>
        </w:rPr>
      </w:pPr>
      <w:r w:rsidRPr="004E6042">
        <w:rPr>
          <w:rFonts w:eastAsia="Times New Roman" w:cstheme="minorHAnsi"/>
          <w:lang w:val="en-GB"/>
        </w:rPr>
        <w:t>The</w:t>
      </w:r>
      <w:r w:rsidR="00DE3206" w:rsidRPr="004E6042">
        <w:rPr>
          <w:rFonts w:eastAsia="Times New Roman" w:cstheme="minorHAnsi"/>
        </w:rPr>
        <w:t xml:space="preserve"> delivery of high quality library and information services</w:t>
      </w:r>
      <w:r w:rsidR="004D42DF" w:rsidRPr="004E6042">
        <w:rPr>
          <w:rFonts w:eastAsia="Times New Roman" w:cstheme="minorHAnsi"/>
          <w:lang w:val="en-GB"/>
        </w:rPr>
        <w:t xml:space="preserve"> for all people, with no discrimination,</w:t>
      </w:r>
      <w:r w:rsidR="00DE3206" w:rsidRPr="004E6042">
        <w:rPr>
          <w:rFonts w:eastAsia="Times New Roman" w:cstheme="minorHAnsi"/>
        </w:rPr>
        <w:t xml:space="preserve"> help guarantee that access</w:t>
      </w:r>
      <w:r w:rsidR="006341EB" w:rsidRPr="004E6042">
        <w:rPr>
          <w:rFonts w:eastAsia="Times New Roman" w:cstheme="minorHAnsi"/>
          <w:lang w:val="en-GB"/>
        </w:rPr>
        <w:t xml:space="preserve">. </w:t>
      </w:r>
      <w:r w:rsidR="00F92147" w:rsidRPr="004E6042">
        <w:rPr>
          <w:rFonts w:eastAsia="Times New Roman" w:cstheme="minorHAnsi"/>
          <w:lang w:val="en-GB"/>
        </w:rPr>
        <w:t xml:space="preserve">These services </w:t>
      </w:r>
      <w:r w:rsidRPr="004E6042">
        <w:rPr>
          <w:rFonts w:eastAsia="Times New Roman" w:cstheme="minorHAnsi"/>
          <w:lang w:val="en-GB"/>
        </w:rPr>
        <w:t>help enable</w:t>
      </w:r>
      <w:r w:rsidR="00854ED7" w:rsidRPr="004E6042">
        <w:rPr>
          <w:rFonts w:eastAsia="Times New Roman" w:cstheme="minorHAnsi"/>
          <w:lang w:val="en-GB"/>
        </w:rPr>
        <w:t xml:space="preserve"> free</w:t>
      </w:r>
      <w:r w:rsidRPr="004E6042">
        <w:rPr>
          <w:rFonts w:eastAsia="Times New Roman" w:cstheme="minorHAnsi"/>
          <w:lang w:val="en-GB"/>
        </w:rPr>
        <w:t xml:space="preserve"> participation in cultural life</w:t>
      </w:r>
      <w:r w:rsidR="00F92147" w:rsidRPr="004E6042">
        <w:rPr>
          <w:rFonts w:eastAsia="Times New Roman" w:cstheme="minorHAnsi"/>
          <w:lang w:val="en-GB"/>
        </w:rPr>
        <w:t xml:space="preserve"> of the community</w:t>
      </w:r>
      <w:r w:rsidRPr="004E6042">
        <w:rPr>
          <w:rFonts w:eastAsia="Times New Roman" w:cstheme="minorHAnsi"/>
          <w:lang w:val="en-GB"/>
        </w:rPr>
        <w:t xml:space="preserve"> and </w:t>
      </w:r>
      <w:r w:rsidR="006341EB" w:rsidRPr="004E6042">
        <w:rPr>
          <w:rFonts w:eastAsia="Times New Roman" w:cstheme="minorHAnsi"/>
          <w:lang w:val="en-GB"/>
        </w:rPr>
        <w:t>for</w:t>
      </w:r>
      <w:r w:rsidR="00F92147" w:rsidRPr="004E6042">
        <w:rPr>
          <w:rFonts w:eastAsia="Times New Roman" w:cstheme="minorHAnsi"/>
          <w:lang w:val="en-GB"/>
        </w:rPr>
        <w:t xml:space="preserve"> the benefits of science </w:t>
      </w:r>
      <w:r w:rsidR="006341EB" w:rsidRPr="004E6042">
        <w:rPr>
          <w:rFonts w:eastAsia="Times New Roman" w:cstheme="minorHAnsi"/>
          <w:lang w:val="en-GB"/>
        </w:rPr>
        <w:t>to be shared.</w:t>
      </w:r>
      <w:r w:rsidRPr="004E6042">
        <w:rPr>
          <w:rFonts w:eastAsia="Times New Roman" w:cstheme="minorHAnsi"/>
          <w:lang w:val="en-GB"/>
        </w:rPr>
        <w:t xml:space="preserve"> </w:t>
      </w:r>
      <w:r w:rsidR="00C26467" w:rsidRPr="004E6042">
        <w:rPr>
          <w:rFonts w:eastAsia="Times New Roman" w:cstheme="minorHAnsi"/>
          <w:lang w:val="en-GB"/>
        </w:rPr>
        <w:t xml:space="preserve"> </w:t>
      </w:r>
      <w:r w:rsidR="006341EB" w:rsidRPr="004E6042">
        <w:rPr>
          <w:rFonts w:eastAsia="Times New Roman" w:cstheme="minorHAnsi"/>
          <w:lang w:val="en-GB"/>
        </w:rPr>
        <w:t>Therefore, a</w:t>
      </w:r>
      <w:r w:rsidR="00211FC1" w:rsidRPr="004E6042">
        <w:rPr>
          <w:rFonts w:eastAsia="Times New Roman" w:cstheme="minorHAnsi"/>
          <w:lang w:val="en-GB"/>
        </w:rPr>
        <w:t>ccess to library services are a</w:t>
      </w:r>
      <w:r w:rsidR="009618E8" w:rsidRPr="004E6042">
        <w:rPr>
          <w:rFonts w:eastAsia="Times New Roman" w:cstheme="minorHAnsi"/>
          <w:lang w:val="en-GB"/>
        </w:rPr>
        <w:t xml:space="preserve"> cultural right</w:t>
      </w:r>
      <w:r w:rsidR="00211FC1" w:rsidRPr="004E6042">
        <w:rPr>
          <w:rFonts w:eastAsia="Times New Roman" w:cstheme="minorHAnsi"/>
          <w:lang w:val="en-GB"/>
        </w:rPr>
        <w:t xml:space="preserve">. </w:t>
      </w:r>
    </w:p>
    <w:p w14:paraId="60561145" w14:textId="7D133DD9" w:rsidR="00F9368C" w:rsidRPr="004E6042" w:rsidRDefault="00F9368C"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IFLA works to integrate an understanding of how libraries help</w:t>
      </w:r>
      <w:r w:rsidR="000F70E6" w:rsidRPr="004E6042">
        <w:rPr>
          <w:rFonts w:eastAsia="Times New Roman" w:cstheme="minorHAnsi"/>
          <w:lang w:val="en-GB"/>
        </w:rPr>
        <w:t xml:space="preserve"> drive sustainable development through the</w:t>
      </w:r>
      <w:r w:rsidRPr="004E6042">
        <w:rPr>
          <w:rFonts w:eastAsia="Times New Roman" w:cstheme="minorHAnsi"/>
          <w:lang w:val="en-GB"/>
        </w:rPr>
        <w:t xml:space="preserve"> realis</w:t>
      </w:r>
      <w:r w:rsidR="000F70E6" w:rsidRPr="004E6042">
        <w:rPr>
          <w:rFonts w:eastAsia="Times New Roman" w:cstheme="minorHAnsi"/>
          <w:lang w:val="en-GB"/>
        </w:rPr>
        <w:t>ation of</w:t>
      </w:r>
      <w:r w:rsidRPr="004E6042">
        <w:rPr>
          <w:rFonts w:eastAsia="Times New Roman" w:cstheme="minorHAnsi"/>
          <w:lang w:val="en-GB"/>
        </w:rPr>
        <w:t xml:space="preserve"> human </w:t>
      </w:r>
      <w:r w:rsidR="009623BA" w:rsidRPr="004E6042">
        <w:rPr>
          <w:rFonts w:eastAsia="Times New Roman" w:cstheme="minorHAnsi"/>
          <w:lang w:val="en-GB"/>
        </w:rPr>
        <w:t xml:space="preserve">and cultural </w:t>
      </w:r>
      <w:r w:rsidRPr="004E6042">
        <w:rPr>
          <w:rFonts w:eastAsia="Times New Roman" w:cstheme="minorHAnsi"/>
          <w:lang w:val="en-GB"/>
        </w:rPr>
        <w:t>rights</w:t>
      </w:r>
      <w:r w:rsidR="00EE5943" w:rsidRPr="004E6042">
        <w:rPr>
          <w:rFonts w:eastAsia="Times New Roman" w:cstheme="minorHAnsi"/>
          <w:lang w:val="en-GB"/>
        </w:rPr>
        <w:t>, especially related to Article 19,</w:t>
      </w:r>
      <w:r w:rsidRPr="004E6042">
        <w:rPr>
          <w:rFonts w:eastAsia="Times New Roman" w:cstheme="minorHAnsi"/>
          <w:lang w:val="en-GB"/>
        </w:rPr>
        <w:t xml:space="preserve"> into the wider perception of the missions of libraries. </w:t>
      </w:r>
    </w:p>
    <w:p w14:paraId="458DC0DC" w14:textId="316595D3" w:rsidR="00D96916" w:rsidRPr="004E6042" w:rsidRDefault="00181AA5" w:rsidP="00AD35A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 monitors and reports on the status of information and expression in development through </w:t>
      </w:r>
      <w:r w:rsidR="0008670A" w:rsidRPr="004E6042">
        <w:rPr>
          <w:rFonts w:eastAsia="Times New Roman" w:cstheme="minorHAnsi"/>
          <w:lang w:val="en-GB"/>
        </w:rPr>
        <w:t>its professional programme,</w:t>
      </w:r>
      <w:r w:rsidR="00161457" w:rsidRPr="004E6042">
        <w:rPr>
          <w:rFonts w:eastAsia="Times New Roman" w:cstheme="minorHAnsi"/>
          <w:lang w:val="en-GB"/>
        </w:rPr>
        <w:t xml:space="preserve"> </w:t>
      </w:r>
      <w:r w:rsidR="00D82F0B" w:rsidRPr="004E6042">
        <w:rPr>
          <w:rFonts w:eastAsia="Times New Roman" w:cstheme="minorHAnsi"/>
          <w:lang w:val="en-GB"/>
        </w:rPr>
        <w:t xml:space="preserve">policy and advocacy programmes, and through its </w:t>
      </w:r>
      <w:hyperlink r:id="rId12">
        <w:r w:rsidR="00161457" w:rsidRPr="004E6042">
          <w:rPr>
            <w:rStyle w:val="Hyperlink"/>
            <w:rFonts w:eastAsia="Times New Roman" w:cstheme="minorHAnsi"/>
            <w:lang w:val="en-GB"/>
          </w:rPr>
          <w:t>Advisory Committee on Freedom of Access to Information and Freedom of Expression</w:t>
        </w:r>
      </w:hyperlink>
      <w:r w:rsidR="00161457" w:rsidRPr="004E6042">
        <w:rPr>
          <w:rFonts w:eastAsia="Times New Roman" w:cstheme="minorHAnsi"/>
          <w:lang w:val="en-GB"/>
        </w:rPr>
        <w:t xml:space="preserve"> (FAIFE). </w:t>
      </w:r>
    </w:p>
    <w:p w14:paraId="01A48402" w14:textId="347F3C80" w:rsidR="00161457" w:rsidRPr="004E6042" w:rsidRDefault="00161457" w:rsidP="00AD35A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IFLA’s </w:t>
      </w:r>
      <w:hyperlink r:id="rId13" w:history="1">
        <w:r w:rsidRPr="004E6042">
          <w:rPr>
            <w:rStyle w:val="Hyperlink"/>
            <w:rFonts w:eastAsia="Times New Roman" w:cstheme="minorHAnsi"/>
            <w:lang w:val="en-GB"/>
          </w:rPr>
          <w:t>Advisory Committee on Cultural Heritage (CCH)</w:t>
        </w:r>
      </w:hyperlink>
      <w:r w:rsidRPr="004E6042">
        <w:rPr>
          <w:rFonts w:eastAsia="Times New Roman" w:cstheme="minorHAnsi"/>
          <w:lang w:val="en-GB"/>
        </w:rPr>
        <w:t xml:space="preserve"> </w:t>
      </w:r>
      <w:r w:rsidR="00D96916" w:rsidRPr="004E6042">
        <w:rPr>
          <w:rFonts w:eastAsia="Times New Roman" w:cstheme="minorHAnsi"/>
          <w:lang w:val="en-GB"/>
        </w:rPr>
        <w:t xml:space="preserve">further explores and monitors topics relevant to cultural rights, such as repatriation of cultural property. </w:t>
      </w:r>
    </w:p>
    <w:p w14:paraId="05256ADB" w14:textId="5DC795AF" w:rsidR="00F173BE" w:rsidRPr="004E6042" w:rsidRDefault="0008670A" w:rsidP="001E0CC0">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Advocacy outputs </w:t>
      </w:r>
      <w:r w:rsidR="00B93E1D" w:rsidRPr="004E6042">
        <w:rPr>
          <w:rFonts w:eastAsia="Times New Roman" w:cstheme="minorHAnsi"/>
          <w:lang w:val="en-GB"/>
        </w:rPr>
        <w:t>highlight key mess</w:t>
      </w:r>
      <w:r w:rsidR="00841530" w:rsidRPr="004E6042">
        <w:rPr>
          <w:rFonts w:eastAsia="Times New Roman" w:cstheme="minorHAnsi"/>
          <w:lang w:val="en-GB"/>
        </w:rPr>
        <w:t xml:space="preserve">ages regarding the implementation and monitoring of issues related to fundamental freedoms and sustainable development. </w:t>
      </w:r>
    </w:p>
    <w:p w14:paraId="2F18D49A" w14:textId="33B043AB" w:rsidR="00FD3D8C" w:rsidRPr="004E6042" w:rsidRDefault="00FD3D8C" w:rsidP="197BFB0B">
      <w:pPr>
        <w:spacing w:before="100" w:beforeAutospacing="1" w:after="100" w:afterAutospacing="1" w:line="240" w:lineRule="auto"/>
        <w:rPr>
          <w:rFonts w:eastAsia="Times New Roman" w:cstheme="minorHAnsi"/>
          <w:lang w:val="en-US"/>
        </w:rPr>
      </w:pPr>
      <w:r w:rsidRPr="004E6042">
        <w:rPr>
          <w:rFonts w:eastAsia="Times New Roman" w:cstheme="minorHAnsi"/>
          <w:lang w:val="en-US"/>
        </w:rPr>
        <w:t xml:space="preserve">IFLA and UNESCO’s Manifestos, including the recently released </w:t>
      </w:r>
      <w:hyperlink r:id="rId14">
        <w:r w:rsidRPr="004E6042">
          <w:rPr>
            <w:rStyle w:val="Hyperlink"/>
            <w:rFonts w:eastAsia="Times New Roman" w:cstheme="minorHAnsi"/>
            <w:lang w:val="en-US"/>
          </w:rPr>
          <w:t>2022 IFLA-UNESCO Public Library Manifesto</w:t>
        </w:r>
      </w:hyperlink>
      <w:r w:rsidRPr="004E6042">
        <w:rPr>
          <w:rFonts w:eastAsia="Times New Roman" w:cstheme="minorHAnsi"/>
          <w:lang w:val="en-US"/>
        </w:rPr>
        <w:t xml:space="preserve">, the </w:t>
      </w:r>
      <w:hyperlink r:id="rId15">
        <w:r w:rsidRPr="004E6042">
          <w:rPr>
            <w:rStyle w:val="Hyperlink"/>
            <w:rFonts w:eastAsia="Times New Roman" w:cstheme="minorHAnsi"/>
            <w:lang w:val="en-US"/>
          </w:rPr>
          <w:t>IFLA-UNESCO Multicultural Library Manifesto</w:t>
        </w:r>
      </w:hyperlink>
      <w:r w:rsidRPr="004E6042">
        <w:rPr>
          <w:rFonts w:eastAsia="Times New Roman" w:cstheme="minorHAnsi"/>
          <w:lang w:val="en-US"/>
        </w:rPr>
        <w:t xml:space="preserve">, </w:t>
      </w:r>
      <w:r w:rsidR="002A0E3A" w:rsidRPr="004E6042">
        <w:rPr>
          <w:rFonts w:eastAsia="Times New Roman" w:cstheme="minorHAnsi"/>
          <w:lang w:val="en-US"/>
        </w:rPr>
        <w:t xml:space="preserve">the </w:t>
      </w:r>
      <w:hyperlink r:id="rId16">
        <w:r w:rsidR="002A0E3A" w:rsidRPr="004E6042">
          <w:rPr>
            <w:rStyle w:val="Hyperlink"/>
            <w:rFonts w:eastAsia="Times New Roman" w:cstheme="minorHAnsi"/>
            <w:lang w:val="en-US"/>
          </w:rPr>
          <w:t xml:space="preserve">IFLA/UNESCO Manifesto for Digital </w:t>
        </w:r>
        <w:r w:rsidR="002A0E3A" w:rsidRPr="004E6042">
          <w:rPr>
            <w:rStyle w:val="Hyperlink"/>
            <w:rFonts w:eastAsia="Times New Roman" w:cstheme="minorHAnsi"/>
            <w:lang w:val="en-US"/>
          </w:rPr>
          <w:lastRenderedPageBreak/>
          <w:t>Libraries</w:t>
        </w:r>
      </w:hyperlink>
      <w:r w:rsidR="002A0E3A" w:rsidRPr="004E6042">
        <w:rPr>
          <w:rFonts w:eastAsia="Times New Roman" w:cstheme="minorHAnsi"/>
          <w:lang w:val="en-US"/>
        </w:rPr>
        <w:t xml:space="preserve"> </w:t>
      </w:r>
      <w:r w:rsidRPr="004E6042">
        <w:rPr>
          <w:rFonts w:eastAsia="Times New Roman" w:cstheme="minorHAnsi"/>
          <w:lang w:val="en-US"/>
        </w:rPr>
        <w:t xml:space="preserve">and </w:t>
      </w:r>
      <w:r w:rsidR="002A0E3A" w:rsidRPr="004E6042">
        <w:rPr>
          <w:rFonts w:eastAsia="Times New Roman" w:cstheme="minorHAnsi"/>
          <w:lang w:val="en-US"/>
        </w:rPr>
        <w:t xml:space="preserve">the </w:t>
      </w:r>
      <w:r w:rsidRPr="004E6042">
        <w:rPr>
          <w:rFonts w:eastAsia="Times New Roman" w:cstheme="minorHAnsi"/>
          <w:lang w:val="en-US"/>
        </w:rPr>
        <w:t xml:space="preserve">planned updates for the </w:t>
      </w:r>
      <w:r w:rsidR="002A0E3A" w:rsidRPr="004E6042">
        <w:rPr>
          <w:rFonts w:eastAsia="Times New Roman" w:cstheme="minorHAnsi"/>
          <w:lang w:val="en-US"/>
        </w:rPr>
        <w:t>IFLA-UNESC</w:t>
      </w:r>
      <w:r w:rsidR="00250B7F" w:rsidRPr="004E6042">
        <w:rPr>
          <w:rFonts w:eastAsia="Times New Roman" w:cstheme="minorHAnsi"/>
          <w:lang w:val="en-US"/>
        </w:rPr>
        <w:t>O</w:t>
      </w:r>
      <w:r w:rsidR="002A0E3A" w:rsidRPr="004E6042">
        <w:rPr>
          <w:rFonts w:eastAsia="Times New Roman" w:cstheme="minorHAnsi"/>
          <w:lang w:val="en-US"/>
        </w:rPr>
        <w:t xml:space="preserve"> School Library Manifesto all </w:t>
      </w:r>
      <w:r w:rsidR="006D2114" w:rsidRPr="004E6042">
        <w:rPr>
          <w:rFonts w:eastAsia="Times New Roman" w:cstheme="minorHAnsi"/>
          <w:lang w:val="en-US"/>
        </w:rPr>
        <w:t>center</w:t>
      </w:r>
      <w:r w:rsidR="002A0E3A" w:rsidRPr="004E6042">
        <w:rPr>
          <w:rFonts w:eastAsia="Times New Roman" w:cstheme="minorHAnsi"/>
          <w:lang w:val="en-US"/>
        </w:rPr>
        <w:t xml:space="preserve"> </w:t>
      </w:r>
      <w:r w:rsidR="583F65B0" w:rsidRPr="004E6042">
        <w:rPr>
          <w:rFonts w:eastAsia="Times New Roman" w:cstheme="minorHAnsi"/>
          <w:lang w:val="en-US"/>
        </w:rPr>
        <w:t xml:space="preserve">rights to </w:t>
      </w:r>
      <w:r w:rsidR="002A0E3A" w:rsidRPr="004E6042">
        <w:rPr>
          <w:rFonts w:eastAsia="Times New Roman" w:cstheme="minorHAnsi"/>
          <w:lang w:val="en-US"/>
        </w:rPr>
        <w:t xml:space="preserve">access to information and knowledge, including culture, for the wellbeing of all. </w:t>
      </w:r>
    </w:p>
    <w:p w14:paraId="7C18049B" w14:textId="2DDFED54" w:rsidR="00700201" w:rsidRPr="004E6042" w:rsidRDefault="00700201" w:rsidP="00171A6D">
      <w:pPr>
        <w:numPr>
          <w:ilvl w:val="0"/>
          <w:numId w:val="2"/>
        </w:numPr>
        <w:tabs>
          <w:tab w:val="clear" w:pos="720"/>
          <w:tab w:val="num" w:pos="426"/>
        </w:tabs>
        <w:spacing w:before="100" w:beforeAutospacing="1" w:after="100" w:afterAutospacing="1" w:line="240" w:lineRule="auto"/>
        <w:ind w:left="284"/>
        <w:rPr>
          <w:rFonts w:eastAsia="Times New Roman" w:cstheme="minorHAnsi"/>
          <w:b/>
        </w:rPr>
      </w:pPr>
      <w:r w:rsidRPr="004E6042">
        <w:rPr>
          <w:rFonts w:eastAsia="Times New Roman" w:cstheme="minorHAnsi"/>
          <w:b/>
        </w:rPr>
        <w:t>Please provide examples of any programmes that contribute to the respect, protection and implementation of cultural rights, in particular:</w:t>
      </w:r>
    </w:p>
    <w:p w14:paraId="4075A1C6" w14:textId="7ECACAB7" w:rsidR="00700201" w:rsidRPr="004E6042" w:rsidRDefault="00700201" w:rsidP="00D729A0">
      <w:pPr>
        <w:pStyle w:val="ListParagraph"/>
        <w:numPr>
          <w:ilvl w:val="0"/>
          <w:numId w:val="24"/>
        </w:numPr>
        <w:spacing w:before="100" w:beforeAutospacing="1" w:after="100" w:afterAutospacing="1" w:line="240" w:lineRule="auto"/>
        <w:rPr>
          <w:rFonts w:eastAsia="Times New Roman" w:cstheme="minorHAnsi"/>
          <w:b/>
          <w:i/>
        </w:rPr>
      </w:pPr>
      <w:r w:rsidRPr="004E6042">
        <w:rPr>
          <w:rFonts w:eastAsia="Times New Roman" w:cstheme="minorHAnsi"/>
          <w:b/>
          <w:i/>
        </w:rPr>
        <w:t>The right to choose and maintain one’s identity, and to take part in the cultural life of one’s choice</w:t>
      </w:r>
    </w:p>
    <w:p w14:paraId="42FB6745" w14:textId="1660AFB7" w:rsidR="004B7B42" w:rsidRPr="004E6042" w:rsidRDefault="001B6FBC"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With</w:t>
      </w:r>
      <w:r w:rsidR="004B7B42" w:rsidRPr="004E6042">
        <w:rPr>
          <w:rFonts w:eastAsia="Times New Roman" w:cstheme="minorHAnsi"/>
          <w:lang w:val="en-GB"/>
        </w:rPr>
        <w:t xml:space="preserve"> the overarching belief that access to information and freedom of expression are requirements f</w:t>
      </w:r>
      <w:r w:rsidR="200116E3" w:rsidRPr="004E6042">
        <w:rPr>
          <w:rFonts w:eastAsia="Times New Roman" w:cstheme="minorHAnsi"/>
          <w:lang w:val="en-GB"/>
        </w:rPr>
        <w:t>or</w:t>
      </w:r>
      <w:r w:rsidR="004B7B42" w:rsidRPr="004E6042">
        <w:rPr>
          <w:rFonts w:eastAsia="Times New Roman" w:cstheme="minorHAnsi"/>
          <w:lang w:val="en-GB"/>
        </w:rPr>
        <w:t xml:space="preserve"> development, the work of IFLA’s</w:t>
      </w:r>
      <w:r w:rsidR="00664D36" w:rsidRPr="004E6042">
        <w:rPr>
          <w:rFonts w:eastAsia="Times New Roman" w:cstheme="minorHAnsi"/>
          <w:lang w:val="en-GB"/>
        </w:rPr>
        <w:t xml:space="preserve"> relevant</w:t>
      </w:r>
      <w:r w:rsidR="004B7B42" w:rsidRPr="004E6042">
        <w:rPr>
          <w:rFonts w:eastAsia="Times New Roman" w:cstheme="minorHAnsi"/>
          <w:lang w:val="en-GB"/>
        </w:rPr>
        <w:t xml:space="preserve"> </w:t>
      </w:r>
      <w:r w:rsidR="1BCFF5B5" w:rsidRPr="004E6042">
        <w:rPr>
          <w:rFonts w:eastAsia="Times New Roman" w:cstheme="minorHAnsi"/>
          <w:lang w:val="en-GB"/>
        </w:rPr>
        <w:t>volunteer units</w:t>
      </w:r>
      <w:r w:rsidR="004B7B42" w:rsidRPr="004E6042">
        <w:rPr>
          <w:rFonts w:eastAsia="Times New Roman" w:cstheme="minorHAnsi"/>
          <w:lang w:val="en-GB"/>
        </w:rPr>
        <w:t xml:space="preserve"> seek</w:t>
      </w:r>
      <w:r w:rsidR="002D3801" w:rsidRPr="004E6042">
        <w:rPr>
          <w:rFonts w:eastAsia="Times New Roman" w:cstheme="minorHAnsi"/>
          <w:lang w:val="en-GB"/>
        </w:rPr>
        <w:t>s</w:t>
      </w:r>
      <w:r w:rsidR="004B7B42" w:rsidRPr="004E6042">
        <w:rPr>
          <w:rFonts w:eastAsia="Times New Roman" w:cstheme="minorHAnsi"/>
          <w:lang w:val="en-GB"/>
        </w:rPr>
        <w:t xml:space="preserve"> to advance the realisation of cultural rights in development through a multitude of </w:t>
      </w:r>
      <w:r w:rsidR="003F35E3" w:rsidRPr="004E6042">
        <w:rPr>
          <w:rFonts w:eastAsia="Times New Roman" w:cstheme="minorHAnsi"/>
          <w:lang w:val="en-GB"/>
        </w:rPr>
        <w:t xml:space="preserve">library services. </w:t>
      </w:r>
    </w:p>
    <w:p w14:paraId="5B9EE79D" w14:textId="74A368EC" w:rsidR="003F35E3" w:rsidRPr="004E6042" w:rsidRDefault="004B7B42" w:rsidP="009C56A9">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The </w:t>
      </w:r>
      <w:hyperlink r:id="rId17" w:history="1">
        <w:r w:rsidR="009C56A9" w:rsidRPr="004E6042">
          <w:rPr>
            <w:rStyle w:val="Hyperlink"/>
            <w:rFonts w:eastAsia="Times New Roman" w:cstheme="minorHAnsi"/>
            <w:lang w:val="en-GB"/>
          </w:rPr>
          <w:t>Library Services to Multicultural Populations Section</w:t>
        </w:r>
      </w:hyperlink>
      <w:r w:rsidR="009C56A9" w:rsidRPr="004E6042">
        <w:rPr>
          <w:rFonts w:eastAsia="Times New Roman" w:cstheme="minorHAnsi"/>
          <w:lang w:val="en-GB"/>
        </w:rPr>
        <w:t xml:space="preserve"> promote</w:t>
      </w:r>
      <w:r w:rsidRPr="004E6042">
        <w:rPr>
          <w:rFonts w:eastAsia="Times New Roman" w:cstheme="minorHAnsi"/>
          <w:lang w:val="en-GB"/>
        </w:rPr>
        <w:t>s</w:t>
      </w:r>
      <w:r w:rsidR="009C56A9" w:rsidRPr="004E6042">
        <w:rPr>
          <w:rFonts w:eastAsia="Times New Roman" w:cstheme="minorHAnsi"/>
          <w:lang w:val="en-GB"/>
        </w:rPr>
        <w:t xml:space="preserve"> best practice in delivering library services and collections to cultural and linguistic minorities. </w:t>
      </w:r>
    </w:p>
    <w:p w14:paraId="26C03045" w14:textId="054C2E28" w:rsidR="009C56A9" w:rsidRPr="004E6042" w:rsidRDefault="00E10A60" w:rsidP="00F37829">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The Section also works to </w:t>
      </w:r>
      <w:r w:rsidR="00344E25" w:rsidRPr="004E6042">
        <w:rPr>
          <w:rFonts w:eastAsia="Times New Roman" w:cstheme="minorHAnsi"/>
          <w:lang w:val="en-GB"/>
        </w:rPr>
        <w:t xml:space="preserve">promote greater application of the principles and missions of multicultural libraries, as stated in the </w:t>
      </w:r>
      <w:hyperlink r:id="rId18">
        <w:r w:rsidR="00344E25" w:rsidRPr="004E6042">
          <w:rPr>
            <w:rStyle w:val="Hyperlink"/>
            <w:rFonts w:eastAsia="Times New Roman" w:cstheme="minorHAnsi"/>
            <w:lang w:val="en-GB"/>
          </w:rPr>
          <w:t>IFLA/UNESCO Multicultural Library Manifesto</w:t>
        </w:r>
      </w:hyperlink>
      <w:r w:rsidR="002D3801" w:rsidRPr="004E6042">
        <w:rPr>
          <w:rFonts w:eastAsia="Times New Roman" w:cstheme="minorHAnsi"/>
          <w:lang w:val="en-GB"/>
        </w:rPr>
        <w:t>.</w:t>
      </w:r>
    </w:p>
    <w:p w14:paraId="1D31377C" w14:textId="6DE85277" w:rsidR="00DE2D01" w:rsidRPr="004E6042" w:rsidRDefault="00DE2D01"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A recent example is the Section’s work on developing Library Guidelines for Displaced Populations, which centre the cultural and knowledge rights of migrants</w:t>
      </w:r>
      <w:r w:rsidR="00E97598" w:rsidRPr="004E6042">
        <w:rPr>
          <w:rFonts w:eastAsia="Times New Roman" w:cstheme="minorHAnsi"/>
          <w:lang w:val="en-GB"/>
        </w:rPr>
        <w:t xml:space="preserve">, which IFLA highlighted in a </w:t>
      </w:r>
      <w:hyperlink r:id="rId19">
        <w:r w:rsidR="00E97598" w:rsidRPr="004E6042">
          <w:rPr>
            <w:rStyle w:val="Hyperlink"/>
            <w:rFonts w:eastAsia="Times New Roman" w:cstheme="minorHAnsi"/>
            <w:lang w:val="en-GB"/>
          </w:rPr>
          <w:t>recent consultation</w:t>
        </w:r>
      </w:hyperlink>
      <w:r w:rsidR="00E97598" w:rsidRPr="004E6042">
        <w:rPr>
          <w:rFonts w:eastAsia="Times New Roman" w:cstheme="minorHAnsi"/>
          <w:lang w:val="en-GB"/>
        </w:rPr>
        <w:t xml:space="preserve"> to the Special Rapporteur for Cultural Rights. </w:t>
      </w:r>
    </w:p>
    <w:p w14:paraId="65A9F113" w14:textId="45378D43" w:rsidR="003E2B4D" w:rsidRPr="004E6042" w:rsidRDefault="00995A2E"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The </w:t>
      </w:r>
      <w:hyperlink r:id="rId20">
        <w:r w:rsidR="009C56A9" w:rsidRPr="004E6042">
          <w:rPr>
            <w:rStyle w:val="Hyperlink"/>
            <w:rFonts w:eastAsia="Times New Roman" w:cstheme="minorHAnsi"/>
            <w:lang w:val="en-GB"/>
          </w:rPr>
          <w:t>Indigenous Matters Section</w:t>
        </w:r>
      </w:hyperlink>
      <w:r w:rsidR="009C56A9" w:rsidRPr="004E6042">
        <w:rPr>
          <w:rFonts w:eastAsia="Times New Roman" w:cstheme="minorHAnsi"/>
          <w:lang w:val="en-GB"/>
        </w:rPr>
        <w:t xml:space="preserve"> </w:t>
      </w:r>
      <w:r w:rsidR="003E2B4D" w:rsidRPr="004E6042">
        <w:rPr>
          <w:rFonts w:eastAsia="Times New Roman" w:cstheme="minorHAnsi"/>
          <w:lang w:val="en-GB"/>
        </w:rPr>
        <w:t>promote</w:t>
      </w:r>
      <w:r w:rsidR="0043795D" w:rsidRPr="004E6042">
        <w:rPr>
          <w:rFonts w:eastAsia="Times New Roman" w:cstheme="minorHAnsi"/>
          <w:lang w:val="en-GB"/>
        </w:rPr>
        <w:t>s</w:t>
      </w:r>
      <w:r w:rsidR="003E2B4D" w:rsidRPr="004E6042">
        <w:rPr>
          <w:rFonts w:eastAsia="Times New Roman" w:cstheme="minorHAnsi"/>
          <w:lang w:val="en-GB"/>
        </w:rPr>
        <w:t xml:space="preserve"> international cooperation in the fields of library, culture, knowledge and information services to indigenous communities that meet their intergenerational, community, cultural and language needs</w:t>
      </w:r>
      <w:r w:rsidR="0022412E" w:rsidRPr="004E6042">
        <w:rPr>
          <w:rFonts w:eastAsia="Times New Roman" w:cstheme="minorHAnsi"/>
          <w:lang w:val="en-GB"/>
        </w:rPr>
        <w:t>.</w:t>
      </w:r>
      <w:r w:rsidR="4CF79EF0" w:rsidRPr="004E6042">
        <w:rPr>
          <w:rFonts w:eastAsia="Times New Roman" w:cstheme="minorHAnsi"/>
          <w:lang w:val="en-GB"/>
        </w:rPr>
        <w:t xml:space="preserve"> </w:t>
      </w:r>
      <w:r w:rsidR="003E2B4D" w:rsidRPr="004E6042">
        <w:rPr>
          <w:rFonts w:eastAsia="Times New Roman" w:cstheme="minorHAnsi"/>
          <w:lang w:val="en-GB"/>
        </w:rPr>
        <w:t xml:space="preserve">Currently </w:t>
      </w:r>
      <w:r w:rsidR="0043795D" w:rsidRPr="004E6042">
        <w:rPr>
          <w:rFonts w:eastAsia="Times New Roman" w:cstheme="minorHAnsi"/>
          <w:lang w:val="en-GB"/>
        </w:rPr>
        <w:t xml:space="preserve">the Section is exploring the topic of repatriation of cultural property, </w:t>
      </w:r>
      <w:r w:rsidR="003E2B4D" w:rsidRPr="004E6042">
        <w:rPr>
          <w:rFonts w:eastAsia="Times New Roman" w:cstheme="minorHAnsi"/>
          <w:lang w:val="en-GB"/>
        </w:rPr>
        <w:t>strengthening ties to other Indigenous groups in the context of international decade</w:t>
      </w:r>
      <w:r w:rsidR="00212956" w:rsidRPr="004E6042">
        <w:rPr>
          <w:rFonts w:eastAsia="Times New Roman" w:cstheme="minorHAnsi"/>
          <w:lang w:val="en-GB"/>
        </w:rPr>
        <w:t xml:space="preserve"> for indigenous language</w:t>
      </w:r>
      <w:r w:rsidR="003E2B4D" w:rsidRPr="004E6042">
        <w:rPr>
          <w:rFonts w:eastAsia="Times New Roman" w:cstheme="minorHAnsi"/>
          <w:lang w:val="en-GB"/>
        </w:rPr>
        <w:t xml:space="preserve">, </w:t>
      </w:r>
      <w:r w:rsidR="0043795D" w:rsidRPr="004E6042">
        <w:rPr>
          <w:rFonts w:eastAsia="Times New Roman" w:cstheme="minorHAnsi"/>
          <w:lang w:val="en-GB"/>
        </w:rPr>
        <w:t xml:space="preserve">and working to </w:t>
      </w:r>
      <w:r w:rsidR="003E2B4D" w:rsidRPr="004E6042">
        <w:rPr>
          <w:rFonts w:eastAsia="Times New Roman" w:cstheme="minorHAnsi"/>
          <w:lang w:val="en-GB"/>
        </w:rPr>
        <w:t>enhanc</w:t>
      </w:r>
      <w:r w:rsidR="0043795D" w:rsidRPr="004E6042">
        <w:rPr>
          <w:rFonts w:eastAsia="Times New Roman" w:cstheme="minorHAnsi"/>
          <w:lang w:val="en-GB"/>
        </w:rPr>
        <w:t xml:space="preserve">e </w:t>
      </w:r>
      <w:r w:rsidR="003E2B4D" w:rsidRPr="004E6042">
        <w:rPr>
          <w:rFonts w:eastAsia="Times New Roman" w:cstheme="minorHAnsi"/>
          <w:lang w:val="en-GB"/>
        </w:rPr>
        <w:t>the LIS curriculum for Indigenous Librarianship</w:t>
      </w:r>
      <w:r w:rsidR="0043795D" w:rsidRPr="004E6042">
        <w:rPr>
          <w:rFonts w:eastAsia="Times New Roman" w:cstheme="minorHAnsi"/>
          <w:lang w:val="en-GB"/>
        </w:rPr>
        <w:t xml:space="preserve">. </w:t>
      </w:r>
    </w:p>
    <w:p w14:paraId="53283B83" w14:textId="5C00A7E4" w:rsidR="009C56A9" w:rsidRPr="004E6042" w:rsidRDefault="00BD6676"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US"/>
        </w:rPr>
        <w:t xml:space="preserve">The </w:t>
      </w:r>
      <w:hyperlink r:id="rId21">
        <w:r w:rsidR="009C56A9" w:rsidRPr="004E6042">
          <w:rPr>
            <w:rStyle w:val="Hyperlink"/>
            <w:rFonts w:eastAsia="Times New Roman" w:cstheme="minorHAnsi"/>
            <w:lang w:val="en-US"/>
          </w:rPr>
          <w:t xml:space="preserve">LGBTQ+ Users Special </w:t>
        </w:r>
        <w:r w:rsidR="0022412E" w:rsidRPr="004E6042">
          <w:rPr>
            <w:rStyle w:val="Hyperlink"/>
            <w:rFonts w:eastAsia="Times New Roman" w:cstheme="minorHAnsi"/>
            <w:lang w:val="en-US"/>
          </w:rPr>
          <w:t>Interest</w:t>
        </w:r>
        <w:r w:rsidR="009C56A9" w:rsidRPr="004E6042">
          <w:rPr>
            <w:rStyle w:val="Hyperlink"/>
            <w:rFonts w:eastAsia="Times New Roman" w:cstheme="minorHAnsi"/>
            <w:lang w:val="en-US"/>
          </w:rPr>
          <w:t xml:space="preserve"> </w:t>
        </w:r>
        <w:r w:rsidRPr="004E6042">
          <w:rPr>
            <w:rStyle w:val="Hyperlink"/>
            <w:rFonts w:eastAsia="Times New Roman" w:cstheme="minorHAnsi"/>
            <w:lang w:val="en-US"/>
          </w:rPr>
          <w:t>Group</w:t>
        </w:r>
      </w:hyperlink>
      <w:r w:rsidR="009C56A9" w:rsidRPr="004E6042">
        <w:rPr>
          <w:rFonts w:eastAsia="Times New Roman" w:cstheme="minorHAnsi"/>
          <w:lang w:val="en-US"/>
        </w:rPr>
        <w:t xml:space="preserve"> </w:t>
      </w:r>
      <w:r w:rsidR="00212956" w:rsidRPr="004E6042">
        <w:rPr>
          <w:rFonts w:eastAsia="Times New Roman" w:cstheme="minorHAnsi"/>
        </w:rPr>
        <w:t>highlight</w:t>
      </w:r>
      <w:r w:rsidRPr="004E6042">
        <w:rPr>
          <w:rFonts w:eastAsia="Times New Roman" w:cstheme="minorHAnsi"/>
          <w:lang w:val="en-GB"/>
        </w:rPr>
        <w:t>s</w:t>
      </w:r>
      <w:r w:rsidR="009C56A9" w:rsidRPr="004E6042">
        <w:rPr>
          <w:rFonts w:eastAsia="Times New Roman" w:cstheme="minorHAnsi"/>
        </w:rPr>
        <w:t xml:space="preserve"> the supporting role of libraries in building one’s identity and capacity</w:t>
      </w:r>
      <w:r w:rsidR="009C07DF" w:rsidRPr="004E6042">
        <w:rPr>
          <w:rFonts w:eastAsia="Times New Roman" w:cstheme="minorHAnsi"/>
          <w:lang w:val="en-GB"/>
        </w:rPr>
        <w:t xml:space="preserve"> b</w:t>
      </w:r>
      <w:r w:rsidR="009C56A9" w:rsidRPr="004E6042">
        <w:rPr>
          <w:rFonts w:eastAsia="Times New Roman" w:cstheme="minorHAnsi"/>
        </w:rPr>
        <w:t>y creating access to collections, safe spaces and services</w:t>
      </w:r>
      <w:r w:rsidR="009C07DF" w:rsidRPr="004E6042">
        <w:rPr>
          <w:rFonts w:eastAsia="Times New Roman" w:cstheme="minorHAnsi"/>
          <w:lang w:val="en-GB"/>
        </w:rPr>
        <w:t>.</w:t>
      </w:r>
    </w:p>
    <w:p w14:paraId="7BCBFF52" w14:textId="62A2C6A9" w:rsidR="00700201" w:rsidRPr="004E6042" w:rsidRDefault="00700201" w:rsidP="00D729A0">
      <w:pPr>
        <w:pStyle w:val="ListParagraph"/>
        <w:numPr>
          <w:ilvl w:val="0"/>
          <w:numId w:val="23"/>
        </w:numPr>
        <w:spacing w:before="100" w:beforeAutospacing="1" w:after="100" w:afterAutospacing="1" w:line="240" w:lineRule="auto"/>
        <w:rPr>
          <w:rFonts w:eastAsia="Times New Roman" w:cstheme="minorHAnsi"/>
          <w:b/>
          <w:i/>
        </w:rPr>
      </w:pPr>
      <w:r w:rsidRPr="004E6042">
        <w:rPr>
          <w:rFonts w:eastAsia="Times New Roman" w:cstheme="minorHAnsi"/>
          <w:b/>
          <w:i/>
        </w:rPr>
        <w:t>The right to access, enjoy and transmit cultural heritage, including languages and ways of life;</w:t>
      </w:r>
    </w:p>
    <w:p w14:paraId="57D79BF0" w14:textId="352C2F0F" w:rsidR="00B33AF8" w:rsidRPr="004E6042" w:rsidRDefault="00B33AF8" w:rsidP="008F15BA">
      <w:pPr>
        <w:rPr>
          <w:rFonts w:eastAsia="Times New Roman" w:cstheme="minorHAnsi"/>
          <w:lang w:val="en-GB"/>
        </w:rPr>
      </w:pPr>
      <w:r w:rsidRPr="004E6042">
        <w:rPr>
          <w:rFonts w:eastAsia="Times New Roman" w:cstheme="minorHAnsi"/>
          <w:lang w:val="en-GB"/>
        </w:rPr>
        <w:t xml:space="preserve">The protection of and access to cultural heritage, including documentary heritage, is a core activity of IFLA. </w:t>
      </w:r>
      <w:r w:rsidR="008907A7" w:rsidRPr="004E6042">
        <w:rPr>
          <w:rFonts w:eastAsia="Times New Roman" w:cstheme="minorHAnsi"/>
          <w:lang w:val="en-GB"/>
        </w:rPr>
        <w:t>The documentary heritage of the world</w:t>
      </w:r>
      <w:r w:rsidR="00027D1E" w:rsidRPr="004E6042">
        <w:rPr>
          <w:rFonts w:eastAsia="Times New Roman" w:cstheme="minorHAnsi"/>
          <w:lang w:val="en-GB"/>
        </w:rPr>
        <w:t xml:space="preserve"> </w:t>
      </w:r>
      <w:r w:rsidR="00F47881" w:rsidRPr="004E6042">
        <w:rPr>
          <w:rFonts w:eastAsia="Times New Roman" w:cstheme="minorHAnsi"/>
          <w:lang w:val="en-GB"/>
        </w:rPr>
        <w:t>informs our understanding of the past</w:t>
      </w:r>
      <w:r w:rsidR="00BD1B69" w:rsidRPr="004E6042">
        <w:rPr>
          <w:rFonts w:eastAsia="Times New Roman" w:cstheme="minorHAnsi"/>
          <w:lang w:val="en-GB"/>
        </w:rPr>
        <w:t xml:space="preserve">, </w:t>
      </w:r>
      <w:r w:rsidR="00B40292" w:rsidRPr="004E6042">
        <w:rPr>
          <w:rFonts w:eastAsia="Times New Roman" w:cstheme="minorHAnsi"/>
          <w:lang w:val="en-GB"/>
        </w:rPr>
        <w:t>transmits language,</w:t>
      </w:r>
      <w:r w:rsidR="00BD1B69" w:rsidRPr="004E6042">
        <w:rPr>
          <w:rFonts w:eastAsia="Times New Roman" w:cstheme="minorHAnsi"/>
          <w:lang w:val="en-GB"/>
        </w:rPr>
        <w:t xml:space="preserve"> identity,</w:t>
      </w:r>
      <w:r w:rsidR="00B40292" w:rsidRPr="004E6042">
        <w:rPr>
          <w:rFonts w:eastAsia="Times New Roman" w:cstheme="minorHAnsi"/>
          <w:lang w:val="en-GB"/>
        </w:rPr>
        <w:t xml:space="preserve"> and ways of life,</w:t>
      </w:r>
      <w:r w:rsidR="00BD1B69" w:rsidRPr="004E6042">
        <w:rPr>
          <w:rFonts w:eastAsia="Times New Roman" w:cstheme="minorHAnsi"/>
          <w:lang w:val="en-GB"/>
        </w:rPr>
        <w:t xml:space="preserve"> and enables multicultural exchange. </w:t>
      </w:r>
    </w:p>
    <w:p w14:paraId="0E13A8B0" w14:textId="233A6E5D" w:rsidR="00076487" w:rsidRPr="004E6042" w:rsidRDefault="00076487" w:rsidP="008F15BA">
      <w:pPr>
        <w:rPr>
          <w:rFonts w:eastAsia="Times New Roman" w:cstheme="minorHAnsi"/>
          <w:lang w:val="en-GB"/>
        </w:rPr>
      </w:pPr>
      <w:r w:rsidRPr="004E6042">
        <w:rPr>
          <w:rFonts w:eastAsia="Times New Roman" w:cstheme="minorHAnsi"/>
          <w:lang w:val="en-GB"/>
        </w:rPr>
        <w:t xml:space="preserve">IFLA’s active engagement with UNESCO’s Memory of the World Programme seeks to help raise awareness of the importance of this body of cultural heritage in </w:t>
      </w:r>
      <w:r w:rsidR="0046104F" w:rsidRPr="004E6042">
        <w:rPr>
          <w:rFonts w:eastAsia="Times New Roman" w:cstheme="minorHAnsi"/>
          <w:lang w:val="en-GB"/>
        </w:rPr>
        <w:t xml:space="preserve">promoting inclusive, just, and peaceful societies. </w:t>
      </w:r>
    </w:p>
    <w:p w14:paraId="523F3B1D" w14:textId="55F145F2" w:rsidR="00B40292" w:rsidRPr="004E6042" w:rsidRDefault="00B33AF8" w:rsidP="008F15BA">
      <w:pPr>
        <w:rPr>
          <w:rFonts w:eastAsia="Times New Roman" w:cstheme="minorHAnsi"/>
          <w:lang w:val="en-GB"/>
        </w:rPr>
      </w:pPr>
      <w:r w:rsidRPr="004E6042">
        <w:rPr>
          <w:rFonts w:eastAsia="Times New Roman" w:cstheme="minorHAnsi"/>
          <w:lang w:val="en-GB"/>
        </w:rPr>
        <w:t xml:space="preserve">The work of IFLA’s </w:t>
      </w:r>
      <w:r w:rsidR="009C56A9" w:rsidRPr="004E6042">
        <w:rPr>
          <w:rFonts w:eastAsia="Times New Roman" w:cstheme="minorHAnsi"/>
          <w:lang w:val="en-GB"/>
        </w:rPr>
        <w:t>Advisory Committee on Cultural Heritage</w:t>
      </w:r>
      <w:r w:rsidR="00B40292" w:rsidRPr="004E6042">
        <w:rPr>
          <w:rFonts w:eastAsia="Times New Roman" w:cstheme="minorHAnsi"/>
          <w:lang w:val="en-GB"/>
        </w:rPr>
        <w:t xml:space="preserve"> seeks to enhance the role of libraries in key issues related to the protection of cultural heritage</w:t>
      </w:r>
      <w:r w:rsidR="001C3644" w:rsidRPr="004E6042">
        <w:rPr>
          <w:rFonts w:eastAsia="Times New Roman" w:cstheme="minorHAnsi"/>
          <w:lang w:val="en-GB"/>
        </w:rPr>
        <w:t xml:space="preserve">. For example, the committee is currently </w:t>
      </w:r>
      <w:r w:rsidR="00A0666B" w:rsidRPr="004E6042">
        <w:rPr>
          <w:rFonts w:eastAsia="Times New Roman" w:cstheme="minorHAnsi"/>
          <w:lang w:val="en-GB"/>
        </w:rPr>
        <w:t>monitoring global discourse on the repatriation of cultural property</w:t>
      </w:r>
      <w:r w:rsidR="00ED5089" w:rsidRPr="004E6042">
        <w:rPr>
          <w:rFonts w:eastAsia="Times New Roman" w:cstheme="minorHAnsi"/>
          <w:lang w:val="en-GB"/>
        </w:rPr>
        <w:t xml:space="preserve"> and </w:t>
      </w:r>
      <w:r w:rsidR="00A0666B" w:rsidRPr="004E6042">
        <w:rPr>
          <w:rFonts w:eastAsia="Times New Roman" w:cstheme="minorHAnsi"/>
          <w:lang w:val="en-GB"/>
        </w:rPr>
        <w:t>initiating a discussion o</w:t>
      </w:r>
      <w:r w:rsidR="00903A24" w:rsidRPr="004E6042">
        <w:rPr>
          <w:rFonts w:eastAsia="Times New Roman" w:cstheme="minorHAnsi"/>
          <w:lang w:val="en-GB"/>
        </w:rPr>
        <w:t xml:space="preserve">n </w:t>
      </w:r>
      <w:r w:rsidR="002719BE" w:rsidRPr="004E6042">
        <w:rPr>
          <w:rFonts w:eastAsia="Times New Roman" w:cstheme="minorHAnsi"/>
          <w:lang w:val="en-GB"/>
        </w:rPr>
        <w:t xml:space="preserve">how libraries factor in. </w:t>
      </w:r>
    </w:p>
    <w:p w14:paraId="2C735CC1" w14:textId="4815F9A5" w:rsidR="00903A24" w:rsidRPr="004E6042" w:rsidRDefault="00903A24" w:rsidP="008F15BA">
      <w:pPr>
        <w:rPr>
          <w:rFonts w:eastAsia="Times New Roman" w:cstheme="minorHAnsi"/>
          <w:lang w:val="en-GB"/>
        </w:rPr>
      </w:pPr>
      <w:r w:rsidRPr="004E6042">
        <w:rPr>
          <w:rFonts w:eastAsia="Times New Roman" w:cstheme="minorHAnsi"/>
          <w:lang w:val="en-GB"/>
        </w:rPr>
        <w:t xml:space="preserve">A number of IFLA’s Sections, including </w:t>
      </w:r>
      <w:r w:rsidR="00254805" w:rsidRPr="004E6042">
        <w:rPr>
          <w:rFonts w:eastAsia="Times New Roman" w:cstheme="minorHAnsi"/>
          <w:lang w:val="en-GB"/>
        </w:rPr>
        <w:t>its</w:t>
      </w:r>
      <w:r w:rsidRPr="004E6042">
        <w:rPr>
          <w:rFonts w:eastAsia="Times New Roman" w:cstheme="minorHAnsi"/>
          <w:lang w:val="en-GB"/>
        </w:rPr>
        <w:t xml:space="preserve"> Rare Books and Special Collections Section and the </w:t>
      </w:r>
      <w:hyperlink r:id="rId22">
        <w:r w:rsidRPr="004E6042">
          <w:rPr>
            <w:rStyle w:val="Hyperlink"/>
            <w:rFonts w:eastAsia="Times New Roman" w:cstheme="minorHAnsi"/>
            <w:lang w:val="en-GB"/>
          </w:rPr>
          <w:t>Preservation and Conversation Centre hosted at Qatar National Library</w:t>
        </w:r>
      </w:hyperlink>
      <w:r w:rsidRPr="004E6042">
        <w:rPr>
          <w:rFonts w:eastAsia="Times New Roman" w:cstheme="minorHAnsi"/>
          <w:lang w:val="en-GB"/>
        </w:rPr>
        <w:t xml:space="preserve"> are deeply engaged in </w:t>
      </w:r>
      <w:r w:rsidRPr="004E6042">
        <w:rPr>
          <w:rFonts w:eastAsia="Times New Roman" w:cstheme="minorHAnsi"/>
          <w:lang w:val="en-GB"/>
        </w:rPr>
        <w:lastRenderedPageBreak/>
        <w:t xml:space="preserve">countering theft and trafficking of documentary heritage. </w:t>
      </w:r>
      <w:r w:rsidR="004711D5" w:rsidRPr="004E6042">
        <w:rPr>
          <w:rFonts w:eastAsia="Times New Roman" w:cstheme="minorHAnsi"/>
          <w:lang w:val="en-GB"/>
        </w:rPr>
        <w:t xml:space="preserve">IFLA works to build capacity to counter trafficking , such as </w:t>
      </w:r>
      <w:r w:rsidR="65A18D1F" w:rsidRPr="004E6042">
        <w:rPr>
          <w:rFonts w:eastAsia="Times New Roman" w:cstheme="minorHAnsi"/>
          <w:lang w:val="en-GB"/>
        </w:rPr>
        <w:t xml:space="preserve">of </w:t>
      </w:r>
      <w:r w:rsidR="004711D5" w:rsidRPr="004E6042">
        <w:rPr>
          <w:rFonts w:eastAsia="Times New Roman" w:cstheme="minorHAnsi"/>
          <w:lang w:val="en-GB"/>
        </w:rPr>
        <w:t>books and manuscripts</w:t>
      </w:r>
      <w:r w:rsidR="008308A9" w:rsidRPr="004E6042">
        <w:rPr>
          <w:rFonts w:eastAsia="Times New Roman" w:cstheme="minorHAnsi"/>
          <w:lang w:val="en-GB"/>
        </w:rPr>
        <w:t>, as theft of this material also is theft of the ability to access, enjoy and transmit the cultural knowledge it contains</w:t>
      </w:r>
      <w:r w:rsidR="005001DF" w:rsidRPr="004E6042">
        <w:rPr>
          <w:rFonts w:eastAsia="Times New Roman" w:cstheme="minorHAnsi"/>
          <w:lang w:val="en-GB"/>
        </w:rPr>
        <w:t>.</w:t>
      </w:r>
      <w:r w:rsidR="008308A9" w:rsidRPr="004E6042">
        <w:rPr>
          <w:rFonts w:eastAsia="Times New Roman" w:cstheme="minorHAnsi"/>
          <w:lang w:val="en-GB"/>
        </w:rPr>
        <w:t xml:space="preserve"> </w:t>
      </w:r>
    </w:p>
    <w:p w14:paraId="75127578" w14:textId="77777777" w:rsidR="00DF3B80" w:rsidRPr="004E6042" w:rsidRDefault="00C64263" w:rsidP="008F15BA">
      <w:pPr>
        <w:rPr>
          <w:rFonts w:eastAsia="Times New Roman" w:cstheme="minorHAnsi"/>
          <w:lang w:val="en-GB"/>
        </w:rPr>
      </w:pPr>
      <w:r w:rsidRPr="004E6042">
        <w:rPr>
          <w:rFonts w:eastAsia="Times New Roman" w:cstheme="minorHAnsi"/>
          <w:lang w:val="en-GB"/>
        </w:rPr>
        <w:t xml:space="preserve">The right to access, enjoy and transmit cultural heritage cannot be impeded by </w:t>
      </w:r>
      <w:r w:rsidR="002D4AA4" w:rsidRPr="004E6042">
        <w:rPr>
          <w:rFonts w:eastAsia="Times New Roman" w:cstheme="minorHAnsi"/>
          <w:lang w:val="en-GB"/>
        </w:rPr>
        <w:t xml:space="preserve">unduly restrictive or ambiguous laws </w:t>
      </w:r>
      <w:r w:rsidR="00B6117F" w:rsidRPr="004E6042">
        <w:rPr>
          <w:rFonts w:eastAsia="Times New Roman" w:cstheme="minorHAnsi"/>
          <w:lang w:val="en-GB"/>
        </w:rPr>
        <w:t xml:space="preserve">which challenge the ability </w:t>
      </w:r>
      <w:r w:rsidR="009755E0" w:rsidRPr="004E6042">
        <w:rPr>
          <w:rFonts w:eastAsia="Times New Roman" w:cstheme="minorHAnsi"/>
          <w:lang w:val="en-GB"/>
        </w:rPr>
        <w:t xml:space="preserve">for libraries and cultural institutions to preserve and provide access to materials. </w:t>
      </w:r>
    </w:p>
    <w:p w14:paraId="0FA3FF0F" w14:textId="19723513" w:rsidR="00710DA4" w:rsidRPr="004E6042" w:rsidRDefault="00EE6AFD" w:rsidP="008F15BA">
      <w:pPr>
        <w:rPr>
          <w:rFonts w:eastAsia="Times New Roman" w:cstheme="minorHAnsi"/>
          <w:lang w:val="en-GB"/>
        </w:rPr>
      </w:pPr>
      <w:r w:rsidRPr="004E6042">
        <w:rPr>
          <w:rFonts w:eastAsia="Times New Roman" w:cstheme="minorHAnsi"/>
          <w:lang w:val="en-GB"/>
        </w:rPr>
        <w:t xml:space="preserve">The recent report by </w:t>
      </w:r>
      <w:r w:rsidR="006B5745" w:rsidRPr="004E6042">
        <w:rPr>
          <w:rFonts w:eastAsia="Times New Roman" w:cstheme="minorHAnsi"/>
          <w:lang w:val="en-GB"/>
        </w:rPr>
        <w:t xml:space="preserve">IFLA’s </w:t>
      </w:r>
      <w:r w:rsidR="0052463B" w:rsidRPr="004E6042">
        <w:rPr>
          <w:rFonts w:eastAsia="Times New Roman" w:cstheme="minorHAnsi"/>
          <w:lang w:val="en-GB"/>
        </w:rPr>
        <w:t>Copyright &amp; Legal Matters Advisory Committee (CLM)</w:t>
      </w:r>
      <w:r w:rsidR="001D2BEA" w:rsidRPr="004E6042">
        <w:rPr>
          <w:rFonts w:eastAsia="Times New Roman" w:cstheme="minorHAnsi"/>
          <w:lang w:val="en-GB"/>
        </w:rPr>
        <w:t xml:space="preserve">, </w:t>
      </w:r>
      <w:hyperlink r:id="rId23">
        <w:r w:rsidR="009755E0" w:rsidRPr="004E6042">
          <w:rPr>
            <w:rStyle w:val="Hyperlink"/>
            <w:rFonts w:eastAsia="Times New Roman" w:cstheme="minorHAnsi"/>
            <w:lang w:val="en-GB"/>
          </w:rPr>
          <w:t>Copyright &amp; cross-border challenges in preservation</w:t>
        </w:r>
      </w:hyperlink>
      <w:r w:rsidRPr="004E6042">
        <w:rPr>
          <w:rFonts w:eastAsia="Times New Roman" w:cstheme="minorHAnsi"/>
          <w:lang w:val="en-GB"/>
        </w:rPr>
        <w:t>,</w:t>
      </w:r>
      <w:r w:rsidR="001D2BEA" w:rsidRPr="004E6042">
        <w:rPr>
          <w:rFonts w:eastAsia="Times New Roman" w:cstheme="minorHAnsi"/>
          <w:lang w:val="en-GB"/>
        </w:rPr>
        <w:t xml:space="preserve"> </w:t>
      </w:r>
      <w:r w:rsidR="006C25EC" w:rsidRPr="004E6042">
        <w:rPr>
          <w:rFonts w:eastAsia="Times New Roman" w:cstheme="minorHAnsi"/>
          <w:lang w:val="en-GB"/>
        </w:rPr>
        <w:t xml:space="preserve">highlights </w:t>
      </w:r>
      <w:r w:rsidR="001D2BEA" w:rsidRPr="004E6042">
        <w:rPr>
          <w:rFonts w:eastAsia="Times New Roman" w:cstheme="minorHAnsi"/>
          <w:lang w:val="en-GB"/>
        </w:rPr>
        <w:t xml:space="preserve">how cross border cooperation is a central part of the work of libraries and cultural institutions in preserving and providing access to cultural heritage. It provides evidence of the challenges currently </w:t>
      </w:r>
      <w:r w:rsidR="006C25EC" w:rsidRPr="004E6042">
        <w:rPr>
          <w:rFonts w:eastAsia="Times New Roman" w:cstheme="minorHAnsi"/>
          <w:lang w:val="en-GB"/>
        </w:rPr>
        <w:t xml:space="preserve">posed by </w:t>
      </w:r>
      <w:r w:rsidR="00AB4B9D" w:rsidRPr="004E6042">
        <w:rPr>
          <w:rFonts w:eastAsia="Times New Roman" w:cstheme="minorHAnsi"/>
          <w:lang w:val="en-GB"/>
        </w:rPr>
        <w:t xml:space="preserve">copyright, </w:t>
      </w:r>
      <w:r w:rsidR="00C84E1A" w:rsidRPr="004E6042">
        <w:rPr>
          <w:rFonts w:eastAsia="Times New Roman" w:cstheme="minorHAnsi"/>
          <w:lang w:val="en-GB"/>
        </w:rPr>
        <w:t xml:space="preserve">and stresses that providing access internationally is vital to connecting people to </w:t>
      </w:r>
      <w:r w:rsidR="00274856" w:rsidRPr="004E6042">
        <w:rPr>
          <w:rFonts w:eastAsia="Times New Roman" w:cstheme="minorHAnsi"/>
          <w:lang w:val="en-GB"/>
        </w:rPr>
        <w:t>cultural heritage</w:t>
      </w:r>
      <w:r w:rsidR="00C84E1A" w:rsidRPr="004E6042">
        <w:rPr>
          <w:rFonts w:eastAsia="Times New Roman" w:cstheme="minorHAnsi"/>
          <w:lang w:val="en-GB"/>
        </w:rPr>
        <w:t xml:space="preserve">, especially </w:t>
      </w:r>
      <w:r w:rsidR="00274856" w:rsidRPr="004E6042">
        <w:rPr>
          <w:rFonts w:eastAsia="Times New Roman" w:cstheme="minorHAnsi"/>
          <w:lang w:val="en-GB"/>
        </w:rPr>
        <w:t>in</w:t>
      </w:r>
      <w:r w:rsidR="00C84E1A" w:rsidRPr="004E6042">
        <w:rPr>
          <w:rFonts w:eastAsia="Times New Roman" w:cstheme="minorHAnsi"/>
          <w:lang w:val="en-GB"/>
        </w:rPr>
        <w:t xml:space="preserve"> post-colonial contexts.</w:t>
      </w:r>
      <w:r w:rsidR="00AB4B9D" w:rsidRPr="004E6042">
        <w:rPr>
          <w:rFonts w:eastAsia="Times New Roman" w:cstheme="minorHAnsi"/>
          <w:lang w:val="en-GB"/>
        </w:rPr>
        <w:t xml:space="preserve"> </w:t>
      </w:r>
    </w:p>
    <w:p w14:paraId="5C0ED730" w14:textId="2F1BDA48" w:rsidR="00700201" w:rsidRPr="004E6042" w:rsidRDefault="00700201" w:rsidP="00D729A0">
      <w:pPr>
        <w:pStyle w:val="ListParagraph"/>
        <w:numPr>
          <w:ilvl w:val="0"/>
          <w:numId w:val="22"/>
        </w:numPr>
        <w:spacing w:before="100" w:beforeAutospacing="1" w:after="100" w:afterAutospacing="1" w:line="240" w:lineRule="auto"/>
        <w:rPr>
          <w:rFonts w:eastAsia="Times New Roman" w:cstheme="minorHAnsi"/>
          <w:b/>
          <w:i/>
        </w:rPr>
      </w:pPr>
      <w:r w:rsidRPr="004E6042">
        <w:rPr>
          <w:rFonts w:eastAsia="Times New Roman" w:cstheme="minorHAnsi"/>
          <w:b/>
          <w:i/>
        </w:rPr>
        <w:t>The right to access and transmit creative expressions and knowledge, and to access the creativity and knowledge of others;</w:t>
      </w:r>
    </w:p>
    <w:p w14:paraId="73E1D1F4" w14:textId="4A1D60D4" w:rsidR="009E1525" w:rsidRPr="004E6042" w:rsidRDefault="004B3F5F" w:rsidP="00E057A8">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With the help of the </w:t>
      </w:r>
      <w:r w:rsidR="003E2B4D" w:rsidRPr="004E6042">
        <w:rPr>
          <w:rFonts w:eastAsia="Times New Roman" w:cstheme="minorHAnsi"/>
          <w:lang w:val="en-GB"/>
        </w:rPr>
        <w:t xml:space="preserve">FAIFE </w:t>
      </w:r>
      <w:r w:rsidR="00E057A8" w:rsidRPr="004E6042">
        <w:rPr>
          <w:rFonts w:eastAsia="Times New Roman" w:cstheme="minorHAnsi"/>
          <w:lang w:val="en-GB"/>
        </w:rPr>
        <w:t>committee</w:t>
      </w:r>
      <w:r w:rsidRPr="004E6042">
        <w:rPr>
          <w:rFonts w:eastAsia="Times New Roman" w:cstheme="minorHAnsi"/>
          <w:lang w:val="en-GB"/>
        </w:rPr>
        <w:t>, IFLA</w:t>
      </w:r>
      <w:r w:rsidR="00E057A8" w:rsidRPr="004E6042">
        <w:rPr>
          <w:rFonts w:eastAsia="Times New Roman" w:cstheme="minorHAnsi"/>
          <w:lang w:val="en-GB"/>
        </w:rPr>
        <w:t xml:space="preserve"> made a </w:t>
      </w:r>
      <w:hyperlink r:id="rId24" w:history="1">
        <w:r w:rsidR="00E057A8" w:rsidRPr="004E6042">
          <w:rPr>
            <w:rStyle w:val="Hyperlink"/>
            <w:rFonts w:eastAsia="Times New Roman" w:cstheme="minorHAnsi"/>
            <w:lang w:val="en-GB"/>
          </w:rPr>
          <w:t>recent submission</w:t>
        </w:r>
      </w:hyperlink>
      <w:r w:rsidR="00E057A8" w:rsidRPr="004E6042">
        <w:rPr>
          <w:rFonts w:eastAsia="Times New Roman" w:cstheme="minorHAnsi"/>
          <w:lang w:val="en-GB"/>
        </w:rPr>
        <w:t xml:space="preserve"> to</w:t>
      </w:r>
      <w:r w:rsidR="00EE6AFD" w:rsidRPr="004E6042">
        <w:rPr>
          <w:rFonts w:eastAsia="Times New Roman" w:cstheme="minorHAnsi"/>
          <w:lang w:val="en-GB"/>
        </w:rPr>
        <w:t xml:space="preserve"> a</w:t>
      </w:r>
      <w:r w:rsidR="00E057A8" w:rsidRPr="004E6042">
        <w:rPr>
          <w:rFonts w:eastAsia="Times New Roman" w:cstheme="minorHAnsi"/>
          <w:lang w:val="en-GB"/>
        </w:rPr>
        <w:t xml:space="preserve"> call by the UN Special Rapporteur on Freedom of Expression, “Freedom of Opinion and Expression and Sustainable Development – Why Voice Matters”</w:t>
      </w:r>
      <w:r w:rsidRPr="004E6042">
        <w:rPr>
          <w:rFonts w:eastAsia="Times New Roman" w:cstheme="minorHAnsi"/>
          <w:lang w:val="en-GB"/>
        </w:rPr>
        <w:t xml:space="preserve">. </w:t>
      </w:r>
      <w:r w:rsidR="003B4FEB" w:rsidRPr="004E6042">
        <w:rPr>
          <w:rFonts w:eastAsia="Times New Roman" w:cstheme="minorHAnsi"/>
          <w:lang w:val="en-GB"/>
        </w:rPr>
        <w:t xml:space="preserve">The submission </w:t>
      </w:r>
      <w:r w:rsidR="00E057A8" w:rsidRPr="004E6042">
        <w:rPr>
          <w:rFonts w:eastAsia="Times New Roman" w:cstheme="minorHAnsi"/>
          <w:lang w:val="en-GB"/>
        </w:rPr>
        <w:t>stresse</w:t>
      </w:r>
      <w:r w:rsidR="003B4FEB" w:rsidRPr="004E6042">
        <w:rPr>
          <w:rFonts w:eastAsia="Times New Roman" w:cstheme="minorHAnsi"/>
          <w:lang w:val="en-GB"/>
        </w:rPr>
        <w:t>s</w:t>
      </w:r>
      <w:r w:rsidR="00E057A8" w:rsidRPr="004E6042">
        <w:rPr>
          <w:rFonts w:eastAsia="Times New Roman" w:cstheme="minorHAnsi"/>
          <w:lang w:val="en-GB"/>
        </w:rPr>
        <w:t xml:space="preserve"> that access to information</w:t>
      </w:r>
      <w:r w:rsidR="009E1525" w:rsidRPr="004E6042">
        <w:rPr>
          <w:rFonts w:eastAsia="Times New Roman" w:cstheme="minorHAnsi"/>
          <w:lang w:val="en-GB"/>
        </w:rPr>
        <w:t>, including access to culture,</w:t>
      </w:r>
      <w:r w:rsidR="00E057A8" w:rsidRPr="004E6042">
        <w:rPr>
          <w:rFonts w:eastAsia="Times New Roman" w:cstheme="minorHAnsi"/>
          <w:lang w:val="en-GB"/>
        </w:rPr>
        <w:t xml:space="preserve"> is a driver of development, and that it must be universal. </w:t>
      </w:r>
    </w:p>
    <w:p w14:paraId="1FF413B7" w14:textId="4E4AB097" w:rsidR="00E057A8" w:rsidRPr="004E6042" w:rsidRDefault="00483D4A" w:rsidP="00E057A8">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The statement notes </w:t>
      </w:r>
      <w:r w:rsidR="00E36D2C" w:rsidRPr="004E6042">
        <w:rPr>
          <w:rFonts w:eastAsia="Times New Roman" w:cstheme="minorHAnsi"/>
          <w:lang w:val="en-GB"/>
        </w:rPr>
        <w:t xml:space="preserve">restrictions on the achievement of cultural rights include non-availability of information, language barriers, lack of connectivity, and </w:t>
      </w:r>
      <w:r w:rsidR="009E1525" w:rsidRPr="004E6042">
        <w:rPr>
          <w:rFonts w:eastAsia="Times New Roman" w:cstheme="minorHAnsi"/>
          <w:lang w:val="en-GB"/>
        </w:rPr>
        <w:t xml:space="preserve">paywalls. Further barriers </w:t>
      </w:r>
      <w:r w:rsidR="00EA3262" w:rsidRPr="004E6042">
        <w:rPr>
          <w:rFonts w:eastAsia="Times New Roman" w:cstheme="minorHAnsi"/>
          <w:lang w:val="en-GB"/>
        </w:rPr>
        <w:t xml:space="preserve">include a lack of skills such as basic, digital, media and information literacy, </w:t>
      </w:r>
      <w:r w:rsidR="00001BE1" w:rsidRPr="004E6042">
        <w:rPr>
          <w:rFonts w:eastAsia="Times New Roman" w:cstheme="minorHAnsi"/>
          <w:lang w:val="en-GB"/>
        </w:rPr>
        <w:t xml:space="preserve">a lack of awareness on the importance of </w:t>
      </w:r>
      <w:r w:rsidR="001F4494" w:rsidRPr="004E6042">
        <w:rPr>
          <w:rFonts w:eastAsia="Times New Roman" w:cstheme="minorHAnsi"/>
          <w:lang w:val="en-GB"/>
        </w:rPr>
        <w:t>culture</w:t>
      </w:r>
      <w:r w:rsidR="00001BE1" w:rsidRPr="004E6042">
        <w:rPr>
          <w:rFonts w:eastAsia="Times New Roman" w:cstheme="minorHAnsi"/>
          <w:lang w:val="en-GB"/>
        </w:rPr>
        <w:t xml:space="preserve">, and a trend towards knowledge privatisation. </w:t>
      </w:r>
    </w:p>
    <w:p w14:paraId="2A18A3B8" w14:textId="16EF6103" w:rsidR="003E2B4D" w:rsidRPr="004E6042" w:rsidRDefault="00557D7F" w:rsidP="003E2B4D">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 is </w:t>
      </w:r>
      <w:r w:rsidR="007E54E0" w:rsidRPr="004E6042">
        <w:rPr>
          <w:rFonts w:eastAsia="Times New Roman" w:cstheme="minorHAnsi"/>
          <w:lang w:val="en-GB"/>
        </w:rPr>
        <w:t>a</w:t>
      </w:r>
      <w:r w:rsidR="00E548B9" w:rsidRPr="004E6042">
        <w:rPr>
          <w:rFonts w:eastAsia="Times New Roman" w:cstheme="minorHAnsi"/>
          <w:lang w:val="en-GB"/>
        </w:rPr>
        <w:t xml:space="preserve"> </w:t>
      </w:r>
      <w:r w:rsidR="007E54E0" w:rsidRPr="004E6042">
        <w:rPr>
          <w:rFonts w:eastAsia="Times New Roman" w:cstheme="minorHAnsi"/>
          <w:lang w:val="en-GB"/>
        </w:rPr>
        <w:t xml:space="preserve">civil society </w:t>
      </w:r>
      <w:r w:rsidR="00E548B9" w:rsidRPr="004E6042">
        <w:rPr>
          <w:rFonts w:eastAsia="Times New Roman" w:cstheme="minorHAnsi"/>
          <w:lang w:val="en-GB"/>
        </w:rPr>
        <w:t xml:space="preserve">partner of UNESCO, </w:t>
      </w:r>
      <w:r w:rsidR="00795E91" w:rsidRPr="004E6042">
        <w:rPr>
          <w:rFonts w:eastAsia="Times New Roman" w:cstheme="minorHAnsi"/>
          <w:lang w:val="en-GB"/>
        </w:rPr>
        <w:t>and takes part as an</w:t>
      </w:r>
      <w:r w:rsidR="00E548B9" w:rsidRPr="004E6042">
        <w:rPr>
          <w:rFonts w:eastAsia="Times New Roman" w:cstheme="minorHAnsi"/>
          <w:lang w:val="en-GB"/>
        </w:rPr>
        <w:t xml:space="preserve"> </w:t>
      </w:r>
      <w:r w:rsidR="007E54E0" w:rsidRPr="004E6042">
        <w:rPr>
          <w:rFonts w:eastAsia="Times New Roman" w:cstheme="minorHAnsi"/>
          <w:lang w:val="en-GB"/>
        </w:rPr>
        <w:t xml:space="preserve">observer of the </w:t>
      </w:r>
      <w:hyperlink r:id="rId25" w:history="1">
        <w:r w:rsidR="007E54E0" w:rsidRPr="004E6042">
          <w:rPr>
            <w:rStyle w:val="Hyperlink"/>
            <w:rFonts w:eastAsia="Times New Roman" w:cstheme="minorHAnsi"/>
            <w:lang w:val="en-GB"/>
          </w:rPr>
          <w:t>2005 Convention on the Protection and Promotion of a Diversity of Cultural Expressions (2005 Convention).</w:t>
        </w:r>
      </w:hyperlink>
      <w:r w:rsidR="007E54E0" w:rsidRPr="004E6042">
        <w:rPr>
          <w:rFonts w:eastAsia="Times New Roman" w:cstheme="minorHAnsi"/>
          <w:lang w:val="en-GB"/>
        </w:rPr>
        <w:t xml:space="preserve"> </w:t>
      </w:r>
    </w:p>
    <w:p w14:paraId="5C39A465" w14:textId="78AB251C" w:rsidR="00D94AD5" w:rsidRPr="004E6042" w:rsidRDefault="005D601A" w:rsidP="003E2B4D">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In the lead-up to the </w:t>
      </w:r>
      <w:r w:rsidR="00B94C95" w:rsidRPr="004E6042">
        <w:rPr>
          <w:rFonts w:eastAsia="Times New Roman" w:cstheme="minorHAnsi"/>
          <w:lang w:val="en-GB"/>
        </w:rPr>
        <w:t xml:space="preserve">UNESCO World Conference on Cultural Policies and Sustainable Development (Mondiacult), IFLA engaged our </w:t>
      </w:r>
      <w:r w:rsidR="00243039" w:rsidRPr="004E6042">
        <w:rPr>
          <w:rFonts w:eastAsia="Times New Roman" w:cstheme="minorHAnsi"/>
          <w:lang w:val="en-GB"/>
        </w:rPr>
        <w:t xml:space="preserve">global network in </w:t>
      </w:r>
      <w:r w:rsidR="003B20E6" w:rsidRPr="004E6042">
        <w:rPr>
          <w:rFonts w:eastAsia="Times New Roman" w:cstheme="minorHAnsi"/>
          <w:lang w:val="en-GB"/>
        </w:rPr>
        <w:t xml:space="preserve">a </w:t>
      </w:r>
      <w:proofErr w:type="spellStart"/>
      <w:r w:rsidR="003B20E6" w:rsidRPr="004E6042">
        <w:rPr>
          <w:rFonts w:eastAsia="Times New Roman" w:cstheme="minorHAnsi"/>
          <w:lang w:val="en-GB"/>
        </w:rPr>
        <w:t>ResiliArtxMondiacult</w:t>
      </w:r>
      <w:proofErr w:type="spellEnd"/>
      <w:r w:rsidR="003B20E6" w:rsidRPr="004E6042">
        <w:rPr>
          <w:rFonts w:eastAsia="Times New Roman" w:cstheme="minorHAnsi"/>
          <w:lang w:val="en-GB"/>
        </w:rPr>
        <w:t xml:space="preserve"> Debate titled, </w:t>
      </w:r>
      <w:hyperlink r:id="rId26" w:history="1">
        <w:r w:rsidR="003B20E6" w:rsidRPr="004E6042">
          <w:rPr>
            <w:rStyle w:val="Hyperlink"/>
            <w:rFonts w:eastAsia="Times New Roman" w:cstheme="minorHAnsi"/>
            <w:lang w:val="en-GB"/>
          </w:rPr>
          <w:t>Library Voices Joining the Global Conversation on Cultural Rights</w:t>
        </w:r>
      </w:hyperlink>
      <w:r w:rsidR="003B20E6" w:rsidRPr="004E6042">
        <w:rPr>
          <w:rFonts w:eastAsia="Times New Roman" w:cstheme="minorHAnsi"/>
          <w:lang w:val="en-GB"/>
        </w:rPr>
        <w:t xml:space="preserve">. </w:t>
      </w:r>
    </w:p>
    <w:p w14:paraId="4D6C67F6" w14:textId="237C3A53" w:rsidR="005D601A" w:rsidRPr="004E6042" w:rsidRDefault="00B5691E" w:rsidP="003E2B4D">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The </w:t>
      </w:r>
      <w:hyperlink r:id="rId27" w:history="1">
        <w:r w:rsidR="00217449" w:rsidRPr="004E6042">
          <w:rPr>
            <w:rStyle w:val="Hyperlink"/>
            <w:rFonts w:eastAsia="Times New Roman" w:cstheme="minorHAnsi"/>
            <w:lang w:val="en-GB"/>
          </w:rPr>
          <w:t>resulting report</w:t>
        </w:r>
      </w:hyperlink>
      <w:r w:rsidR="00217449" w:rsidRPr="004E6042">
        <w:rPr>
          <w:rFonts w:eastAsia="Times New Roman" w:cstheme="minorHAnsi"/>
          <w:lang w:val="en-GB"/>
        </w:rPr>
        <w:t xml:space="preserve"> of outcomes and recommendations</w:t>
      </w:r>
      <w:r w:rsidR="002A56EA" w:rsidRPr="004E6042">
        <w:rPr>
          <w:rFonts w:eastAsia="Times New Roman" w:cstheme="minorHAnsi"/>
          <w:lang w:val="en-GB"/>
        </w:rPr>
        <w:t xml:space="preserve">, which ultimately informed IFLA’s </w:t>
      </w:r>
      <w:hyperlink r:id="rId28" w:history="1">
        <w:r w:rsidR="008E4362" w:rsidRPr="004E6042">
          <w:rPr>
            <w:rStyle w:val="Hyperlink"/>
            <w:rFonts w:eastAsia="Times New Roman" w:cstheme="minorHAnsi"/>
            <w:lang w:val="en-GB"/>
          </w:rPr>
          <w:t>Mondiacult Side Event</w:t>
        </w:r>
      </w:hyperlink>
      <w:r w:rsidR="008E4362" w:rsidRPr="004E6042">
        <w:rPr>
          <w:rFonts w:eastAsia="Times New Roman" w:cstheme="minorHAnsi"/>
          <w:lang w:val="en-GB"/>
        </w:rPr>
        <w:t xml:space="preserve"> on linking culture and education. </w:t>
      </w:r>
    </w:p>
    <w:p w14:paraId="1BEB8439" w14:textId="2E8EDD4F" w:rsidR="002A56EA" w:rsidRPr="004E6042" w:rsidRDefault="002A56EA" w:rsidP="003E2B4D">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IFLA’s professional programme considers </w:t>
      </w:r>
      <w:r w:rsidR="004A6B11" w:rsidRPr="004E6042">
        <w:rPr>
          <w:rFonts w:eastAsia="Times New Roman" w:cstheme="minorHAnsi"/>
          <w:lang w:val="en-GB"/>
        </w:rPr>
        <w:t xml:space="preserve">various aspects of the right to access and transmit creative expressions and knowledge for all people. </w:t>
      </w:r>
    </w:p>
    <w:p w14:paraId="21878ACD" w14:textId="0E170F27" w:rsidR="004A6B11" w:rsidRPr="004E6042" w:rsidRDefault="0F6BE688"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Meanwhile</w:t>
      </w:r>
      <w:r w:rsidR="004F5EE8" w:rsidRPr="004E6042">
        <w:rPr>
          <w:rFonts w:eastAsia="Times New Roman" w:cstheme="minorHAnsi"/>
          <w:lang w:val="en-GB"/>
        </w:rPr>
        <w:t xml:space="preserve">, IFLA’s </w:t>
      </w:r>
      <w:hyperlink r:id="rId29">
        <w:r w:rsidR="004F5EE8" w:rsidRPr="004E6042">
          <w:rPr>
            <w:rStyle w:val="Hyperlink"/>
            <w:rFonts w:eastAsia="Times New Roman" w:cstheme="minorHAnsi"/>
            <w:lang w:val="en-GB"/>
          </w:rPr>
          <w:t>Libraries Serving Persons with Print Disabilities Section</w:t>
        </w:r>
      </w:hyperlink>
      <w:r w:rsidR="005F44ED" w:rsidRPr="004E6042">
        <w:rPr>
          <w:rFonts w:eastAsia="Times New Roman" w:cstheme="minorHAnsi"/>
          <w:lang w:val="en-GB"/>
        </w:rPr>
        <w:t xml:space="preserve"> </w:t>
      </w:r>
      <w:r w:rsidR="000C631B" w:rsidRPr="004E6042">
        <w:rPr>
          <w:rFonts w:eastAsia="Times New Roman" w:cstheme="minorHAnsi"/>
          <w:lang w:val="en-GB"/>
        </w:rPr>
        <w:t xml:space="preserve">monitors </w:t>
      </w:r>
      <w:r w:rsidR="005F44ED" w:rsidRPr="004E6042">
        <w:rPr>
          <w:rFonts w:eastAsia="Times New Roman" w:cstheme="minorHAnsi"/>
          <w:lang w:val="en-GB"/>
        </w:rPr>
        <w:t xml:space="preserve">implementation of the </w:t>
      </w:r>
      <w:r w:rsidR="007760D6" w:rsidRPr="004E6042">
        <w:rPr>
          <w:rFonts w:eastAsia="Times New Roman" w:cstheme="minorHAnsi"/>
          <w:lang w:val="en-GB"/>
        </w:rPr>
        <w:t xml:space="preserve">Marrakesh Treaty to Facilitate Access to Published Works for Persons Who Are Blind. </w:t>
      </w:r>
      <w:r w:rsidR="00206B86" w:rsidRPr="004E6042">
        <w:rPr>
          <w:rFonts w:eastAsia="Times New Roman" w:cstheme="minorHAnsi"/>
          <w:lang w:val="en-GB"/>
        </w:rPr>
        <w:t xml:space="preserve">The most recent report, published in February 2023, can be found </w:t>
      </w:r>
      <w:hyperlink r:id="rId30">
        <w:r w:rsidR="00206B86" w:rsidRPr="004E6042">
          <w:rPr>
            <w:rStyle w:val="Hyperlink"/>
            <w:rFonts w:eastAsia="Times New Roman" w:cstheme="minorHAnsi"/>
            <w:lang w:val="en-GB"/>
          </w:rPr>
          <w:t>here</w:t>
        </w:r>
      </w:hyperlink>
      <w:r w:rsidR="00206B86" w:rsidRPr="004E6042">
        <w:rPr>
          <w:rFonts w:eastAsia="Times New Roman" w:cstheme="minorHAnsi"/>
          <w:lang w:val="en-GB"/>
        </w:rPr>
        <w:t xml:space="preserve">. </w:t>
      </w:r>
    </w:p>
    <w:p w14:paraId="5A91D099" w14:textId="09AA0A9F" w:rsidR="002158E7" w:rsidRPr="004E6042" w:rsidRDefault="001153B3" w:rsidP="002158E7">
      <w:pPr>
        <w:spacing w:before="100" w:beforeAutospacing="1" w:after="100" w:afterAutospacing="1" w:line="240" w:lineRule="auto"/>
        <w:rPr>
          <w:rFonts w:eastAsia="Times New Roman" w:cstheme="minorHAnsi"/>
          <w:lang w:val="en-GB"/>
        </w:rPr>
      </w:pPr>
      <w:r w:rsidRPr="004E6042">
        <w:rPr>
          <w:rFonts w:eastAsia="Times New Roman" w:cstheme="minorHAnsi"/>
          <w:lang w:val="en-GB"/>
        </w:rPr>
        <w:t>IFLA</w:t>
      </w:r>
      <w:r w:rsidR="00DF3C05" w:rsidRPr="004E6042">
        <w:rPr>
          <w:rFonts w:eastAsia="Times New Roman" w:cstheme="minorHAnsi"/>
          <w:lang w:val="en-GB"/>
        </w:rPr>
        <w:t xml:space="preserve"> </w:t>
      </w:r>
      <w:r w:rsidRPr="004E6042">
        <w:rPr>
          <w:rFonts w:eastAsia="Times New Roman" w:cstheme="minorHAnsi"/>
          <w:lang w:val="en-GB"/>
        </w:rPr>
        <w:t>also c</w:t>
      </w:r>
      <w:r w:rsidR="00796F0A" w:rsidRPr="004E6042">
        <w:rPr>
          <w:rFonts w:eastAsia="Times New Roman" w:cstheme="minorHAnsi"/>
          <w:lang w:val="en-GB"/>
        </w:rPr>
        <w:t>onsider circumstances w</w:t>
      </w:r>
      <w:r w:rsidR="000C631B" w:rsidRPr="004E6042">
        <w:rPr>
          <w:rFonts w:eastAsia="Times New Roman" w:cstheme="minorHAnsi"/>
          <w:lang w:val="en-GB"/>
        </w:rPr>
        <w:t>h</w:t>
      </w:r>
      <w:r w:rsidR="00796F0A" w:rsidRPr="004E6042">
        <w:rPr>
          <w:rFonts w:eastAsia="Times New Roman" w:cstheme="minorHAnsi"/>
          <w:lang w:val="en-GB"/>
        </w:rPr>
        <w:t>ere freedoms are limited</w:t>
      </w:r>
      <w:r w:rsidRPr="004E6042">
        <w:rPr>
          <w:rFonts w:eastAsia="Times New Roman" w:cstheme="minorHAnsi"/>
          <w:lang w:val="en-GB"/>
        </w:rPr>
        <w:t xml:space="preserve">. For example, </w:t>
      </w:r>
      <w:r w:rsidR="00AC2DF5" w:rsidRPr="004E6042">
        <w:rPr>
          <w:rFonts w:eastAsia="Times New Roman" w:cstheme="minorHAnsi"/>
          <w:lang w:val="en-GB"/>
        </w:rPr>
        <w:t xml:space="preserve">the </w:t>
      </w:r>
      <w:hyperlink r:id="rId31" w:history="1">
        <w:r w:rsidR="00AC2DF5" w:rsidRPr="004E6042">
          <w:rPr>
            <w:rStyle w:val="Hyperlink"/>
            <w:rFonts w:eastAsia="Times New Roman" w:cstheme="minorHAnsi"/>
            <w:lang w:val="en-GB"/>
          </w:rPr>
          <w:t>Library Services to People with Special Needs Section</w:t>
        </w:r>
      </w:hyperlink>
      <w:r w:rsidR="00AC2DF5" w:rsidRPr="004E6042">
        <w:rPr>
          <w:rFonts w:eastAsia="Times New Roman" w:cstheme="minorHAnsi"/>
          <w:lang w:val="en-GB"/>
        </w:rPr>
        <w:t xml:space="preserve"> recently published a third edition of the </w:t>
      </w:r>
      <w:hyperlink r:id="rId32" w:history="1">
        <w:r w:rsidR="00AC2DF5" w:rsidRPr="004E6042">
          <w:rPr>
            <w:rStyle w:val="Hyperlink"/>
            <w:rFonts w:eastAsia="Times New Roman" w:cstheme="minorHAnsi"/>
            <w:lang w:val="en-GB"/>
          </w:rPr>
          <w:t>IFLA Guidelines for Library Services to Prisoners</w:t>
        </w:r>
      </w:hyperlink>
      <w:r w:rsidR="00AC2DF5" w:rsidRPr="004E6042">
        <w:rPr>
          <w:rFonts w:eastAsia="Times New Roman" w:cstheme="minorHAnsi"/>
          <w:lang w:val="en-GB"/>
        </w:rPr>
        <w:t xml:space="preserve">. </w:t>
      </w:r>
    </w:p>
    <w:p w14:paraId="0B20A3E7" w14:textId="70AC853D" w:rsidR="00AC2DF5" w:rsidRPr="004E6042" w:rsidRDefault="00AC2DF5" w:rsidP="002158E7">
      <w:pPr>
        <w:spacing w:before="100" w:beforeAutospacing="1" w:after="100" w:afterAutospacing="1" w:line="240" w:lineRule="auto"/>
        <w:rPr>
          <w:rFonts w:eastAsia="Times New Roman" w:cstheme="minorHAnsi"/>
        </w:rPr>
      </w:pPr>
      <w:r w:rsidRPr="004E6042">
        <w:rPr>
          <w:rFonts w:eastAsia="Times New Roman" w:cstheme="minorHAnsi"/>
          <w:lang w:val="en-GB"/>
        </w:rPr>
        <w:t xml:space="preserve">These guidelines uphold that prisoners have a fundamental right to access information, read, and learn, and that prison libraries </w:t>
      </w:r>
      <w:r w:rsidR="002327FA" w:rsidRPr="004E6042">
        <w:rPr>
          <w:rFonts w:eastAsia="Times New Roman" w:cstheme="minorHAnsi"/>
          <w:lang w:val="en-GB"/>
        </w:rPr>
        <w:t xml:space="preserve">have an important role as educational, informational, cultural and recreational meeting and learning spaces for the entire prison community. </w:t>
      </w:r>
    </w:p>
    <w:p w14:paraId="40622394" w14:textId="26FC729F" w:rsidR="00700201" w:rsidRPr="004E6042" w:rsidRDefault="00700201" w:rsidP="00D729A0">
      <w:pPr>
        <w:pStyle w:val="ListParagraph"/>
        <w:numPr>
          <w:ilvl w:val="0"/>
          <w:numId w:val="21"/>
        </w:numPr>
        <w:spacing w:before="100" w:beforeAutospacing="1" w:after="100" w:afterAutospacing="1" w:line="240" w:lineRule="auto"/>
        <w:rPr>
          <w:rFonts w:eastAsia="Times New Roman" w:cstheme="minorHAnsi"/>
          <w:b/>
          <w:i/>
        </w:rPr>
      </w:pPr>
      <w:r w:rsidRPr="004E6042">
        <w:rPr>
          <w:rFonts w:eastAsia="Times New Roman" w:cstheme="minorHAnsi"/>
          <w:b/>
          <w:i/>
        </w:rPr>
        <w:lastRenderedPageBreak/>
        <w:t>The right to access to the benefits of science and its applications, including scientific knowledge, technology, and opportunities to contribute to the scientific enterprise;</w:t>
      </w:r>
    </w:p>
    <w:p w14:paraId="3AEDB264" w14:textId="6CFDE1CB" w:rsidR="00A570DC" w:rsidRPr="004E6042" w:rsidRDefault="00000000" w:rsidP="00A570DC">
      <w:pPr>
        <w:spacing w:before="100" w:beforeAutospacing="1" w:after="100" w:afterAutospacing="1" w:line="240" w:lineRule="auto"/>
        <w:rPr>
          <w:rFonts w:eastAsia="Times New Roman" w:cstheme="minorHAnsi"/>
          <w:lang w:val="en-GB"/>
        </w:rPr>
      </w:pPr>
      <w:hyperlink r:id="rId33" w:history="1">
        <w:r w:rsidR="00A570DC" w:rsidRPr="004E6042">
          <w:rPr>
            <w:rStyle w:val="Hyperlink"/>
            <w:rFonts w:eastAsia="Times New Roman" w:cstheme="minorHAnsi"/>
            <w:lang w:val="en-GB"/>
          </w:rPr>
          <w:t>IFLA’s 2022 statement on evidence for sustainable development</w:t>
        </w:r>
      </w:hyperlink>
      <w:r w:rsidR="00A570DC" w:rsidRPr="004E6042">
        <w:rPr>
          <w:rFonts w:eastAsia="Times New Roman" w:cstheme="minorHAnsi"/>
          <w:lang w:val="en-GB"/>
        </w:rPr>
        <w:t xml:space="preserve"> states that development is not possible without the creation, curation, preservation and application of evidence, understood as including data, information and knowledge.</w:t>
      </w:r>
    </w:p>
    <w:p w14:paraId="10B84C7C" w14:textId="7B1B56BD" w:rsidR="009E0B15" w:rsidRPr="004E6042" w:rsidRDefault="00FB59AC" w:rsidP="00FB59AC">
      <w:pPr>
        <w:spacing w:before="100" w:beforeAutospacing="1" w:after="100" w:afterAutospacing="1" w:line="240" w:lineRule="auto"/>
        <w:rPr>
          <w:rFonts w:eastAsia="Times New Roman" w:cstheme="minorHAnsi"/>
          <w:lang w:val="en-GB"/>
        </w:rPr>
      </w:pPr>
      <w:r w:rsidRPr="004E6042">
        <w:rPr>
          <w:rFonts w:eastAsia="Times New Roman" w:cstheme="minorHAnsi"/>
          <w:lang w:val="en-GB"/>
        </w:rPr>
        <w:t>This makes specific note of the key role that open access, science and scholarship have</w:t>
      </w:r>
      <w:r w:rsidR="00A574E3" w:rsidRPr="004E6042">
        <w:rPr>
          <w:rFonts w:eastAsia="Times New Roman" w:cstheme="minorHAnsi"/>
          <w:lang w:val="en-GB"/>
        </w:rPr>
        <w:t xml:space="preserve"> in ensuring the dissemination of information and enabling maximum </w:t>
      </w:r>
      <w:r w:rsidR="00D161CC" w:rsidRPr="004E6042">
        <w:rPr>
          <w:rFonts w:eastAsia="Times New Roman" w:cstheme="minorHAnsi"/>
          <w:lang w:val="en-GB"/>
        </w:rPr>
        <w:t xml:space="preserve">involvement in research. </w:t>
      </w:r>
    </w:p>
    <w:p w14:paraId="5A8F5AC5" w14:textId="347802DE" w:rsidR="00F61FF1" w:rsidRPr="004E6042" w:rsidRDefault="002A27F7" w:rsidP="00FB59AC">
      <w:pPr>
        <w:spacing w:before="100" w:beforeAutospacing="1" w:after="100" w:afterAutospacing="1" w:line="240" w:lineRule="auto"/>
        <w:rPr>
          <w:rFonts w:eastAsia="Times New Roman" w:cstheme="minorHAnsi"/>
          <w:lang w:val="en-GB"/>
        </w:rPr>
      </w:pPr>
      <w:r w:rsidRPr="004E6042">
        <w:rPr>
          <w:rFonts w:eastAsia="Times New Roman" w:cstheme="minorHAnsi"/>
          <w:lang w:val="en-GB"/>
        </w:rPr>
        <w:t>Libraries represent an essential link in the chain between those who are gathering or producing evidence and those applying it to policy.</w:t>
      </w:r>
      <w:r w:rsidR="003713DA" w:rsidRPr="004E6042">
        <w:rPr>
          <w:rFonts w:eastAsia="Times New Roman" w:cstheme="minorHAnsi"/>
          <w:lang w:val="en-GB"/>
        </w:rPr>
        <w:t xml:space="preserve"> Specific roles include supporting research, managing date and dissemination, </w:t>
      </w:r>
      <w:r w:rsidR="002F238D" w:rsidRPr="004E6042">
        <w:rPr>
          <w:rFonts w:eastAsia="Times New Roman" w:cstheme="minorHAnsi"/>
          <w:lang w:val="en-GB"/>
        </w:rPr>
        <w:t xml:space="preserve">enabling sharing of and access to information, effective packaging of information for decisionmakers, and </w:t>
      </w:r>
      <w:r w:rsidR="00F61FF1" w:rsidRPr="004E6042">
        <w:rPr>
          <w:rFonts w:eastAsia="Times New Roman" w:cstheme="minorHAnsi"/>
          <w:lang w:val="en-GB"/>
        </w:rPr>
        <w:t>information preservation.</w:t>
      </w:r>
    </w:p>
    <w:p w14:paraId="03458C76" w14:textId="47E8955A" w:rsidR="000A4B80" w:rsidRPr="004E6042" w:rsidRDefault="00F61FF1" w:rsidP="004178F1">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These roles, and the impact they have on cultural and scientific rights, are also reflected in the </w:t>
      </w:r>
      <w:hyperlink r:id="rId34" w:history="1">
        <w:r w:rsidRPr="004E6042">
          <w:rPr>
            <w:rStyle w:val="Hyperlink"/>
            <w:rFonts w:eastAsia="Times New Roman" w:cstheme="minorHAnsi"/>
            <w:lang w:val="en-GB"/>
          </w:rPr>
          <w:t>2022 IFLA-UNESCO Public Library Manifesto</w:t>
        </w:r>
      </w:hyperlink>
      <w:r w:rsidR="004178F1" w:rsidRPr="004E6042">
        <w:rPr>
          <w:rFonts w:eastAsia="Times New Roman" w:cstheme="minorHAnsi"/>
          <w:lang w:val="en-GB"/>
        </w:rPr>
        <w:t xml:space="preserve">. It states </w:t>
      </w:r>
      <w:r w:rsidR="00595A61" w:rsidRPr="004E6042">
        <w:rPr>
          <w:rFonts w:eastAsia="Times New Roman" w:cstheme="minorHAnsi"/>
          <w:lang w:val="en-GB"/>
        </w:rPr>
        <w:t xml:space="preserve">that public library missions include </w:t>
      </w:r>
      <w:r w:rsidR="00E55347" w:rsidRPr="004E6042">
        <w:rPr>
          <w:rFonts w:eastAsia="Times New Roman" w:cstheme="minorHAnsi"/>
          <w:lang w:val="en-GB"/>
        </w:rPr>
        <w:t>providing</w:t>
      </w:r>
      <w:r w:rsidR="004178F1" w:rsidRPr="004E6042">
        <w:rPr>
          <w:rFonts w:eastAsia="Times New Roman" w:cstheme="minorHAnsi"/>
          <w:lang w:val="en-GB"/>
        </w:rPr>
        <w:t xml:space="preserve"> access to scientific knowledge, such as research results and health</w:t>
      </w:r>
      <w:r w:rsidR="00E55347" w:rsidRPr="004E6042">
        <w:rPr>
          <w:rFonts w:eastAsia="Times New Roman" w:cstheme="minorHAnsi"/>
          <w:lang w:val="en-GB"/>
        </w:rPr>
        <w:t xml:space="preserve"> i</w:t>
      </w:r>
      <w:r w:rsidR="004178F1" w:rsidRPr="004E6042">
        <w:rPr>
          <w:rFonts w:eastAsia="Times New Roman" w:cstheme="minorHAnsi"/>
          <w:lang w:val="en-GB"/>
        </w:rPr>
        <w:t xml:space="preserve">nformation, </w:t>
      </w:r>
      <w:r w:rsidR="00E55347" w:rsidRPr="004E6042">
        <w:rPr>
          <w:rFonts w:eastAsia="Times New Roman" w:cstheme="minorHAnsi"/>
          <w:lang w:val="en-GB"/>
        </w:rPr>
        <w:t>and</w:t>
      </w:r>
      <w:r w:rsidR="004178F1" w:rsidRPr="004E6042">
        <w:rPr>
          <w:rFonts w:eastAsia="Times New Roman" w:cstheme="minorHAnsi"/>
          <w:lang w:val="en-GB"/>
        </w:rPr>
        <w:t xml:space="preserve"> enabling participation in scientific</w:t>
      </w:r>
      <w:r w:rsidR="00E55347" w:rsidRPr="004E6042">
        <w:rPr>
          <w:rFonts w:eastAsia="Times New Roman" w:cstheme="minorHAnsi"/>
          <w:lang w:val="en-GB"/>
        </w:rPr>
        <w:t xml:space="preserve"> </w:t>
      </w:r>
      <w:r w:rsidR="004178F1" w:rsidRPr="004E6042">
        <w:rPr>
          <w:rFonts w:eastAsia="Times New Roman" w:cstheme="minorHAnsi"/>
          <w:lang w:val="en-GB"/>
        </w:rPr>
        <w:t>progress</w:t>
      </w:r>
      <w:r w:rsidR="00E55347" w:rsidRPr="004E6042">
        <w:rPr>
          <w:rFonts w:eastAsia="Times New Roman" w:cstheme="minorHAnsi"/>
          <w:lang w:val="en-GB"/>
        </w:rPr>
        <w:t>.</w:t>
      </w:r>
      <w:r w:rsidR="000A4B80" w:rsidRPr="004E6042">
        <w:rPr>
          <w:rFonts w:eastAsia="Times New Roman" w:cstheme="minorHAnsi"/>
          <w:lang w:val="en-GB"/>
        </w:rPr>
        <w:t xml:space="preserve"> IFLA is currently developing tools to help library professionals use this Manifesto as an advocacy tool to further support for and development of their library’s services. </w:t>
      </w:r>
    </w:p>
    <w:p w14:paraId="357819C3" w14:textId="77777777" w:rsidR="004E6042" w:rsidRPr="004E6042" w:rsidRDefault="004E6042" w:rsidP="004E6042">
      <w:pPr>
        <w:rPr>
          <w:rFonts w:cstheme="minorHAnsi"/>
          <w:lang w:val="en-GB"/>
        </w:rPr>
      </w:pPr>
      <w:r w:rsidRPr="004E6042">
        <w:rPr>
          <w:rFonts w:cstheme="minorHAnsi"/>
          <w:lang w:val="en-GB"/>
        </w:rPr>
        <w:t xml:space="preserve">IFLA’s advisory committee on </w:t>
      </w:r>
      <w:hyperlink r:id="rId35" w:history="1">
        <w:r w:rsidRPr="004E6042">
          <w:rPr>
            <w:rStyle w:val="Hyperlink"/>
            <w:rFonts w:cstheme="minorHAnsi"/>
            <w:lang w:val="en-GB"/>
          </w:rPr>
          <w:t>Copyright &amp; Other Legal Matters</w:t>
        </w:r>
      </w:hyperlink>
      <w:r w:rsidRPr="004E6042">
        <w:rPr>
          <w:rFonts w:cstheme="minorHAnsi"/>
          <w:lang w:val="en-GB"/>
        </w:rPr>
        <w:t xml:space="preserve">, and other groups within IFLA, work to promote Open Access, Open Science, and other open initiatives as a means to narrow inequalities in information access globally and amongst institutions – and to enable researchers to communicate easily with their academic peers and find audiences for their work. CLM also works to encourage Intellectual Property (IP) policies that do not unduly restrict innovative scientific applications (such as Text &amp; Data Mining).  In 2022 IFLA released </w:t>
      </w:r>
      <w:hyperlink r:id="rId36" w:history="1">
        <w:r w:rsidRPr="004E6042">
          <w:rPr>
            <w:rStyle w:val="Hyperlink"/>
            <w:rFonts w:cstheme="minorHAnsi"/>
            <w:lang w:val="en-GB"/>
          </w:rPr>
          <w:t>a statement supporting Open Access,</w:t>
        </w:r>
      </w:hyperlink>
      <w:r w:rsidRPr="004E6042">
        <w:rPr>
          <w:rFonts w:cstheme="minorHAnsi"/>
          <w:lang w:val="en-GB"/>
        </w:rPr>
        <w:t xml:space="preserve"> which updated its </w:t>
      </w:r>
      <w:hyperlink r:id="rId37" w:history="1">
        <w:r w:rsidRPr="004E6042">
          <w:rPr>
            <w:rStyle w:val="Hyperlink"/>
            <w:rFonts w:cstheme="minorHAnsi"/>
            <w:lang w:val="en-GB"/>
          </w:rPr>
          <w:t>2011 OA statement.</w:t>
        </w:r>
      </w:hyperlink>
    </w:p>
    <w:p w14:paraId="251584E4" w14:textId="2B9D16AD" w:rsidR="002158E7" w:rsidRPr="00AC79FE" w:rsidRDefault="00700201" w:rsidP="00AC79FE">
      <w:pPr>
        <w:pStyle w:val="ListParagraph"/>
        <w:numPr>
          <w:ilvl w:val="0"/>
          <w:numId w:val="1"/>
        </w:numPr>
        <w:spacing w:beforeAutospacing="1" w:afterAutospacing="1" w:line="240" w:lineRule="auto"/>
        <w:rPr>
          <w:rFonts w:eastAsia="Times New Roman" w:cstheme="minorHAnsi"/>
          <w:b/>
          <w:bCs/>
          <w:i/>
          <w:iCs/>
        </w:rPr>
      </w:pPr>
      <w:r w:rsidRPr="00AC79FE">
        <w:rPr>
          <w:rFonts w:eastAsia="Times New Roman" w:cstheme="minorHAnsi"/>
          <w:b/>
          <w:bCs/>
          <w:i/>
          <w:iCs/>
        </w:rPr>
        <w:t>The right to benefit from the protection of the moral and material interests resulting from any scientific, literary or artistic production of which one is the author;</w:t>
      </w:r>
    </w:p>
    <w:p w14:paraId="05C47B77" w14:textId="77777777" w:rsidR="005C5A05" w:rsidRPr="004E6042" w:rsidRDefault="2E2BA1CB">
      <w:pPr>
        <w:spacing w:beforeAutospacing="1" w:afterAutospacing="1" w:line="240" w:lineRule="auto"/>
        <w:rPr>
          <w:rFonts w:eastAsia="Times New Roman" w:cstheme="minorHAnsi"/>
        </w:rPr>
      </w:pPr>
      <w:r w:rsidRPr="004E6042">
        <w:rPr>
          <w:rFonts w:eastAsia="Times New Roman" w:cstheme="minorHAnsi"/>
        </w:rPr>
        <w:t>IFLA, both through its practical and advocacy work</w:t>
      </w:r>
      <w:r w:rsidR="005C5A05" w:rsidRPr="004E6042">
        <w:rPr>
          <w:rFonts w:eastAsia="Times New Roman" w:cstheme="minorHAnsi"/>
          <w:lang w:val="en-GB"/>
        </w:rPr>
        <w:t>,</w:t>
      </w:r>
      <w:r w:rsidRPr="004E6042">
        <w:rPr>
          <w:rFonts w:eastAsia="Times New Roman" w:cstheme="minorHAnsi"/>
        </w:rPr>
        <w:t xml:space="preserve"> promotes a balanced approach to copyright laws and policy. We underline and celebrate the contribution that libraries can make to supporting </w:t>
      </w:r>
      <w:r w:rsidR="5112630B" w:rsidRPr="004E6042">
        <w:rPr>
          <w:rFonts w:eastAsia="Times New Roman" w:cstheme="minorHAnsi"/>
        </w:rPr>
        <w:t>the dissemination of authors’ work, helping them to discover new readers and new markets</w:t>
      </w:r>
      <w:r w:rsidR="62B98FD1" w:rsidRPr="004E6042">
        <w:rPr>
          <w:rFonts w:eastAsia="Times New Roman" w:cstheme="minorHAnsi"/>
        </w:rPr>
        <w:t>, and stress that librarians must work within the law</w:t>
      </w:r>
      <w:r w:rsidR="5112630B" w:rsidRPr="004E6042">
        <w:rPr>
          <w:rFonts w:eastAsia="Times New Roman" w:cstheme="minorHAnsi"/>
        </w:rPr>
        <w:t xml:space="preserve">. </w:t>
      </w:r>
    </w:p>
    <w:p w14:paraId="3F90AFB5" w14:textId="16423A55" w:rsidR="2E2BA1CB" w:rsidRPr="00AC79FE" w:rsidRDefault="5112630B" w:rsidP="005C5A05">
      <w:pPr>
        <w:spacing w:beforeAutospacing="1" w:afterAutospacing="1" w:line="240" w:lineRule="auto"/>
        <w:rPr>
          <w:rFonts w:eastAsia="Times New Roman" w:cstheme="minorHAnsi"/>
        </w:rPr>
      </w:pPr>
      <w:r w:rsidRPr="004E6042">
        <w:rPr>
          <w:rFonts w:eastAsia="Times New Roman" w:cstheme="minorHAnsi"/>
        </w:rPr>
        <w:t xml:space="preserve">However, we believe that </w:t>
      </w:r>
      <w:r w:rsidR="2AFF7326" w:rsidRPr="004E6042">
        <w:rPr>
          <w:rFonts w:eastAsia="Times New Roman" w:cstheme="minorHAnsi"/>
        </w:rPr>
        <w:t xml:space="preserve">copyright frameworks should fully recognise the right of access, and </w:t>
      </w:r>
      <w:r w:rsidR="6C5A8DF4" w:rsidRPr="004E6042">
        <w:rPr>
          <w:rFonts w:eastAsia="Times New Roman" w:cstheme="minorHAnsi"/>
        </w:rPr>
        <w:t>oppose measures that jeopardise equity, creativity and use</w:t>
      </w:r>
      <w:r w:rsidR="3F2E63C1" w:rsidRPr="004E6042">
        <w:rPr>
          <w:rFonts w:eastAsia="Times New Roman" w:cstheme="minorHAnsi"/>
        </w:rPr>
        <w:t>, now and in future.</w:t>
      </w:r>
    </w:p>
    <w:p w14:paraId="68B678F8" w14:textId="77777777" w:rsidR="00FF4988" w:rsidRPr="00FF4988" w:rsidRDefault="00700201" w:rsidP="00FF4988">
      <w:pPr>
        <w:pStyle w:val="ListParagraph"/>
        <w:numPr>
          <w:ilvl w:val="0"/>
          <w:numId w:val="21"/>
        </w:numPr>
        <w:spacing w:before="100" w:beforeAutospacing="1" w:after="100" w:afterAutospacing="1" w:line="240" w:lineRule="auto"/>
        <w:rPr>
          <w:rFonts w:eastAsia="Times New Roman" w:cstheme="minorHAnsi"/>
          <w:b/>
          <w:i/>
        </w:rPr>
      </w:pPr>
      <w:r w:rsidRPr="004E6042">
        <w:rPr>
          <w:rFonts w:eastAsia="Times New Roman" w:cstheme="minorHAnsi"/>
          <w:b/>
          <w:i/>
        </w:rPr>
        <w:t>The right to take part in decision making processes that have an impact on one’s cultural life, including</w:t>
      </w:r>
      <w:r w:rsidR="00FF4988">
        <w:rPr>
          <w:rFonts w:eastAsia="Times New Roman" w:cstheme="minorHAnsi"/>
          <w:b/>
          <w:i/>
          <w:lang w:val="en-GB"/>
        </w:rPr>
        <w:t>:</w:t>
      </w:r>
    </w:p>
    <w:p w14:paraId="67680771" w14:textId="77777777" w:rsidR="00FF4988" w:rsidRDefault="00700201" w:rsidP="00FF4988">
      <w:pPr>
        <w:pStyle w:val="ListParagraph"/>
        <w:numPr>
          <w:ilvl w:val="1"/>
          <w:numId w:val="21"/>
        </w:numPr>
        <w:spacing w:before="100" w:beforeAutospacing="1" w:after="100" w:afterAutospacing="1" w:line="240" w:lineRule="auto"/>
        <w:rPr>
          <w:rFonts w:eastAsia="Times New Roman" w:cstheme="minorHAnsi"/>
          <w:b/>
          <w:i/>
        </w:rPr>
      </w:pPr>
      <w:r w:rsidRPr="00FF4988">
        <w:rPr>
          <w:rFonts w:eastAsia="Times New Roman" w:cstheme="minorHAnsi"/>
          <w:b/>
          <w:i/>
        </w:rPr>
        <w:t>the right of effective participation and consultation for minorities;</w:t>
      </w:r>
    </w:p>
    <w:p w14:paraId="539DD661" w14:textId="52C1946D" w:rsidR="00700201" w:rsidRPr="00FF4988" w:rsidRDefault="00700201" w:rsidP="00FF4988">
      <w:pPr>
        <w:pStyle w:val="ListParagraph"/>
        <w:numPr>
          <w:ilvl w:val="1"/>
          <w:numId w:val="21"/>
        </w:numPr>
        <w:spacing w:before="100" w:beforeAutospacing="1" w:after="100" w:afterAutospacing="1" w:line="240" w:lineRule="auto"/>
        <w:rPr>
          <w:rFonts w:eastAsia="Times New Roman" w:cstheme="minorHAnsi"/>
          <w:b/>
          <w:i/>
        </w:rPr>
      </w:pPr>
      <w:r w:rsidRPr="00FF4988">
        <w:rPr>
          <w:rFonts w:eastAsia="Times New Roman" w:cstheme="minorHAnsi"/>
          <w:b/>
          <w:i/>
        </w:rPr>
        <w:t>the right to free, prior and informed consent by indigenous peoples and by local populations.</w:t>
      </w:r>
    </w:p>
    <w:p w14:paraId="5A47FF36" w14:textId="5612746B" w:rsidR="00401749" w:rsidRPr="004E6042" w:rsidRDefault="009412F1"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IFLA’s vision</w:t>
      </w:r>
      <w:r w:rsidR="00BC278A" w:rsidRPr="004E6042">
        <w:rPr>
          <w:rFonts w:eastAsia="Times New Roman" w:cstheme="minorHAnsi"/>
          <w:lang w:val="en-GB"/>
        </w:rPr>
        <w:t xml:space="preserve"> includes libraries powering participatory societies</w:t>
      </w:r>
      <w:r w:rsidR="005313F3" w:rsidRPr="004E6042">
        <w:rPr>
          <w:rFonts w:eastAsia="Times New Roman" w:cstheme="minorHAnsi"/>
          <w:lang w:val="en-GB"/>
        </w:rPr>
        <w:t xml:space="preserve">. </w:t>
      </w:r>
      <w:r w:rsidR="6190F2DF" w:rsidRPr="004E6042">
        <w:rPr>
          <w:rFonts w:eastAsia="Times New Roman" w:cstheme="minorHAnsi"/>
          <w:lang w:val="en-GB"/>
        </w:rPr>
        <w:t xml:space="preserve">This applies also, of course, in the case of the design of libraries’ own services. </w:t>
      </w:r>
      <w:r w:rsidR="005313F3" w:rsidRPr="004E6042">
        <w:rPr>
          <w:rFonts w:eastAsia="Times New Roman" w:cstheme="minorHAnsi"/>
          <w:lang w:val="en-GB"/>
        </w:rPr>
        <w:t xml:space="preserve">An example can be found in </w:t>
      </w:r>
      <w:r w:rsidR="00F97F1B" w:rsidRPr="004E6042">
        <w:rPr>
          <w:rFonts w:eastAsia="Times New Roman" w:cstheme="minorHAnsi"/>
          <w:lang w:val="en-GB"/>
        </w:rPr>
        <w:t>IFLA’s work on International Guidelines for Library Services for Displaced Populations.</w:t>
      </w:r>
      <w:r w:rsidR="005313F3" w:rsidRPr="004E6042">
        <w:rPr>
          <w:rFonts w:eastAsia="Times New Roman" w:cstheme="minorHAnsi"/>
          <w:lang w:val="en-GB"/>
        </w:rPr>
        <w:t xml:space="preserve"> </w:t>
      </w:r>
    </w:p>
    <w:p w14:paraId="663BCEF0" w14:textId="6670E3DE" w:rsidR="00DC2AFE" w:rsidRPr="004E6042" w:rsidRDefault="00DC2AFE" w:rsidP="00F0525D">
      <w:pPr>
        <w:spacing w:before="100" w:beforeAutospacing="1" w:after="100" w:afterAutospacing="1" w:line="240" w:lineRule="auto"/>
        <w:rPr>
          <w:rFonts w:eastAsia="Times New Roman" w:cstheme="minorHAnsi"/>
          <w:lang w:val="en-GB"/>
        </w:rPr>
      </w:pPr>
      <w:r w:rsidRPr="004E6042">
        <w:rPr>
          <w:rFonts w:eastAsia="Times New Roman" w:cstheme="minorHAnsi"/>
          <w:lang w:val="en-GB"/>
        </w:rPr>
        <w:lastRenderedPageBreak/>
        <w:t xml:space="preserve">The Guidelines stress that </w:t>
      </w:r>
      <w:r w:rsidR="00FD6D20" w:rsidRPr="004E6042">
        <w:rPr>
          <w:rFonts w:eastAsia="Times New Roman" w:cstheme="minorHAnsi"/>
          <w:lang w:val="en-GB"/>
        </w:rPr>
        <w:t xml:space="preserve">services to migrant populations must be developed in partnership with </w:t>
      </w:r>
      <w:r w:rsidR="00663398" w:rsidRPr="004E6042">
        <w:rPr>
          <w:rFonts w:eastAsia="Times New Roman" w:cstheme="minorHAnsi"/>
          <w:lang w:val="en-GB"/>
        </w:rPr>
        <w:t>these communities</w:t>
      </w:r>
      <w:r w:rsidR="00FD6D20" w:rsidRPr="004E6042">
        <w:rPr>
          <w:rFonts w:eastAsia="Times New Roman" w:cstheme="minorHAnsi"/>
          <w:lang w:val="en-GB"/>
        </w:rPr>
        <w:t xml:space="preserve">, listening to their needs and responding accordingly. </w:t>
      </w:r>
      <w:r w:rsidR="00F0525D" w:rsidRPr="004E6042">
        <w:rPr>
          <w:rFonts w:eastAsia="Times New Roman" w:cstheme="minorHAnsi"/>
          <w:lang w:val="en-GB"/>
        </w:rPr>
        <w:t>The IFLA/UNESCO Multicultural Library Manifesto further calls for cooperation with relevant user groups and professionals at local, national or international level.</w:t>
      </w:r>
    </w:p>
    <w:p w14:paraId="52D98227" w14:textId="7BFA584B" w:rsidR="00F0525D" w:rsidRPr="004E6042" w:rsidRDefault="00F0525D"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This is</w:t>
      </w:r>
      <w:r w:rsidR="00A94FFA" w:rsidRPr="004E6042">
        <w:rPr>
          <w:rFonts w:eastAsia="Times New Roman" w:cstheme="minorHAnsi"/>
          <w:lang w:val="en-GB"/>
        </w:rPr>
        <w:t xml:space="preserve"> also</w:t>
      </w:r>
      <w:r w:rsidRPr="004E6042">
        <w:rPr>
          <w:rFonts w:eastAsia="Times New Roman" w:cstheme="minorHAnsi"/>
          <w:lang w:val="en-GB"/>
        </w:rPr>
        <w:t xml:space="preserve"> reflected in the actions of the Indigenous Matters Section, who </w:t>
      </w:r>
      <w:r w:rsidR="004A15A9" w:rsidRPr="004E6042">
        <w:rPr>
          <w:rFonts w:eastAsia="Times New Roman" w:cstheme="minorHAnsi"/>
          <w:lang w:val="en-GB"/>
        </w:rPr>
        <w:t>encourage indigenous leadership in the sector</w:t>
      </w:r>
      <w:r w:rsidR="00ED455D" w:rsidRPr="004E6042">
        <w:rPr>
          <w:rFonts w:eastAsia="Times New Roman" w:cstheme="minorHAnsi"/>
          <w:lang w:val="en-GB"/>
        </w:rPr>
        <w:t xml:space="preserve">. IFLA brings thought leaders together to </w:t>
      </w:r>
      <w:r w:rsidR="00A94FFA" w:rsidRPr="004E6042">
        <w:rPr>
          <w:rFonts w:eastAsia="Times New Roman" w:cstheme="minorHAnsi"/>
          <w:lang w:val="en-GB"/>
        </w:rPr>
        <w:t>highlight</w:t>
      </w:r>
      <w:r w:rsidR="002D5215" w:rsidRPr="004E6042">
        <w:rPr>
          <w:rFonts w:eastAsia="Times New Roman" w:cstheme="minorHAnsi"/>
          <w:lang w:val="en-GB"/>
        </w:rPr>
        <w:t xml:space="preserve"> key consideration</w:t>
      </w:r>
      <w:r w:rsidR="00ED455D" w:rsidRPr="004E6042">
        <w:rPr>
          <w:rFonts w:eastAsia="Times New Roman" w:cstheme="minorHAnsi"/>
          <w:lang w:val="en-GB"/>
        </w:rPr>
        <w:t>,</w:t>
      </w:r>
      <w:r w:rsidR="002D5215" w:rsidRPr="004E6042">
        <w:rPr>
          <w:rFonts w:eastAsia="Times New Roman" w:cstheme="minorHAnsi"/>
          <w:lang w:val="en-GB"/>
        </w:rPr>
        <w:t xml:space="preserve"> for example in</w:t>
      </w:r>
      <w:r w:rsidR="00ED455D" w:rsidRPr="004E6042">
        <w:rPr>
          <w:rFonts w:eastAsia="Times New Roman" w:cstheme="minorHAnsi"/>
          <w:lang w:val="en-GB"/>
        </w:rPr>
        <w:t xml:space="preserve"> the </w:t>
      </w:r>
      <w:hyperlink r:id="rId38">
        <w:r w:rsidR="00533255" w:rsidRPr="004E6042">
          <w:rPr>
            <w:rStyle w:val="Hyperlink"/>
            <w:rFonts w:eastAsia="Times New Roman" w:cstheme="minorHAnsi"/>
            <w:lang w:val="en-GB"/>
          </w:rPr>
          <w:t>IFLA Journal Special Issue on Indigenous Librarianship</w:t>
        </w:r>
      </w:hyperlink>
      <w:r w:rsidR="00533255" w:rsidRPr="004E6042">
        <w:rPr>
          <w:rFonts w:eastAsia="Times New Roman" w:cstheme="minorHAnsi"/>
          <w:lang w:val="en-GB"/>
        </w:rPr>
        <w:t xml:space="preserve"> (2021). </w:t>
      </w:r>
      <w:r w:rsidR="004A15A9" w:rsidRPr="004E6042">
        <w:rPr>
          <w:rFonts w:eastAsia="Times New Roman" w:cstheme="minorHAnsi"/>
          <w:lang w:val="en-GB"/>
        </w:rPr>
        <w:t xml:space="preserve"> </w:t>
      </w:r>
    </w:p>
    <w:p w14:paraId="57B9E9B4" w14:textId="3D1DDE62" w:rsidR="2035D811" w:rsidRPr="004E6042" w:rsidRDefault="2035D811" w:rsidP="197BFB0B">
      <w:pPr>
        <w:spacing w:beforeAutospacing="1" w:afterAutospacing="1" w:line="240" w:lineRule="auto"/>
        <w:rPr>
          <w:rFonts w:eastAsia="Times New Roman" w:cstheme="minorHAnsi"/>
          <w:lang w:val="en-GB"/>
        </w:rPr>
      </w:pPr>
      <w:r w:rsidRPr="004E6042">
        <w:rPr>
          <w:rFonts w:eastAsia="Times New Roman" w:cstheme="minorHAnsi"/>
          <w:lang w:val="en-GB"/>
        </w:rPr>
        <w:t xml:space="preserve">More broadly, IFLA underlines the role of libraries in </w:t>
      </w:r>
      <w:r w:rsidR="1116F358" w:rsidRPr="004E6042">
        <w:rPr>
          <w:rFonts w:eastAsia="Times New Roman" w:cstheme="minorHAnsi"/>
          <w:lang w:val="en-GB"/>
        </w:rPr>
        <w:t xml:space="preserve">supporting democratic participation, and so involvement in wider decision-making with an impact on cultural rights. </w:t>
      </w:r>
    </w:p>
    <w:p w14:paraId="6936201A" w14:textId="77777777" w:rsidR="00700201" w:rsidRPr="004E6042" w:rsidRDefault="00700201" w:rsidP="004B6EE3">
      <w:pPr>
        <w:numPr>
          <w:ilvl w:val="0"/>
          <w:numId w:val="2"/>
        </w:numPr>
        <w:tabs>
          <w:tab w:val="clear" w:pos="720"/>
          <w:tab w:val="num" w:pos="567"/>
        </w:tabs>
        <w:spacing w:before="100" w:beforeAutospacing="1" w:after="100" w:afterAutospacing="1" w:line="240" w:lineRule="auto"/>
        <w:ind w:left="426"/>
        <w:rPr>
          <w:rFonts w:eastAsia="Times New Roman" w:cstheme="minorHAnsi"/>
          <w:b/>
        </w:rPr>
      </w:pPr>
      <w:r w:rsidRPr="004E6042">
        <w:rPr>
          <w:rFonts w:eastAsia="Times New Roman" w:cstheme="minorHAnsi"/>
          <w:b/>
        </w:rPr>
        <w:t>Please provide recent examples of programmes, policies and commitments where:</w:t>
      </w:r>
    </w:p>
    <w:p w14:paraId="5C7A6F9E" w14:textId="186C2A3E" w:rsidR="00700201" w:rsidRPr="004E6042" w:rsidRDefault="00700201" w:rsidP="00D729A0">
      <w:pPr>
        <w:pStyle w:val="ListParagraph"/>
        <w:numPr>
          <w:ilvl w:val="0"/>
          <w:numId w:val="20"/>
        </w:numPr>
        <w:spacing w:before="100" w:beforeAutospacing="1" w:after="100" w:afterAutospacing="1" w:line="240" w:lineRule="auto"/>
        <w:rPr>
          <w:rFonts w:eastAsia="Times New Roman" w:cstheme="minorHAnsi"/>
          <w:b/>
          <w:i/>
        </w:rPr>
      </w:pPr>
      <w:r w:rsidRPr="004E6042">
        <w:rPr>
          <w:rFonts w:eastAsia="Times New Roman" w:cstheme="minorHAnsi"/>
          <w:b/>
          <w:bCs/>
          <w:i/>
          <w:iCs/>
        </w:rPr>
        <w:t>sustainable development is discussed beyond wealth accumulation model;</w:t>
      </w:r>
    </w:p>
    <w:p w14:paraId="6ECC3F01" w14:textId="17047EB7" w:rsidR="002B0583" w:rsidRPr="004E6042" w:rsidRDefault="47C6FDA0"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IFLA's </w:t>
      </w:r>
      <w:r w:rsidR="641D4A7F" w:rsidRPr="004E6042">
        <w:rPr>
          <w:rFonts w:eastAsia="Times New Roman" w:cstheme="minorHAnsi"/>
          <w:lang w:val="en-GB"/>
        </w:rPr>
        <w:t xml:space="preserve">overall </w:t>
      </w:r>
      <w:r w:rsidRPr="004E6042">
        <w:rPr>
          <w:rFonts w:eastAsia="Times New Roman" w:cstheme="minorHAnsi"/>
          <w:lang w:val="en-GB"/>
        </w:rPr>
        <w:t xml:space="preserve">approach to sustainable development is aligned with the overall UN vision of a model of progress that goes beyond </w:t>
      </w:r>
      <w:r w:rsidR="1CCA61F7" w:rsidRPr="004E6042">
        <w:rPr>
          <w:rFonts w:eastAsia="Times New Roman" w:cstheme="minorHAnsi"/>
          <w:lang w:val="en-GB"/>
        </w:rPr>
        <w:t>pure growth, and focuses on the importance of th</w:t>
      </w:r>
      <w:r w:rsidR="648C1329" w:rsidRPr="004E6042">
        <w:rPr>
          <w:rFonts w:eastAsia="Times New Roman" w:cstheme="minorHAnsi"/>
          <w:lang w:val="en-GB"/>
        </w:rPr>
        <w:t>e realisation of individual rights and potential.</w:t>
      </w:r>
    </w:p>
    <w:p w14:paraId="570BA582" w14:textId="7474A8D0" w:rsidR="005970CC" w:rsidRPr="004E6042" w:rsidRDefault="35E4CA21" w:rsidP="002B0583">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In particular, </w:t>
      </w:r>
      <w:r w:rsidR="00EE67E6" w:rsidRPr="004E6042">
        <w:rPr>
          <w:rFonts w:eastAsia="Times New Roman" w:cstheme="minorHAnsi"/>
          <w:lang w:val="en-GB"/>
        </w:rPr>
        <w:t xml:space="preserve">IFLA has also been an active member of the </w:t>
      </w:r>
      <w:hyperlink r:id="rId39" w:history="1">
        <w:r w:rsidR="00EE67E6" w:rsidRPr="004E6042">
          <w:rPr>
            <w:rStyle w:val="Hyperlink"/>
            <w:rFonts w:eastAsia="Times New Roman" w:cstheme="minorHAnsi"/>
            <w:lang w:val="en-GB"/>
          </w:rPr>
          <w:t>Culture 2030 Goal Campaign</w:t>
        </w:r>
      </w:hyperlink>
      <w:r w:rsidR="00EE67E6" w:rsidRPr="004E6042">
        <w:rPr>
          <w:rFonts w:eastAsia="Times New Roman" w:cstheme="minorHAnsi"/>
          <w:lang w:val="en-GB"/>
        </w:rPr>
        <w:t xml:space="preserve">, and has released a </w:t>
      </w:r>
      <w:hyperlink r:id="rId40" w:history="1">
        <w:r w:rsidR="00EE67E6" w:rsidRPr="004E6042">
          <w:rPr>
            <w:rStyle w:val="Hyperlink"/>
            <w:rFonts w:eastAsia="Times New Roman" w:cstheme="minorHAnsi"/>
            <w:lang w:val="en-GB"/>
          </w:rPr>
          <w:t>statement</w:t>
        </w:r>
      </w:hyperlink>
      <w:r w:rsidR="00EE67E6" w:rsidRPr="004E6042">
        <w:rPr>
          <w:rFonts w:eastAsia="Times New Roman" w:cstheme="minorHAnsi"/>
          <w:lang w:val="en-GB"/>
        </w:rPr>
        <w:t xml:space="preserve"> urging </w:t>
      </w:r>
      <w:r w:rsidR="00DA2DD9" w:rsidRPr="004E6042">
        <w:rPr>
          <w:rFonts w:eastAsia="Times New Roman" w:cstheme="minorHAnsi"/>
          <w:lang w:val="en-GB"/>
        </w:rPr>
        <w:t>UNESCO Member States to make good on their commitment to promote an explicit culture goal in future development frameworks, as made in the declaration from MONDIACULT 2022</w:t>
      </w:r>
    </w:p>
    <w:p w14:paraId="6018E8FF" w14:textId="77777777" w:rsidR="00700201" w:rsidRPr="004E6042" w:rsidRDefault="00700201" w:rsidP="197BFB0B">
      <w:pPr>
        <w:pStyle w:val="ListParagraph"/>
        <w:numPr>
          <w:ilvl w:val="0"/>
          <w:numId w:val="19"/>
        </w:numPr>
        <w:spacing w:before="100" w:beforeAutospacing="1" w:after="100" w:afterAutospacing="1" w:line="240" w:lineRule="auto"/>
        <w:rPr>
          <w:rFonts w:eastAsia="Times New Roman" w:cstheme="minorHAnsi"/>
          <w:b/>
          <w:bCs/>
          <w:i/>
          <w:iCs/>
        </w:rPr>
      </w:pPr>
      <w:r w:rsidRPr="004E6042">
        <w:rPr>
          <w:rFonts w:eastAsia="Times New Roman" w:cstheme="minorHAnsi"/>
          <w:b/>
          <w:bCs/>
          <w:i/>
          <w:iCs/>
        </w:rPr>
        <w:t>cultural rights are mentioned and explained;</w:t>
      </w:r>
    </w:p>
    <w:p w14:paraId="61184063" w14:textId="3FED9F2E" w:rsidR="00F86936" w:rsidRPr="004E6042" w:rsidRDefault="00802611">
      <w:pPr>
        <w:spacing w:beforeAutospacing="1" w:afterAutospacing="1" w:line="240" w:lineRule="auto"/>
        <w:rPr>
          <w:rFonts w:eastAsia="Times New Roman" w:cstheme="minorHAnsi"/>
          <w:lang w:val="en-GB"/>
        </w:rPr>
      </w:pPr>
      <w:r w:rsidRPr="004E6042">
        <w:rPr>
          <w:rFonts w:eastAsia="Times New Roman" w:cstheme="minorHAnsi"/>
          <w:lang w:val="en-GB"/>
        </w:rPr>
        <w:t>IFLA has been engaging with the Special Rapporteur for Cultural Rights for the past years in an effort to strengthen awareness within the library field</w:t>
      </w:r>
      <w:r w:rsidR="00A23140" w:rsidRPr="004E6042">
        <w:rPr>
          <w:rFonts w:eastAsia="Times New Roman" w:cstheme="minorHAnsi"/>
          <w:lang w:val="en-GB"/>
        </w:rPr>
        <w:t xml:space="preserve"> and beyond</w:t>
      </w:r>
      <w:r w:rsidRPr="004E6042">
        <w:rPr>
          <w:rFonts w:eastAsia="Times New Roman" w:cstheme="minorHAnsi"/>
          <w:lang w:val="en-GB"/>
        </w:rPr>
        <w:t xml:space="preserve"> of the</w:t>
      </w:r>
      <w:r w:rsidR="00A23140" w:rsidRPr="004E6042">
        <w:rPr>
          <w:rFonts w:eastAsia="Times New Roman" w:cstheme="minorHAnsi"/>
          <w:lang w:val="en-GB"/>
        </w:rPr>
        <w:t xml:space="preserve"> role of libraries</w:t>
      </w:r>
      <w:r w:rsidRPr="004E6042">
        <w:rPr>
          <w:rFonts w:eastAsia="Times New Roman" w:cstheme="minorHAnsi"/>
          <w:lang w:val="en-GB"/>
        </w:rPr>
        <w:t xml:space="preserve"> as cultural rights defenders. </w:t>
      </w:r>
    </w:p>
    <w:p w14:paraId="6A77BB11" w14:textId="498B1129" w:rsidR="53F46DDD" w:rsidRPr="00AC79FE" w:rsidRDefault="0030689F" w:rsidP="00F86936">
      <w:pPr>
        <w:spacing w:beforeAutospacing="1" w:afterAutospacing="1" w:line="240" w:lineRule="auto"/>
        <w:rPr>
          <w:rFonts w:eastAsia="Times New Roman" w:cstheme="minorHAnsi"/>
          <w:lang w:val="en-GB"/>
        </w:rPr>
      </w:pPr>
      <w:r w:rsidRPr="004E6042">
        <w:rPr>
          <w:rFonts w:eastAsia="Times New Roman" w:cstheme="minorHAnsi"/>
          <w:lang w:val="en-GB"/>
        </w:rPr>
        <w:t>For example, a</w:t>
      </w:r>
      <w:r w:rsidR="006B6E1F" w:rsidRPr="004E6042">
        <w:rPr>
          <w:rFonts w:eastAsia="Times New Roman" w:cstheme="minorHAnsi"/>
          <w:lang w:val="en-GB"/>
        </w:rPr>
        <w:t xml:space="preserve"> highlight of the World Library and Information Congress 2021 was a keynote address by past mandate-holder Karima </w:t>
      </w:r>
      <w:proofErr w:type="spellStart"/>
      <w:r w:rsidR="006B6E1F" w:rsidRPr="004E6042">
        <w:rPr>
          <w:rFonts w:eastAsia="Times New Roman" w:cstheme="minorHAnsi"/>
          <w:lang w:val="en-GB"/>
        </w:rPr>
        <w:t>Bennoune</w:t>
      </w:r>
      <w:proofErr w:type="spellEnd"/>
      <w:r w:rsidR="00301244" w:rsidRPr="004E6042">
        <w:rPr>
          <w:rFonts w:eastAsia="Times New Roman" w:cstheme="minorHAnsi"/>
          <w:lang w:val="en-GB"/>
        </w:rPr>
        <w:t>. The address [</w:t>
      </w:r>
      <w:hyperlink r:id="rId41" w:history="1">
        <w:r w:rsidR="00301244" w:rsidRPr="004E6042">
          <w:rPr>
            <w:rStyle w:val="Hyperlink"/>
            <w:rFonts w:eastAsia="Times New Roman" w:cstheme="minorHAnsi"/>
            <w:lang w:val="en-GB"/>
          </w:rPr>
          <w:t>transcript here</w:t>
        </w:r>
      </w:hyperlink>
      <w:r w:rsidR="00301244" w:rsidRPr="004E6042">
        <w:rPr>
          <w:rFonts w:eastAsia="Times New Roman" w:cstheme="minorHAnsi"/>
          <w:lang w:val="en-GB"/>
        </w:rPr>
        <w:t>] has been a cornerstone of IFLA’s ongoing advocacy</w:t>
      </w:r>
      <w:r w:rsidR="00707F75" w:rsidRPr="004E6042">
        <w:rPr>
          <w:rFonts w:eastAsia="Times New Roman" w:cstheme="minorHAnsi"/>
          <w:lang w:val="en-GB"/>
        </w:rPr>
        <w:t xml:space="preserve"> as it contextualises cultural rights for a library audience. </w:t>
      </w:r>
    </w:p>
    <w:p w14:paraId="36AF6E5B" w14:textId="77777777" w:rsidR="00700201" w:rsidRPr="004E6042" w:rsidRDefault="00700201" w:rsidP="00D729A0">
      <w:pPr>
        <w:pStyle w:val="ListParagraph"/>
        <w:numPr>
          <w:ilvl w:val="0"/>
          <w:numId w:val="19"/>
        </w:numPr>
        <w:spacing w:before="100" w:beforeAutospacing="1" w:after="100" w:afterAutospacing="1" w:line="240" w:lineRule="auto"/>
        <w:rPr>
          <w:rFonts w:eastAsia="Times New Roman" w:cstheme="minorHAnsi"/>
          <w:b/>
          <w:i/>
        </w:rPr>
      </w:pPr>
      <w:r w:rsidRPr="004E6042">
        <w:rPr>
          <w:rFonts w:eastAsia="Times New Roman" w:cstheme="minorHAnsi"/>
          <w:b/>
          <w:i/>
        </w:rPr>
        <w:t>cultural development is mentioned and explained;</w:t>
      </w:r>
    </w:p>
    <w:p w14:paraId="1E30E13D" w14:textId="5E32E2B1" w:rsidR="00BC5A45" w:rsidRPr="004E6042" w:rsidRDefault="00DA2DD9" w:rsidP="00AB0D39">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As mentioned, </w:t>
      </w:r>
      <w:r w:rsidR="007E472E" w:rsidRPr="004E6042">
        <w:rPr>
          <w:rFonts w:eastAsia="Times New Roman" w:cstheme="minorHAnsi"/>
          <w:lang w:val="en-GB"/>
        </w:rPr>
        <w:t xml:space="preserve">IFLA is a member of the </w:t>
      </w:r>
      <w:r w:rsidR="000C4F25" w:rsidRPr="004E6042">
        <w:rPr>
          <w:rFonts w:eastAsia="Times New Roman" w:cstheme="minorHAnsi"/>
          <w:lang w:val="en-GB"/>
        </w:rPr>
        <w:t xml:space="preserve">steering group of the </w:t>
      </w:r>
      <w:hyperlink r:id="rId42" w:history="1">
        <w:r w:rsidR="000C4F25" w:rsidRPr="004E6042">
          <w:rPr>
            <w:rStyle w:val="Hyperlink"/>
            <w:rFonts w:eastAsia="Times New Roman" w:cstheme="minorHAnsi"/>
            <w:lang w:val="en-GB"/>
          </w:rPr>
          <w:t>Culture 2030 Goal Campaign</w:t>
        </w:r>
      </w:hyperlink>
      <w:r w:rsidRPr="004E6042">
        <w:rPr>
          <w:rFonts w:eastAsia="Times New Roman" w:cstheme="minorHAnsi"/>
          <w:lang w:val="en-GB"/>
        </w:rPr>
        <w:t>, which works towards the</w:t>
      </w:r>
      <w:r w:rsidR="00BC5A45" w:rsidRPr="004E6042">
        <w:rPr>
          <w:rFonts w:eastAsia="Times New Roman" w:cstheme="minorHAnsi"/>
          <w:lang w:val="en-GB"/>
        </w:rPr>
        <w:t xml:space="preserve"> wide</w:t>
      </w:r>
      <w:r w:rsidRPr="004E6042">
        <w:rPr>
          <w:rFonts w:eastAsia="Times New Roman" w:cstheme="minorHAnsi"/>
          <w:lang w:val="en-GB"/>
        </w:rPr>
        <w:t>r</w:t>
      </w:r>
      <w:r w:rsidR="00BC5A45" w:rsidRPr="004E6042">
        <w:rPr>
          <w:rFonts w:eastAsia="Times New Roman" w:cstheme="minorHAnsi"/>
          <w:lang w:val="en-GB"/>
        </w:rPr>
        <w:t xml:space="preserve"> recognition of c</w:t>
      </w:r>
      <w:r w:rsidR="00867B43" w:rsidRPr="004E6042">
        <w:rPr>
          <w:rFonts w:eastAsia="Times New Roman" w:cstheme="minorHAnsi"/>
          <w:lang w:val="en-GB"/>
        </w:rPr>
        <w:t>ultural rights</w:t>
      </w:r>
      <w:r w:rsidRPr="004E6042">
        <w:rPr>
          <w:rFonts w:eastAsia="Times New Roman" w:cstheme="minorHAnsi"/>
          <w:lang w:val="en-GB"/>
        </w:rPr>
        <w:t xml:space="preserve"> in the development agenda. </w:t>
      </w:r>
    </w:p>
    <w:p w14:paraId="7834CDFD" w14:textId="4E722461" w:rsidR="007E472E" w:rsidRPr="004E6042" w:rsidRDefault="00BC5A45" w:rsidP="00AB0D39">
      <w:pPr>
        <w:spacing w:before="100" w:beforeAutospacing="1" w:after="100" w:afterAutospacing="1" w:line="240" w:lineRule="auto"/>
        <w:rPr>
          <w:rFonts w:eastAsia="Times New Roman" w:cstheme="minorHAnsi"/>
          <w:lang w:val="en-GB"/>
        </w:rPr>
      </w:pPr>
      <w:r w:rsidRPr="004E6042">
        <w:rPr>
          <w:rFonts w:eastAsia="Times New Roman" w:cstheme="minorHAnsi"/>
          <w:lang w:val="en-GB"/>
        </w:rPr>
        <w:t>The campaign strives for the</w:t>
      </w:r>
      <w:r w:rsidR="000036F7" w:rsidRPr="004E6042">
        <w:rPr>
          <w:rFonts w:eastAsia="Times New Roman" w:cstheme="minorHAnsi"/>
          <w:lang w:val="en-GB"/>
        </w:rPr>
        <w:t xml:space="preserve"> transversal impact of culture on sustainable development to be immediately recognised</w:t>
      </w:r>
      <w:r w:rsidRPr="004E6042">
        <w:rPr>
          <w:rFonts w:eastAsia="Times New Roman" w:cstheme="minorHAnsi"/>
          <w:lang w:val="en-GB"/>
        </w:rPr>
        <w:t xml:space="preserve"> and calls for a culture-specific goal in the post-2030 development framework. </w:t>
      </w:r>
    </w:p>
    <w:p w14:paraId="3DFDDF65" w14:textId="09AF134E" w:rsidR="00BC5A45" w:rsidRPr="004E6042" w:rsidRDefault="00051358" w:rsidP="00AB0D39">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 was closely involved in the production and advocacy around two recent outputs of this campaign, </w:t>
      </w:r>
      <w:r w:rsidR="00271367" w:rsidRPr="004E6042">
        <w:rPr>
          <w:rFonts w:eastAsia="Times New Roman" w:cstheme="minorHAnsi"/>
          <w:lang w:val="en-GB"/>
        </w:rPr>
        <w:t xml:space="preserve">a </w:t>
      </w:r>
      <w:hyperlink r:id="rId43" w:history="1">
        <w:r w:rsidR="00271367" w:rsidRPr="004E6042">
          <w:rPr>
            <w:rStyle w:val="Hyperlink"/>
            <w:rFonts w:eastAsia="Times New Roman" w:cstheme="minorHAnsi"/>
            <w:lang w:val="en-GB"/>
          </w:rPr>
          <w:t>statement on the outcomes of Mondiacult 2022</w:t>
        </w:r>
      </w:hyperlink>
      <w:r w:rsidR="00271367" w:rsidRPr="004E6042">
        <w:rPr>
          <w:rFonts w:eastAsia="Times New Roman" w:cstheme="minorHAnsi"/>
          <w:lang w:val="en-GB"/>
        </w:rPr>
        <w:t xml:space="preserve"> and </w:t>
      </w:r>
      <w:r w:rsidR="006C06AC" w:rsidRPr="004E6042">
        <w:rPr>
          <w:rFonts w:eastAsia="Times New Roman" w:cstheme="minorHAnsi"/>
          <w:lang w:val="en-GB"/>
        </w:rPr>
        <w:t xml:space="preserve">a </w:t>
      </w:r>
      <w:hyperlink r:id="rId44" w:history="1">
        <w:r w:rsidR="006C06AC" w:rsidRPr="004E6042">
          <w:rPr>
            <w:rStyle w:val="Hyperlink"/>
            <w:rFonts w:eastAsia="Times New Roman" w:cstheme="minorHAnsi"/>
            <w:lang w:val="en-GB"/>
          </w:rPr>
          <w:t>zero-draft for a culture-specific development goal</w:t>
        </w:r>
      </w:hyperlink>
      <w:r w:rsidR="006C06AC" w:rsidRPr="004E6042">
        <w:rPr>
          <w:rFonts w:eastAsia="Times New Roman" w:cstheme="minorHAnsi"/>
          <w:lang w:val="en-GB"/>
        </w:rPr>
        <w:t xml:space="preserve">. </w:t>
      </w:r>
    </w:p>
    <w:p w14:paraId="03296C3C" w14:textId="77777777" w:rsidR="00700201" w:rsidRPr="004E6042" w:rsidRDefault="00700201" w:rsidP="00D729A0">
      <w:pPr>
        <w:pStyle w:val="ListParagraph"/>
        <w:numPr>
          <w:ilvl w:val="0"/>
          <w:numId w:val="18"/>
        </w:numPr>
        <w:spacing w:before="100" w:beforeAutospacing="1" w:after="100" w:afterAutospacing="1" w:line="240" w:lineRule="auto"/>
        <w:rPr>
          <w:rFonts w:eastAsia="Times New Roman" w:cstheme="minorHAnsi"/>
          <w:b/>
          <w:i/>
        </w:rPr>
      </w:pPr>
      <w:r w:rsidRPr="004E6042">
        <w:rPr>
          <w:rFonts w:eastAsia="Times New Roman" w:cstheme="minorHAnsi"/>
          <w:b/>
          <w:i/>
        </w:rPr>
        <w:t>the expression of cultural diversity is respected, protected and implemented;</w:t>
      </w:r>
    </w:p>
    <w:p w14:paraId="2283291D" w14:textId="77777777" w:rsidR="005A5242" w:rsidRDefault="00FB761A" w:rsidP="005A5242">
      <w:pPr>
        <w:spacing w:before="100" w:beforeAutospacing="1" w:after="100" w:afterAutospacing="1" w:line="240" w:lineRule="auto"/>
        <w:rPr>
          <w:rFonts w:eastAsia="Times New Roman" w:cstheme="minorHAnsi"/>
          <w:lang w:val="en-GB"/>
        </w:rPr>
      </w:pPr>
      <w:r w:rsidRPr="004E6042">
        <w:rPr>
          <w:rFonts w:eastAsia="Times New Roman" w:cstheme="minorHAnsi"/>
          <w:lang w:val="en-GB"/>
        </w:rPr>
        <w:lastRenderedPageBreak/>
        <w:t xml:space="preserve">Within the framework of the UNESCO Convention on the Diversity of Cultural Expressions (2005 Convention), IFLA moderated a </w:t>
      </w:r>
      <w:r w:rsidR="00F945D4" w:rsidRPr="004E6042">
        <w:rPr>
          <w:rFonts w:eastAsia="Times New Roman" w:cstheme="minorHAnsi"/>
          <w:lang w:val="en-GB"/>
        </w:rPr>
        <w:t>session on Culture and sustainable development at the 3</w:t>
      </w:r>
      <w:r w:rsidR="00F945D4" w:rsidRPr="004E6042">
        <w:rPr>
          <w:rFonts w:eastAsia="Times New Roman" w:cstheme="minorHAnsi"/>
          <w:vertAlign w:val="superscript"/>
          <w:lang w:val="en-GB"/>
        </w:rPr>
        <w:t>rd</w:t>
      </w:r>
      <w:r w:rsidR="00F945D4" w:rsidRPr="004E6042">
        <w:rPr>
          <w:rFonts w:eastAsia="Times New Roman" w:cstheme="minorHAnsi"/>
          <w:lang w:val="en-GB"/>
        </w:rPr>
        <w:t xml:space="preserve"> Civil Society Forum in 2021. IFLA is currently participating among a diverse group of civil society organisations on the organisation of the 4</w:t>
      </w:r>
      <w:r w:rsidR="00F945D4" w:rsidRPr="004E6042">
        <w:rPr>
          <w:rFonts w:eastAsia="Times New Roman" w:cstheme="minorHAnsi"/>
          <w:vertAlign w:val="superscript"/>
          <w:lang w:val="en-GB"/>
        </w:rPr>
        <w:t>th</w:t>
      </w:r>
      <w:r w:rsidR="00F945D4" w:rsidRPr="004E6042">
        <w:rPr>
          <w:rFonts w:eastAsia="Times New Roman" w:cstheme="minorHAnsi"/>
          <w:lang w:val="en-GB"/>
        </w:rPr>
        <w:t xml:space="preserve"> Civil Society Forum, which will be held in June 2023. </w:t>
      </w:r>
    </w:p>
    <w:p w14:paraId="6729DEBC" w14:textId="52911298" w:rsidR="00700201" w:rsidRPr="005A5242" w:rsidRDefault="00700201" w:rsidP="005A5242">
      <w:pPr>
        <w:pStyle w:val="ListParagraph"/>
        <w:numPr>
          <w:ilvl w:val="0"/>
          <w:numId w:val="18"/>
        </w:numPr>
        <w:spacing w:before="100" w:beforeAutospacing="1" w:after="100" w:afterAutospacing="1" w:line="240" w:lineRule="auto"/>
        <w:rPr>
          <w:rFonts w:eastAsia="Times New Roman" w:cstheme="minorHAnsi"/>
          <w:lang w:val="en-GB"/>
        </w:rPr>
      </w:pPr>
      <w:r w:rsidRPr="005A5242">
        <w:rPr>
          <w:rFonts w:eastAsia="Times New Roman" w:cstheme="minorHAnsi"/>
          <w:b/>
          <w:bCs/>
          <w:i/>
          <w:iCs/>
        </w:rPr>
        <w:t>marginalized voices and aspirations are identified and heard;</w:t>
      </w:r>
    </w:p>
    <w:p w14:paraId="25874FF6" w14:textId="77777777" w:rsidR="00252E28" w:rsidRPr="00AC79FE" w:rsidRDefault="00252E28" w:rsidP="00AC79FE">
      <w:pPr>
        <w:spacing w:beforeAutospacing="1" w:afterAutospacing="1" w:line="240" w:lineRule="auto"/>
        <w:rPr>
          <w:rFonts w:eastAsia="Times New Roman" w:cstheme="minorHAnsi"/>
          <w:lang w:val="en-GB"/>
        </w:rPr>
      </w:pPr>
      <w:r w:rsidRPr="004E6042">
        <w:rPr>
          <w:rFonts w:eastAsia="Times New Roman" w:cstheme="minorHAnsi"/>
          <w:lang w:val="en-GB"/>
        </w:rPr>
        <w:t xml:space="preserve">Please </w:t>
      </w:r>
      <w:r w:rsidRPr="00AC79FE">
        <w:rPr>
          <w:rFonts w:eastAsia="Times New Roman" w:cstheme="minorHAnsi"/>
        </w:rPr>
        <w:t>refer to answers above</w:t>
      </w:r>
      <w:r w:rsidRPr="004E6042">
        <w:rPr>
          <w:rFonts w:eastAsia="Times New Roman" w:cstheme="minorHAnsi"/>
          <w:lang w:val="en-GB"/>
        </w:rPr>
        <w:t xml:space="preserve">. </w:t>
      </w:r>
    </w:p>
    <w:p w14:paraId="4C52C131" w14:textId="425B39FA" w:rsidR="00700201" w:rsidRPr="005A5242" w:rsidRDefault="00700201" w:rsidP="005A5242">
      <w:pPr>
        <w:pStyle w:val="ListParagraph"/>
        <w:numPr>
          <w:ilvl w:val="0"/>
          <w:numId w:val="18"/>
        </w:numPr>
        <w:spacing w:before="100" w:beforeAutospacing="1" w:after="100" w:afterAutospacing="1" w:line="240" w:lineRule="auto"/>
        <w:rPr>
          <w:rFonts w:eastAsia="Times New Roman" w:cstheme="minorHAnsi"/>
          <w:b/>
          <w:bCs/>
          <w:i/>
          <w:iCs/>
        </w:rPr>
      </w:pPr>
      <w:r w:rsidRPr="005A5242">
        <w:rPr>
          <w:rFonts w:eastAsia="Times New Roman" w:cstheme="minorHAnsi"/>
          <w:b/>
          <w:bCs/>
          <w:i/>
          <w:iCs/>
        </w:rPr>
        <w:t>commitments to ensure that development is self-determined and community led are included;</w:t>
      </w:r>
    </w:p>
    <w:p w14:paraId="1F878D53" w14:textId="77777777" w:rsidR="00252E28" w:rsidRPr="00AC79FE" w:rsidRDefault="00252E28" w:rsidP="00AC79FE">
      <w:pPr>
        <w:spacing w:beforeAutospacing="1" w:afterAutospacing="1" w:line="240" w:lineRule="auto"/>
        <w:rPr>
          <w:rFonts w:eastAsia="Times New Roman" w:cstheme="minorHAnsi"/>
          <w:lang w:val="en-GB"/>
        </w:rPr>
      </w:pPr>
      <w:r w:rsidRPr="004E6042">
        <w:rPr>
          <w:rFonts w:eastAsia="Times New Roman" w:cstheme="minorHAnsi"/>
          <w:lang w:val="en-GB"/>
        </w:rPr>
        <w:t xml:space="preserve">Please </w:t>
      </w:r>
      <w:r w:rsidRPr="00AC79FE">
        <w:rPr>
          <w:rFonts w:eastAsia="Times New Roman" w:cstheme="minorHAnsi"/>
        </w:rPr>
        <w:t>refer to answers above</w:t>
      </w:r>
      <w:r w:rsidRPr="004E6042">
        <w:rPr>
          <w:rFonts w:eastAsia="Times New Roman" w:cstheme="minorHAnsi"/>
          <w:lang w:val="en-GB"/>
        </w:rPr>
        <w:t xml:space="preserve">. </w:t>
      </w:r>
    </w:p>
    <w:p w14:paraId="1DCA5F0D" w14:textId="77777777" w:rsidR="00700201" w:rsidRPr="005A5242" w:rsidRDefault="00700201" w:rsidP="005A5242">
      <w:pPr>
        <w:pStyle w:val="ListParagraph"/>
        <w:numPr>
          <w:ilvl w:val="0"/>
          <w:numId w:val="18"/>
        </w:numPr>
        <w:spacing w:before="100" w:beforeAutospacing="1" w:after="100" w:afterAutospacing="1" w:line="240" w:lineRule="auto"/>
        <w:rPr>
          <w:rFonts w:eastAsia="Times New Roman" w:cstheme="minorHAnsi"/>
          <w:b/>
          <w:i/>
        </w:rPr>
      </w:pPr>
      <w:r w:rsidRPr="005A5242">
        <w:rPr>
          <w:rFonts w:eastAsia="Times New Roman" w:cstheme="minorHAnsi"/>
          <w:b/>
          <w:i/>
        </w:rPr>
        <w:t>commitments to take into account the local aspirations, values and priorities, rather than work on a one-size-fits-all model, are explicit;</w:t>
      </w:r>
    </w:p>
    <w:p w14:paraId="1EC3A0D0" w14:textId="5EC78498" w:rsidR="00D41B96" w:rsidRPr="004E6042" w:rsidRDefault="00D54B93" w:rsidP="197BFB0B">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 is a member of the steering committee of the </w:t>
      </w:r>
      <w:hyperlink r:id="rId45" w:history="1">
        <w:r w:rsidRPr="004E6042">
          <w:rPr>
            <w:rStyle w:val="Hyperlink"/>
            <w:rFonts w:eastAsia="Times New Roman" w:cstheme="minorHAnsi"/>
            <w:lang w:val="en-GB"/>
          </w:rPr>
          <w:t>Climate Heritage Network</w:t>
        </w:r>
      </w:hyperlink>
      <w:r w:rsidRPr="004E6042">
        <w:rPr>
          <w:rFonts w:eastAsia="Times New Roman" w:cstheme="minorHAnsi"/>
          <w:lang w:val="en-GB"/>
        </w:rPr>
        <w:t xml:space="preserve">. </w:t>
      </w:r>
      <w:r w:rsidR="000B6968" w:rsidRPr="004E6042">
        <w:rPr>
          <w:rFonts w:eastAsia="Times New Roman" w:cstheme="minorHAnsi"/>
          <w:lang w:val="en-GB"/>
        </w:rPr>
        <w:t xml:space="preserve">Part of the current </w:t>
      </w:r>
      <w:hyperlink r:id="rId46">
        <w:r w:rsidR="000B6968" w:rsidRPr="004E6042">
          <w:rPr>
            <w:rStyle w:val="Hyperlink"/>
            <w:rFonts w:eastAsia="Times New Roman" w:cstheme="minorHAnsi"/>
            <w:lang w:val="en-GB"/>
          </w:rPr>
          <w:t>action plan</w:t>
        </w:r>
      </w:hyperlink>
      <w:r w:rsidR="000B6968" w:rsidRPr="004E6042">
        <w:rPr>
          <w:rFonts w:eastAsia="Times New Roman" w:cstheme="minorHAnsi"/>
          <w:lang w:val="en-GB"/>
        </w:rPr>
        <w:t xml:space="preserve"> of the network is stimulating engagement by cultural voices with key international climate policy issues. This, notably, is especially inclusive of marginalised voices, those of Indigenous and local communities, and </w:t>
      </w:r>
      <w:r w:rsidR="00D41B96" w:rsidRPr="004E6042">
        <w:rPr>
          <w:rFonts w:eastAsia="Times New Roman" w:cstheme="minorHAnsi"/>
          <w:lang w:val="en-GB"/>
        </w:rPr>
        <w:t>making space for self-determined and community-led, culturally informed climate action.</w:t>
      </w:r>
    </w:p>
    <w:p w14:paraId="6AFA0983" w14:textId="5049ADD4" w:rsidR="00DA4C66" w:rsidRPr="004E6042" w:rsidRDefault="00D41B96" w:rsidP="003C77C8">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 is building on this work through </w:t>
      </w:r>
      <w:r w:rsidR="00070F5F" w:rsidRPr="004E6042">
        <w:rPr>
          <w:rFonts w:eastAsia="Times New Roman" w:cstheme="minorHAnsi"/>
          <w:lang w:val="en-GB"/>
        </w:rPr>
        <w:t>engaging</w:t>
      </w:r>
      <w:r w:rsidRPr="004E6042">
        <w:rPr>
          <w:rFonts w:eastAsia="Times New Roman" w:cstheme="minorHAnsi"/>
          <w:lang w:val="en-GB"/>
        </w:rPr>
        <w:t xml:space="preserve"> </w:t>
      </w:r>
      <w:hyperlink r:id="rId47" w:history="1">
        <w:r w:rsidRPr="004E6042">
          <w:rPr>
            <w:rStyle w:val="Hyperlink"/>
            <w:rFonts w:eastAsia="Times New Roman" w:cstheme="minorHAnsi"/>
            <w:lang w:val="en-GB"/>
          </w:rPr>
          <w:t>libraries in Action for Climate Empowerment</w:t>
        </w:r>
      </w:hyperlink>
      <w:r w:rsidRPr="004E6042">
        <w:rPr>
          <w:rFonts w:eastAsia="Times New Roman" w:cstheme="minorHAnsi"/>
          <w:lang w:val="en-GB"/>
        </w:rPr>
        <w:t xml:space="preserve">, which centres community participation, education, and access to information. </w:t>
      </w:r>
    </w:p>
    <w:p w14:paraId="7F207BCA" w14:textId="4FD87803" w:rsidR="00D84F53" w:rsidRPr="004E6042" w:rsidRDefault="00D41B96" w:rsidP="00D84F53">
      <w:pPr>
        <w:spacing w:before="100" w:beforeAutospacing="1" w:after="100" w:afterAutospacing="1" w:line="240" w:lineRule="auto"/>
        <w:rPr>
          <w:rFonts w:eastAsia="Times New Roman" w:cstheme="minorHAnsi"/>
          <w:lang w:val="en-GB"/>
        </w:rPr>
      </w:pPr>
      <w:r w:rsidRPr="004E6042">
        <w:rPr>
          <w:rFonts w:eastAsia="Times New Roman" w:cstheme="minorHAnsi"/>
          <w:lang w:val="en-GB"/>
        </w:rPr>
        <w:t>IFLA expanded its structure in 2021 to include a</w:t>
      </w:r>
      <w:r w:rsidR="00D84F53" w:rsidRPr="004E6042">
        <w:rPr>
          <w:rFonts w:eastAsia="Times New Roman" w:cstheme="minorHAnsi"/>
          <w:lang w:val="en-GB"/>
        </w:rPr>
        <w:t>n enhanced</w:t>
      </w:r>
      <w:r w:rsidRPr="004E6042">
        <w:rPr>
          <w:rFonts w:eastAsia="Times New Roman" w:cstheme="minorHAnsi"/>
          <w:lang w:val="en-GB"/>
        </w:rPr>
        <w:t xml:space="preserve"> </w:t>
      </w:r>
      <w:r w:rsidR="00D84F53" w:rsidRPr="004E6042">
        <w:rPr>
          <w:rFonts w:eastAsia="Times New Roman" w:cstheme="minorHAnsi"/>
          <w:lang w:val="en-GB"/>
        </w:rPr>
        <w:t>r</w:t>
      </w:r>
      <w:r w:rsidR="00AE11C6" w:rsidRPr="004E6042">
        <w:rPr>
          <w:rFonts w:eastAsia="Times New Roman" w:cstheme="minorHAnsi"/>
          <w:lang w:val="en-GB"/>
        </w:rPr>
        <w:t xml:space="preserve">egional </w:t>
      </w:r>
      <w:r w:rsidR="00D84F53" w:rsidRPr="004E6042">
        <w:rPr>
          <w:rFonts w:eastAsia="Times New Roman" w:cstheme="minorHAnsi"/>
          <w:lang w:val="en-GB"/>
        </w:rPr>
        <w:t>structure in order to make more localised impact</w:t>
      </w:r>
      <w:r w:rsidR="00893258" w:rsidRPr="004E6042">
        <w:rPr>
          <w:rFonts w:eastAsia="Times New Roman" w:cstheme="minorHAnsi"/>
          <w:lang w:val="en-GB"/>
        </w:rPr>
        <w:t xml:space="preserve">, rather than a top-down approach. IFLA’s </w:t>
      </w:r>
      <w:hyperlink r:id="rId48" w:history="1">
        <w:r w:rsidR="00893258" w:rsidRPr="004E6042">
          <w:rPr>
            <w:rStyle w:val="Hyperlink"/>
            <w:rFonts w:eastAsia="Times New Roman" w:cstheme="minorHAnsi"/>
            <w:lang w:val="en-GB"/>
          </w:rPr>
          <w:t>Regional Division Committees</w:t>
        </w:r>
      </w:hyperlink>
      <w:r w:rsidR="00893258" w:rsidRPr="004E6042">
        <w:rPr>
          <w:rFonts w:eastAsia="Times New Roman" w:cstheme="minorHAnsi"/>
          <w:lang w:val="en-GB"/>
        </w:rPr>
        <w:t xml:space="preserve"> are engaging in a variety of advocacy work related to sustainable development that takes their region’s context and needs into consideration. </w:t>
      </w:r>
      <w:r w:rsidR="00913D97" w:rsidRPr="004E6042">
        <w:rPr>
          <w:rFonts w:eastAsia="Times New Roman" w:cstheme="minorHAnsi"/>
          <w:lang w:val="en-GB"/>
        </w:rPr>
        <w:t xml:space="preserve">See above for examples of participation in regional forums on sustainable development. </w:t>
      </w:r>
    </w:p>
    <w:p w14:paraId="3AAC60B3" w14:textId="77777777" w:rsidR="00217768" w:rsidRPr="005A5242" w:rsidRDefault="00217768" w:rsidP="005A5242">
      <w:pPr>
        <w:pStyle w:val="ListParagraph"/>
        <w:numPr>
          <w:ilvl w:val="0"/>
          <w:numId w:val="18"/>
        </w:numPr>
        <w:spacing w:before="100" w:beforeAutospacing="1" w:after="100" w:afterAutospacing="1" w:line="240" w:lineRule="auto"/>
        <w:rPr>
          <w:rFonts w:eastAsia="Times New Roman" w:cstheme="minorHAnsi"/>
          <w:b/>
          <w:bCs/>
          <w:i/>
          <w:iCs/>
        </w:rPr>
      </w:pPr>
      <w:r w:rsidRPr="005A5242">
        <w:rPr>
          <w:rFonts w:eastAsia="Times New Roman" w:cstheme="minorHAnsi"/>
          <w:b/>
          <w:bCs/>
          <w:i/>
          <w:iCs/>
        </w:rPr>
        <w:t>commitments are made to ensure forward looking development.</w:t>
      </w:r>
    </w:p>
    <w:p w14:paraId="6C5B9216" w14:textId="0BE0077F" w:rsidR="00E73647" w:rsidRPr="00AC79FE" w:rsidRDefault="00252E28" w:rsidP="00AC79FE">
      <w:pPr>
        <w:spacing w:beforeAutospacing="1" w:afterAutospacing="1" w:line="240" w:lineRule="auto"/>
        <w:rPr>
          <w:rFonts w:eastAsia="Times New Roman" w:cstheme="minorHAnsi"/>
          <w:lang w:val="en-GB"/>
        </w:rPr>
      </w:pPr>
      <w:r w:rsidRPr="004E6042">
        <w:rPr>
          <w:rFonts w:eastAsia="Times New Roman" w:cstheme="minorHAnsi"/>
          <w:lang w:val="en-GB"/>
        </w:rPr>
        <w:t xml:space="preserve">Please </w:t>
      </w:r>
      <w:r w:rsidR="00E73647" w:rsidRPr="00AC79FE">
        <w:rPr>
          <w:rFonts w:eastAsia="Times New Roman" w:cstheme="minorHAnsi"/>
        </w:rPr>
        <w:t>refer to answers above</w:t>
      </w:r>
      <w:r w:rsidRPr="004E6042">
        <w:rPr>
          <w:rFonts w:eastAsia="Times New Roman" w:cstheme="minorHAnsi"/>
          <w:lang w:val="en-GB"/>
        </w:rPr>
        <w:t xml:space="preserve">. </w:t>
      </w:r>
    </w:p>
    <w:p w14:paraId="4C53F5B2" w14:textId="42061A01" w:rsidR="00700201" w:rsidRPr="004E6042" w:rsidRDefault="00700201" w:rsidP="00052768">
      <w:pPr>
        <w:pStyle w:val="ListParagraph"/>
        <w:numPr>
          <w:ilvl w:val="0"/>
          <w:numId w:val="18"/>
        </w:numPr>
        <w:spacing w:before="100" w:beforeAutospacing="1" w:after="100" w:afterAutospacing="1" w:line="240" w:lineRule="auto"/>
        <w:rPr>
          <w:rFonts w:eastAsia="Times New Roman" w:cstheme="minorHAnsi"/>
          <w:b/>
          <w:i/>
        </w:rPr>
      </w:pPr>
      <w:r w:rsidRPr="004E6042">
        <w:rPr>
          <w:rFonts w:eastAsia="Times New Roman" w:cstheme="minorHAnsi"/>
          <w:b/>
          <w:i/>
        </w:rPr>
        <w:t>Please provide information on any monitoring or evaluation mechanisms assessing the impacts of your development programmes or policies on cultural rights. Also please discuss any mechanism to submit complaints and seek reparation in cases of violations.</w:t>
      </w:r>
    </w:p>
    <w:p w14:paraId="27F64E2C" w14:textId="1B5AB264" w:rsidR="00EB145D" w:rsidRPr="004E6042" w:rsidRDefault="00052768" w:rsidP="00CF63FD">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IFLA </w:t>
      </w:r>
      <w:r w:rsidR="00EB145D" w:rsidRPr="004E6042">
        <w:rPr>
          <w:rFonts w:eastAsia="Times New Roman" w:cstheme="minorHAnsi"/>
          <w:lang w:val="en-GB"/>
        </w:rPr>
        <w:t>monitors the</w:t>
      </w:r>
      <w:r w:rsidR="003A170E" w:rsidRPr="004E6042">
        <w:rPr>
          <w:rFonts w:eastAsia="Times New Roman" w:cstheme="minorHAnsi"/>
          <w:lang w:val="en-GB"/>
        </w:rPr>
        <w:t xml:space="preserve"> engagement of </w:t>
      </w:r>
      <w:r w:rsidR="00006760" w:rsidRPr="004E6042">
        <w:rPr>
          <w:rFonts w:eastAsia="Times New Roman" w:cstheme="minorHAnsi"/>
          <w:lang w:val="en-GB"/>
        </w:rPr>
        <w:t>its</w:t>
      </w:r>
      <w:r w:rsidR="003A170E" w:rsidRPr="004E6042">
        <w:rPr>
          <w:rFonts w:eastAsia="Times New Roman" w:cstheme="minorHAnsi"/>
          <w:lang w:val="en-GB"/>
        </w:rPr>
        <w:t xml:space="preserve"> global membership in development issues, such as through the action plans of our volunteer committee</w:t>
      </w:r>
      <w:r w:rsidR="00006760" w:rsidRPr="004E6042">
        <w:rPr>
          <w:rFonts w:eastAsia="Times New Roman" w:cstheme="minorHAnsi"/>
          <w:lang w:val="en-GB"/>
        </w:rPr>
        <w:t xml:space="preserve">s. Specific tools, like the </w:t>
      </w:r>
      <w:hyperlink r:id="rId49" w:history="1">
        <w:r w:rsidR="00006760" w:rsidRPr="004E6042">
          <w:rPr>
            <w:rStyle w:val="Hyperlink"/>
            <w:rFonts w:eastAsia="Times New Roman" w:cstheme="minorHAnsi"/>
            <w:lang w:val="en-GB"/>
          </w:rPr>
          <w:t>Library Map of the World</w:t>
        </w:r>
        <w:r w:rsidR="00913240" w:rsidRPr="004E6042">
          <w:rPr>
            <w:rStyle w:val="Hyperlink"/>
            <w:rFonts w:eastAsia="Times New Roman" w:cstheme="minorHAnsi"/>
            <w:lang w:val="en-GB"/>
          </w:rPr>
          <w:t>’s</w:t>
        </w:r>
        <w:r w:rsidR="00006760" w:rsidRPr="004E6042">
          <w:rPr>
            <w:rStyle w:val="Hyperlink"/>
            <w:rFonts w:eastAsia="Times New Roman" w:cstheme="minorHAnsi"/>
            <w:lang w:val="en-GB"/>
          </w:rPr>
          <w:t xml:space="preserve"> SDG Stories</w:t>
        </w:r>
      </w:hyperlink>
      <w:r w:rsidR="00006760" w:rsidRPr="004E6042">
        <w:rPr>
          <w:rFonts w:eastAsia="Times New Roman" w:cstheme="minorHAnsi"/>
          <w:lang w:val="en-GB"/>
        </w:rPr>
        <w:t>, help</w:t>
      </w:r>
      <w:r w:rsidR="007F6D3B" w:rsidRPr="004E6042">
        <w:rPr>
          <w:rFonts w:eastAsia="Times New Roman" w:cstheme="minorHAnsi"/>
          <w:lang w:val="en-GB"/>
        </w:rPr>
        <w:t xml:space="preserve"> measure success in terms of promoting engagement with development through direct programming. </w:t>
      </w:r>
    </w:p>
    <w:p w14:paraId="75B94FB1" w14:textId="7C197AF7" w:rsidR="00E80759" w:rsidRPr="004E6042" w:rsidRDefault="00EB145D" w:rsidP="00CF63FD">
      <w:pPr>
        <w:spacing w:before="100" w:beforeAutospacing="1" w:after="100" w:afterAutospacing="1" w:line="240" w:lineRule="auto"/>
        <w:rPr>
          <w:rFonts w:eastAsia="Times New Roman" w:cstheme="minorHAnsi"/>
          <w:lang w:val="en-GB"/>
        </w:rPr>
      </w:pPr>
      <w:r w:rsidRPr="004E6042">
        <w:rPr>
          <w:rFonts w:eastAsia="Times New Roman" w:cstheme="minorHAnsi"/>
          <w:lang w:val="en-GB"/>
        </w:rPr>
        <w:t xml:space="preserve">Looking externally, IFLA </w:t>
      </w:r>
      <w:r w:rsidR="00052768" w:rsidRPr="004E6042">
        <w:rPr>
          <w:rFonts w:eastAsia="Times New Roman" w:cstheme="minorHAnsi"/>
          <w:lang w:val="en-GB"/>
        </w:rPr>
        <w:t>monitors</w:t>
      </w:r>
      <w:r w:rsidRPr="004E6042">
        <w:rPr>
          <w:rFonts w:eastAsia="Times New Roman" w:cstheme="minorHAnsi"/>
          <w:lang w:val="en-GB"/>
        </w:rPr>
        <w:t xml:space="preserve"> larger</w:t>
      </w:r>
      <w:r w:rsidR="00052768" w:rsidRPr="004E6042">
        <w:rPr>
          <w:rFonts w:eastAsia="Times New Roman" w:cstheme="minorHAnsi"/>
          <w:lang w:val="en-GB"/>
        </w:rPr>
        <w:t xml:space="preserve"> policy and advocacy progress by </w:t>
      </w:r>
      <w:r w:rsidR="00C5766E" w:rsidRPr="004E6042">
        <w:rPr>
          <w:rFonts w:eastAsia="Times New Roman" w:cstheme="minorHAnsi"/>
          <w:lang w:val="en-GB"/>
        </w:rPr>
        <w:t>reviewing monitoring mechanisms for positive trends</w:t>
      </w:r>
      <w:r w:rsidRPr="004E6042">
        <w:rPr>
          <w:rFonts w:eastAsia="Times New Roman" w:cstheme="minorHAnsi"/>
          <w:lang w:val="en-GB"/>
        </w:rPr>
        <w:t xml:space="preserve"> related to libraries </w:t>
      </w:r>
      <w:r w:rsidR="00C5766E" w:rsidRPr="004E6042">
        <w:rPr>
          <w:rFonts w:eastAsia="Times New Roman" w:cstheme="minorHAnsi"/>
          <w:lang w:val="en-GB"/>
        </w:rPr>
        <w:t>and calling attention to gaps</w:t>
      </w:r>
      <w:r w:rsidR="0054240F" w:rsidRPr="004E6042">
        <w:rPr>
          <w:rFonts w:eastAsia="Times New Roman" w:cstheme="minorHAnsi"/>
          <w:lang w:val="en-GB"/>
        </w:rPr>
        <w:t xml:space="preserve">. </w:t>
      </w:r>
    </w:p>
    <w:p w14:paraId="71C5806D" w14:textId="0FD13282" w:rsidR="00B52694" w:rsidRPr="004E6042" w:rsidRDefault="00194134" w:rsidP="00407FEC">
      <w:pPr>
        <w:spacing w:before="100" w:beforeAutospacing="1" w:after="100" w:afterAutospacing="1" w:line="240" w:lineRule="auto"/>
        <w:rPr>
          <w:rFonts w:cstheme="minorHAnsi"/>
          <w:lang w:val="en-GB"/>
        </w:rPr>
      </w:pPr>
      <w:r>
        <w:rPr>
          <w:rFonts w:eastAsia="Times New Roman" w:cstheme="minorHAnsi"/>
          <w:b/>
          <w:color w:val="000000" w:themeColor="text1"/>
          <w:lang w:val="en-GB"/>
        </w:rPr>
        <w:t xml:space="preserve">Note: Input on the </w:t>
      </w:r>
      <w:r w:rsidRPr="004E6042">
        <w:rPr>
          <w:rFonts w:eastAsia="Times New Roman" w:cstheme="minorHAnsi"/>
          <w:b/>
          <w:color w:val="000000" w:themeColor="text1"/>
        </w:rPr>
        <w:t>additional</w:t>
      </w:r>
      <w:r w:rsidR="00700201" w:rsidRPr="004E6042">
        <w:rPr>
          <w:rFonts w:eastAsia="Times New Roman" w:cstheme="minorHAnsi"/>
          <w:b/>
          <w:color w:val="000000" w:themeColor="text1"/>
        </w:rPr>
        <w:t xml:space="preserve"> questions for international, national and local civil society actors</w:t>
      </w:r>
      <w:r>
        <w:rPr>
          <w:rFonts w:eastAsia="Times New Roman" w:cstheme="minorHAnsi"/>
          <w:b/>
          <w:color w:val="000000" w:themeColor="text1"/>
          <w:lang w:val="en-GB"/>
        </w:rPr>
        <w:t xml:space="preserve"> are summarised in the responses above. </w:t>
      </w:r>
    </w:p>
    <w:sectPr w:rsidR="00B52694" w:rsidRPr="004E6042">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2004" w14:textId="77777777" w:rsidR="002A24F2" w:rsidRDefault="002A24F2" w:rsidP="00C87E13">
      <w:pPr>
        <w:spacing w:after="0" w:line="240" w:lineRule="auto"/>
      </w:pPr>
      <w:r>
        <w:separator/>
      </w:r>
    </w:p>
  </w:endnote>
  <w:endnote w:type="continuationSeparator" w:id="0">
    <w:p w14:paraId="3596DEFD" w14:textId="77777777" w:rsidR="002A24F2" w:rsidRDefault="002A24F2" w:rsidP="00C8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0AB" w14:textId="1C735C46" w:rsidR="00C87E13" w:rsidRPr="00C87E13" w:rsidRDefault="00C87E13">
    <w:pPr>
      <w:pStyle w:val="Footer"/>
      <w:rPr>
        <w:lang w:val="en-GB"/>
      </w:rPr>
    </w:pPr>
    <w:r>
      <w:rPr>
        <w:rFonts w:eastAsia="Times New Roman" w:cstheme="minorHAnsi"/>
        <w:sz w:val="16"/>
        <w:szCs w:val="16"/>
        <w:lang w:val="en-GB" w:eastAsia="en-GB"/>
      </w:rPr>
      <w:t xml:space="preserve">IFLA - </w:t>
    </w:r>
    <w:r w:rsidRPr="00C87E13">
      <w:rPr>
        <w:rFonts w:eastAsia="Times New Roman" w:cstheme="minorHAnsi"/>
        <w:sz w:val="16"/>
        <w:szCs w:val="16"/>
        <w:lang w:eastAsia="en-GB"/>
      </w:rPr>
      <w:t>Cultural Rights and the Governance of Development</w:t>
    </w:r>
    <w:r>
      <w:rPr>
        <w:rFonts w:eastAsia="Times New Roman" w:cstheme="minorHAnsi"/>
        <w:lang w:eastAsia="en-GB"/>
      </w:rPr>
      <w:tab/>
    </w:r>
    <w:r>
      <w:rPr>
        <w:rFonts w:eastAsia="Times New Roman" w:cstheme="minorHAnsi"/>
        <w:lang w:eastAsia="en-GB"/>
      </w:rPr>
      <w:tab/>
    </w:r>
    <w:r w:rsidRPr="00C87E13">
      <w:rPr>
        <w:rFonts w:eastAsia="Times New Roman" w:cstheme="minorHAnsi"/>
        <w:sz w:val="16"/>
        <w:szCs w:val="16"/>
        <w:lang w:val="en-GB" w:eastAsia="en-GB"/>
      </w:rPr>
      <w:t>13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3B3F" w14:textId="77777777" w:rsidR="002A24F2" w:rsidRDefault="002A24F2" w:rsidP="00C87E13">
      <w:pPr>
        <w:spacing w:after="0" w:line="240" w:lineRule="auto"/>
      </w:pPr>
      <w:r>
        <w:separator/>
      </w:r>
    </w:p>
  </w:footnote>
  <w:footnote w:type="continuationSeparator" w:id="0">
    <w:p w14:paraId="6F4E2CA6" w14:textId="77777777" w:rsidR="002A24F2" w:rsidRDefault="002A24F2" w:rsidP="00C8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F6B"/>
    <w:multiLevelType w:val="hybridMultilevel"/>
    <w:tmpl w:val="157A67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26DF4"/>
    <w:multiLevelType w:val="hybridMultilevel"/>
    <w:tmpl w:val="12EE7A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6002F5"/>
    <w:multiLevelType w:val="hybridMultilevel"/>
    <w:tmpl w:val="F6EA2508"/>
    <w:lvl w:ilvl="0" w:tplc="176E2AC4">
      <w:start w:val="3"/>
      <w:numFmt w:val="bullet"/>
      <w:lvlText w:val="-"/>
      <w:lvlJc w:val="left"/>
      <w:pPr>
        <w:ind w:left="1080" w:hanging="360"/>
      </w:pPr>
      <w:rPr>
        <w:rFonts w:ascii="Roboto" w:eastAsia="Times New Roman" w:hAnsi="Roboto"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E08FE65"/>
    <w:multiLevelType w:val="hybridMultilevel"/>
    <w:tmpl w:val="EBC8F38A"/>
    <w:lvl w:ilvl="0" w:tplc="C052C58C">
      <w:start w:val="1"/>
      <w:numFmt w:val="bullet"/>
      <w:lvlText w:val=""/>
      <w:lvlJc w:val="left"/>
      <w:pPr>
        <w:ind w:left="720" w:hanging="360"/>
      </w:pPr>
      <w:rPr>
        <w:rFonts w:ascii="Symbol" w:hAnsi="Symbol" w:hint="default"/>
      </w:rPr>
    </w:lvl>
    <w:lvl w:ilvl="1" w:tplc="4370ABE2">
      <w:start w:val="1"/>
      <w:numFmt w:val="bullet"/>
      <w:lvlText w:val="o"/>
      <w:lvlJc w:val="left"/>
      <w:pPr>
        <w:ind w:left="1440" w:hanging="360"/>
      </w:pPr>
      <w:rPr>
        <w:rFonts w:ascii="Courier New" w:hAnsi="Courier New" w:hint="default"/>
      </w:rPr>
    </w:lvl>
    <w:lvl w:ilvl="2" w:tplc="89F27430">
      <w:start w:val="1"/>
      <w:numFmt w:val="bullet"/>
      <w:lvlText w:val=""/>
      <w:lvlJc w:val="left"/>
      <w:pPr>
        <w:ind w:left="2160" w:hanging="360"/>
      </w:pPr>
      <w:rPr>
        <w:rFonts w:ascii="Wingdings" w:hAnsi="Wingdings" w:hint="default"/>
      </w:rPr>
    </w:lvl>
    <w:lvl w:ilvl="3" w:tplc="CA1C3064">
      <w:start w:val="1"/>
      <w:numFmt w:val="bullet"/>
      <w:lvlText w:val=""/>
      <w:lvlJc w:val="left"/>
      <w:pPr>
        <w:ind w:left="2880" w:hanging="360"/>
      </w:pPr>
      <w:rPr>
        <w:rFonts w:ascii="Symbol" w:hAnsi="Symbol" w:hint="default"/>
      </w:rPr>
    </w:lvl>
    <w:lvl w:ilvl="4" w:tplc="D7AEABAA">
      <w:start w:val="1"/>
      <w:numFmt w:val="bullet"/>
      <w:lvlText w:val="o"/>
      <w:lvlJc w:val="left"/>
      <w:pPr>
        <w:ind w:left="3600" w:hanging="360"/>
      </w:pPr>
      <w:rPr>
        <w:rFonts w:ascii="Courier New" w:hAnsi="Courier New" w:hint="default"/>
      </w:rPr>
    </w:lvl>
    <w:lvl w:ilvl="5" w:tplc="2EA60194">
      <w:start w:val="1"/>
      <w:numFmt w:val="bullet"/>
      <w:lvlText w:val=""/>
      <w:lvlJc w:val="left"/>
      <w:pPr>
        <w:ind w:left="4320" w:hanging="360"/>
      </w:pPr>
      <w:rPr>
        <w:rFonts w:ascii="Wingdings" w:hAnsi="Wingdings" w:hint="default"/>
      </w:rPr>
    </w:lvl>
    <w:lvl w:ilvl="6" w:tplc="D3223E8C">
      <w:start w:val="1"/>
      <w:numFmt w:val="bullet"/>
      <w:lvlText w:val=""/>
      <w:lvlJc w:val="left"/>
      <w:pPr>
        <w:ind w:left="5040" w:hanging="360"/>
      </w:pPr>
      <w:rPr>
        <w:rFonts w:ascii="Symbol" w:hAnsi="Symbol" w:hint="default"/>
      </w:rPr>
    </w:lvl>
    <w:lvl w:ilvl="7" w:tplc="E4542E88">
      <w:start w:val="1"/>
      <w:numFmt w:val="bullet"/>
      <w:lvlText w:val="o"/>
      <w:lvlJc w:val="left"/>
      <w:pPr>
        <w:ind w:left="5760" w:hanging="360"/>
      </w:pPr>
      <w:rPr>
        <w:rFonts w:ascii="Courier New" w:hAnsi="Courier New" w:hint="default"/>
      </w:rPr>
    </w:lvl>
    <w:lvl w:ilvl="8" w:tplc="5C20D3B4">
      <w:start w:val="1"/>
      <w:numFmt w:val="bullet"/>
      <w:lvlText w:val=""/>
      <w:lvlJc w:val="left"/>
      <w:pPr>
        <w:ind w:left="6480" w:hanging="360"/>
      </w:pPr>
      <w:rPr>
        <w:rFonts w:ascii="Wingdings" w:hAnsi="Wingdings" w:hint="default"/>
      </w:rPr>
    </w:lvl>
  </w:abstractNum>
  <w:abstractNum w:abstractNumId="4" w15:restartNumberingAfterBreak="0">
    <w:nsid w:val="10B7618E"/>
    <w:multiLevelType w:val="hybridMultilevel"/>
    <w:tmpl w:val="94EED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193533"/>
    <w:multiLevelType w:val="hybridMultilevel"/>
    <w:tmpl w:val="3F144F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A4BA8"/>
    <w:multiLevelType w:val="hybridMultilevel"/>
    <w:tmpl w:val="3CF84A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FC4815"/>
    <w:multiLevelType w:val="hybridMultilevel"/>
    <w:tmpl w:val="1E2CD4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772C8D"/>
    <w:multiLevelType w:val="multilevel"/>
    <w:tmpl w:val="8DDCD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A5BBB"/>
    <w:multiLevelType w:val="hybridMultilevel"/>
    <w:tmpl w:val="9BA21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B811206"/>
    <w:multiLevelType w:val="multilevel"/>
    <w:tmpl w:val="221E3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E3B81"/>
    <w:multiLevelType w:val="multilevel"/>
    <w:tmpl w:val="227C3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BB2C61"/>
    <w:multiLevelType w:val="multilevel"/>
    <w:tmpl w:val="5E963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02C38"/>
    <w:multiLevelType w:val="multilevel"/>
    <w:tmpl w:val="5E963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71285"/>
    <w:multiLevelType w:val="hybridMultilevel"/>
    <w:tmpl w:val="61846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69A1DCA"/>
    <w:multiLevelType w:val="multilevel"/>
    <w:tmpl w:val="8DDCD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7087F"/>
    <w:multiLevelType w:val="multilevel"/>
    <w:tmpl w:val="5E963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56649"/>
    <w:multiLevelType w:val="multilevel"/>
    <w:tmpl w:val="8DDCD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63260"/>
    <w:multiLevelType w:val="hybridMultilevel"/>
    <w:tmpl w:val="1EC49C0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1733F38"/>
    <w:multiLevelType w:val="multilevel"/>
    <w:tmpl w:val="221E3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81397E"/>
    <w:multiLevelType w:val="hybridMultilevel"/>
    <w:tmpl w:val="CB38C59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67075561"/>
    <w:multiLevelType w:val="multilevel"/>
    <w:tmpl w:val="5E963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853B96"/>
    <w:multiLevelType w:val="hybridMultilevel"/>
    <w:tmpl w:val="577205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1D16F7"/>
    <w:multiLevelType w:val="hybridMultilevel"/>
    <w:tmpl w:val="78C49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92383354">
    <w:abstractNumId w:val="3"/>
  </w:num>
  <w:num w:numId="2" w16cid:durableId="1275333178">
    <w:abstractNumId w:val="10"/>
  </w:num>
  <w:num w:numId="3" w16cid:durableId="642660828">
    <w:abstractNumId w:val="11"/>
  </w:num>
  <w:num w:numId="4" w16cid:durableId="1238248893">
    <w:abstractNumId w:val="18"/>
  </w:num>
  <w:num w:numId="5" w16cid:durableId="1685550760">
    <w:abstractNumId w:val="19"/>
  </w:num>
  <w:num w:numId="6" w16cid:durableId="1374621533">
    <w:abstractNumId w:val="7"/>
  </w:num>
  <w:num w:numId="7" w16cid:durableId="10108740">
    <w:abstractNumId w:val="17"/>
  </w:num>
  <w:num w:numId="8" w16cid:durableId="1456024836">
    <w:abstractNumId w:val="8"/>
  </w:num>
  <w:num w:numId="9" w16cid:durableId="1057365315">
    <w:abstractNumId w:val="15"/>
  </w:num>
  <w:num w:numId="10" w16cid:durableId="336687445">
    <w:abstractNumId w:val="2"/>
  </w:num>
  <w:num w:numId="11" w16cid:durableId="1662006160">
    <w:abstractNumId w:val="20"/>
  </w:num>
  <w:num w:numId="12" w16cid:durableId="712652225">
    <w:abstractNumId w:val="22"/>
  </w:num>
  <w:num w:numId="13" w16cid:durableId="746072814">
    <w:abstractNumId w:val="21"/>
  </w:num>
  <w:num w:numId="14" w16cid:durableId="1369643888">
    <w:abstractNumId w:val="13"/>
  </w:num>
  <w:num w:numId="15" w16cid:durableId="68188994">
    <w:abstractNumId w:val="16"/>
  </w:num>
  <w:num w:numId="16" w16cid:durableId="267084354">
    <w:abstractNumId w:val="12"/>
  </w:num>
  <w:num w:numId="17" w16cid:durableId="494077331">
    <w:abstractNumId w:val="5"/>
  </w:num>
  <w:num w:numId="18" w16cid:durableId="1578325158">
    <w:abstractNumId w:val="9"/>
  </w:num>
  <w:num w:numId="19" w16cid:durableId="1861892115">
    <w:abstractNumId w:val="23"/>
  </w:num>
  <w:num w:numId="20" w16cid:durableId="999844760">
    <w:abstractNumId w:val="0"/>
  </w:num>
  <w:num w:numId="21" w16cid:durableId="34083604">
    <w:abstractNumId w:val="4"/>
  </w:num>
  <w:num w:numId="22" w16cid:durableId="947082192">
    <w:abstractNumId w:val="6"/>
  </w:num>
  <w:num w:numId="23" w16cid:durableId="159081313">
    <w:abstractNumId w:val="14"/>
  </w:num>
  <w:num w:numId="24" w16cid:durableId="968515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01"/>
    <w:rsid w:val="00001BE1"/>
    <w:rsid w:val="000036F7"/>
    <w:rsid w:val="00006760"/>
    <w:rsid w:val="00027D1E"/>
    <w:rsid w:val="00050AC5"/>
    <w:rsid w:val="00051358"/>
    <w:rsid w:val="00052768"/>
    <w:rsid w:val="0005399D"/>
    <w:rsid w:val="00064B24"/>
    <w:rsid w:val="00066951"/>
    <w:rsid w:val="00066C30"/>
    <w:rsid w:val="000671F5"/>
    <w:rsid w:val="00070F5F"/>
    <w:rsid w:val="00076487"/>
    <w:rsid w:val="0007781F"/>
    <w:rsid w:val="00082B36"/>
    <w:rsid w:val="0008670A"/>
    <w:rsid w:val="000969CF"/>
    <w:rsid w:val="000A4B80"/>
    <w:rsid w:val="000B6968"/>
    <w:rsid w:val="000C4F25"/>
    <w:rsid w:val="000C631B"/>
    <w:rsid w:val="000C68EB"/>
    <w:rsid w:val="000D5914"/>
    <w:rsid w:val="000E5349"/>
    <w:rsid w:val="000F70E6"/>
    <w:rsid w:val="001150C3"/>
    <w:rsid w:val="00115155"/>
    <w:rsid w:val="001153B3"/>
    <w:rsid w:val="00136352"/>
    <w:rsid w:val="00137924"/>
    <w:rsid w:val="00152B79"/>
    <w:rsid w:val="00155CA4"/>
    <w:rsid w:val="00161457"/>
    <w:rsid w:val="00161BD2"/>
    <w:rsid w:val="00171A6D"/>
    <w:rsid w:val="001811EF"/>
    <w:rsid w:val="00181AA5"/>
    <w:rsid w:val="00194134"/>
    <w:rsid w:val="001A57D2"/>
    <w:rsid w:val="001A7D11"/>
    <w:rsid w:val="001B5B9F"/>
    <w:rsid w:val="001B6FBC"/>
    <w:rsid w:val="001C0E52"/>
    <w:rsid w:val="001C2AC1"/>
    <w:rsid w:val="001C3644"/>
    <w:rsid w:val="001C5FDA"/>
    <w:rsid w:val="001D2BEA"/>
    <w:rsid w:val="001E04E7"/>
    <w:rsid w:val="001E0CC0"/>
    <w:rsid w:val="001F14D3"/>
    <w:rsid w:val="001F3B7E"/>
    <w:rsid w:val="001F4494"/>
    <w:rsid w:val="00206B86"/>
    <w:rsid w:val="00211493"/>
    <w:rsid w:val="00211FC1"/>
    <w:rsid w:val="00212956"/>
    <w:rsid w:val="00213353"/>
    <w:rsid w:val="00215754"/>
    <w:rsid w:val="002158E7"/>
    <w:rsid w:val="00217449"/>
    <w:rsid w:val="00217768"/>
    <w:rsid w:val="002179C0"/>
    <w:rsid w:val="0022412E"/>
    <w:rsid w:val="002327FA"/>
    <w:rsid w:val="00243039"/>
    <w:rsid w:val="00246CF5"/>
    <w:rsid w:val="00250B7F"/>
    <w:rsid w:val="00252E28"/>
    <w:rsid w:val="00254805"/>
    <w:rsid w:val="00271367"/>
    <w:rsid w:val="002719BE"/>
    <w:rsid w:val="0027449E"/>
    <w:rsid w:val="00274856"/>
    <w:rsid w:val="002A0E3A"/>
    <w:rsid w:val="002A24F2"/>
    <w:rsid w:val="002A27F7"/>
    <w:rsid w:val="002A56EA"/>
    <w:rsid w:val="002B0583"/>
    <w:rsid w:val="002B7CEF"/>
    <w:rsid w:val="002D3801"/>
    <w:rsid w:val="002D4AA4"/>
    <w:rsid w:val="002D5215"/>
    <w:rsid w:val="002E50FC"/>
    <w:rsid w:val="002F238D"/>
    <w:rsid w:val="00301244"/>
    <w:rsid w:val="003059E8"/>
    <w:rsid w:val="0030689F"/>
    <w:rsid w:val="00336337"/>
    <w:rsid w:val="00341714"/>
    <w:rsid w:val="00344A87"/>
    <w:rsid w:val="00344E25"/>
    <w:rsid w:val="003711D4"/>
    <w:rsid w:val="003713DA"/>
    <w:rsid w:val="00385F66"/>
    <w:rsid w:val="003939A1"/>
    <w:rsid w:val="00397862"/>
    <w:rsid w:val="003A170E"/>
    <w:rsid w:val="003B20E6"/>
    <w:rsid w:val="003B4FEB"/>
    <w:rsid w:val="003B62F8"/>
    <w:rsid w:val="003C06FF"/>
    <w:rsid w:val="003C076C"/>
    <w:rsid w:val="003C0F08"/>
    <w:rsid w:val="003C77C8"/>
    <w:rsid w:val="003D72C2"/>
    <w:rsid w:val="003E174B"/>
    <w:rsid w:val="003E2B4D"/>
    <w:rsid w:val="003F35E3"/>
    <w:rsid w:val="003F763A"/>
    <w:rsid w:val="00401749"/>
    <w:rsid w:val="00407FEC"/>
    <w:rsid w:val="004104C7"/>
    <w:rsid w:val="004178F1"/>
    <w:rsid w:val="00421335"/>
    <w:rsid w:val="00421FF0"/>
    <w:rsid w:val="00422002"/>
    <w:rsid w:val="0043795D"/>
    <w:rsid w:val="00450423"/>
    <w:rsid w:val="004544E0"/>
    <w:rsid w:val="0046104F"/>
    <w:rsid w:val="004711D5"/>
    <w:rsid w:val="00473198"/>
    <w:rsid w:val="00483D4A"/>
    <w:rsid w:val="004870A0"/>
    <w:rsid w:val="00487CE6"/>
    <w:rsid w:val="004A15A9"/>
    <w:rsid w:val="004A6B11"/>
    <w:rsid w:val="004A7CE9"/>
    <w:rsid w:val="004B3F5F"/>
    <w:rsid w:val="004B6EE3"/>
    <w:rsid w:val="004B7B42"/>
    <w:rsid w:val="004D42DF"/>
    <w:rsid w:val="004E6042"/>
    <w:rsid w:val="004F2CC8"/>
    <w:rsid w:val="004F43D0"/>
    <w:rsid w:val="004F5EE8"/>
    <w:rsid w:val="005001DF"/>
    <w:rsid w:val="00500B97"/>
    <w:rsid w:val="00521126"/>
    <w:rsid w:val="0052463B"/>
    <w:rsid w:val="00526839"/>
    <w:rsid w:val="005313F3"/>
    <w:rsid w:val="00533255"/>
    <w:rsid w:val="00537EE8"/>
    <w:rsid w:val="0054240F"/>
    <w:rsid w:val="00544BB9"/>
    <w:rsid w:val="00557D7F"/>
    <w:rsid w:val="00574219"/>
    <w:rsid w:val="005866C1"/>
    <w:rsid w:val="00595A61"/>
    <w:rsid w:val="005970CC"/>
    <w:rsid w:val="005A5242"/>
    <w:rsid w:val="005C3989"/>
    <w:rsid w:val="005C5A05"/>
    <w:rsid w:val="005D03F6"/>
    <w:rsid w:val="005D16F1"/>
    <w:rsid w:val="005D601A"/>
    <w:rsid w:val="005D60B8"/>
    <w:rsid w:val="005F44ED"/>
    <w:rsid w:val="00631979"/>
    <w:rsid w:val="006341EB"/>
    <w:rsid w:val="00651C47"/>
    <w:rsid w:val="00654342"/>
    <w:rsid w:val="00663398"/>
    <w:rsid w:val="00664D36"/>
    <w:rsid w:val="00670D61"/>
    <w:rsid w:val="006876F6"/>
    <w:rsid w:val="006900B7"/>
    <w:rsid w:val="00690DE8"/>
    <w:rsid w:val="00695735"/>
    <w:rsid w:val="00696605"/>
    <w:rsid w:val="006A659C"/>
    <w:rsid w:val="006B5745"/>
    <w:rsid w:val="006B6E1F"/>
    <w:rsid w:val="006C06AC"/>
    <w:rsid w:val="006C25EC"/>
    <w:rsid w:val="006D2114"/>
    <w:rsid w:val="006E1D07"/>
    <w:rsid w:val="00700201"/>
    <w:rsid w:val="0070396B"/>
    <w:rsid w:val="007050DC"/>
    <w:rsid w:val="00707F75"/>
    <w:rsid w:val="00710DA4"/>
    <w:rsid w:val="007120D4"/>
    <w:rsid w:val="00722D97"/>
    <w:rsid w:val="00730DB5"/>
    <w:rsid w:val="00742193"/>
    <w:rsid w:val="00762DB8"/>
    <w:rsid w:val="007745F3"/>
    <w:rsid w:val="007760D6"/>
    <w:rsid w:val="00781C32"/>
    <w:rsid w:val="00790341"/>
    <w:rsid w:val="0079448B"/>
    <w:rsid w:val="00795E91"/>
    <w:rsid w:val="00796F0A"/>
    <w:rsid w:val="007A0180"/>
    <w:rsid w:val="007A3BB1"/>
    <w:rsid w:val="007A6961"/>
    <w:rsid w:val="007B71E1"/>
    <w:rsid w:val="007C6163"/>
    <w:rsid w:val="007D613A"/>
    <w:rsid w:val="007D61F3"/>
    <w:rsid w:val="007E472E"/>
    <w:rsid w:val="007E54E0"/>
    <w:rsid w:val="007F0C01"/>
    <w:rsid w:val="007F6D3B"/>
    <w:rsid w:val="00801B16"/>
    <w:rsid w:val="00802611"/>
    <w:rsid w:val="00804158"/>
    <w:rsid w:val="00817A7F"/>
    <w:rsid w:val="00821497"/>
    <w:rsid w:val="008308A9"/>
    <w:rsid w:val="00841530"/>
    <w:rsid w:val="00844DF7"/>
    <w:rsid w:val="0084554B"/>
    <w:rsid w:val="00854ED7"/>
    <w:rsid w:val="00867B43"/>
    <w:rsid w:val="00867E48"/>
    <w:rsid w:val="00871A28"/>
    <w:rsid w:val="0087690A"/>
    <w:rsid w:val="008907A7"/>
    <w:rsid w:val="0089239D"/>
    <w:rsid w:val="00893258"/>
    <w:rsid w:val="008A26DE"/>
    <w:rsid w:val="008A3241"/>
    <w:rsid w:val="008D7B81"/>
    <w:rsid w:val="008E4362"/>
    <w:rsid w:val="008F15BA"/>
    <w:rsid w:val="008F54C7"/>
    <w:rsid w:val="008F6C50"/>
    <w:rsid w:val="00903A24"/>
    <w:rsid w:val="00911ED0"/>
    <w:rsid w:val="00913240"/>
    <w:rsid w:val="00913D97"/>
    <w:rsid w:val="009156A6"/>
    <w:rsid w:val="00922615"/>
    <w:rsid w:val="009412F1"/>
    <w:rsid w:val="009618E8"/>
    <w:rsid w:val="009623BA"/>
    <w:rsid w:val="009755E0"/>
    <w:rsid w:val="00977FB2"/>
    <w:rsid w:val="0098786D"/>
    <w:rsid w:val="009909A8"/>
    <w:rsid w:val="00993A6A"/>
    <w:rsid w:val="00995A2E"/>
    <w:rsid w:val="009C07DF"/>
    <w:rsid w:val="009C56A9"/>
    <w:rsid w:val="009D1FBE"/>
    <w:rsid w:val="009E0B15"/>
    <w:rsid w:val="009E1525"/>
    <w:rsid w:val="00A0666B"/>
    <w:rsid w:val="00A228C6"/>
    <w:rsid w:val="00A23140"/>
    <w:rsid w:val="00A4417A"/>
    <w:rsid w:val="00A46F29"/>
    <w:rsid w:val="00A570DC"/>
    <w:rsid w:val="00A574E3"/>
    <w:rsid w:val="00A63E4F"/>
    <w:rsid w:val="00A64285"/>
    <w:rsid w:val="00A708B9"/>
    <w:rsid w:val="00A94FFA"/>
    <w:rsid w:val="00AB0D39"/>
    <w:rsid w:val="00AB4B9D"/>
    <w:rsid w:val="00AC1278"/>
    <w:rsid w:val="00AC2DF5"/>
    <w:rsid w:val="00AC4246"/>
    <w:rsid w:val="00AC73CA"/>
    <w:rsid w:val="00AC79FE"/>
    <w:rsid w:val="00AD0182"/>
    <w:rsid w:val="00AD35AB"/>
    <w:rsid w:val="00AD4121"/>
    <w:rsid w:val="00AD6A51"/>
    <w:rsid w:val="00AE11C6"/>
    <w:rsid w:val="00AE2DE9"/>
    <w:rsid w:val="00B040ED"/>
    <w:rsid w:val="00B33AF8"/>
    <w:rsid w:val="00B341D1"/>
    <w:rsid w:val="00B36A5B"/>
    <w:rsid w:val="00B40292"/>
    <w:rsid w:val="00B42AE4"/>
    <w:rsid w:val="00B4628D"/>
    <w:rsid w:val="00B52694"/>
    <w:rsid w:val="00B5691E"/>
    <w:rsid w:val="00B6117F"/>
    <w:rsid w:val="00B7347A"/>
    <w:rsid w:val="00B81C64"/>
    <w:rsid w:val="00B87349"/>
    <w:rsid w:val="00B93E1D"/>
    <w:rsid w:val="00B94C95"/>
    <w:rsid w:val="00BA53B2"/>
    <w:rsid w:val="00BA5552"/>
    <w:rsid w:val="00BA6022"/>
    <w:rsid w:val="00BC0FF9"/>
    <w:rsid w:val="00BC16C3"/>
    <w:rsid w:val="00BC278A"/>
    <w:rsid w:val="00BC4C5A"/>
    <w:rsid w:val="00BC5A45"/>
    <w:rsid w:val="00BD1B69"/>
    <w:rsid w:val="00BD6676"/>
    <w:rsid w:val="00BD762D"/>
    <w:rsid w:val="00BE22ED"/>
    <w:rsid w:val="00BE6C04"/>
    <w:rsid w:val="00BF5D3F"/>
    <w:rsid w:val="00C17560"/>
    <w:rsid w:val="00C26467"/>
    <w:rsid w:val="00C2782F"/>
    <w:rsid w:val="00C34E16"/>
    <w:rsid w:val="00C36EEE"/>
    <w:rsid w:val="00C42074"/>
    <w:rsid w:val="00C43A60"/>
    <w:rsid w:val="00C569E3"/>
    <w:rsid w:val="00C5766E"/>
    <w:rsid w:val="00C64263"/>
    <w:rsid w:val="00C70F4A"/>
    <w:rsid w:val="00C810D4"/>
    <w:rsid w:val="00C84E1A"/>
    <w:rsid w:val="00C87E13"/>
    <w:rsid w:val="00C906DD"/>
    <w:rsid w:val="00C93964"/>
    <w:rsid w:val="00CA562C"/>
    <w:rsid w:val="00CB3DDD"/>
    <w:rsid w:val="00CC48DB"/>
    <w:rsid w:val="00CC6E68"/>
    <w:rsid w:val="00CD3205"/>
    <w:rsid w:val="00CE5390"/>
    <w:rsid w:val="00CF137B"/>
    <w:rsid w:val="00CF1D5D"/>
    <w:rsid w:val="00CF56F5"/>
    <w:rsid w:val="00CF63FD"/>
    <w:rsid w:val="00D161CC"/>
    <w:rsid w:val="00D16B8F"/>
    <w:rsid w:val="00D41B96"/>
    <w:rsid w:val="00D54B93"/>
    <w:rsid w:val="00D6797C"/>
    <w:rsid w:val="00D729A0"/>
    <w:rsid w:val="00D82F0B"/>
    <w:rsid w:val="00D84F53"/>
    <w:rsid w:val="00D90AB4"/>
    <w:rsid w:val="00D948CE"/>
    <w:rsid w:val="00D94AD5"/>
    <w:rsid w:val="00D95784"/>
    <w:rsid w:val="00D96916"/>
    <w:rsid w:val="00DA2DD9"/>
    <w:rsid w:val="00DA3302"/>
    <w:rsid w:val="00DA4C66"/>
    <w:rsid w:val="00DB1929"/>
    <w:rsid w:val="00DB48F6"/>
    <w:rsid w:val="00DC2AFE"/>
    <w:rsid w:val="00DC6A76"/>
    <w:rsid w:val="00DD3921"/>
    <w:rsid w:val="00DE051F"/>
    <w:rsid w:val="00DE2D01"/>
    <w:rsid w:val="00DE3206"/>
    <w:rsid w:val="00DF3B80"/>
    <w:rsid w:val="00DF3C05"/>
    <w:rsid w:val="00DF759E"/>
    <w:rsid w:val="00E03906"/>
    <w:rsid w:val="00E03EFE"/>
    <w:rsid w:val="00E057A8"/>
    <w:rsid w:val="00E074D2"/>
    <w:rsid w:val="00E10A60"/>
    <w:rsid w:val="00E36D2C"/>
    <w:rsid w:val="00E548B9"/>
    <w:rsid w:val="00E55347"/>
    <w:rsid w:val="00E73647"/>
    <w:rsid w:val="00E7581C"/>
    <w:rsid w:val="00E80759"/>
    <w:rsid w:val="00E81D2C"/>
    <w:rsid w:val="00E87EB9"/>
    <w:rsid w:val="00E970F9"/>
    <w:rsid w:val="00E97598"/>
    <w:rsid w:val="00E977BF"/>
    <w:rsid w:val="00EA3262"/>
    <w:rsid w:val="00EA7A29"/>
    <w:rsid w:val="00EB145D"/>
    <w:rsid w:val="00EB146E"/>
    <w:rsid w:val="00EB5FC0"/>
    <w:rsid w:val="00EB6C7F"/>
    <w:rsid w:val="00ED455D"/>
    <w:rsid w:val="00ED5089"/>
    <w:rsid w:val="00EE5943"/>
    <w:rsid w:val="00EE67E6"/>
    <w:rsid w:val="00EE6AFD"/>
    <w:rsid w:val="00EE7B44"/>
    <w:rsid w:val="00F0525D"/>
    <w:rsid w:val="00F173BE"/>
    <w:rsid w:val="00F21164"/>
    <w:rsid w:val="00F30604"/>
    <w:rsid w:val="00F336AC"/>
    <w:rsid w:val="00F37829"/>
    <w:rsid w:val="00F47881"/>
    <w:rsid w:val="00F57520"/>
    <w:rsid w:val="00F61FF1"/>
    <w:rsid w:val="00F73AEA"/>
    <w:rsid w:val="00F86936"/>
    <w:rsid w:val="00F92025"/>
    <w:rsid w:val="00F92147"/>
    <w:rsid w:val="00F9368C"/>
    <w:rsid w:val="00F945D4"/>
    <w:rsid w:val="00F9477B"/>
    <w:rsid w:val="00F97F1B"/>
    <w:rsid w:val="00FB0986"/>
    <w:rsid w:val="00FB59AC"/>
    <w:rsid w:val="00FB68BB"/>
    <w:rsid w:val="00FB761A"/>
    <w:rsid w:val="00FD3D8C"/>
    <w:rsid w:val="00FD6D20"/>
    <w:rsid w:val="00FE0987"/>
    <w:rsid w:val="00FF4988"/>
    <w:rsid w:val="014D3D98"/>
    <w:rsid w:val="04F2A4E6"/>
    <w:rsid w:val="0F6BE688"/>
    <w:rsid w:val="1116F358"/>
    <w:rsid w:val="13C85FAC"/>
    <w:rsid w:val="1499147E"/>
    <w:rsid w:val="15759CBA"/>
    <w:rsid w:val="191B0408"/>
    <w:rsid w:val="197BFB0B"/>
    <w:rsid w:val="1BCFF5B5"/>
    <w:rsid w:val="1CCA61F7"/>
    <w:rsid w:val="200116E3"/>
    <w:rsid w:val="2035D811"/>
    <w:rsid w:val="210436BC"/>
    <w:rsid w:val="21D2B6E2"/>
    <w:rsid w:val="226B4FE1"/>
    <w:rsid w:val="243BD77E"/>
    <w:rsid w:val="24953C05"/>
    <w:rsid w:val="25D7A7DF"/>
    <w:rsid w:val="2AFF7326"/>
    <w:rsid w:val="2D633E52"/>
    <w:rsid w:val="2E2BA1CB"/>
    <w:rsid w:val="33F0EE33"/>
    <w:rsid w:val="35E4CA21"/>
    <w:rsid w:val="386008BB"/>
    <w:rsid w:val="3B8D16B7"/>
    <w:rsid w:val="3C0D672C"/>
    <w:rsid w:val="3F2E63C1"/>
    <w:rsid w:val="4563CF8B"/>
    <w:rsid w:val="47C6FDA0"/>
    <w:rsid w:val="4CF79EF0"/>
    <w:rsid w:val="4DB9CCAC"/>
    <w:rsid w:val="4FC0089F"/>
    <w:rsid w:val="509610A9"/>
    <w:rsid w:val="50F16D6E"/>
    <w:rsid w:val="5112630B"/>
    <w:rsid w:val="53F46DDD"/>
    <w:rsid w:val="556981CC"/>
    <w:rsid w:val="56978BA1"/>
    <w:rsid w:val="583F65B0"/>
    <w:rsid w:val="5AE5D53E"/>
    <w:rsid w:val="6190F2DF"/>
    <w:rsid w:val="62B98FD1"/>
    <w:rsid w:val="641D4A7F"/>
    <w:rsid w:val="643119A9"/>
    <w:rsid w:val="648C1329"/>
    <w:rsid w:val="65A18D1F"/>
    <w:rsid w:val="6761AD02"/>
    <w:rsid w:val="67E92BD4"/>
    <w:rsid w:val="69D02A73"/>
    <w:rsid w:val="6C5A8DF4"/>
    <w:rsid w:val="6CC981B0"/>
    <w:rsid w:val="6FF86B9E"/>
    <w:rsid w:val="724993C8"/>
    <w:rsid w:val="757BD7B5"/>
    <w:rsid w:val="7619CD89"/>
    <w:rsid w:val="7C118AF6"/>
    <w:rsid w:val="7E159CD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01FA"/>
  <w15:chartTrackingRefBased/>
  <w15:docId w15:val="{CEA6D7A1-EDE0-405A-AFB1-60921E52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02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7002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0020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00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201"/>
    <w:rPr>
      <w:b/>
      <w:bCs/>
    </w:rPr>
  </w:style>
  <w:style w:type="paragraph" w:styleId="ListParagraph">
    <w:name w:val="List Paragraph"/>
    <w:basedOn w:val="Normal"/>
    <w:uiPriority w:val="34"/>
    <w:qFormat/>
    <w:rsid w:val="00700201"/>
    <w:pPr>
      <w:ind w:left="720"/>
      <w:contextualSpacing/>
    </w:pPr>
  </w:style>
  <w:style w:type="character" w:customStyle="1" w:styleId="Heading2Char">
    <w:name w:val="Heading 2 Char"/>
    <w:basedOn w:val="DefaultParagraphFont"/>
    <w:link w:val="Heading2"/>
    <w:uiPriority w:val="9"/>
    <w:semiHidden/>
    <w:rsid w:val="007002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03E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56A9"/>
    <w:rPr>
      <w:color w:val="0563C1" w:themeColor="hyperlink"/>
      <w:u w:val="single"/>
    </w:rPr>
  </w:style>
  <w:style w:type="character" w:styleId="UnresolvedMention">
    <w:name w:val="Unresolved Mention"/>
    <w:basedOn w:val="DefaultParagraphFont"/>
    <w:uiPriority w:val="99"/>
    <w:semiHidden/>
    <w:unhideWhenUsed/>
    <w:rsid w:val="009C56A9"/>
    <w:rPr>
      <w:color w:val="605E5C"/>
      <w:shd w:val="clear" w:color="auto" w:fill="E1DFDD"/>
    </w:rPr>
  </w:style>
  <w:style w:type="character" w:styleId="FollowedHyperlink">
    <w:name w:val="FollowedHyperlink"/>
    <w:basedOn w:val="DefaultParagraphFont"/>
    <w:uiPriority w:val="99"/>
    <w:semiHidden/>
    <w:unhideWhenUsed/>
    <w:rsid w:val="00E10A60"/>
    <w:rPr>
      <w:color w:val="954F72" w:themeColor="followedHyperlink"/>
      <w:u w:val="single"/>
    </w:rPr>
  </w:style>
  <w:style w:type="character" w:styleId="CommentReference">
    <w:name w:val="annotation reference"/>
    <w:basedOn w:val="DefaultParagraphFont"/>
    <w:uiPriority w:val="99"/>
    <w:semiHidden/>
    <w:unhideWhenUsed/>
    <w:rsid w:val="00217449"/>
    <w:rPr>
      <w:sz w:val="16"/>
      <w:szCs w:val="16"/>
    </w:rPr>
  </w:style>
  <w:style w:type="paragraph" w:styleId="CommentText">
    <w:name w:val="annotation text"/>
    <w:basedOn w:val="Normal"/>
    <w:link w:val="CommentTextChar"/>
    <w:uiPriority w:val="99"/>
    <w:unhideWhenUsed/>
    <w:rsid w:val="00217449"/>
    <w:pPr>
      <w:spacing w:line="240" w:lineRule="auto"/>
    </w:pPr>
    <w:rPr>
      <w:sz w:val="20"/>
      <w:szCs w:val="20"/>
    </w:rPr>
  </w:style>
  <w:style w:type="character" w:customStyle="1" w:styleId="CommentTextChar">
    <w:name w:val="Comment Text Char"/>
    <w:basedOn w:val="DefaultParagraphFont"/>
    <w:link w:val="CommentText"/>
    <w:uiPriority w:val="99"/>
    <w:rsid w:val="00217449"/>
    <w:rPr>
      <w:sz w:val="20"/>
      <w:szCs w:val="20"/>
    </w:rPr>
  </w:style>
  <w:style w:type="paragraph" w:styleId="CommentSubject">
    <w:name w:val="annotation subject"/>
    <w:basedOn w:val="CommentText"/>
    <w:next w:val="CommentText"/>
    <w:link w:val="CommentSubjectChar"/>
    <w:uiPriority w:val="99"/>
    <w:semiHidden/>
    <w:unhideWhenUsed/>
    <w:rsid w:val="00217449"/>
    <w:rPr>
      <w:b/>
      <w:bCs/>
    </w:rPr>
  </w:style>
  <w:style w:type="character" w:customStyle="1" w:styleId="CommentSubjectChar">
    <w:name w:val="Comment Subject Char"/>
    <w:basedOn w:val="CommentTextChar"/>
    <w:link w:val="CommentSubject"/>
    <w:uiPriority w:val="99"/>
    <w:semiHidden/>
    <w:rsid w:val="00217449"/>
    <w:rPr>
      <w:b/>
      <w:bCs/>
      <w:sz w:val="20"/>
      <w:szCs w:val="20"/>
    </w:rPr>
  </w:style>
  <w:style w:type="paragraph" w:styleId="Header">
    <w:name w:val="header"/>
    <w:basedOn w:val="Normal"/>
    <w:link w:val="HeaderChar"/>
    <w:uiPriority w:val="99"/>
    <w:unhideWhenUsed/>
    <w:rsid w:val="00C87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13"/>
  </w:style>
  <w:style w:type="paragraph" w:styleId="Footer">
    <w:name w:val="footer"/>
    <w:basedOn w:val="Normal"/>
    <w:link w:val="FooterChar"/>
    <w:uiPriority w:val="99"/>
    <w:unhideWhenUsed/>
    <w:rsid w:val="00C87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029">
      <w:bodyDiv w:val="1"/>
      <w:marLeft w:val="0"/>
      <w:marRight w:val="0"/>
      <w:marTop w:val="0"/>
      <w:marBottom w:val="0"/>
      <w:divBdr>
        <w:top w:val="none" w:sz="0" w:space="0" w:color="auto"/>
        <w:left w:val="none" w:sz="0" w:space="0" w:color="auto"/>
        <w:bottom w:val="none" w:sz="0" w:space="0" w:color="auto"/>
        <w:right w:val="none" w:sz="0" w:space="0" w:color="auto"/>
      </w:divBdr>
    </w:div>
    <w:div w:id="63841455">
      <w:bodyDiv w:val="1"/>
      <w:marLeft w:val="0"/>
      <w:marRight w:val="0"/>
      <w:marTop w:val="0"/>
      <w:marBottom w:val="0"/>
      <w:divBdr>
        <w:top w:val="none" w:sz="0" w:space="0" w:color="auto"/>
        <w:left w:val="none" w:sz="0" w:space="0" w:color="auto"/>
        <w:bottom w:val="none" w:sz="0" w:space="0" w:color="auto"/>
        <w:right w:val="none" w:sz="0" w:space="0" w:color="auto"/>
      </w:divBdr>
    </w:div>
    <w:div w:id="137843068">
      <w:bodyDiv w:val="1"/>
      <w:marLeft w:val="0"/>
      <w:marRight w:val="0"/>
      <w:marTop w:val="0"/>
      <w:marBottom w:val="0"/>
      <w:divBdr>
        <w:top w:val="none" w:sz="0" w:space="0" w:color="auto"/>
        <w:left w:val="none" w:sz="0" w:space="0" w:color="auto"/>
        <w:bottom w:val="none" w:sz="0" w:space="0" w:color="auto"/>
        <w:right w:val="none" w:sz="0" w:space="0" w:color="auto"/>
      </w:divBdr>
    </w:div>
    <w:div w:id="160630343">
      <w:bodyDiv w:val="1"/>
      <w:marLeft w:val="0"/>
      <w:marRight w:val="0"/>
      <w:marTop w:val="0"/>
      <w:marBottom w:val="0"/>
      <w:divBdr>
        <w:top w:val="none" w:sz="0" w:space="0" w:color="auto"/>
        <w:left w:val="none" w:sz="0" w:space="0" w:color="auto"/>
        <w:bottom w:val="none" w:sz="0" w:space="0" w:color="auto"/>
        <w:right w:val="none" w:sz="0" w:space="0" w:color="auto"/>
      </w:divBdr>
    </w:div>
    <w:div w:id="166554685">
      <w:bodyDiv w:val="1"/>
      <w:marLeft w:val="0"/>
      <w:marRight w:val="0"/>
      <w:marTop w:val="0"/>
      <w:marBottom w:val="0"/>
      <w:divBdr>
        <w:top w:val="none" w:sz="0" w:space="0" w:color="auto"/>
        <w:left w:val="none" w:sz="0" w:space="0" w:color="auto"/>
        <w:bottom w:val="none" w:sz="0" w:space="0" w:color="auto"/>
        <w:right w:val="none" w:sz="0" w:space="0" w:color="auto"/>
      </w:divBdr>
    </w:div>
    <w:div w:id="238636490">
      <w:bodyDiv w:val="1"/>
      <w:marLeft w:val="0"/>
      <w:marRight w:val="0"/>
      <w:marTop w:val="0"/>
      <w:marBottom w:val="0"/>
      <w:divBdr>
        <w:top w:val="none" w:sz="0" w:space="0" w:color="auto"/>
        <w:left w:val="none" w:sz="0" w:space="0" w:color="auto"/>
        <w:bottom w:val="none" w:sz="0" w:space="0" w:color="auto"/>
        <w:right w:val="none" w:sz="0" w:space="0" w:color="auto"/>
      </w:divBdr>
    </w:div>
    <w:div w:id="602762064">
      <w:bodyDiv w:val="1"/>
      <w:marLeft w:val="0"/>
      <w:marRight w:val="0"/>
      <w:marTop w:val="0"/>
      <w:marBottom w:val="0"/>
      <w:divBdr>
        <w:top w:val="none" w:sz="0" w:space="0" w:color="auto"/>
        <w:left w:val="none" w:sz="0" w:space="0" w:color="auto"/>
        <w:bottom w:val="none" w:sz="0" w:space="0" w:color="auto"/>
        <w:right w:val="none" w:sz="0" w:space="0" w:color="auto"/>
      </w:divBdr>
    </w:div>
    <w:div w:id="615217271">
      <w:bodyDiv w:val="1"/>
      <w:marLeft w:val="0"/>
      <w:marRight w:val="0"/>
      <w:marTop w:val="0"/>
      <w:marBottom w:val="0"/>
      <w:divBdr>
        <w:top w:val="none" w:sz="0" w:space="0" w:color="auto"/>
        <w:left w:val="none" w:sz="0" w:space="0" w:color="auto"/>
        <w:bottom w:val="none" w:sz="0" w:space="0" w:color="auto"/>
        <w:right w:val="none" w:sz="0" w:space="0" w:color="auto"/>
      </w:divBdr>
    </w:div>
    <w:div w:id="675546144">
      <w:bodyDiv w:val="1"/>
      <w:marLeft w:val="0"/>
      <w:marRight w:val="0"/>
      <w:marTop w:val="0"/>
      <w:marBottom w:val="0"/>
      <w:divBdr>
        <w:top w:val="none" w:sz="0" w:space="0" w:color="auto"/>
        <w:left w:val="none" w:sz="0" w:space="0" w:color="auto"/>
        <w:bottom w:val="none" w:sz="0" w:space="0" w:color="auto"/>
        <w:right w:val="none" w:sz="0" w:space="0" w:color="auto"/>
      </w:divBdr>
    </w:div>
    <w:div w:id="700975067">
      <w:bodyDiv w:val="1"/>
      <w:marLeft w:val="0"/>
      <w:marRight w:val="0"/>
      <w:marTop w:val="0"/>
      <w:marBottom w:val="0"/>
      <w:divBdr>
        <w:top w:val="none" w:sz="0" w:space="0" w:color="auto"/>
        <w:left w:val="none" w:sz="0" w:space="0" w:color="auto"/>
        <w:bottom w:val="none" w:sz="0" w:space="0" w:color="auto"/>
        <w:right w:val="none" w:sz="0" w:space="0" w:color="auto"/>
      </w:divBdr>
    </w:div>
    <w:div w:id="921833499">
      <w:bodyDiv w:val="1"/>
      <w:marLeft w:val="0"/>
      <w:marRight w:val="0"/>
      <w:marTop w:val="0"/>
      <w:marBottom w:val="0"/>
      <w:divBdr>
        <w:top w:val="none" w:sz="0" w:space="0" w:color="auto"/>
        <w:left w:val="none" w:sz="0" w:space="0" w:color="auto"/>
        <w:bottom w:val="none" w:sz="0" w:space="0" w:color="auto"/>
        <w:right w:val="none" w:sz="0" w:space="0" w:color="auto"/>
      </w:divBdr>
    </w:div>
    <w:div w:id="980307203">
      <w:bodyDiv w:val="1"/>
      <w:marLeft w:val="0"/>
      <w:marRight w:val="0"/>
      <w:marTop w:val="0"/>
      <w:marBottom w:val="0"/>
      <w:divBdr>
        <w:top w:val="none" w:sz="0" w:space="0" w:color="auto"/>
        <w:left w:val="none" w:sz="0" w:space="0" w:color="auto"/>
        <w:bottom w:val="none" w:sz="0" w:space="0" w:color="auto"/>
        <w:right w:val="none" w:sz="0" w:space="0" w:color="auto"/>
      </w:divBdr>
    </w:div>
    <w:div w:id="1087269058">
      <w:bodyDiv w:val="1"/>
      <w:marLeft w:val="0"/>
      <w:marRight w:val="0"/>
      <w:marTop w:val="0"/>
      <w:marBottom w:val="0"/>
      <w:divBdr>
        <w:top w:val="none" w:sz="0" w:space="0" w:color="auto"/>
        <w:left w:val="none" w:sz="0" w:space="0" w:color="auto"/>
        <w:bottom w:val="none" w:sz="0" w:space="0" w:color="auto"/>
        <w:right w:val="none" w:sz="0" w:space="0" w:color="auto"/>
      </w:divBdr>
    </w:div>
    <w:div w:id="1177500975">
      <w:bodyDiv w:val="1"/>
      <w:marLeft w:val="0"/>
      <w:marRight w:val="0"/>
      <w:marTop w:val="0"/>
      <w:marBottom w:val="0"/>
      <w:divBdr>
        <w:top w:val="none" w:sz="0" w:space="0" w:color="auto"/>
        <w:left w:val="none" w:sz="0" w:space="0" w:color="auto"/>
        <w:bottom w:val="none" w:sz="0" w:space="0" w:color="auto"/>
        <w:right w:val="none" w:sz="0" w:space="0" w:color="auto"/>
      </w:divBdr>
    </w:div>
    <w:div w:id="1352222828">
      <w:bodyDiv w:val="1"/>
      <w:marLeft w:val="0"/>
      <w:marRight w:val="0"/>
      <w:marTop w:val="0"/>
      <w:marBottom w:val="0"/>
      <w:divBdr>
        <w:top w:val="none" w:sz="0" w:space="0" w:color="auto"/>
        <w:left w:val="none" w:sz="0" w:space="0" w:color="auto"/>
        <w:bottom w:val="none" w:sz="0" w:space="0" w:color="auto"/>
        <w:right w:val="none" w:sz="0" w:space="0" w:color="auto"/>
      </w:divBdr>
    </w:div>
    <w:div w:id="1565338898">
      <w:bodyDiv w:val="1"/>
      <w:marLeft w:val="0"/>
      <w:marRight w:val="0"/>
      <w:marTop w:val="0"/>
      <w:marBottom w:val="0"/>
      <w:divBdr>
        <w:top w:val="none" w:sz="0" w:space="0" w:color="auto"/>
        <w:left w:val="none" w:sz="0" w:space="0" w:color="auto"/>
        <w:bottom w:val="none" w:sz="0" w:space="0" w:color="auto"/>
        <w:right w:val="none" w:sz="0" w:space="0" w:color="auto"/>
      </w:divBdr>
    </w:div>
    <w:div w:id="1615363635">
      <w:bodyDiv w:val="1"/>
      <w:marLeft w:val="0"/>
      <w:marRight w:val="0"/>
      <w:marTop w:val="0"/>
      <w:marBottom w:val="0"/>
      <w:divBdr>
        <w:top w:val="none" w:sz="0" w:space="0" w:color="auto"/>
        <w:left w:val="none" w:sz="0" w:space="0" w:color="auto"/>
        <w:bottom w:val="none" w:sz="0" w:space="0" w:color="auto"/>
        <w:right w:val="none" w:sz="0" w:space="0" w:color="auto"/>
      </w:divBdr>
    </w:div>
    <w:div w:id="1704331189">
      <w:bodyDiv w:val="1"/>
      <w:marLeft w:val="0"/>
      <w:marRight w:val="0"/>
      <w:marTop w:val="0"/>
      <w:marBottom w:val="0"/>
      <w:divBdr>
        <w:top w:val="none" w:sz="0" w:space="0" w:color="auto"/>
        <w:left w:val="none" w:sz="0" w:space="0" w:color="auto"/>
        <w:bottom w:val="none" w:sz="0" w:space="0" w:color="auto"/>
        <w:right w:val="none" w:sz="0" w:space="0" w:color="auto"/>
      </w:divBdr>
    </w:div>
    <w:div w:id="1714037786">
      <w:bodyDiv w:val="1"/>
      <w:marLeft w:val="0"/>
      <w:marRight w:val="0"/>
      <w:marTop w:val="0"/>
      <w:marBottom w:val="0"/>
      <w:divBdr>
        <w:top w:val="none" w:sz="0" w:space="0" w:color="auto"/>
        <w:left w:val="none" w:sz="0" w:space="0" w:color="auto"/>
        <w:bottom w:val="none" w:sz="0" w:space="0" w:color="auto"/>
        <w:right w:val="none" w:sz="0" w:space="0" w:color="auto"/>
      </w:divBdr>
    </w:div>
    <w:div w:id="1941177320">
      <w:bodyDiv w:val="1"/>
      <w:marLeft w:val="0"/>
      <w:marRight w:val="0"/>
      <w:marTop w:val="0"/>
      <w:marBottom w:val="0"/>
      <w:divBdr>
        <w:top w:val="none" w:sz="0" w:space="0" w:color="auto"/>
        <w:left w:val="none" w:sz="0" w:space="0" w:color="auto"/>
        <w:bottom w:val="none" w:sz="0" w:space="0" w:color="auto"/>
        <w:right w:val="none" w:sz="0" w:space="0" w:color="auto"/>
      </w:divBdr>
    </w:div>
    <w:div w:id="20260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la.org/units/cch/" TargetMode="External"/><Relationship Id="rId18" Type="http://schemas.openxmlformats.org/officeDocument/2006/relationships/hyperlink" Target="http://repository.ifla.org/handle/123456789/731" TargetMode="External"/><Relationship Id="rId26" Type="http://schemas.openxmlformats.org/officeDocument/2006/relationships/hyperlink" Target="https://www.ifla.org/news/resiliart-x-mondiacult-library-voices-joining-the-global-conversation-on-cultural-rights/" TargetMode="External"/><Relationship Id="rId39" Type="http://schemas.openxmlformats.org/officeDocument/2006/relationships/hyperlink" Target="https://culture2030goal.net/" TargetMode="External"/><Relationship Id="rId21" Type="http://schemas.openxmlformats.org/officeDocument/2006/relationships/hyperlink" Target="https://www.ifla.org/units/lgbtq/" TargetMode="External"/><Relationship Id="rId34" Type="http://schemas.openxmlformats.org/officeDocument/2006/relationships/hyperlink" Target="https://www.ifla.org/g/public-libraries/public-library-manifesto/" TargetMode="External"/><Relationship Id="rId42" Type="http://schemas.openxmlformats.org/officeDocument/2006/relationships/hyperlink" Target="https://culture2030goal.net/" TargetMode="External"/><Relationship Id="rId47" Type="http://schemas.openxmlformats.org/officeDocument/2006/relationships/hyperlink" Target="https://www.ifla.org/news/looking-ahead-at-climate-action-in-2022/"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fla.org/publications/ifla-unesco-manifesto-for-digital-libraries/" TargetMode="External"/><Relationship Id="rId29" Type="http://schemas.openxmlformats.org/officeDocument/2006/relationships/hyperlink" Target="https://www.ifla.org/units/lpd/" TargetMode="External"/><Relationship Id="rId11" Type="http://schemas.openxmlformats.org/officeDocument/2006/relationships/hyperlink" Target="https://cdn.ifla.org/wp-content/uploads/ifla-statutes_2021-08-26_en.pdf" TargetMode="External"/><Relationship Id="rId24" Type="http://schemas.openxmlformats.org/officeDocument/2006/relationships/hyperlink" Target="https://www.ifla.org/news/why-the-right-of-access-to-information-matters-for-development/" TargetMode="External"/><Relationship Id="rId32" Type="http://schemas.openxmlformats.org/officeDocument/2006/relationships/hyperlink" Target="https://repository.ifla.org/bitstream/123456789/2538/1/ifla-guidelines-for-library-services-to-prisoners_4th_ed-en.pdf" TargetMode="External"/><Relationship Id="rId37" Type="http://schemas.openxmlformats.org/officeDocument/2006/relationships/hyperlink" Target="https://repository.ifla.org/handle/123456789/2030" TargetMode="External"/><Relationship Id="rId40" Type="http://schemas.openxmlformats.org/officeDocument/2006/relationships/hyperlink" Target="https://www.ifla.org/news/time-to-deliver-culture-2030-goal-campaign-statement-on-the-follow-up-to-mondiacult-2022/" TargetMode="External"/><Relationship Id="rId45" Type="http://schemas.openxmlformats.org/officeDocument/2006/relationships/hyperlink" Target="https://www.climateheritage.org" TargetMode="External"/><Relationship Id="rId5" Type="http://schemas.openxmlformats.org/officeDocument/2006/relationships/webSettings" Target="webSettings.xml"/><Relationship Id="rId15" Type="http://schemas.openxmlformats.org/officeDocument/2006/relationships/hyperlink" Target="https://www.ifla.org/ifla-unesco-multicultural-library-manifesto/" TargetMode="External"/><Relationship Id="rId23" Type="http://schemas.openxmlformats.org/officeDocument/2006/relationships/hyperlink" Target="https://www.ifla.org/news/ifla-report-copyright-cross-border-challenges-in-preservation/" TargetMode="External"/><Relationship Id="rId28" Type="http://schemas.openxmlformats.org/officeDocument/2006/relationships/hyperlink" Target="https://www.ifla.org/news/ifla-brought-the-voice-of-libraries-to-the-unesco-world-conference-on-cultural-policies-and-sustainable-development-mondiacult-2022/" TargetMode="External"/><Relationship Id="rId36" Type="http://schemas.openxmlformats.org/officeDocument/2006/relationships/hyperlink" Target="https://www.ifla.org/news/10-years-of-the-ifla-open-access-statement-a-call-to-action/" TargetMode="External"/><Relationship Id="rId49" Type="http://schemas.openxmlformats.org/officeDocument/2006/relationships/hyperlink" Target="https://librarymap.ifla.org/stories" TargetMode="External"/><Relationship Id="rId10" Type="http://schemas.openxmlformats.org/officeDocument/2006/relationships/hyperlink" Target="mailto:claire.mcguire@ifla.org" TargetMode="External"/><Relationship Id="rId19" Type="http://schemas.openxmlformats.org/officeDocument/2006/relationships/hyperlink" Target="https://repository.ifla.org/handle/123456789/2573" TargetMode="External"/><Relationship Id="rId31" Type="http://schemas.openxmlformats.org/officeDocument/2006/relationships/hyperlink" Target="https://www.ifla.org/units/lsn/" TargetMode="External"/><Relationship Id="rId44" Type="http://schemas.openxmlformats.org/officeDocument/2006/relationships/hyperlink" Target="https://culture2030goal.net/sites/default/files/2023-02/culture2030goal_Culture%20Goal%20-%20ENG.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fla.org/" TargetMode="External"/><Relationship Id="rId14" Type="http://schemas.openxmlformats.org/officeDocument/2006/relationships/hyperlink" Target="https://www.bing.com/search?q=public+library+amnifesto&amp;cvid=0c6ea0d1c6c348179d8629283a223353&amp;aqs=edge..69i57j0l3.2856j0j4&amp;FORM=ANAB01&amp;PC=DCTS" TargetMode="External"/><Relationship Id="rId22" Type="http://schemas.openxmlformats.org/officeDocument/2006/relationships/hyperlink" Target="https://www.ifla.org/pac-qatar/" TargetMode="External"/><Relationship Id="rId27" Type="http://schemas.openxmlformats.org/officeDocument/2006/relationships/hyperlink" Target="https://repository.ifla.org/handle/123456789/1911" TargetMode="External"/><Relationship Id="rId30" Type="http://schemas.openxmlformats.org/officeDocument/2006/relationships/hyperlink" Target="https://repository.ifla.org/handle/123456789/2496" TargetMode="External"/><Relationship Id="rId35" Type="http://schemas.openxmlformats.org/officeDocument/2006/relationships/hyperlink" Target="https://www.ifla.org/units/clm/" TargetMode="External"/><Relationship Id="rId43" Type="http://schemas.openxmlformats.org/officeDocument/2006/relationships/hyperlink" Target="https://culture2030goal.net/sites/default/files/2023-03/EN_culture2030goal_declaration%20CultureGoalMondiacult_0.pdf" TargetMode="External"/><Relationship Id="rId48" Type="http://schemas.openxmlformats.org/officeDocument/2006/relationships/hyperlink" Target="https://www.ifla.org/regional-divisions/"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fla.org/units/faife/" TargetMode="External"/><Relationship Id="rId17" Type="http://schemas.openxmlformats.org/officeDocument/2006/relationships/hyperlink" Target="https://www.ifla.org/units/mcultp/" TargetMode="External"/><Relationship Id="rId25" Type="http://schemas.openxmlformats.org/officeDocument/2006/relationships/hyperlink" Target="https://www.ifla.org/news/key-discussions-at-the-16th-session-of-the-intergovernmental-committee-for-the-protection-and-promotion-of-the-diversity-of-cultural-expressions/" TargetMode="External"/><Relationship Id="rId33" Type="http://schemas.openxmlformats.org/officeDocument/2006/relationships/hyperlink" Target="https://www.ifla.org/news/libraries-essential-in-providing-evidence-for-sustainable-development/" TargetMode="External"/><Relationship Id="rId38" Type="http://schemas.openxmlformats.org/officeDocument/2006/relationships/hyperlink" Target="https://www.ifla.org/news/out-now-october-2021-issue-of-ifla-journal-special-issue-on-indigenous-librarianship/" TargetMode="External"/><Relationship Id="rId46" Type="http://schemas.openxmlformats.org/officeDocument/2006/relationships/hyperlink" Target="https://www.climateheritage.org/actionplan" TargetMode="External"/><Relationship Id="rId20" Type="http://schemas.openxmlformats.org/officeDocument/2006/relationships/hyperlink" Target="https://www.ifla.org/units/indigenous-matters/" TargetMode="External"/><Relationship Id="rId41" Type="http://schemas.openxmlformats.org/officeDocument/2006/relationships/hyperlink" Target="https://www.ifla.org/news/libraries-inspire-transcription-of-the-session-with-professor-karima-bennoun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AB9D-86C7-4FE8-944E-01CBB824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3136</Words>
  <Characters>17880</Characters>
  <Application>Microsoft Office Word</Application>
  <DocSecurity>0</DocSecurity>
  <Lines>149</Lines>
  <Paragraphs>41</Paragraphs>
  <ScaleCrop>false</ScaleCrop>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McGuire</dc:creator>
  <cp:keywords/>
  <dc:description/>
  <cp:lastModifiedBy>Claire McGuire</cp:lastModifiedBy>
  <cp:revision>394</cp:revision>
  <dcterms:created xsi:type="dcterms:W3CDTF">2023-04-06T18:46:00Z</dcterms:created>
  <dcterms:modified xsi:type="dcterms:W3CDTF">2023-04-13T15:35:00Z</dcterms:modified>
</cp:coreProperties>
</file>