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val="en-GB" w:eastAsia="en-GB"/>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A484993" w14:textId="1FAF6F03" w:rsidR="002F3E43" w:rsidRPr="002F3E43" w:rsidRDefault="005977B1" w:rsidP="002F3E43">
      <w:pPr>
        <w:spacing w:after="0" w:line="360" w:lineRule="auto"/>
        <w:jc w:val="center"/>
        <w:rPr>
          <w:rFonts w:ascii="Times New Roman" w:hAnsi="Times New Roman" w:cs="Times New Roman"/>
          <w:b/>
          <w:i/>
          <w:sz w:val="48"/>
          <w:szCs w:val="48"/>
          <w:lang w:val="en-US"/>
        </w:rPr>
      </w:pPr>
      <w:r>
        <w:rPr>
          <w:rFonts w:ascii="Times New Roman" w:hAnsi="Times New Roman" w:cs="Times New Roman"/>
          <w:b/>
          <w:i/>
          <w:sz w:val="48"/>
          <w:szCs w:val="48"/>
          <w:lang w:val="en-US"/>
        </w:rPr>
        <w:t xml:space="preserve">Reply </w:t>
      </w:r>
      <w:r w:rsidR="002F3E43">
        <w:rPr>
          <w:rFonts w:ascii="Times New Roman" w:hAnsi="Times New Roman" w:cs="Times New Roman"/>
          <w:b/>
          <w:i/>
          <w:sz w:val="48"/>
          <w:szCs w:val="48"/>
          <w:lang w:val="en-US"/>
        </w:rPr>
        <w:t>pursuant to HRC r</w:t>
      </w:r>
      <w:r w:rsidR="002F3E43" w:rsidRPr="002F3E43">
        <w:rPr>
          <w:rFonts w:ascii="Times New Roman" w:hAnsi="Times New Roman" w:cs="Times New Roman"/>
          <w:b/>
          <w:i/>
          <w:sz w:val="48"/>
          <w:szCs w:val="48"/>
          <w:lang w:val="en-US"/>
        </w:rPr>
        <w:t>esolution 50</w:t>
      </w:r>
      <w:r w:rsidR="002F3E43">
        <w:rPr>
          <w:rFonts w:ascii="Times New Roman" w:hAnsi="Times New Roman" w:cs="Times New Roman"/>
          <w:b/>
          <w:i/>
          <w:sz w:val="48"/>
          <w:szCs w:val="48"/>
          <w:lang w:val="en-US"/>
        </w:rPr>
        <w:t>/</w:t>
      </w:r>
      <w:r w:rsidR="002F3E43" w:rsidRPr="002F3E43">
        <w:rPr>
          <w:rFonts w:ascii="Times New Roman" w:hAnsi="Times New Roman" w:cs="Times New Roman"/>
          <w:b/>
          <w:i/>
          <w:sz w:val="48"/>
          <w:szCs w:val="48"/>
          <w:lang w:val="en-US"/>
        </w:rPr>
        <w:t>9 of 7 July</w:t>
      </w:r>
    </w:p>
    <w:p w14:paraId="21D5B43E" w14:textId="79363C85" w:rsidR="006F6DF7" w:rsidRPr="00DE74CB" w:rsidRDefault="002F3E43" w:rsidP="002F3E43">
      <w:pPr>
        <w:spacing w:after="0" w:line="360" w:lineRule="auto"/>
        <w:jc w:val="center"/>
        <w:rPr>
          <w:rFonts w:ascii="Times New Roman" w:hAnsi="Times New Roman" w:cs="Times New Roman"/>
          <w:bCs/>
          <w:i/>
          <w:iCs/>
          <w:sz w:val="36"/>
          <w:szCs w:val="36"/>
          <w:lang w:val="en-US"/>
        </w:rPr>
      </w:pPr>
      <w:r w:rsidRPr="002F3E43">
        <w:rPr>
          <w:rFonts w:ascii="Times New Roman" w:hAnsi="Times New Roman" w:cs="Times New Roman"/>
          <w:b/>
          <w:i/>
          <w:sz w:val="48"/>
          <w:szCs w:val="48"/>
          <w:lang w:val="en-US"/>
        </w:rPr>
        <w:t>2022 entitled “Human Rights and Climate Change</w:t>
      </w:r>
      <w:r w:rsidR="00803EF3">
        <w:rPr>
          <w:rFonts w:ascii="Times New Roman" w:hAnsi="Times New Roman" w:cs="Times New Roman"/>
          <w:b/>
          <w:i/>
          <w:sz w:val="48"/>
          <w:szCs w:val="48"/>
          <w:lang w:val="en-US"/>
        </w:rPr>
        <w:t>”</w:t>
      </w: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12FEF82E" w14:textId="5A83AA1E" w:rsidR="006E244E" w:rsidRDefault="006E244E" w:rsidP="006F6DF7">
      <w:pPr>
        <w:jc w:val="center"/>
        <w:rPr>
          <w:rFonts w:ascii="Times New Roman" w:hAnsi="Times New Roman" w:cs="Times New Roman"/>
          <w:b/>
          <w:bCs/>
          <w:i/>
          <w:iCs/>
          <w:sz w:val="36"/>
          <w:szCs w:val="36"/>
          <w:lang w:val="en-US"/>
        </w:rPr>
      </w:pPr>
    </w:p>
    <w:p w14:paraId="08221D97" w14:textId="1FD5D16B" w:rsidR="006E244E" w:rsidRDefault="006E244E" w:rsidP="006F6DF7">
      <w:pPr>
        <w:jc w:val="center"/>
        <w:rPr>
          <w:rFonts w:ascii="Times New Roman" w:hAnsi="Times New Roman" w:cs="Times New Roman"/>
          <w:b/>
          <w:bCs/>
          <w:i/>
          <w:iCs/>
          <w:sz w:val="36"/>
          <w:szCs w:val="36"/>
          <w:lang w:val="en-US"/>
        </w:rPr>
      </w:pPr>
    </w:p>
    <w:p w14:paraId="271DCC13" w14:textId="5C6402FD" w:rsidR="006F6DF7" w:rsidRDefault="002F3E43" w:rsidP="006F6DF7">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December</w:t>
      </w:r>
      <w:r w:rsidR="002525C9">
        <w:rPr>
          <w:rFonts w:ascii="Times New Roman" w:hAnsi="Times New Roman" w:cs="Times New Roman"/>
          <w:b/>
          <w:bCs/>
          <w:i/>
          <w:iCs/>
          <w:sz w:val="36"/>
          <w:szCs w:val="36"/>
          <w:lang w:val="en-US"/>
        </w:rPr>
        <w:t xml:space="preserve"> 2022</w:t>
      </w:r>
    </w:p>
    <w:p w14:paraId="03D38D90" w14:textId="65EA8522" w:rsidR="002F3E43" w:rsidRDefault="002F3E43" w:rsidP="006F6DF7">
      <w:pPr>
        <w:jc w:val="center"/>
        <w:rPr>
          <w:rFonts w:ascii="Times New Roman" w:hAnsi="Times New Roman" w:cs="Times New Roman"/>
          <w:b/>
          <w:bCs/>
          <w:i/>
          <w:iCs/>
          <w:sz w:val="36"/>
          <w:szCs w:val="36"/>
          <w:lang w:val="en-US"/>
        </w:rPr>
      </w:pPr>
    </w:p>
    <w:p w14:paraId="71024F8D" w14:textId="00B2CB23" w:rsidR="002F3E43" w:rsidRDefault="002F3E43" w:rsidP="006F6DF7">
      <w:pPr>
        <w:jc w:val="center"/>
        <w:rPr>
          <w:rFonts w:ascii="Times New Roman" w:hAnsi="Times New Roman" w:cs="Times New Roman"/>
          <w:b/>
          <w:bCs/>
          <w:i/>
          <w:iCs/>
          <w:sz w:val="36"/>
          <w:szCs w:val="36"/>
          <w:lang w:val="en-US"/>
        </w:rPr>
      </w:pPr>
    </w:p>
    <w:p w14:paraId="6627BB61" w14:textId="77777777" w:rsidR="002F3E43" w:rsidRDefault="002F3E43" w:rsidP="006F6DF7">
      <w:pPr>
        <w:jc w:val="center"/>
        <w:rPr>
          <w:rFonts w:ascii="Times New Roman" w:hAnsi="Times New Roman" w:cs="Times New Roman"/>
          <w:b/>
          <w:bCs/>
          <w:i/>
          <w:iCs/>
          <w:sz w:val="36"/>
          <w:szCs w:val="36"/>
          <w:lang w:val="en-US"/>
        </w:rPr>
      </w:pPr>
    </w:p>
    <w:p w14:paraId="40BEC382" w14:textId="77777777" w:rsidR="00930BDC" w:rsidRPr="00BF5868" w:rsidRDefault="00930BDC" w:rsidP="006F6DF7">
      <w:pPr>
        <w:jc w:val="center"/>
        <w:rPr>
          <w:lang w:val="en-GB"/>
        </w:rPr>
      </w:pPr>
    </w:p>
    <w:p w14:paraId="29D2142B" w14:textId="77777777" w:rsidR="006F6DF7" w:rsidRDefault="006F6DF7" w:rsidP="006F6DF7">
      <w:pPr>
        <w:spacing w:after="0" w:line="240" w:lineRule="auto"/>
        <w:jc w:val="center"/>
        <w:rPr>
          <w:b/>
          <w:sz w:val="28"/>
          <w:szCs w:val="28"/>
          <w:u w:val="single"/>
        </w:rPr>
      </w:pPr>
      <w:r>
        <w:rPr>
          <w:i/>
          <w:noProof/>
          <w:sz w:val="28"/>
          <w:szCs w:val="28"/>
          <w:lang w:val="en-GB" w:eastAsia="en-GB"/>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2554588F" w14:textId="77777777" w:rsidR="002F3E43" w:rsidRPr="002F3E43" w:rsidRDefault="002F3E43" w:rsidP="002F3E43">
      <w:pPr>
        <w:spacing w:after="0" w:line="360" w:lineRule="auto"/>
        <w:ind w:firstLine="567"/>
        <w:jc w:val="center"/>
        <w:rPr>
          <w:rFonts w:ascii="Times New Roman" w:hAnsi="Times New Roman" w:cs="Times New Roman"/>
          <w:b/>
          <w:sz w:val="28"/>
          <w:szCs w:val="28"/>
          <w:lang w:val="en-US"/>
        </w:rPr>
      </w:pPr>
      <w:r w:rsidRPr="002F3E43">
        <w:rPr>
          <w:rFonts w:ascii="Times New Roman" w:hAnsi="Times New Roman" w:cs="Times New Roman"/>
          <w:b/>
          <w:sz w:val="28"/>
          <w:szCs w:val="28"/>
          <w:lang w:val="en-US"/>
        </w:rPr>
        <w:t>Reply pursuant to HRC resolution 50/9 of 7 July</w:t>
      </w:r>
    </w:p>
    <w:p w14:paraId="1E8DFA58" w14:textId="6A14D534" w:rsidR="0011533B" w:rsidRDefault="002F3E43" w:rsidP="002F3E43">
      <w:pPr>
        <w:spacing w:after="0" w:line="360" w:lineRule="auto"/>
        <w:ind w:firstLine="567"/>
        <w:jc w:val="center"/>
        <w:rPr>
          <w:rFonts w:ascii="Times New Roman" w:hAnsi="Times New Roman" w:cs="Times New Roman"/>
          <w:b/>
          <w:sz w:val="28"/>
          <w:szCs w:val="28"/>
          <w:lang w:val="en-US"/>
        </w:rPr>
      </w:pPr>
      <w:r w:rsidRPr="002F3E43">
        <w:rPr>
          <w:rFonts w:ascii="Times New Roman" w:hAnsi="Times New Roman" w:cs="Times New Roman"/>
          <w:b/>
          <w:sz w:val="28"/>
          <w:szCs w:val="28"/>
          <w:lang w:val="en-US"/>
        </w:rPr>
        <w:t>2022 entitled “ Human Rights and Climate Change</w:t>
      </w:r>
      <w:r w:rsidR="00803EF3">
        <w:rPr>
          <w:rFonts w:ascii="Times New Roman" w:hAnsi="Times New Roman" w:cs="Times New Roman"/>
          <w:b/>
          <w:sz w:val="28"/>
          <w:szCs w:val="28"/>
          <w:lang w:val="en-US"/>
        </w:rPr>
        <w:t>”</w:t>
      </w:r>
    </w:p>
    <w:p w14:paraId="6B175BCF" w14:textId="77777777" w:rsidR="002F3E43" w:rsidRDefault="002F3E43" w:rsidP="002F3E43">
      <w:pPr>
        <w:spacing w:after="0" w:line="360" w:lineRule="auto"/>
        <w:ind w:firstLine="567"/>
        <w:jc w:val="both"/>
        <w:rPr>
          <w:rFonts w:ascii="Times New Roman" w:hAnsi="Times New Roman" w:cs="Times New Roman"/>
          <w:lang w:val="en-US"/>
        </w:rPr>
      </w:pPr>
    </w:p>
    <w:p w14:paraId="3579A502" w14:textId="5C08C45F" w:rsidR="006F6DF7" w:rsidRDefault="00BF5868"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1C655E" w:rsidRPr="001C655E">
        <w:rPr>
          <w:rFonts w:ascii="Times New Roman" w:hAnsi="Times New Roman" w:cs="Times New Roman"/>
          <w:lang w:val="en-US"/>
        </w:rPr>
        <w:t>Office of the United Nations High Commissioner for Human Rights</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 xml:space="preserve">the following </w:t>
      </w:r>
      <w:r w:rsidR="000F3DC5">
        <w:rPr>
          <w:rFonts w:ascii="Times New Roman" w:hAnsi="Times New Roman" w:cs="Times New Roman"/>
          <w:lang w:val="en-US"/>
        </w:rPr>
        <w:t>contribution</w:t>
      </w:r>
      <w:r w:rsidR="002525C9">
        <w:rPr>
          <w:rFonts w:ascii="Times New Roman" w:hAnsi="Times New Roman" w:cs="Times New Roman"/>
          <w:lang w:val="en-US"/>
        </w:rPr>
        <w:t>.</w:t>
      </w:r>
    </w:p>
    <w:p w14:paraId="57625C7B" w14:textId="77777777" w:rsidR="005977B1" w:rsidRDefault="005977B1" w:rsidP="006F6DF7">
      <w:pPr>
        <w:spacing w:after="0" w:line="360" w:lineRule="auto"/>
        <w:ind w:firstLine="567"/>
        <w:jc w:val="both"/>
        <w:rPr>
          <w:rFonts w:ascii="Times New Roman" w:hAnsi="Times New Roman" w:cs="Times New Roman"/>
          <w:lang w:val="en-US"/>
        </w:rPr>
      </w:pPr>
    </w:p>
    <w:p w14:paraId="3AF841CB" w14:textId="26D262AE" w:rsidR="00A16594" w:rsidRPr="00A16594" w:rsidRDefault="00A16594" w:rsidP="00A16594">
      <w:pPr>
        <w:spacing w:after="0" w:line="360" w:lineRule="auto"/>
        <w:ind w:firstLine="567"/>
        <w:jc w:val="both"/>
        <w:rPr>
          <w:rFonts w:ascii="Times New Roman" w:hAnsi="Times New Roman" w:cs="Times New Roman"/>
          <w:lang w:val="en-GB"/>
        </w:rPr>
      </w:pPr>
      <w:r w:rsidRPr="00A16594">
        <w:rPr>
          <w:rFonts w:ascii="Times New Roman" w:hAnsi="Times New Roman" w:cs="Times New Roman"/>
          <w:lang w:val="en-GB"/>
        </w:rPr>
        <w:t xml:space="preserve">On a general note, as far as </w:t>
      </w:r>
      <w:r w:rsidRPr="0080570D">
        <w:rPr>
          <w:rFonts w:ascii="Times New Roman" w:hAnsi="Times New Roman" w:cs="Times New Roman"/>
          <w:b/>
          <w:bCs/>
          <w:lang w:val="en-GB"/>
        </w:rPr>
        <w:t>c</w:t>
      </w:r>
      <w:r w:rsidR="002F3E43" w:rsidRPr="0080570D">
        <w:rPr>
          <w:rFonts w:ascii="Times New Roman" w:hAnsi="Times New Roman" w:cs="Times New Roman"/>
          <w:b/>
          <w:bCs/>
          <w:lang w:val="en-GB"/>
        </w:rPr>
        <w:t>limate change</w:t>
      </w:r>
      <w:r w:rsidR="002F3E43" w:rsidRPr="00A16594">
        <w:rPr>
          <w:rFonts w:ascii="Times New Roman" w:hAnsi="Times New Roman" w:cs="Times New Roman"/>
          <w:lang w:val="en-GB"/>
        </w:rPr>
        <w:t xml:space="preserve"> in Italy</w:t>
      </w:r>
      <w:r w:rsidRPr="00A16594">
        <w:rPr>
          <w:lang w:val="en-GB"/>
        </w:rPr>
        <w:t xml:space="preserve"> </w:t>
      </w:r>
      <w:r>
        <w:rPr>
          <w:lang w:val="en-GB"/>
        </w:rPr>
        <w:t>o</w:t>
      </w:r>
      <w:r w:rsidRPr="00A16594">
        <w:rPr>
          <w:rFonts w:ascii="Times New Roman" w:hAnsi="Times New Roman" w:cs="Times New Roman"/>
          <w:lang w:val="en-GB"/>
        </w:rPr>
        <w:t xml:space="preserve">n 31 December 2019, the final text of Italy's </w:t>
      </w:r>
      <w:r>
        <w:rPr>
          <w:rFonts w:ascii="Times New Roman" w:hAnsi="Times New Roman" w:cs="Times New Roman"/>
          <w:lang w:val="en-GB"/>
        </w:rPr>
        <w:t>National Integrated Plan for Energy and Climate (</w:t>
      </w:r>
      <w:r w:rsidRPr="00AD5902">
        <w:rPr>
          <w:rFonts w:ascii="Times New Roman" w:hAnsi="Times New Roman" w:cs="Times New Roman"/>
          <w:i/>
          <w:iCs/>
          <w:lang w:val="en-GB"/>
        </w:rPr>
        <w:t>Piano Nazionale Integrato per l</w:t>
      </w:r>
      <w:r w:rsidR="00AD5902">
        <w:rPr>
          <w:rFonts w:ascii="Times New Roman" w:hAnsi="Times New Roman" w:cs="Times New Roman"/>
          <w:i/>
          <w:iCs/>
          <w:lang w:val="en-GB"/>
        </w:rPr>
        <w:t>’</w:t>
      </w:r>
      <w:r w:rsidRPr="00AD5902">
        <w:rPr>
          <w:rFonts w:ascii="Times New Roman" w:hAnsi="Times New Roman" w:cs="Times New Roman"/>
          <w:i/>
          <w:iCs/>
          <w:lang w:val="en-GB"/>
        </w:rPr>
        <w:t>Energia e il Clima</w:t>
      </w:r>
      <w:r w:rsidRPr="00A16594">
        <w:rPr>
          <w:rFonts w:ascii="Times New Roman" w:hAnsi="Times New Roman" w:cs="Times New Roman"/>
          <w:lang w:val="en-GB"/>
        </w:rPr>
        <w:t xml:space="preserve"> </w:t>
      </w:r>
      <w:r>
        <w:rPr>
          <w:rFonts w:ascii="Times New Roman" w:hAnsi="Times New Roman" w:cs="Times New Roman"/>
          <w:lang w:val="en-GB"/>
        </w:rPr>
        <w:t xml:space="preserve">– </w:t>
      </w:r>
      <w:r w:rsidRPr="00A16594">
        <w:rPr>
          <w:rFonts w:ascii="Times New Roman" w:hAnsi="Times New Roman" w:cs="Times New Roman"/>
          <w:lang w:val="en-GB"/>
        </w:rPr>
        <w:t>PNIEC</w:t>
      </w:r>
      <w:r>
        <w:rPr>
          <w:rFonts w:ascii="Times New Roman" w:hAnsi="Times New Roman" w:cs="Times New Roman"/>
          <w:lang w:val="en-GB"/>
        </w:rPr>
        <w:t>)</w:t>
      </w:r>
      <w:r w:rsidRPr="00A16594">
        <w:rPr>
          <w:rFonts w:ascii="Times New Roman" w:hAnsi="Times New Roman" w:cs="Times New Roman"/>
          <w:lang w:val="en-GB"/>
        </w:rPr>
        <w:t xml:space="preserve"> was sent to the </w:t>
      </w:r>
      <w:r>
        <w:rPr>
          <w:rFonts w:ascii="Times New Roman" w:hAnsi="Times New Roman" w:cs="Times New Roman"/>
          <w:lang w:val="en-GB"/>
        </w:rPr>
        <w:t xml:space="preserve">EU </w:t>
      </w:r>
      <w:r w:rsidRPr="00A16594">
        <w:rPr>
          <w:rFonts w:ascii="Times New Roman" w:hAnsi="Times New Roman" w:cs="Times New Roman"/>
          <w:lang w:val="en-GB"/>
        </w:rPr>
        <w:t xml:space="preserve">Commission with a 2030 </w:t>
      </w:r>
      <w:r>
        <w:rPr>
          <w:rFonts w:ascii="Times New Roman" w:hAnsi="Times New Roman" w:cs="Times New Roman"/>
          <w:lang w:val="en-GB"/>
        </w:rPr>
        <w:t xml:space="preserve">timeline: it is intended to </w:t>
      </w:r>
      <w:r w:rsidRPr="00A16594">
        <w:rPr>
          <w:rFonts w:ascii="Times New Roman" w:hAnsi="Times New Roman" w:cs="Times New Roman"/>
          <w:lang w:val="en-GB"/>
        </w:rPr>
        <w:t xml:space="preserve">implement a new energy policy that ensures full environmental, social, and economic sustainability and accompanies this transition. </w:t>
      </w:r>
      <w:r>
        <w:rPr>
          <w:rFonts w:ascii="Times New Roman" w:hAnsi="Times New Roman" w:cs="Times New Roman"/>
          <w:lang w:val="en-GB"/>
        </w:rPr>
        <w:t xml:space="preserve">The EU </w:t>
      </w:r>
      <w:r w:rsidRPr="00A16594">
        <w:rPr>
          <w:rFonts w:ascii="Times New Roman" w:hAnsi="Times New Roman" w:cs="Times New Roman"/>
          <w:lang w:val="en-GB"/>
        </w:rPr>
        <w:t xml:space="preserve">Commission </w:t>
      </w:r>
      <w:r>
        <w:rPr>
          <w:rFonts w:ascii="Times New Roman" w:hAnsi="Times New Roman" w:cs="Times New Roman"/>
          <w:lang w:val="en-GB"/>
        </w:rPr>
        <w:t xml:space="preserve">approved it </w:t>
      </w:r>
      <w:r w:rsidRPr="00A16594">
        <w:rPr>
          <w:rFonts w:ascii="Times New Roman" w:hAnsi="Times New Roman" w:cs="Times New Roman"/>
          <w:lang w:val="en-GB"/>
        </w:rPr>
        <w:t>on 14 October 2020 (SWD(2020)911 final). The Plan is closely related to the projects envisaged in the National Recovery and Resilience Plan and will require</w:t>
      </w:r>
      <w:r>
        <w:rPr>
          <w:rFonts w:ascii="Times New Roman" w:hAnsi="Times New Roman" w:cs="Times New Roman"/>
          <w:lang w:val="en-GB"/>
        </w:rPr>
        <w:t xml:space="preserve"> its</w:t>
      </w:r>
      <w:r w:rsidRPr="00A16594">
        <w:rPr>
          <w:rFonts w:ascii="Times New Roman" w:hAnsi="Times New Roman" w:cs="Times New Roman"/>
          <w:lang w:val="en-GB"/>
        </w:rPr>
        <w:t xml:space="preserve"> updating in 2023.</w:t>
      </w:r>
    </w:p>
    <w:p w14:paraId="6100D47F" w14:textId="77777777" w:rsidR="00A16594" w:rsidRPr="00A16594" w:rsidRDefault="00A16594" w:rsidP="00A16594">
      <w:pPr>
        <w:spacing w:after="0" w:line="360" w:lineRule="auto"/>
        <w:ind w:firstLine="567"/>
        <w:jc w:val="both"/>
        <w:rPr>
          <w:rFonts w:ascii="Times New Roman" w:hAnsi="Times New Roman" w:cs="Times New Roman"/>
          <w:lang w:val="en-GB"/>
        </w:rPr>
      </w:pPr>
    </w:p>
    <w:p w14:paraId="6D7BCE99" w14:textId="0E891C11" w:rsidR="00A16594" w:rsidRPr="00A16594" w:rsidRDefault="00A16594" w:rsidP="00AD5902">
      <w:pPr>
        <w:spacing w:after="0" w:line="360" w:lineRule="auto"/>
        <w:ind w:firstLine="567"/>
        <w:jc w:val="both"/>
        <w:rPr>
          <w:rFonts w:ascii="Times New Roman" w:hAnsi="Times New Roman" w:cs="Times New Roman"/>
          <w:lang w:val="en-GB"/>
        </w:rPr>
      </w:pPr>
      <w:r w:rsidRPr="00A16594">
        <w:rPr>
          <w:rFonts w:ascii="Times New Roman" w:hAnsi="Times New Roman" w:cs="Times New Roman"/>
          <w:lang w:val="en-GB"/>
        </w:rPr>
        <w:t xml:space="preserve">Within the </w:t>
      </w:r>
      <w:r w:rsidRPr="00AD5902">
        <w:rPr>
          <w:rFonts w:ascii="Times New Roman" w:hAnsi="Times New Roman" w:cs="Times New Roman"/>
          <w:b/>
          <w:bCs/>
          <w:lang w:val="en-GB"/>
        </w:rPr>
        <w:t>national legislative framework</w:t>
      </w:r>
      <w:r w:rsidRPr="00A16594">
        <w:rPr>
          <w:rFonts w:ascii="Times New Roman" w:hAnsi="Times New Roman" w:cs="Times New Roman"/>
          <w:lang w:val="en-GB"/>
        </w:rPr>
        <w:t>, it is worth</w:t>
      </w:r>
      <w:r>
        <w:rPr>
          <w:rFonts w:ascii="Times New Roman" w:hAnsi="Times New Roman" w:cs="Times New Roman"/>
          <w:lang w:val="en-GB"/>
        </w:rPr>
        <w:t xml:space="preserve"> of mentioning </w:t>
      </w:r>
      <w:r w:rsidR="00AD5902">
        <w:rPr>
          <w:rFonts w:ascii="Times New Roman" w:hAnsi="Times New Roman" w:cs="Times New Roman"/>
          <w:lang w:val="en-GB"/>
        </w:rPr>
        <w:t>the</w:t>
      </w:r>
      <w:r w:rsidRPr="00A16594">
        <w:rPr>
          <w:rFonts w:ascii="Times New Roman" w:hAnsi="Times New Roman" w:cs="Times New Roman"/>
          <w:lang w:val="en-GB"/>
        </w:rPr>
        <w:t xml:space="preserve"> proposed constitutional law approved on 8 February 2022 by </w:t>
      </w:r>
      <w:r w:rsidR="00AD5902">
        <w:rPr>
          <w:rFonts w:ascii="Times New Roman" w:hAnsi="Times New Roman" w:cs="Times New Roman"/>
          <w:lang w:val="en-GB"/>
        </w:rPr>
        <w:t xml:space="preserve">the Italian </w:t>
      </w:r>
      <w:r w:rsidRPr="00A16594">
        <w:rPr>
          <w:rFonts w:ascii="Times New Roman" w:hAnsi="Times New Roman" w:cs="Times New Roman"/>
          <w:lang w:val="en-GB"/>
        </w:rPr>
        <w:t>Parliament</w:t>
      </w:r>
      <w:r w:rsidR="00AD5902">
        <w:rPr>
          <w:rFonts w:ascii="Times New Roman" w:hAnsi="Times New Roman" w:cs="Times New Roman"/>
          <w:lang w:val="en-GB"/>
        </w:rPr>
        <w:t>: it</w:t>
      </w:r>
      <w:r w:rsidRPr="00A16594">
        <w:rPr>
          <w:rFonts w:ascii="Times New Roman" w:hAnsi="Times New Roman" w:cs="Times New Roman"/>
          <w:lang w:val="en-GB"/>
        </w:rPr>
        <w:t xml:space="preserve"> includes the protection of the environment, biodiversity and ecosystems among the fundamental principles of the</w:t>
      </w:r>
      <w:r w:rsidR="00AD5902">
        <w:rPr>
          <w:rFonts w:ascii="Times New Roman" w:hAnsi="Times New Roman" w:cs="Times New Roman"/>
          <w:lang w:val="en-GB"/>
        </w:rPr>
        <w:t xml:space="preserve"> Italian</w:t>
      </w:r>
      <w:r w:rsidRPr="00A16594">
        <w:rPr>
          <w:rFonts w:ascii="Times New Roman" w:hAnsi="Times New Roman" w:cs="Times New Roman"/>
          <w:lang w:val="en-GB"/>
        </w:rPr>
        <w:t xml:space="preserve"> </w:t>
      </w:r>
      <w:r w:rsidR="00AD5902">
        <w:rPr>
          <w:rFonts w:ascii="Times New Roman" w:hAnsi="Times New Roman" w:cs="Times New Roman"/>
          <w:lang w:val="en-GB"/>
        </w:rPr>
        <w:t xml:space="preserve">Basic Law, amending </w:t>
      </w:r>
      <w:r w:rsidRPr="00A16594">
        <w:rPr>
          <w:rFonts w:ascii="Times New Roman" w:hAnsi="Times New Roman" w:cs="Times New Roman"/>
          <w:lang w:val="en-GB"/>
        </w:rPr>
        <w:t>Articles 9 and 41 and directly affect</w:t>
      </w:r>
      <w:r w:rsidR="00AD5902">
        <w:rPr>
          <w:rFonts w:ascii="Times New Roman" w:hAnsi="Times New Roman" w:cs="Times New Roman"/>
          <w:lang w:val="en-GB"/>
        </w:rPr>
        <w:t>ing</w:t>
      </w:r>
      <w:r w:rsidRPr="00A16594">
        <w:rPr>
          <w:rFonts w:ascii="Times New Roman" w:hAnsi="Times New Roman" w:cs="Times New Roman"/>
          <w:lang w:val="en-GB"/>
        </w:rPr>
        <w:t xml:space="preserve"> the Special Statute</w:t>
      </w:r>
      <w:r w:rsidR="00AD5902">
        <w:rPr>
          <w:rFonts w:ascii="Times New Roman" w:hAnsi="Times New Roman" w:cs="Times New Roman"/>
          <w:lang w:val="en-GB"/>
        </w:rPr>
        <w:t>s</w:t>
      </w:r>
      <w:r w:rsidRPr="00A16594">
        <w:rPr>
          <w:rFonts w:ascii="Times New Roman" w:hAnsi="Times New Roman" w:cs="Times New Roman"/>
          <w:lang w:val="en-GB"/>
        </w:rPr>
        <w:t xml:space="preserve"> </w:t>
      </w:r>
      <w:r w:rsidR="00AD5902">
        <w:rPr>
          <w:rFonts w:ascii="Times New Roman" w:hAnsi="Times New Roman" w:cs="Times New Roman"/>
          <w:lang w:val="en-GB"/>
        </w:rPr>
        <w:t xml:space="preserve">of </w:t>
      </w:r>
      <w:r w:rsidRPr="00A16594">
        <w:rPr>
          <w:rFonts w:ascii="Times New Roman" w:hAnsi="Times New Roman" w:cs="Times New Roman"/>
          <w:lang w:val="en-GB"/>
        </w:rPr>
        <w:t xml:space="preserve">Regions and </w:t>
      </w:r>
      <w:r w:rsidR="00AD5902">
        <w:rPr>
          <w:rFonts w:ascii="Times New Roman" w:hAnsi="Times New Roman" w:cs="Times New Roman"/>
          <w:lang w:val="en-GB"/>
        </w:rPr>
        <w:t xml:space="preserve">of </w:t>
      </w:r>
      <w:r w:rsidRPr="00A16594">
        <w:rPr>
          <w:rFonts w:ascii="Times New Roman" w:hAnsi="Times New Roman" w:cs="Times New Roman"/>
          <w:lang w:val="en-GB"/>
        </w:rPr>
        <w:t>the Autonomous Provinces of Trento and Bolzano</w:t>
      </w:r>
      <w:r w:rsidR="00AD5902">
        <w:rPr>
          <w:rFonts w:ascii="Times New Roman" w:hAnsi="Times New Roman" w:cs="Times New Roman"/>
          <w:lang w:val="en-GB"/>
        </w:rPr>
        <w:t>.</w:t>
      </w:r>
    </w:p>
    <w:p w14:paraId="5A3DF886" w14:textId="320D4A49" w:rsidR="00A16594" w:rsidRPr="00A16594" w:rsidRDefault="00A16594" w:rsidP="00A16594">
      <w:pPr>
        <w:spacing w:after="0" w:line="360" w:lineRule="auto"/>
        <w:ind w:firstLine="567"/>
        <w:jc w:val="both"/>
        <w:rPr>
          <w:rFonts w:ascii="Times New Roman" w:hAnsi="Times New Roman" w:cs="Times New Roman"/>
          <w:lang w:val="en-GB"/>
        </w:rPr>
      </w:pPr>
      <w:r w:rsidRPr="00A16594">
        <w:rPr>
          <w:rFonts w:ascii="Times New Roman" w:hAnsi="Times New Roman" w:cs="Times New Roman"/>
          <w:lang w:val="en-GB"/>
        </w:rPr>
        <w:t>Article 9 is one of the fundamental</w:t>
      </w:r>
      <w:r w:rsidR="00AD5902">
        <w:rPr>
          <w:rFonts w:ascii="Times New Roman" w:hAnsi="Times New Roman" w:cs="Times New Roman"/>
          <w:lang w:val="en-GB"/>
        </w:rPr>
        <w:t xml:space="preserve"> provisions of the Basic Law: i</w:t>
      </w:r>
      <w:r w:rsidRPr="00A16594">
        <w:rPr>
          <w:rFonts w:ascii="Times New Roman" w:hAnsi="Times New Roman" w:cs="Times New Roman"/>
          <w:lang w:val="en-GB"/>
        </w:rPr>
        <w:t xml:space="preserve">t already </w:t>
      </w:r>
      <w:r w:rsidR="00AD5902">
        <w:rPr>
          <w:rFonts w:ascii="Times New Roman" w:hAnsi="Times New Roman" w:cs="Times New Roman"/>
          <w:lang w:val="en-GB"/>
        </w:rPr>
        <w:t xml:space="preserve">envisaged </w:t>
      </w:r>
      <w:r w:rsidRPr="00A16594">
        <w:rPr>
          <w:rFonts w:ascii="Times New Roman" w:hAnsi="Times New Roman" w:cs="Times New Roman"/>
          <w:lang w:val="en-GB"/>
        </w:rPr>
        <w:t>the protection of the nation</w:t>
      </w:r>
      <w:r w:rsidR="00AD5902">
        <w:rPr>
          <w:rFonts w:ascii="Times New Roman" w:hAnsi="Times New Roman" w:cs="Times New Roman"/>
          <w:lang w:val="en-GB"/>
        </w:rPr>
        <w:t xml:space="preserve">al </w:t>
      </w:r>
      <w:r w:rsidRPr="00A16594">
        <w:rPr>
          <w:rFonts w:ascii="Times New Roman" w:hAnsi="Times New Roman" w:cs="Times New Roman"/>
          <w:lang w:val="en-GB"/>
        </w:rPr>
        <w:t>landscape and historical and artistic heritage</w:t>
      </w:r>
      <w:r w:rsidR="00AD5902">
        <w:rPr>
          <w:rFonts w:ascii="Times New Roman" w:hAnsi="Times New Roman" w:cs="Times New Roman"/>
          <w:lang w:val="en-GB"/>
        </w:rPr>
        <w:t>, extending it to t</w:t>
      </w:r>
      <w:r w:rsidRPr="00A16594">
        <w:rPr>
          <w:rFonts w:ascii="Times New Roman" w:hAnsi="Times New Roman" w:cs="Times New Roman"/>
          <w:lang w:val="en-GB"/>
        </w:rPr>
        <w:t>he environment, biodiversity and</w:t>
      </w:r>
      <w:r w:rsidR="00AD5902">
        <w:rPr>
          <w:rFonts w:ascii="Times New Roman" w:hAnsi="Times New Roman" w:cs="Times New Roman"/>
          <w:lang w:val="en-GB"/>
        </w:rPr>
        <w:t xml:space="preserve"> ecosystems; t</w:t>
      </w:r>
      <w:r w:rsidRPr="00A16594">
        <w:rPr>
          <w:rFonts w:ascii="Times New Roman" w:hAnsi="Times New Roman" w:cs="Times New Roman"/>
          <w:lang w:val="en-GB"/>
        </w:rPr>
        <w:t>he amendment to Article 41, on the other hand, states that health and the environment are paradigms to be protected by the economy, on a par with security, freedom and human dignity</w:t>
      </w:r>
      <w:r w:rsidR="00AD5902">
        <w:rPr>
          <w:rFonts w:ascii="Times New Roman" w:hAnsi="Times New Roman" w:cs="Times New Roman"/>
          <w:lang w:val="en-GB"/>
        </w:rPr>
        <w:t>; it further</w:t>
      </w:r>
      <w:r w:rsidRPr="00A16594">
        <w:rPr>
          <w:rFonts w:ascii="Times New Roman" w:hAnsi="Times New Roman" w:cs="Times New Roman"/>
          <w:lang w:val="en-GB"/>
        </w:rPr>
        <w:t xml:space="preserve"> enshrines how institutions, through laws, programmes and </w:t>
      </w:r>
      <w:r w:rsidR="00AD5902">
        <w:rPr>
          <w:rFonts w:ascii="Times New Roman" w:hAnsi="Times New Roman" w:cs="Times New Roman"/>
          <w:lang w:val="en-GB"/>
        </w:rPr>
        <w:t>monitoring activities</w:t>
      </w:r>
      <w:r w:rsidRPr="00A16594">
        <w:rPr>
          <w:rFonts w:ascii="Times New Roman" w:hAnsi="Times New Roman" w:cs="Times New Roman"/>
          <w:lang w:val="en-GB"/>
        </w:rPr>
        <w:t>, can direct public and private economic initiative not only towards social but also environmental ends.</w:t>
      </w:r>
    </w:p>
    <w:p w14:paraId="16740E8A" w14:textId="77777777" w:rsidR="00A16594" w:rsidRPr="00A16594" w:rsidRDefault="00A16594" w:rsidP="00A16594">
      <w:pPr>
        <w:spacing w:after="0" w:line="360" w:lineRule="auto"/>
        <w:ind w:firstLine="567"/>
        <w:jc w:val="both"/>
        <w:rPr>
          <w:rFonts w:ascii="Times New Roman" w:hAnsi="Times New Roman" w:cs="Times New Roman"/>
          <w:lang w:val="en-GB"/>
        </w:rPr>
      </w:pPr>
    </w:p>
    <w:p w14:paraId="0A1B5169" w14:textId="6647DC01"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 xml:space="preserve">Concerning comprehensive </w:t>
      </w:r>
      <w:r w:rsidRPr="00AD5902">
        <w:rPr>
          <w:rFonts w:ascii="Times New Roman" w:hAnsi="Times New Roman" w:cs="Times New Roman"/>
          <w:b/>
          <w:bCs/>
          <w:lang w:val="en-GB"/>
        </w:rPr>
        <w:t>policies</w:t>
      </w:r>
      <w:r w:rsidRPr="00AD5902">
        <w:rPr>
          <w:rFonts w:ascii="Times New Roman" w:hAnsi="Times New Roman" w:cs="Times New Roman"/>
          <w:lang w:val="en-GB"/>
        </w:rPr>
        <w:t xml:space="preserve"> in action, to achieving the new target set by the EU Council in December 2020, as part of the Next Generation EU, the </w:t>
      </w:r>
      <w:r>
        <w:rPr>
          <w:rFonts w:ascii="Times New Roman" w:hAnsi="Times New Roman" w:cs="Times New Roman"/>
          <w:lang w:val="en-GB"/>
        </w:rPr>
        <w:t>key policy</w:t>
      </w:r>
      <w:r w:rsidRPr="00AD5902">
        <w:rPr>
          <w:rFonts w:ascii="Times New Roman" w:hAnsi="Times New Roman" w:cs="Times New Roman"/>
          <w:lang w:val="en-GB"/>
        </w:rPr>
        <w:t xml:space="preserve"> to respond to the pandemic crisis caused by Covid-19 is the National Recovery and Resilience Plan (</w:t>
      </w:r>
      <w:r>
        <w:rPr>
          <w:rFonts w:ascii="Times New Roman" w:hAnsi="Times New Roman" w:cs="Times New Roman"/>
          <w:lang w:val="en-GB"/>
        </w:rPr>
        <w:t>NRRP</w:t>
      </w:r>
      <w:r w:rsidRPr="00AD5902">
        <w:rPr>
          <w:rFonts w:ascii="Times New Roman" w:hAnsi="Times New Roman" w:cs="Times New Roman"/>
          <w:lang w:val="en-GB"/>
        </w:rPr>
        <w:t>)</w:t>
      </w:r>
      <w:r>
        <w:rPr>
          <w:rFonts w:ascii="Times New Roman" w:hAnsi="Times New Roman" w:cs="Times New Roman"/>
          <w:lang w:val="en-GB"/>
        </w:rPr>
        <w:t xml:space="preserve">, adopted on 30 April 2021 and </w:t>
      </w:r>
      <w:r w:rsidRPr="00AD5902">
        <w:rPr>
          <w:rFonts w:ascii="Times New Roman" w:hAnsi="Times New Roman" w:cs="Times New Roman"/>
          <w:lang w:val="en-GB"/>
        </w:rPr>
        <w:t>designed to make Italy a fairer, greener and more inclusive country, with a more competitive, dynamic and innovative economy</w:t>
      </w:r>
      <w:r>
        <w:rPr>
          <w:rFonts w:ascii="Times New Roman" w:hAnsi="Times New Roman" w:cs="Times New Roman"/>
          <w:lang w:val="en-GB"/>
        </w:rPr>
        <w:t>.</w:t>
      </w:r>
    </w:p>
    <w:p w14:paraId="550EEDEE" w14:textId="63DF9CA2" w:rsidR="00AD5902" w:rsidRPr="00AD5902" w:rsidRDefault="00AD5902" w:rsidP="00AD5902">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In the view of</w:t>
      </w:r>
      <w:r w:rsidRPr="00AD5902">
        <w:rPr>
          <w:rFonts w:ascii="Times New Roman" w:hAnsi="Times New Roman" w:cs="Times New Roman"/>
          <w:lang w:val="en-GB"/>
        </w:rPr>
        <w:t xml:space="preserve"> its implementation, a call for proposals was launched on 15 July 2022 to finance targeted interventions under the 'Health-Environment-Biodiversity-Climate' programme of the National Plan for investments </w:t>
      </w:r>
      <w:r>
        <w:rPr>
          <w:rFonts w:ascii="Times New Roman" w:hAnsi="Times New Roman" w:cs="Times New Roman"/>
          <w:lang w:val="en-GB"/>
        </w:rPr>
        <w:t xml:space="preserve">which is </w:t>
      </w:r>
      <w:r w:rsidRPr="00AD5902">
        <w:rPr>
          <w:rFonts w:ascii="Times New Roman" w:hAnsi="Times New Roman" w:cs="Times New Roman"/>
          <w:lang w:val="en-GB"/>
        </w:rPr>
        <w:t xml:space="preserve">complementary to the </w:t>
      </w:r>
      <w:r>
        <w:rPr>
          <w:rFonts w:ascii="Times New Roman" w:hAnsi="Times New Roman" w:cs="Times New Roman"/>
          <w:lang w:val="en-GB"/>
        </w:rPr>
        <w:t>NRRP</w:t>
      </w:r>
      <w:r w:rsidRPr="00AD5902">
        <w:rPr>
          <w:rFonts w:ascii="Times New Roman" w:hAnsi="Times New Roman" w:cs="Times New Roman"/>
          <w:lang w:val="en-GB"/>
        </w:rPr>
        <w:t>.</w:t>
      </w:r>
    </w:p>
    <w:p w14:paraId="38CA938F" w14:textId="06839ABB"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lastRenderedPageBreak/>
        <w:t>The interventions are aimed at defining a new institutional set</w:t>
      </w:r>
      <w:r>
        <w:rPr>
          <w:rFonts w:ascii="Times New Roman" w:hAnsi="Times New Roman" w:cs="Times New Roman"/>
          <w:lang w:val="en-GB"/>
        </w:rPr>
        <w:t>ting for</w:t>
      </w:r>
      <w:r w:rsidRPr="00AD5902">
        <w:rPr>
          <w:rFonts w:ascii="Times New Roman" w:hAnsi="Times New Roman" w:cs="Times New Roman"/>
          <w:lang w:val="en-GB"/>
        </w:rPr>
        <w:t xml:space="preserve"> health-environment-climate</w:t>
      </w:r>
      <w:r>
        <w:rPr>
          <w:rFonts w:ascii="Times New Roman" w:hAnsi="Times New Roman" w:cs="Times New Roman"/>
          <w:lang w:val="en-GB"/>
        </w:rPr>
        <w:t xml:space="preserve"> issues</w:t>
      </w:r>
      <w:r w:rsidRPr="00AD5902">
        <w:rPr>
          <w:rFonts w:ascii="Times New Roman" w:hAnsi="Times New Roman" w:cs="Times New Roman"/>
          <w:lang w:val="en-GB"/>
        </w:rPr>
        <w:t xml:space="preserve"> capable of strengthening the National Health System through a holistic One Health approach. The aim is to strengthen the health protection of citizens against currently known risks and looming environmental-climate challenges and to support sustainable development and safe economic growth, especially in relation to the green transition and digital transformation.</w:t>
      </w:r>
    </w:p>
    <w:p w14:paraId="60BD218B" w14:textId="5DDC631B"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The call funds 14 programmes divided into two macro-areas</w:t>
      </w:r>
      <w:r>
        <w:rPr>
          <w:rFonts w:ascii="Times New Roman" w:hAnsi="Times New Roman" w:cs="Times New Roman"/>
          <w:lang w:val="en-GB"/>
        </w:rPr>
        <w:t>; as for AREA A -</w:t>
      </w:r>
      <w:r w:rsidRPr="00AD5902">
        <w:rPr>
          <w:rFonts w:ascii="Times New Roman" w:hAnsi="Times New Roman" w:cs="Times New Roman"/>
          <w:lang w:val="en-GB"/>
        </w:rPr>
        <w:t xml:space="preserve"> priority programmes for the health system</w:t>
      </w:r>
      <w:r>
        <w:rPr>
          <w:rFonts w:ascii="Times New Roman" w:hAnsi="Times New Roman" w:cs="Times New Roman"/>
          <w:lang w:val="en-GB"/>
        </w:rPr>
        <w:t xml:space="preserve"> several activities refer to the nexus climate change – food:</w:t>
      </w:r>
    </w:p>
    <w:p w14:paraId="52BCBBBE"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1. Prevention and reduction of health risks related to indoor air pollution</w:t>
      </w:r>
    </w:p>
    <w:p w14:paraId="2D7B5798"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2. Prevention and reduction of health risks linked to outdoor air pollution</w:t>
      </w:r>
    </w:p>
    <w:p w14:paraId="6FDC2773"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3. Prevention and mitigation of risks to populations within environmentally critical areas, safe and sustainable land and waste cycle management; risk communication and citizen outreach approach</w:t>
      </w:r>
    </w:p>
    <w:p w14:paraId="6BE260AF"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4. Universal access to water: safely managed water supply and sanitation, healthy human use and reuse of water, coastal, marine environments</w:t>
      </w:r>
    </w:p>
    <w:p w14:paraId="66A407CB"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6. Reduction of direct and indirect risks to human health associated with climate change</w:t>
      </w:r>
    </w:p>
    <w:p w14:paraId="3DCBD814" w14:textId="7777777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 xml:space="preserve">7. </w:t>
      </w:r>
      <w:r w:rsidRPr="00AD5902">
        <w:rPr>
          <w:rFonts w:ascii="Times New Roman" w:hAnsi="Times New Roman" w:cs="Times New Roman"/>
          <w:b/>
          <w:bCs/>
          <w:lang w:val="en-GB"/>
        </w:rPr>
        <w:t>Hygiene, resilience and sustainability of primary production and food chains as a whole with respect to environmental-climate risks</w:t>
      </w:r>
    </w:p>
    <w:p w14:paraId="1F610835" w14:textId="6AD2EF87" w:rsidR="00AD5902" w:rsidRPr="00AD5902" w:rsidRDefault="00AD5902" w:rsidP="00AD5902">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8. Promotion of health-environment-climate in the early stages (first 1000 days, infant and maternal-infant) of life</w:t>
      </w:r>
      <w:r>
        <w:rPr>
          <w:rFonts w:ascii="Times New Roman" w:hAnsi="Times New Roman" w:cs="Times New Roman"/>
          <w:lang w:val="en-GB"/>
        </w:rPr>
        <w:t>.</w:t>
      </w:r>
      <w:r w:rsidRPr="00AD5902">
        <w:rPr>
          <w:rFonts w:ascii="Times New Roman" w:hAnsi="Times New Roman" w:cs="Times New Roman"/>
          <w:lang w:val="en-GB"/>
        </w:rPr>
        <w:t xml:space="preserve">                                                         </w:t>
      </w:r>
    </w:p>
    <w:p w14:paraId="42D7F3EC" w14:textId="77777777" w:rsidR="00AD5902" w:rsidRPr="00AD5902" w:rsidRDefault="00AD5902" w:rsidP="007F66E0">
      <w:pPr>
        <w:spacing w:after="0" w:line="360" w:lineRule="auto"/>
        <w:ind w:firstLine="567"/>
        <w:jc w:val="both"/>
        <w:rPr>
          <w:rFonts w:ascii="Times New Roman" w:hAnsi="Times New Roman" w:cs="Times New Roman"/>
          <w:lang w:val="en-GB"/>
        </w:rPr>
      </w:pPr>
    </w:p>
    <w:p w14:paraId="17B94C8C" w14:textId="1FD56FA3" w:rsidR="002F3E43" w:rsidRPr="00AD5902" w:rsidRDefault="00AD5902" w:rsidP="00143D58">
      <w:pPr>
        <w:spacing w:after="0" w:line="360" w:lineRule="auto"/>
        <w:ind w:firstLine="567"/>
        <w:jc w:val="both"/>
        <w:rPr>
          <w:rFonts w:ascii="Times New Roman" w:hAnsi="Times New Roman" w:cs="Times New Roman"/>
          <w:lang w:val="en-GB"/>
        </w:rPr>
      </w:pPr>
      <w:r w:rsidRPr="00AD5902">
        <w:rPr>
          <w:rFonts w:ascii="Times New Roman" w:hAnsi="Times New Roman" w:cs="Times New Roman"/>
          <w:lang w:val="en-GB"/>
        </w:rPr>
        <w:t xml:space="preserve">At the national level proper </w:t>
      </w:r>
      <w:r w:rsidRPr="00AD5902">
        <w:rPr>
          <w:rFonts w:ascii="Times New Roman" w:hAnsi="Times New Roman" w:cs="Times New Roman"/>
          <w:b/>
          <w:bCs/>
          <w:lang w:val="en-GB"/>
        </w:rPr>
        <w:t>m</w:t>
      </w:r>
      <w:r w:rsidR="002F3E43" w:rsidRPr="00AD5902">
        <w:rPr>
          <w:rFonts w:ascii="Times New Roman" w:hAnsi="Times New Roman" w:cs="Times New Roman"/>
          <w:b/>
          <w:bCs/>
          <w:lang w:val="en-GB"/>
        </w:rPr>
        <w:t>echanisms and tools</w:t>
      </w:r>
      <w:r w:rsidRPr="00AD5902">
        <w:rPr>
          <w:rFonts w:ascii="Times New Roman" w:hAnsi="Times New Roman" w:cs="Times New Roman"/>
          <w:lang w:val="en-GB"/>
        </w:rPr>
        <w:t xml:space="preserve"> have</w:t>
      </w:r>
      <w:r>
        <w:rPr>
          <w:rFonts w:ascii="Times New Roman" w:hAnsi="Times New Roman" w:cs="Times New Roman"/>
          <w:lang w:val="en-GB"/>
        </w:rPr>
        <w:t xml:space="preserve"> been put in place</w:t>
      </w:r>
      <w:r w:rsidR="002F3E43" w:rsidRPr="00AD5902">
        <w:rPr>
          <w:rFonts w:ascii="Times New Roman" w:hAnsi="Times New Roman" w:cs="Times New Roman"/>
          <w:lang w:val="en-GB"/>
        </w:rPr>
        <w:t xml:space="preserve"> to </w:t>
      </w:r>
      <w:r w:rsidR="002F3E43" w:rsidRPr="00AD5902">
        <w:rPr>
          <w:rFonts w:ascii="Times New Roman" w:hAnsi="Times New Roman" w:cs="Times New Roman"/>
          <w:b/>
          <w:bCs/>
          <w:lang w:val="en-GB"/>
        </w:rPr>
        <w:t>measure</w:t>
      </w:r>
      <w:r w:rsidRPr="00AD5902">
        <w:rPr>
          <w:rFonts w:ascii="Times New Roman" w:hAnsi="Times New Roman" w:cs="Times New Roman"/>
          <w:b/>
          <w:bCs/>
          <w:lang w:val="en-GB"/>
        </w:rPr>
        <w:t xml:space="preserve"> the climate change impact on access to basic resources – food included</w:t>
      </w:r>
      <w:r>
        <w:rPr>
          <w:rFonts w:ascii="Times New Roman" w:hAnsi="Times New Roman" w:cs="Times New Roman"/>
          <w:lang w:val="en-GB"/>
        </w:rPr>
        <w:t xml:space="preserve">. </w:t>
      </w:r>
    </w:p>
    <w:p w14:paraId="71A34849" w14:textId="1B0B0FF5" w:rsidR="00A16594" w:rsidRPr="00AD5902" w:rsidRDefault="00A16594" w:rsidP="00A16594">
      <w:pPr>
        <w:spacing w:after="0" w:line="360" w:lineRule="auto"/>
        <w:ind w:firstLine="567"/>
        <w:jc w:val="both"/>
        <w:rPr>
          <w:rFonts w:ascii="Times New Roman" w:hAnsi="Times New Roman" w:cs="Times New Roman"/>
          <w:lang w:val="en-GB"/>
        </w:rPr>
      </w:pPr>
      <w:r w:rsidRPr="00A16594">
        <w:rPr>
          <w:rFonts w:ascii="Times New Roman" w:hAnsi="Times New Roman" w:cs="Times New Roman"/>
          <w:lang w:val="en-GB"/>
        </w:rPr>
        <w:t>Climate change affects agro-ecosystems making impossible to maintain and recover their functionality. The vulnerability of agricultural systems to the increased frequency of extreme events will depend on their resilience and adaptability. Specific impact, adaptation</w:t>
      </w:r>
      <w:r w:rsidR="0080570D">
        <w:rPr>
          <w:rFonts w:ascii="Times New Roman" w:hAnsi="Times New Roman" w:cs="Times New Roman"/>
          <w:lang w:val="en-GB"/>
        </w:rPr>
        <w:t xml:space="preserve"> </w:t>
      </w:r>
      <w:r w:rsidRPr="00A16594">
        <w:rPr>
          <w:rFonts w:ascii="Times New Roman" w:hAnsi="Times New Roman" w:cs="Times New Roman"/>
          <w:lang w:val="en-GB"/>
        </w:rPr>
        <w:t xml:space="preserve">and mitigation studies are needed for productive areas to support national policies. </w:t>
      </w:r>
      <w:r w:rsidRPr="00AD5902">
        <w:rPr>
          <w:rFonts w:ascii="Times New Roman" w:hAnsi="Times New Roman" w:cs="Times New Roman"/>
          <w:lang w:val="en-GB"/>
        </w:rPr>
        <w:t xml:space="preserve">Agrometeorology and modelling play a key role in the definition of robust analysis methodologies for the development of </w:t>
      </w:r>
      <w:r w:rsidR="0080570D">
        <w:rPr>
          <w:rFonts w:ascii="Times New Roman" w:hAnsi="Times New Roman" w:cs="Times New Roman"/>
          <w:lang w:val="en-GB"/>
        </w:rPr>
        <w:t>d</w:t>
      </w:r>
      <w:r w:rsidRPr="00AD5902">
        <w:rPr>
          <w:rFonts w:ascii="Times New Roman" w:hAnsi="Times New Roman" w:cs="Times New Roman"/>
          <w:lang w:val="en-GB"/>
        </w:rPr>
        <w:t xml:space="preserve">ecision </w:t>
      </w:r>
      <w:r w:rsidR="0080570D">
        <w:rPr>
          <w:rFonts w:ascii="Times New Roman" w:hAnsi="Times New Roman" w:cs="Times New Roman"/>
          <w:lang w:val="en-GB"/>
        </w:rPr>
        <w:t>s</w:t>
      </w:r>
      <w:r w:rsidRPr="00AD5902">
        <w:rPr>
          <w:rFonts w:ascii="Times New Roman" w:hAnsi="Times New Roman" w:cs="Times New Roman"/>
          <w:lang w:val="en-GB"/>
        </w:rPr>
        <w:t xml:space="preserve">upport </w:t>
      </w:r>
      <w:r w:rsidR="0080570D">
        <w:rPr>
          <w:rFonts w:ascii="Times New Roman" w:hAnsi="Times New Roman" w:cs="Times New Roman"/>
          <w:lang w:val="en-GB"/>
        </w:rPr>
        <w:t>s</w:t>
      </w:r>
      <w:r w:rsidRPr="00AD5902">
        <w:rPr>
          <w:rFonts w:ascii="Times New Roman" w:hAnsi="Times New Roman" w:cs="Times New Roman"/>
          <w:lang w:val="en-GB"/>
        </w:rPr>
        <w:t>ystems at both national and regional levels.</w:t>
      </w:r>
    </w:p>
    <w:p w14:paraId="51353130" w14:textId="0F5A8273" w:rsidR="00A16594" w:rsidRPr="00AD5902" w:rsidRDefault="0080570D" w:rsidP="00A16594">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To tackle this challenges, th</w:t>
      </w:r>
      <w:r w:rsidR="00A16594" w:rsidRPr="00AD5902">
        <w:rPr>
          <w:rFonts w:ascii="Times New Roman" w:hAnsi="Times New Roman" w:cs="Times New Roman"/>
          <w:lang w:val="en-GB"/>
        </w:rPr>
        <w:t xml:space="preserve">e </w:t>
      </w:r>
      <w:r w:rsidRPr="006701F8">
        <w:rPr>
          <w:rFonts w:ascii="Times New Roman" w:hAnsi="Times New Roman" w:cs="Times New Roman"/>
          <w:lang w:val="en-GB"/>
        </w:rPr>
        <w:t xml:space="preserve">Council for Research into Agriculture and the Analysis of Agricultural Economics </w:t>
      </w:r>
      <w:r>
        <w:rPr>
          <w:rFonts w:ascii="Times New Roman" w:hAnsi="Times New Roman" w:cs="Times New Roman"/>
          <w:lang w:val="en-GB"/>
        </w:rPr>
        <w:t>(</w:t>
      </w:r>
      <w:r w:rsidR="00A16594" w:rsidRPr="0080570D">
        <w:rPr>
          <w:rFonts w:ascii="Times New Roman" w:hAnsi="Times New Roman" w:cs="Times New Roman"/>
          <w:i/>
          <w:iCs/>
          <w:lang w:val="en-GB"/>
        </w:rPr>
        <w:t xml:space="preserve">Consiglio per la ricerca in agricoltura e l'analisi dell'economia </w:t>
      </w:r>
      <w:r w:rsidRPr="0080570D">
        <w:rPr>
          <w:rFonts w:ascii="Times New Roman" w:hAnsi="Times New Roman" w:cs="Times New Roman"/>
          <w:i/>
          <w:iCs/>
          <w:lang w:val="en-GB"/>
        </w:rPr>
        <w:t>agraria</w:t>
      </w:r>
      <w:r>
        <w:rPr>
          <w:rFonts w:ascii="Times New Roman" w:hAnsi="Times New Roman" w:cs="Times New Roman"/>
          <w:lang w:val="en-GB"/>
        </w:rPr>
        <w:t xml:space="preserve"> - CREA)</w:t>
      </w:r>
      <w:r w:rsidR="00A16594" w:rsidRPr="00AD5902">
        <w:rPr>
          <w:rFonts w:ascii="Times New Roman" w:hAnsi="Times New Roman" w:cs="Times New Roman"/>
          <w:lang w:val="en-GB"/>
        </w:rPr>
        <w:t xml:space="preserve"> </w:t>
      </w:r>
      <w:r>
        <w:rPr>
          <w:rFonts w:ascii="Times New Roman" w:hAnsi="Times New Roman" w:cs="Times New Roman"/>
          <w:lang w:val="en-GB"/>
        </w:rPr>
        <w:t xml:space="preserve">has carried out a research aimed </w:t>
      </w:r>
      <w:r w:rsidR="00A16594" w:rsidRPr="00AD5902">
        <w:rPr>
          <w:rFonts w:ascii="Times New Roman" w:hAnsi="Times New Roman" w:cs="Times New Roman"/>
          <w:lang w:val="en-GB"/>
        </w:rPr>
        <w:t xml:space="preserve">to develop an innovative portfolio of analysis and monitoring services in agriculture, also taking advantage of the new opportunities provided by the Copernicus </w:t>
      </w:r>
      <w:r>
        <w:rPr>
          <w:rFonts w:ascii="Times New Roman" w:hAnsi="Times New Roman" w:cs="Times New Roman"/>
          <w:lang w:val="en-GB"/>
        </w:rPr>
        <w:t>P</w:t>
      </w:r>
      <w:r w:rsidR="00A16594" w:rsidRPr="00AD5902">
        <w:rPr>
          <w:rFonts w:ascii="Times New Roman" w:hAnsi="Times New Roman" w:cs="Times New Roman"/>
          <w:lang w:val="en-GB"/>
        </w:rPr>
        <w:t xml:space="preserve">rogramme, </w:t>
      </w:r>
      <w:r>
        <w:rPr>
          <w:rFonts w:ascii="Times New Roman" w:hAnsi="Times New Roman" w:cs="Times New Roman"/>
          <w:lang w:val="en-GB"/>
        </w:rPr>
        <w:t>for</w:t>
      </w:r>
      <w:r w:rsidR="00A16594" w:rsidRPr="00AD5902">
        <w:rPr>
          <w:rFonts w:ascii="Times New Roman" w:hAnsi="Times New Roman" w:cs="Times New Roman"/>
          <w:lang w:val="en-GB"/>
        </w:rPr>
        <w:t xml:space="preserve"> better spatial </w:t>
      </w:r>
      <w:r>
        <w:rPr>
          <w:rFonts w:ascii="Times New Roman" w:hAnsi="Times New Roman" w:cs="Times New Roman"/>
          <w:lang w:val="en-GB"/>
        </w:rPr>
        <w:t>and time-based solutions</w:t>
      </w:r>
      <w:r w:rsidR="00A16594" w:rsidRPr="00AD5902">
        <w:rPr>
          <w:rFonts w:ascii="Times New Roman" w:hAnsi="Times New Roman" w:cs="Times New Roman"/>
          <w:lang w:val="en-GB"/>
        </w:rPr>
        <w:t xml:space="preserve">. </w:t>
      </w:r>
      <w:r>
        <w:rPr>
          <w:rFonts w:ascii="Times New Roman" w:hAnsi="Times New Roman" w:cs="Times New Roman"/>
          <w:lang w:val="en-GB"/>
        </w:rPr>
        <w:t xml:space="preserve">This study will facilitate the quantitative assessment, for example, of </w:t>
      </w:r>
      <w:r w:rsidR="00A16594" w:rsidRPr="00AD5902">
        <w:rPr>
          <w:rFonts w:ascii="Times New Roman" w:hAnsi="Times New Roman" w:cs="Times New Roman"/>
          <w:lang w:val="en-GB"/>
        </w:rPr>
        <w:t>greenhouse gas emissions in agriculture</w:t>
      </w:r>
      <w:r>
        <w:rPr>
          <w:rFonts w:ascii="Times New Roman" w:hAnsi="Times New Roman" w:cs="Times New Roman"/>
          <w:lang w:val="en-GB"/>
        </w:rPr>
        <w:t xml:space="preserve"> and related </w:t>
      </w:r>
      <w:r w:rsidR="00A16594" w:rsidRPr="00AD5902">
        <w:rPr>
          <w:rFonts w:ascii="Times New Roman" w:hAnsi="Times New Roman" w:cs="Times New Roman"/>
          <w:lang w:val="en-GB"/>
        </w:rPr>
        <w:t>risk</w:t>
      </w:r>
      <w:r>
        <w:rPr>
          <w:rFonts w:ascii="Times New Roman" w:hAnsi="Times New Roman" w:cs="Times New Roman"/>
          <w:lang w:val="en-GB"/>
        </w:rPr>
        <w:t>s</w:t>
      </w:r>
      <w:r w:rsidR="00A16594" w:rsidRPr="00AD5902">
        <w:rPr>
          <w:rFonts w:ascii="Times New Roman" w:hAnsi="Times New Roman" w:cs="Times New Roman"/>
          <w:lang w:val="en-GB"/>
        </w:rPr>
        <w:t xml:space="preserve"> of harmful biological phenomena through a </w:t>
      </w:r>
      <w:r>
        <w:rPr>
          <w:rFonts w:ascii="Times New Roman" w:hAnsi="Times New Roman" w:cs="Times New Roman"/>
          <w:lang w:val="en-GB"/>
        </w:rPr>
        <w:t xml:space="preserve">set of </w:t>
      </w:r>
      <w:r w:rsidR="00A16594" w:rsidRPr="00AD5902">
        <w:rPr>
          <w:rFonts w:ascii="Times New Roman" w:hAnsi="Times New Roman" w:cs="Times New Roman"/>
          <w:lang w:val="en-GB"/>
        </w:rPr>
        <w:t>chemical, biological and microbial, agro-climatic indicators.</w:t>
      </w:r>
    </w:p>
    <w:p w14:paraId="3365C7A0" w14:textId="62A80855" w:rsidR="00A16594" w:rsidRPr="00AD5902" w:rsidRDefault="00A16594" w:rsidP="00143D58">
      <w:pPr>
        <w:spacing w:after="0" w:line="360" w:lineRule="auto"/>
        <w:ind w:firstLine="567"/>
        <w:jc w:val="both"/>
        <w:rPr>
          <w:rFonts w:ascii="Times New Roman" w:hAnsi="Times New Roman" w:cs="Times New Roman"/>
          <w:lang w:val="en-GB"/>
        </w:rPr>
      </w:pPr>
    </w:p>
    <w:p w14:paraId="16183951" w14:textId="3FC864B5" w:rsidR="006701F8" w:rsidRPr="006701F8" w:rsidRDefault="0080570D" w:rsidP="006701F8">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 xml:space="preserve">Finally, as for the intervention of the </w:t>
      </w:r>
      <w:r w:rsidRPr="0080570D">
        <w:rPr>
          <w:rFonts w:ascii="Times New Roman" w:hAnsi="Times New Roman" w:cs="Times New Roman"/>
          <w:b/>
          <w:bCs/>
          <w:lang w:val="en-GB"/>
        </w:rPr>
        <w:t>development c</w:t>
      </w:r>
      <w:r w:rsidR="002F3E43" w:rsidRPr="0080570D">
        <w:rPr>
          <w:rFonts w:ascii="Times New Roman" w:hAnsi="Times New Roman" w:cs="Times New Roman"/>
          <w:b/>
          <w:bCs/>
          <w:lang w:val="en-GB"/>
        </w:rPr>
        <w:t>ooperation</w:t>
      </w:r>
      <w:r>
        <w:rPr>
          <w:rFonts w:ascii="Times New Roman" w:hAnsi="Times New Roman" w:cs="Times New Roman"/>
          <w:lang w:val="en-GB"/>
        </w:rPr>
        <w:t xml:space="preserve">, </w:t>
      </w:r>
      <w:r w:rsidR="006701F8" w:rsidRPr="006701F8">
        <w:rPr>
          <w:rFonts w:ascii="Times New Roman" w:hAnsi="Times New Roman" w:cs="Times New Roman"/>
          <w:lang w:val="en-GB"/>
        </w:rPr>
        <w:t xml:space="preserve">Italy – with its long-standing leadership on agriculture and food security, and </w:t>
      </w:r>
      <w:r>
        <w:rPr>
          <w:rFonts w:ascii="Times New Roman" w:hAnsi="Times New Roman" w:cs="Times New Roman"/>
          <w:lang w:val="en-GB"/>
        </w:rPr>
        <w:t xml:space="preserve">in relation to </w:t>
      </w:r>
      <w:r w:rsidR="006701F8" w:rsidRPr="006701F8">
        <w:rPr>
          <w:rFonts w:ascii="Times New Roman" w:hAnsi="Times New Roman" w:cs="Times New Roman"/>
          <w:lang w:val="en-GB"/>
        </w:rPr>
        <w:t>the</w:t>
      </w:r>
      <w:r>
        <w:rPr>
          <w:rFonts w:ascii="Times New Roman" w:hAnsi="Times New Roman" w:cs="Times New Roman"/>
          <w:lang w:val="en-GB"/>
        </w:rPr>
        <w:t xml:space="preserve"> outcomes of the</w:t>
      </w:r>
      <w:r w:rsidR="006701F8" w:rsidRPr="006701F8">
        <w:rPr>
          <w:rFonts w:ascii="Times New Roman" w:hAnsi="Times New Roman" w:cs="Times New Roman"/>
          <w:lang w:val="en-GB"/>
        </w:rPr>
        <w:t xml:space="preserve"> FAO Summit on Food Systems in 2021 – has contributed to the proposal for a ‘Food Coalition’ among member countries. The initiative aims to create </w:t>
      </w:r>
      <w:r w:rsidR="006701F8" w:rsidRPr="006701F8">
        <w:rPr>
          <w:rFonts w:ascii="Times New Roman" w:hAnsi="Times New Roman" w:cs="Times New Roman"/>
          <w:lang w:val="en-GB"/>
        </w:rPr>
        <w:lastRenderedPageBreak/>
        <w:t>a web of support that targets both cooperation projects to mitigate the effects of the food crisis triggered by Covid-19, particularly in fragile communities, and the deployment of experts from member countries, who can assist FAO experts in developing guidelines for all governments on how to manage the challenging post-Covid-19 era. The ‘Food Coalition’ not only aims to tackle the impact of the pandemic, but also to promote resilient and sustainable food production systems, improve nutrition, and increase agricultural productivity and the incomes of smallholder farmers - especially farms run by women and young people.</w:t>
      </w:r>
    </w:p>
    <w:p w14:paraId="3A5B9FC2" w14:textId="77777777" w:rsidR="006701F8" w:rsidRPr="006701F8" w:rsidRDefault="006701F8" w:rsidP="006701F8">
      <w:pPr>
        <w:spacing w:after="0" w:line="360" w:lineRule="auto"/>
        <w:ind w:firstLine="567"/>
        <w:jc w:val="both"/>
        <w:rPr>
          <w:rFonts w:ascii="Times New Roman" w:hAnsi="Times New Roman" w:cs="Times New Roman"/>
          <w:lang w:val="en-GB"/>
        </w:rPr>
      </w:pPr>
      <w:r w:rsidRPr="006701F8">
        <w:rPr>
          <w:rFonts w:ascii="Times New Roman" w:hAnsi="Times New Roman" w:cs="Times New Roman"/>
          <w:lang w:val="en-GB"/>
        </w:rPr>
        <w:t>Development cooperation efforts will focus primarily on the least developed and most vulnerable countries, which depend on predominantly pastoral and small-scale fishing economies, family-run and with a low degree of technological innovation. However, they will also prioritise the development of agribusiness and the agricultural processing industry, and the use of non-conventional water sources. The primary focus will be on promoting diversified and ecologically sustainable food production, emphasising the link between nutrition and health. There will be special emphasis on crops with higher nutritional value and/or greater resilience to climate change, ensuring the continuity of food, supply and distribution chains, and securing the livelihoods of small-scale farmers, cattle farmers and fishermen. Seeds, livestock feed, tools, and veterinary care, as well as the strengthening of social protection systems, will be key areas. Targeted actions will be taken to counter the discrimination faced by women food producers in areas such as access to land, information, credit and technology. Such actions affirm the gender approach adopted by Italian Cooperation in specific programmes and across the board (Cf. “Guidelines on Gender Equality and Empowerment of Women and Girls 2020 - 2024”).</w:t>
      </w:r>
    </w:p>
    <w:p w14:paraId="7AAAEB4E" w14:textId="328E43AD" w:rsidR="006701F8" w:rsidRDefault="006701F8" w:rsidP="006701F8">
      <w:pPr>
        <w:spacing w:after="0" w:line="360" w:lineRule="auto"/>
        <w:ind w:firstLine="567"/>
        <w:jc w:val="both"/>
        <w:rPr>
          <w:rFonts w:ascii="Times New Roman" w:hAnsi="Times New Roman" w:cs="Times New Roman"/>
          <w:lang w:val="en-GB"/>
        </w:rPr>
      </w:pPr>
      <w:r w:rsidRPr="006701F8">
        <w:rPr>
          <w:rFonts w:ascii="Times New Roman" w:hAnsi="Times New Roman" w:cs="Times New Roman"/>
          <w:lang w:val="en-GB"/>
        </w:rPr>
        <w:t xml:space="preserve">Italy’s outstanding organisations in the area will be involved, such as the </w:t>
      </w:r>
      <w:r w:rsidR="00C1574D">
        <w:rPr>
          <w:rFonts w:ascii="Times New Roman" w:hAnsi="Times New Roman" w:cs="Times New Roman"/>
          <w:lang w:val="en-GB"/>
        </w:rPr>
        <w:t xml:space="preserve">aforementioned </w:t>
      </w:r>
      <w:r w:rsidRPr="006701F8">
        <w:rPr>
          <w:rFonts w:ascii="Times New Roman" w:hAnsi="Times New Roman" w:cs="Times New Roman"/>
          <w:lang w:val="en-GB"/>
        </w:rPr>
        <w:t>Council for Research into Agriculture and the Analysis of Agricultural Economics (CREA), a research body overseen by the Ministry of Agricultural, Food and Forestry Policies (MIPAAF). The subject areas identified for collaboration with MFAIC are: (i) sustainable agriculture in terms of circular-economy principles, spreading knowledge of climate-resilient farming practices, biodiversity preservation, and sustainable management of natural resources; (ii) food security, introducing technologies and standards for improving food production and quality, sustainable processing and conservation of local natural resources, and reducing food waste; (iii) technical and scientific training as part of specific development projects. CSOs and other stakeholders working in the agricultural sector and the fight against hunger and malnutrition will be involved, with the ability to create synergies on the ground in other areas, such as education, training and social activities.</w:t>
      </w:r>
    </w:p>
    <w:p w14:paraId="1CB02A17" w14:textId="2D4B83B5" w:rsidR="002F3E43" w:rsidRDefault="002F3E43" w:rsidP="00143D58">
      <w:pPr>
        <w:spacing w:after="0" w:line="360" w:lineRule="auto"/>
        <w:ind w:firstLine="567"/>
        <w:jc w:val="both"/>
        <w:rPr>
          <w:rFonts w:ascii="Times New Roman" w:hAnsi="Times New Roman" w:cs="Times New Roman"/>
          <w:lang w:val="en-GB"/>
        </w:rPr>
      </w:pPr>
    </w:p>
    <w:p w14:paraId="450877F1" w14:textId="77777777" w:rsidR="002F3E43" w:rsidRDefault="002F3E43" w:rsidP="00143D58">
      <w:pPr>
        <w:spacing w:after="0" w:line="360" w:lineRule="auto"/>
        <w:ind w:firstLine="567"/>
        <w:jc w:val="both"/>
        <w:rPr>
          <w:rFonts w:ascii="Times New Roman" w:hAnsi="Times New Roman" w:cs="Times New Roman"/>
          <w:lang w:val="en-GB"/>
        </w:rPr>
      </w:pPr>
    </w:p>
    <w:p w14:paraId="5086BA06" w14:textId="77777777" w:rsidR="002F3E43" w:rsidRDefault="002F3E43" w:rsidP="00143D58">
      <w:pPr>
        <w:spacing w:after="0" w:line="360" w:lineRule="auto"/>
        <w:ind w:firstLine="567"/>
        <w:jc w:val="both"/>
        <w:rPr>
          <w:rFonts w:ascii="Times New Roman" w:hAnsi="Times New Roman" w:cs="Times New Roman"/>
          <w:lang w:val="en-GB"/>
        </w:rPr>
      </w:pPr>
    </w:p>
    <w:sectPr w:rsidR="002F3E43">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1607" w14:textId="77777777" w:rsidR="00D90220" w:rsidRDefault="00D90220">
      <w:pPr>
        <w:spacing w:after="0" w:line="240" w:lineRule="auto"/>
      </w:pPr>
      <w:r>
        <w:separator/>
      </w:r>
    </w:p>
  </w:endnote>
  <w:endnote w:type="continuationSeparator" w:id="0">
    <w:p w14:paraId="47FBD8D6" w14:textId="77777777" w:rsidR="00D90220" w:rsidRDefault="00D9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127" w14:textId="77777777" w:rsidR="00DE747D" w:rsidRDefault="009F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1546"/>
      <w:docPartObj>
        <w:docPartGallery w:val="Page Numbers (Bottom of Page)"/>
        <w:docPartUnique/>
      </w:docPartObj>
    </w:sdtPr>
    <w:sdtEndPr>
      <w:rPr>
        <w:rFonts w:ascii="Times New Roman" w:hAnsi="Times New Roman" w:cs="Times New Roman"/>
      </w:rPr>
    </w:sdtEndPr>
    <w:sdtContent>
      <w:p w14:paraId="3A53264B" w14:textId="6DFFD976" w:rsidR="00DE747D" w:rsidRPr="00DE747D" w:rsidRDefault="00B17EB9">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9F6294">
          <w:rPr>
            <w:rFonts w:ascii="Times New Roman" w:hAnsi="Times New Roman" w:cs="Times New Roman"/>
            <w:noProof/>
          </w:rPr>
          <w:t>1</w:t>
        </w:r>
        <w:r w:rsidRPr="00DE747D">
          <w:rPr>
            <w:rFonts w:ascii="Times New Roman" w:hAnsi="Times New Roman" w:cs="Times New Roman"/>
          </w:rPr>
          <w:fldChar w:fldCharType="end"/>
        </w:r>
      </w:p>
    </w:sdtContent>
  </w:sdt>
  <w:p w14:paraId="22F0E22A" w14:textId="77777777" w:rsidR="00DE747D" w:rsidRDefault="009F6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6044" w14:textId="77777777" w:rsidR="00DE747D" w:rsidRDefault="009F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1656" w14:textId="77777777" w:rsidR="00D90220" w:rsidRDefault="00D90220">
      <w:pPr>
        <w:spacing w:after="0" w:line="240" w:lineRule="auto"/>
      </w:pPr>
      <w:r>
        <w:separator/>
      </w:r>
    </w:p>
  </w:footnote>
  <w:footnote w:type="continuationSeparator" w:id="0">
    <w:p w14:paraId="7CEC8713" w14:textId="77777777" w:rsidR="00D90220" w:rsidRDefault="00D9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87CC" w14:textId="77777777" w:rsidR="00DE747D" w:rsidRDefault="009F6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5D4F" w14:textId="77777777" w:rsidR="00DE747D" w:rsidRDefault="009F6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876A" w14:textId="77777777" w:rsidR="00DE747D" w:rsidRDefault="009F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0503AF"/>
    <w:multiLevelType w:val="hybridMultilevel"/>
    <w:tmpl w:val="8E9BD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0FE078"/>
    <w:multiLevelType w:val="hybridMultilevel"/>
    <w:tmpl w:val="B37CE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E4420"/>
    <w:multiLevelType w:val="hybridMultilevel"/>
    <w:tmpl w:val="0490E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2D16F9"/>
    <w:multiLevelType w:val="hybridMultilevel"/>
    <w:tmpl w:val="5694F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83C2A"/>
    <w:multiLevelType w:val="hybridMultilevel"/>
    <w:tmpl w:val="26562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F61D8B"/>
    <w:multiLevelType w:val="hybridMultilevel"/>
    <w:tmpl w:val="3B0213F6"/>
    <w:lvl w:ilvl="0" w:tplc="621E85D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590E2851"/>
    <w:multiLevelType w:val="hybridMultilevel"/>
    <w:tmpl w:val="F7A63E6C"/>
    <w:lvl w:ilvl="0" w:tplc="B686B674">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6FE27D0F"/>
    <w:multiLevelType w:val="hybridMultilevel"/>
    <w:tmpl w:val="FA564FA0"/>
    <w:lvl w:ilvl="0" w:tplc="1264C5FE">
      <w:start w:val="1"/>
      <w:numFmt w:val="bullet"/>
      <w:lvlText w:val="•"/>
      <w:lvlJc w:val="left"/>
      <w:pPr>
        <w:ind w:left="1287" w:hanging="360"/>
      </w:pPr>
      <w:rPr>
        <w:rFonts w:ascii="Cambria" w:hAnsi="Cambria" w:hint="default"/>
        <w:u w:color="0070C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7E740CD8"/>
    <w:multiLevelType w:val="hybridMultilevel"/>
    <w:tmpl w:val="E9CCE4DA"/>
    <w:lvl w:ilvl="0" w:tplc="C966D96E">
      <w:start w:val="1"/>
      <w:numFmt w:val="bullet"/>
      <w:lvlText w:val="−"/>
      <w:lvlJc w:val="left"/>
      <w:pPr>
        <w:ind w:left="360" w:hanging="360"/>
      </w:pPr>
      <w:rPr>
        <w:rFonts w:ascii="Calibri" w:hAnsi="Calibri" w:hint="default"/>
      </w:rPr>
    </w:lvl>
    <w:lvl w:ilvl="1" w:tplc="C966D96E">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F1C2F0D"/>
    <w:multiLevelType w:val="hybridMultilevel"/>
    <w:tmpl w:val="CE702B5C"/>
    <w:lvl w:ilvl="0" w:tplc="1264C5FE">
      <w:start w:val="1"/>
      <w:numFmt w:val="bullet"/>
      <w:lvlText w:val="•"/>
      <w:lvlJc w:val="left"/>
      <w:pPr>
        <w:ind w:left="720" w:hanging="360"/>
      </w:pPr>
      <w:rPr>
        <w:rFonts w:ascii="Cambria" w:hAnsi="Cambria" w:hint="default"/>
        <w:u w:color="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9"/>
  </w:num>
  <w:num w:numId="7">
    <w:abstractNumId w:val="8"/>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7"/>
    <w:rsid w:val="00007056"/>
    <w:rsid w:val="0002479C"/>
    <w:rsid w:val="00033449"/>
    <w:rsid w:val="000435A6"/>
    <w:rsid w:val="000A4943"/>
    <w:rsid w:val="000E6969"/>
    <w:rsid w:val="000F3DC5"/>
    <w:rsid w:val="001029DD"/>
    <w:rsid w:val="00103F19"/>
    <w:rsid w:val="00106F34"/>
    <w:rsid w:val="0011533B"/>
    <w:rsid w:val="00140D22"/>
    <w:rsid w:val="00143D58"/>
    <w:rsid w:val="00153943"/>
    <w:rsid w:val="001B08AC"/>
    <w:rsid w:val="001C655E"/>
    <w:rsid w:val="002525C9"/>
    <w:rsid w:val="00270989"/>
    <w:rsid w:val="0028174C"/>
    <w:rsid w:val="002C2836"/>
    <w:rsid w:val="002D1872"/>
    <w:rsid w:val="002D6FFF"/>
    <w:rsid w:val="002F3E43"/>
    <w:rsid w:val="0032600F"/>
    <w:rsid w:val="003279E7"/>
    <w:rsid w:val="00357480"/>
    <w:rsid w:val="0038498B"/>
    <w:rsid w:val="003A6D10"/>
    <w:rsid w:val="003B4FC3"/>
    <w:rsid w:val="003B5C83"/>
    <w:rsid w:val="003F42FF"/>
    <w:rsid w:val="00402A04"/>
    <w:rsid w:val="00411693"/>
    <w:rsid w:val="004217C1"/>
    <w:rsid w:val="004A2BE5"/>
    <w:rsid w:val="004C7653"/>
    <w:rsid w:val="00507FAC"/>
    <w:rsid w:val="0054124B"/>
    <w:rsid w:val="00550398"/>
    <w:rsid w:val="00562D4D"/>
    <w:rsid w:val="00563571"/>
    <w:rsid w:val="005977B1"/>
    <w:rsid w:val="005B73CE"/>
    <w:rsid w:val="005D1586"/>
    <w:rsid w:val="006217F9"/>
    <w:rsid w:val="006330D2"/>
    <w:rsid w:val="00634D0F"/>
    <w:rsid w:val="006701F8"/>
    <w:rsid w:val="00685BEB"/>
    <w:rsid w:val="006B58D6"/>
    <w:rsid w:val="006E244E"/>
    <w:rsid w:val="006F6DF7"/>
    <w:rsid w:val="00741A4B"/>
    <w:rsid w:val="00753AE7"/>
    <w:rsid w:val="007606B1"/>
    <w:rsid w:val="007A6838"/>
    <w:rsid w:val="007B6B89"/>
    <w:rsid w:val="007C5EEE"/>
    <w:rsid w:val="007E1ED0"/>
    <w:rsid w:val="007F66E0"/>
    <w:rsid w:val="00803EF3"/>
    <w:rsid w:val="0080570D"/>
    <w:rsid w:val="00863E77"/>
    <w:rsid w:val="008B6D64"/>
    <w:rsid w:val="008C40E5"/>
    <w:rsid w:val="00917843"/>
    <w:rsid w:val="00930BDC"/>
    <w:rsid w:val="009501BE"/>
    <w:rsid w:val="00970B06"/>
    <w:rsid w:val="009A0B5B"/>
    <w:rsid w:val="009B5B00"/>
    <w:rsid w:val="009B77EA"/>
    <w:rsid w:val="009F6294"/>
    <w:rsid w:val="00A05E27"/>
    <w:rsid w:val="00A11D4D"/>
    <w:rsid w:val="00A16594"/>
    <w:rsid w:val="00A16732"/>
    <w:rsid w:val="00A17A01"/>
    <w:rsid w:val="00A57399"/>
    <w:rsid w:val="00AD5902"/>
    <w:rsid w:val="00B05DE1"/>
    <w:rsid w:val="00B17EB9"/>
    <w:rsid w:val="00B40F77"/>
    <w:rsid w:val="00B53789"/>
    <w:rsid w:val="00B86E42"/>
    <w:rsid w:val="00BA7A51"/>
    <w:rsid w:val="00BC0A65"/>
    <w:rsid w:val="00BE28C5"/>
    <w:rsid w:val="00BF5868"/>
    <w:rsid w:val="00C1574D"/>
    <w:rsid w:val="00C20382"/>
    <w:rsid w:val="00C24CB1"/>
    <w:rsid w:val="00CF1092"/>
    <w:rsid w:val="00D138C7"/>
    <w:rsid w:val="00D247F2"/>
    <w:rsid w:val="00D90220"/>
    <w:rsid w:val="00D93490"/>
    <w:rsid w:val="00DB7B00"/>
    <w:rsid w:val="00DC0F22"/>
    <w:rsid w:val="00DC3EDA"/>
    <w:rsid w:val="00E30D0B"/>
    <w:rsid w:val="00E624F8"/>
    <w:rsid w:val="00EE5770"/>
    <w:rsid w:val="00F12B9D"/>
    <w:rsid w:val="00F16C47"/>
    <w:rsid w:val="00F44F76"/>
    <w:rsid w:val="00F8175D"/>
    <w:rsid w:val="00F9597F"/>
    <w:rsid w:val="00FA25E9"/>
    <w:rsid w:val="00FA56C0"/>
    <w:rsid w:val="00FE7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6DF7"/>
  </w:style>
  <w:style w:type="paragraph" w:styleId="Footer">
    <w:name w:val="footer"/>
    <w:basedOn w:val="Normal"/>
    <w:link w:val="FooterChar"/>
    <w:uiPriority w:val="99"/>
    <w:unhideWhenUsed/>
    <w:rsid w:val="006F6D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6DF7"/>
  </w:style>
  <w:style w:type="paragraph" w:styleId="ListParagraph">
    <w:name w:val="List Paragraph"/>
    <w:basedOn w:val="Normal"/>
    <w:link w:val="ListParagraphChar"/>
    <w:uiPriority w:val="34"/>
    <w:qFormat/>
    <w:rsid w:val="00BE28C5"/>
    <w:pPr>
      <w:ind w:left="720"/>
      <w:contextualSpacing/>
    </w:pPr>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F44F76"/>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44F76"/>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F44F76"/>
    <w:rPr>
      <w:vertAlign w:val="superscript"/>
    </w:rPr>
  </w:style>
  <w:style w:type="table" w:styleId="TableGrid">
    <w:name w:val="Table Grid"/>
    <w:basedOn w:val="TableNormal"/>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F76"/>
    <w:rPr>
      <w:color w:val="0563C1" w:themeColor="hyperlink"/>
      <w:u w:val="single"/>
    </w:rPr>
  </w:style>
  <w:style w:type="table" w:customStyle="1" w:styleId="Grigliatabella2">
    <w:name w:val="Griglia tabella2"/>
    <w:basedOn w:val="TableNormal"/>
    <w:next w:val="TableGrid"/>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ListParagraph"/>
    <w:link w:val="Para1Carattere"/>
    <w:qFormat/>
    <w:rsid w:val="00F44F76"/>
    <w:pPr>
      <w:numPr>
        <w:numId w:val="6"/>
      </w:numPr>
      <w:autoSpaceDE w:val="0"/>
      <w:autoSpaceDN w:val="0"/>
      <w:adjustRightInd w:val="0"/>
      <w:spacing w:after="0" w:line="240" w:lineRule="auto"/>
      <w:ind w:right="-1"/>
    </w:pPr>
    <w:rPr>
      <w:rFonts w:eastAsia="Calibri" w:cstheme="minorHAnsi"/>
      <w:b/>
      <w:sz w:val="32"/>
      <w:szCs w:val="28"/>
    </w:rPr>
  </w:style>
  <w:style w:type="paragraph" w:customStyle="1" w:styleId="Para11">
    <w:name w:val="Para1.1"/>
    <w:basedOn w:val="ListParagraph"/>
    <w:link w:val="Para11Carattere"/>
    <w:qFormat/>
    <w:rsid w:val="00F44F76"/>
    <w:pPr>
      <w:numPr>
        <w:ilvl w:val="1"/>
        <w:numId w:val="6"/>
      </w:numPr>
      <w:tabs>
        <w:tab w:val="num" w:pos="360"/>
      </w:tabs>
      <w:spacing w:after="0" w:line="240" w:lineRule="auto"/>
      <w:ind w:right="-1" w:firstLine="0"/>
      <w:jc w:val="both"/>
    </w:pPr>
    <w:rPr>
      <w:rFonts w:eastAsia="Calibri" w:cstheme="minorHAnsi"/>
      <w:b/>
      <w:sz w:val="32"/>
      <w:szCs w:val="28"/>
    </w:rPr>
  </w:style>
  <w:style w:type="character" w:customStyle="1" w:styleId="Para1Carattere">
    <w:name w:val="Para1 Carattere"/>
    <w:basedOn w:val="DefaultParagraphFont"/>
    <w:link w:val="Para1"/>
    <w:rsid w:val="00F44F76"/>
    <w:rPr>
      <w:rFonts w:eastAsia="Calibri" w:cstheme="minorHAnsi"/>
      <w:b/>
      <w:sz w:val="32"/>
      <w:szCs w:val="28"/>
    </w:rPr>
  </w:style>
  <w:style w:type="character" w:customStyle="1" w:styleId="ListParagraphChar">
    <w:name w:val="List Paragraph Char"/>
    <w:basedOn w:val="DefaultParagraphFont"/>
    <w:link w:val="ListParagraph"/>
    <w:uiPriority w:val="34"/>
    <w:rsid w:val="00F44F76"/>
  </w:style>
  <w:style w:type="character" w:customStyle="1" w:styleId="Para11Carattere">
    <w:name w:val="Para1.1 Carattere"/>
    <w:basedOn w:val="ListParagraphChar"/>
    <w:link w:val="Para11"/>
    <w:rsid w:val="00F44F76"/>
    <w:rPr>
      <w:rFonts w:eastAsia="Calibri" w:cstheme="minorHAnsi"/>
      <w:b/>
      <w:sz w:val="32"/>
      <w:szCs w:val="28"/>
    </w:rPr>
  </w:style>
  <w:style w:type="paragraph" w:styleId="BalloonText">
    <w:name w:val="Balloon Text"/>
    <w:basedOn w:val="Normal"/>
    <w:link w:val="BalloonTextChar"/>
    <w:uiPriority w:val="99"/>
    <w:semiHidden/>
    <w:unhideWhenUsed/>
    <w:rsid w:val="00F4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 w:id="8580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667B-8A4E-4172-9A8A-7E4409D8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812AF-BD59-45F5-BB0F-BCA94F626475}">
  <ds:schemaRefs>
    <ds:schemaRef ds:uri="http://schemas.microsoft.com/sharepoint/v3/contenttype/forms"/>
  </ds:schemaRefs>
</ds:datastoreItem>
</file>

<file path=customXml/itemProps3.xml><?xml version="1.0" encoding="utf-8"?>
<ds:datastoreItem xmlns:ds="http://schemas.openxmlformats.org/officeDocument/2006/customXml" ds:itemID="{34AC3513-02A7-4B30-9E62-1CB19265D86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09C6D88-59DE-455A-9AB2-93AC995F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Therese Arnesen</cp:lastModifiedBy>
  <cp:revision>2</cp:revision>
  <dcterms:created xsi:type="dcterms:W3CDTF">2022-12-06T20:21:00Z</dcterms:created>
  <dcterms:modified xsi:type="dcterms:W3CDTF">2022-12-06T20:21:00Z</dcterms:modified>
</cp:coreProperties>
</file>