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8EC4" w14:textId="77777777" w:rsidR="002B1CF5" w:rsidRDefault="002B1CF5" w:rsidP="002B1CF5">
      <w:pPr>
        <w:jc w:val="center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8A59E1" wp14:editId="4CA7029A">
            <wp:simplePos x="0" y="0"/>
            <wp:positionH relativeFrom="margin">
              <wp:posOffset>1905</wp:posOffset>
            </wp:positionH>
            <wp:positionV relativeFrom="paragraph">
              <wp:posOffset>1270</wp:posOffset>
            </wp:positionV>
            <wp:extent cx="1791335" cy="471561"/>
            <wp:effectExtent l="0" t="0" r="0" b="508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71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EB8DD" w14:textId="77777777" w:rsidR="002B1CF5" w:rsidRDefault="002B1CF5" w:rsidP="002B1CF5">
      <w:pPr>
        <w:jc w:val="center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14:paraId="4E06D0F3" w14:textId="77777777" w:rsidR="002B1CF5" w:rsidRDefault="002B1CF5" w:rsidP="002B1CF5">
      <w:pPr>
        <w:jc w:val="center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14:paraId="50E8D836" w14:textId="07B15D66" w:rsidR="002B1CF5" w:rsidRPr="002B1CF5" w:rsidRDefault="00961EAE" w:rsidP="00660837">
      <w:pPr>
        <w:jc w:val="center"/>
        <w:rPr>
          <w:rFonts w:ascii="Roboto" w:eastAsia="Times New Roman" w:hAnsi="Roboto" w:cs="Times New Roman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 xml:space="preserve">UN </w:t>
      </w:r>
      <w:r w:rsidR="00660837" w:rsidRPr="00660837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 xml:space="preserve">OHCHR </w:t>
      </w:r>
      <w:r w:rsidR="0055659C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 xml:space="preserve">Research and </w:t>
      </w:r>
      <w:r w:rsidR="00660837" w:rsidRPr="00660837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>Report on H</w:t>
      </w:r>
      <w:r w:rsidR="00660837" w:rsidRPr="002B1CF5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 xml:space="preserve">uman </w:t>
      </w:r>
      <w:r w:rsidR="00660837" w:rsidRPr="00660837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>R</w:t>
      </w:r>
      <w:r w:rsidR="00660837" w:rsidRPr="002B1CF5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 xml:space="preserve">ights and </w:t>
      </w:r>
      <w:r w:rsidR="00660837" w:rsidRPr="00660837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>C</w:t>
      </w:r>
      <w:r w:rsidR="00660837" w:rsidRPr="002B1CF5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 xml:space="preserve">limate </w:t>
      </w:r>
      <w:r w:rsidR="00660837" w:rsidRPr="00660837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>C</w:t>
      </w:r>
      <w:r w:rsidR="00660837" w:rsidRPr="002B1CF5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>hange</w:t>
      </w:r>
      <w:r w:rsidR="00660837">
        <w:rPr>
          <w:rFonts w:ascii="Roboto" w:eastAsia="Times New Roman" w:hAnsi="Roboto" w:cs="Times New Roman"/>
          <w:sz w:val="24"/>
          <w:szCs w:val="24"/>
          <w:lang w:eastAsia="en-GB"/>
        </w:rPr>
        <w:br/>
      </w:r>
      <w:r w:rsidR="002B1CF5" w:rsidRPr="002B1CF5">
        <w:rPr>
          <w:rFonts w:ascii="Roboto" w:eastAsia="Times New Roman" w:hAnsi="Roboto" w:cs="Times New Roman"/>
          <w:sz w:val="24"/>
          <w:szCs w:val="24"/>
          <w:lang w:eastAsia="en-GB"/>
        </w:rPr>
        <w:t xml:space="preserve">Questionnaire in relation to Human Rights Council </w:t>
      </w:r>
      <w:r w:rsidR="00F25360">
        <w:rPr>
          <w:rFonts w:ascii="Roboto" w:eastAsia="Times New Roman" w:hAnsi="Roboto" w:cs="Times New Roman"/>
          <w:sz w:val="24"/>
          <w:szCs w:val="24"/>
          <w:lang w:eastAsia="en-GB"/>
        </w:rPr>
        <w:t>R</w:t>
      </w:r>
      <w:r w:rsidR="002B1CF5" w:rsidRPr="002B1CF5">
        <w:rPr>
          <w:rFonts w:ascii="Roboto" w:eastAsia="Times New Roman" w:hAnsi="Roboto" w:cs="Times New Roman"/>
          <w:sz w:val="24"/>
          <w:szCs w:val="24"/>
          <w:lang w:eastAsia="en-GB"/>
        </w:rPr>
        <w:t xml:space="preserve">esolution 50/9 </w:t>
      </w:r>
    </w:p>
    <w:p w14:paraId="45BC22CC" w14:textId="77777777" w:rsidR="002B1CF5" w:rsidRPr="007466DA" w:rsidRDefault="002B1CF5" w:rsidP="002B1CF5">
      <w:pPr>
        <w:rPr>
          <w:rFonts w:eastAsia="Times New Roman"/>
        </w:rPr>
      </w:pPr>
    </w:p>
    <w:p w14:paraId="5D8FBE74" w14:textId="77777777" w:rsidR="002B1CF5" w:rsidRDefault="002B1CF5" w:rsidP="002B1CF5">
      <w:pPr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933572">
        <w:rPr>
          <w:rFonts w:eastAsia="Times New Roman"/>
          <w:b/>
          <w:bCs/>
        </w:rPr>
        <w:t>Response by</w:t>
      </w:r>
      <w:r w:rsidRPr="007466DA">
        <w:rPr>
          <w:rFonts w:eastAsia="Times New Roman"/>
        </w:rPr>
        <w:t xml:space="preserve">: The International Federation of Library Associations and Institutions (IFLA) </w:t>
      </w:r>
      <w:r>
        <w:rPr>
          <w:rFonts w:eastAsia="Times New Roman"/>
        </w:rPr>
        <w:br/>
      </w:r>
      <w:r w:rsidRPr="00933572">
        <w:rPr>
          <w:rFonts w:eastAsia="Times New Roman"/>
          <w:b/>
          <w:bCs/>
        </w:rPr>
        <w:t>Website</w:t>
      </w:r>
      <w:r w:rsidRPr="007466DA">
        <w:rPr>
          <w:rFonts w:eastAsia="Times New Roman"/>
        </w:rPr>
        <w:t xml:space="preserve">: https://www.ifla.org/ </w:t>
      </w:r>
      <w:r>
        <w:rPr>
          <w:rFonts w:eastAsia="Times New Roman"/>
        </w:rPr>
        <w:br/>
      </w:r>
      <w:r w:rsidRPr="00933572">
        <w:rPr>
          <w:rFonts w:eastAsia="Times New Roman"/>
          <w:b/>
          <w:bCs/>
        </w:rPr>
        <w:t>Contact</w:t>
      </w:r>
      <w:r>
        <w:rPr>
          <w:rFonts w:eastAsia="Times New Roman"/>
        </w:rPr>
        <w:t>: Claire McGuire (</w:t>
      </w:r>
      <w:hyperlink r:id="rId9" w:history="1">
        <w:r w:rsidRPr="00A8212D">
          <w:rPr>
            <w:rStyle w:val="Hyperlink"/>
            <w:rFonts w:eastAsia="Times New Roman"/>
          </w:rPr>
          <w:t>claire.mcguire@ifla.org</w:t>
        </w:r>
      </w:hyperlink>
      <w:r>
        <w:rPr>
          <w:rFonts w:eastAsia="Times New Roman"/>
        </w:rPr>
        <w:t xml:space="preserve">) </w:t>
      </w:r>
    </w:p>
    <w:p w14:paraId="55BBC140" w14:textId="77777777" w:rsidR="002B1CF5" w:rsidRDefault="002B1CF5" w:rsidP="00DA45F7">
      <w:pPr>
        <w:jc w:val="center"/>
        <w:rPr>
          <w:b/>
          <w:bCs/>
        </w:rPr>
      </w:pPr>
    </w:p>
    <w:p w14:paraId="31052459" w14:textId="4D3C8A3D" w:rsidR="00A22AD1" w:rsidRPr="00043FF5" w:rsidRDefault="00A22AD1" w:rsidP="00DA45F7">
      <w:pPr>
        <w:spacing w:line="240" w:lineRule="auto"/>
        <w:rPr>
          <w:b/>
          <w:bCs/>
          <w:i/>
          <w:iCs/>
        </w:rPr>
      </w:pPr>
      <w:r w:rsidRPr="00043FF5">
        <w:rPr>
          <w:b/>
          <w:bCs/>
          <w:i/>
          <w:iCs/>
        </w:rPr>
        <w:t>Please identify and share examples of promising practices and challenges in the</w:t>
      </w:r>
      <w:r w:rsidR="00DA45F7" w:rsidRPr="00043FF5">
        <w:rPr>
          <w:b/>
          <w:bCs/>
          <w:i/>
          <w:iCs/>
        </w:rPr>
        <w:t xml:space="preserve"> </w:t>
      </w:r>
      <w:r w:rsidRPr="00043FF5">
        <w:rPr>
          <w:b/>
          <w:bCs/>
          <w:i/>
          <w:iCs/>
        </w:rPr>
        <w:t>promotion, protection, and fulfilment of the full reali</w:t>
      </w:r>
      <w:r w:rsidR="00082971">
        <w:rPr>
          <w:b/>
          <w:bCs/>
          <w:i/>
          <w:iCs/>
        </w:rPr>
        <w:t>s</w:t>
      </w:r>
      <w:r w:rsidRPr="00043FF5">
        <w:rPr>
          <w:b/>
          <w:bCs/>
          <w:i/>
          <w:iCs/>
        </w:rPr>
        <w:t>ation of the right to food in the</w:t>
      </w:r>
      <w:r w:rsidR="00DA45F7" w:rsidRPr="00043FF5">
        <w:rPr>
          <w:b/>
          <w:bCs/>
          <w:i/>
          <w:iCs/>
        </w:rPr>
        <w:t xml:space="preserve"> </w:t>
      </w:r>
      <w:r w:rsidRPr="00043FF5">
        <w:rPr>
          <w:b/>
          <w:bCs/>
          <w:i/>
          <w:iCs/>
        </w:rPr>
        <w:t>context of the adverse effects of climate change</w:t>
      </w:r>
      <w:r w:rsidRPr="00043FF5">
        <w:rPr>
          <w:i/>
          <w:iCs/>
        </w:rPr>
        <w:t>.</w:t>
      </w:r>
    </w:p>
    <w:p w14:paraId="20A59ECD" w14:textId="52BE1A1C" w:rsidR="0031699D" w:rsidRPr="00232E7B" w:rsidRDefault="0031699D" w:rsidP="0031699D"/>
    <w:p w14:paraId="3670FE7A" w14:textId="0F497FC8" w:rsidR="0031699D" w:rsidRPr="00232E7B" w:rsidRDefault="0031699D" w:rsidP="0031699D">
      <w:r w:rsidRPr="00232E7B">
        <w:t xml:space="preserve">The adverse effects of climate change are heightening the need to build resilience within communities – from urban centres to rural settlements. </w:t>
      </w:r>
      <w:r w:rsidR="00F46353" w:rsidRPr="00232E7B">
        <w:t xml:space="preserve">This is both a challenge and an opportunity, as resilience building offers a chance to </w:t>
      </w:r>
      <w:r w:rsidR="00796CB4" w:rsidRPr="00232E7B">
        <w:t xml:space="preserve">reduce inequalities and </w:t>
      </w:r>
      <w:r w:rsidR="00F46353" w:rsidRPr="00232E7B">
        <w:t>ensur</w:t>
      </w:r>
      <w:r w:rsidR="00796CB4" w:rsidRPr="00232E7B">
        <w:t>e</w:t>
      </w:r>
      <w:r w:rsidR="00F46353" w:rsidRPr="00232E7B">
        <w:t xml:space="preserve"> that</w:t>
      </w:r>
      <w:r w:rsidR="00D92E7B" w:rsidRPr="00232E7B">
        <w:t xml:space="preserve"> </w:t>
      </w:r>
      <w:r w:rsidR="00F46353" w:rsidRPr="00232E7B">
        <w:t xml:space="preserve">people not only survive climate </w:t>
      </w:r>
      <w:proofErr w:type="gramStart"/>
      <w:r w:rsidR="009F5286">
        <w:t>emergencies</w:t>
      </w:r>
      <w:r w:rsidR="00F46353" w:rsidRPr="00232E7B">
        <w:t>, but</w:t>
      </w:r>
      <w:proofErr w:type="gramEnd"/>
      <w:r w:rsidR="00F46353" w:rsidRPr="00232E7B">
        <w:t xml:space="preserve"> thrive in spite of t</w:t>
      </w:r>
      <w:r w:rsidR="009F5286">
        <w:t>hem</w:t>
      </w:r>
      <w:r w:rsidR="00F46353" w:rsidRPr="00232E7B">
        <w:t xml:space="preserve">. </w:t>
      </w:r>
    </w:p>
    <w:p w14:paraId="427BA4BE" w14:textId="348BA0D2" w:rsidR="00F46353" w:rsidRPr="00232E7B" w:rsidRDefault="00F46353" w:rsidP="0031699D">
      <w:r w:rsidRPr="00232E7B">
        <w:t xml:space="preserve">Community building </w:t>
      </w:r>
      <w:r w:rsidR="009651B0" w:rsidRPr="00232E7B">
        <w:t>plays</w:t>
      </w:r>
      <w:r w:rsidRPr="00232E7B">
        <w:t xml:space="preserve"> a</w:t>
      </w:r>
      <w:r w:rsidR="009651B0" w:rsidRPr="00232E7B">
        <w:t xml:space="preserve"> central </w:t>
      </w:r>
      <w:r w:rsidRPr="00232E7B">
        <w:t xml:space="preserve">role in resilience building. </w:t>
      </w:r>
      <w:r w:rsidR="00D66B6B" w:rsidRPr="00232E7B">
        <w:t xml:space="preserve">Being able to jointly resist adversity and implement sustainable practices, such as circular economy models, require </w:t>
      </w:r>
      <w:r w:rsidR="00D22B14">
        <w:t>spaces</w:t>
      </w:r>
      <w:r w:rsidR="00D66B6B" w:rsidRPr="00232E7B">
        <w:t xml:space="preserve"> that are accessible and welcoming to all. </w:t>
      </w:r>
    </w:p>
    <w:p w14:paraId="33CE7982" w14:textId="1F16DDBD" w:rsidR="0031699D" w:rsidRPr="00232E7B" w:rsidRDefault="00D66B6B" w:rsidP="0031699D">
      <w:r w:rsidRPr="00232E7B">
        <w:t xml:space="preserve">Libraries have long been </w:t>
      </w:r>
      <w:r w:rsidR="0031699D" w:rsidRPr="00232E7B">
        <w:t>i</w:t>
      </w:r>
      <w:r w:rsidR="0031699D" w:rsidRPr="00232E7B">
        <w:t>nnovat</w:t>
      </w:r>
      <w:r w:rsidR="007F02B9" w:rsidRPr="00232E7B">
        <w:t>ive</w:t>
      </w:r>
      <w:r w:rsidR="0031699D" w:rsidRPr="00232E7B">
        <w:t xml:space="preserve"> spaces, community </w:t>
      </w:r>
      <w:r w:rsidRPr="00232E7B">
        <w:t xml:space="preserve">centres, </w:t>
      </w:r>
      <w:r w:rsidR="0031699D" w:rsidRPr="00232E7B">
        <w:t xml:space="preserve">and sanctuaries for people </w:t>
      </w:r>
      <w:r w:rsidR="0031699D" w:rsidRPr="00232E7B">
        <w:t>in need</w:t>
      </w:r>
      <w:r w:rsidR="001E5FCE" w:rsidRPr="00232E7B">
        <w:t>. Following</w:t>
      </w:r>
      <w:r w:rsidRPr="00232E7B">
        <w:t xml:space="preserve"> natural and human-caused disasters, they have stepped up to serve as </w:t>
      </w:r>
      <w:hyperlink r:id="rId10" w:history="1">
        <w:r w:rsidRPr="00524C52">
          <w:rPr>
            <w:rStyle w:val="Hyperlink"/>
          </w:rPr>
          <w:t>community rallying-points</w:t>
        </w:r>
      </w:hyperlink>
      <w:r w:rsidRPr="00232E7B">
        <w:t xml:space="preserve">, </w:t>
      </w:r>
      <w:hyperlink r:id="rId11" w:history="1">
        <w:r w:rsidR="001E5FCE" w:rsidRPr="00524C52">
          <w:rPr>
            <w:rStyle w:val="Hyperlink"/>
          </w:rPr>
          <w:t>temporary shelters</w:t>
        </w:r>
      </w:hyperlink>
      <w:r w:rsidR="001E5FCE" w:rsidRPr="00232E7B">
        <w:t xml:space="preserve">, and distribution centres for </w:t>
      </w:r>
      <w:hyperlink r:id="rId12" w:history="1">
        <w:r w:rsidR="001E5FCE" w:rsidRPr="00524C52">
          <w:rPr>
            <w:rStyle w:val="Hyperlink"/>
          </w:rPr>
          <w:t>humanitarian aid</w:t>
        </w:r>
      </w:hyperlink>
      <w:r w:rsidR="001E5FCE" w:rsidRPr="00232E7B">
        <w:t xml:space="preserve"> (including food</w:t>
      </w:r>
      <w:r w:rsidR="00156586">
        <w:t xml:space="preserve"> aid</w:t>
      </w:r>
      <w:r w:rsidR="001E5FCE" w:rsidRPr="00232E7B">
        <w:t xml:space="preserve">). </w:t>
      </w:r>
      <w:r w:rsidR="00532EFD" w:rsidRPr="00232E7B">
        <w:t xml:space="preserve">With the rising severity and frequency of disasters caused by the adverse effects of climate change, these spaces are </w:t>
      </w:r>
      <w:r w:rsidR="00367692">
        <w:t>increasingly</w:t>
      </w:r>
      <w:r w:rsidR="00532EFD" w:rsidRPr="00232E7B">
        <w:t xml:space="preserve"> valuable </w:t>
      </w:r>
      <w:r w:rsidR="0069562B">
        <w:t>for</w:t>
      </w:r>
      <w:r w:rsidR="002565C4">
        <w:t xml:space="preserve"> strengthening</w:t>
      </w:r>
      <w:r w:rsidR="007F02B9" w:rsidRPr="00232E7B">
        <w:t xml:space="preserve"> the resilience of</w:t>
      </w:r>
      <w:r w:rsidR="00532EFD" w:rsidRPr="00232E7B">
        <w:t xml:space="preserve"> their communities. </w:t>
      </w:r>
    </w:p>
    <w:p w14:paraId="3C928DC5" w14:textId="346516D0" w:rsidR="0031699D" w:rsidRPr="00232E7B" w:rsidRDefault="001E5FCE" w:rsidP="0031699D">
      <w:r w:rsidRPr="00232E7B">
        <w:t xml:space="preserve">However, this role goes beyond disaster response. Libraries have been actively </w:t>
      </w:r>
      <w:r w:rsidR="00557A93">
        <w:t>countering</w:t>
      </w:r>
      <w:r w:rsidR="00532EFD" w:rsidRPr="00232E7B">
        <w:t xml:space="preserve"> food </w:t>
      </w:r>
      <w:r w:rsidR="00557A93">
        <w:t>in</w:t>
      </w:r>
      <w:r w:rsidR="00532EFD" w:rsidRPr="00232E7B">
        <w:t xml:space="preserve">security within their communities through direct food distribution, educational programming on gardening and food production, and access to information for the agriculture and food sector. </w:t>
      </w:r>
    </w:p>
    <w:p w14:paraId="53385353" w14:textId="2B3E6B3F" w:rsidR="00E944DF" w:rsidRPr="00232E7B" w:rsidRDefault="00B02329" w:rsidP="0031699D">
      <w:r w:rsidRPr="00232E7B">
        <w:t xml:space="preserve">Through direct food distribution and partnering with existing programmes, </w:t>
      </w:r>
      <w:r w:rsidR="00E368BD" w:rsidRPr="00232E7B">
        <w:t>libraries have</w:t>
      </w:r>
      <w:r w:rsidR="00606C39">
        <w:t xml:space="preserve"> been able to connect resources for those </w:t>
      </w:r>
      <w:r w:rsidR="00606C39" w:rsidRPr="00232E7B">
        <w:t>facing food insecurity</w:t>
      </w:r>
      <w:r w:rsidR="00563590">
        <w:t xml:space="preserve"> with </w:t>
      </w:r>
      <w:r w:rsidR="00563590">
        <w:t>community members most in need</w:t>
      </w:r>
      <w:r w:rsidR="00563590">
        <w:t>.</w:t>
      </w:r>
    </w:p>
    <w:p w14:paraId="34143556" w14:textId="1FDD3029" w:rsidR="00A627ED" w:rsidRDefault="003613C6" w:rsidP="0031699D">
      <w:r>
        <w:t>This n</w:t>
      </w:r>
      <w:r w:rsidR="005D220F">
        <w:t>eed</w:t>
      </w:r>
      <w:r w:rsidR="00406C03" w:rsidRPr="00232E7B">
        <w:t xml:space="preserve"> </w:t>
      </w:r>
      <w:r w:rsidR="00E944DF" w:rsidRPr="00232E7B">
        <w:t xml:space="preserve">notably </w:t>
      </w:r>
      <w:r w:rsidR="00406C03" w:rsidRPr="00232E7B">
        <w:t xml:space="preserve">increased </w:t>
      </w:r>
      <w:r w:rsidR="00E944DF" w:rsidRPr="00232E7B">
        <w:t>during</w:t>
      </w:r>
      <w:r w:rsidR="00406C03" w:rsidRPr="00232E7B">
        <w:t xml:space="preserve"> the COVID-19 pandemic</w:t>
      </w:r>
      <w:r w:rsidR="00E944DF" w:rsidRPr="00232E7B">
        <w:t>, and examples</w:t>
      </w:r>
      <w:r w:rsidR="00584728" w:rsidRPr="00232E7B">
        <w:t xml:space="preserve"> of libraries supporting </w:t>
      </w:r>
      <w:r w:rsidR="00224D1D">
        <w:t>community members</w:t>
      </w:r>
      <w:r w:rsidR="00E944DF" w:rsidRPr="00232E7B">
        <w:t>, like this</w:t>
      </w:r>
      <w:r w:rsidR="00E944DF" w:rsidRPr="00232E7B">
        <w:t xml:space="preserve"> pop-up food bank at </w:t>
      </w:r>
      <w:hyperlink r:id="rId13" w:history="1">
        <w:r w:rsidR="00E944DF" w:rsidRPr="00524C52">
          <w:rPr>
            <w:rStyle w:val="Hyperlink"/>
          </w:rPr>
          <w:t>Toronto Public Library’s Albion branch</w:t>
        </w:r>
      </w:hyperlink>
      <w:r w:rsidR="00E944DF" w:rsidRPr="00232E7B">
        <w:t xml:space="preserve">, </w:t>
      </w:r>
      <w:r w:rsidR="00584728" w:rsidRPr="00232E7B">
        <w:t xml:space="preserve">are numerous. </w:t>
      </w:r>
      <w:r w:rsidR="004A061D" w:rsidRPr="00232E7B">
        <w:t>To support</w:t>
      </w:r>
      <w:r w:rsidR="005F023E" w:rsidRPr="00232E7B">
        <w:t xml:space="preserve"> children facing food insecurity, </w:t>
      </w:r>
      <w:r w:rsidR="004A061D" w:rsidRPr="00232E7B">
        <w:t xml:space="preserve">libraries across the United States participate as </w:t>
      </w:r>
      <w:r w:rsidR="004A061D" w:rsidRPr="00232E7B">
        <w:t>Summer Food Service Program (SFSP)</w:t>
      </w:r>
      <w:r w:rsidR="004D5288" w:rsidRPr="00232E7B">
        <w:t xml:space="preserve"> sites</w:t>
      </w:r>
      <w:r w:rsidR="00524C52">
        <w:t xml:space="preserve"> (such as </w:t>
      </w:r>
      <w:hyperlink r:id="rId14" w:anchor=":~:text=The%20SFSP%20is%20a%20federally,18%20during%20the%20summer%20months." w:history="1">
        <w:r w:rsidR="00524C52" w:rsidRPr="00524C52">
          <w:rPr>
            <w:rStyle w:val="Hyperlink"/>
          </w:rPr>
          <w:t>this example</w:t>
        </w:r>
      </w:hyperlink>
      <w:r w:rsidR="00524C52">
        <w:t xml:space="preserve"> from Texas)</w:t>
      </w:r>
      <w:r w:rsidR="004D5288" w:rsidRPr="00232E7B">
        <w:t>, helping to ensure out-of-school students still have access to meals.</w:t>
      </w:r>
    </w:p>
    <w:p w14:paraId="215D5E94" w14:textId="3B1BBEFD" w:rsidR="00BD0537" w:rsidRPr="00232E7B" w:rsidRDefault="002639BD" w:rsidP="0031699D">
      <w:r w:rsidRPr="00232E7B">
        <w:t xml:space="preserve">Beyond this, there are examples of “library pantries” and </w:t>
      </w:r>
      <w:r w:rsidR="00CA28DC" w:rsidRPr="00232E7B">
        <w:t xml:space="preserve">food banks located within public libraries, </w:t>
      </w:r>
      <w:r w:rsidR="0013719D">
        <w:t>where</w:t>
      </w:r>
      <w:r w:rsidR="00CA28DC" w:rsidRPr="00232E7B">
        <w:t xml:space="preserve"> community members at need can access items. </w:t>
      </w:r>
      <w:r w:rsidR="00A627ED">
        <w:t xml:space="preserve">This example of a </w:t>
      </w:r>
      <w:hyperlink r:id="rId15" w:history="1">
        <w:r w:rsidR="00A627ED" w:rsidRPr="00CC6B3F">
          <w:rPr>
            <w:rStyle w:val="Hyperlink"/>
          </w:rPr>
          <w:t>“</w:t>
        </w:r>
        <w:r w:rsidR="00A627ED" w:rsidRPr="00CC6B3F">
          <w:rPr>
            <w:rStyle w:val="Hyperlink"/>
          </w:rPr>
          <w:t>Farm-2-Library</w:t>
        </w:r>
        <w:r w:rsidR="00A627ED" w:rsidRPr="00CC6B3F">
          <w:rPr>
            <w:rStyle w:val="Hyperlink"/>
          </w:rPr>
          <w:t>”</w:t>
        </w:r>
        <w:r w:rsidR="00A627ED" w:rsidRPr="00CC6B3F">
          <w:rPr>
            <w:rStyle w:val="Hyperlink"/>
          </w:rPr>
          <w:t xml:space="preserve"> food distribution network</w:t>
        </w:r>
      </w:hyperlink>
      <w:r w:rsidR="00A627ED">
        <w:t xml:space="preserve"> </w:t>
      </w:r>
      <w:r w:rsidR="002F49FB">
        <w:t xml:space="preserve">helps reduce food waste by collecting excess </w:t>
      </w:r>
      <w:r w:rsidR="002F49FB" w:rsidRPr="002F49FB">
        <w:t>produce from local farms</w:t>
      </w:r>
      <w:r w:rsidR="00F938F0">
        <w:t xml:space="preserve"> and </w:t>
      </w:r>
      <w:r w:rsidR="00F938F0" w:rsidRPr="00F938F0">
        <w:lastRenderedPageBreak/>
        <w:t>distributing</w:t>
      </w:r>
      <w:r w:rsidR="00624F49">
        <w:t xml:space="preserve"> it</w:t>
      </w:r>
      <w:r w:rsidR="00F938F0" w:rsidRPr="00F938F0">
        <w:t xml:space="preserve"> through rural libraries</w:t>
      </w:r>
      <w:r w:rsidR="001F4D20">
        <w:t>. This programme is centred</w:t>
      </w:r>
      <w:r w:rsidR="00F938F0">
        <w:t xml:space="preserve"> in communities </w:t>
      </w:r>
      <w:r w:rsidR="00624F49">
        <w:t xml:space="preserve">where </w:t>
      </w:r>
      <w:r w:rsidR="00624F49" w:rsidRPr="00624F49">
        <w:t xml:space="preserve">more than 60% of households </w:t>
      </w:r>
      <w:r w:rsidR="00624F49">
        <w:t xml:space="preserve">report difficulty </w:t>
      </w:r>
      <w:r w:rsidR="00880AC4">
        <w:t>accessing fresh</w:t>
      </w:r>
      <w:r w:rsidR="00624F49" w:rsidRPr="00F938F0">
        <w:t xml:space="preserve"> fruit and vegetables</w:t>
      </w:r>
      <w:r w:rsidR="00624F49">
        <w:t xml:space="preserve">. </w:t>
      </w:r>
      <w:r w:rsidR="00822F0B">
        <w:t xml:space="preserve">Such distribution programmes could become increasingly relevant as </w:t>
      </w:r>
      <w:r w:rsidR="00B634AC">
        <w:t>climate-change related challenges, such as</w:t>
      </w:r>
      <w:r w:rsidR="00822F0B">
        <w:t xml:space="preserve"> drought and flooding, </w:t>
      </w:r>
      <w:r w:rsidR="00592D9A">
        <w:t xml:space="preserve">strain access to fresh produce in larger areas than seen previously. </w:t>
      </w:r>
    </w:p>
    <w:p w14:paraId="4677418F" w14:textId="297357D9" w:rsidR="00446ADE" w:rsidRDefault="001851E2" w:rsidP="0031699D">
      <w:r w:rsidRPr="00232E7B">
        <w:t>Libraries are spaces for</w:t>
      </w:r>
      <w:r w:rsidR="006D48F7">
        <w:t xml:space="preserve"> lifelong</w:t>
      </w:r>
      <w:r w:rsidRPr="00232E7B">
        <w:t xml:space="preserve"> education and empowerment. Resilience building in the face of the climate crisis brings with it the need to learn new skills</w:t>
      </w:r>
      <w:r w:rsidR="00082BB1" w:rsidRPr="00232E7B">
        <w:t xml:space="preserve">. </w:t>
      </w:r>
      <w:r w:rsidR="005C4B36" w:rsidRPr="00232E7B">
        <w:t>Many examples can be found of library programmes that focus on community gardening, such as</w:t>
      </w:r>
      <w:r w:rsidR="00446ADE" w:rsidRPr="00232E7B">
        <w:t xml:space="preserve"> the </w:t>
      </w:r>
      <w:hyperlink r:id="rId16" w:history="1">
        <w:r w:rsidR="00446ADE" w:rsidRPr="00CC6B3F">
          <w:rPr>
            <w:rStyle w:val="Hyperlink"/>
            <w:i/>
            <w:iCs/>
          </w:rPr>
          <w:t>One House, One Garden</w:t>
        </w:r>
      </w:hyperlink>
      <w:r w:rsidR="00446ADE" w:rsidRPr="00232E7B">
        <w:t xml:space="preserve"> project from </w:t>
      </w:r>
      <w:r w:rsidR="00B663E1" w:rsidRPr="00232E7B">
        <w:t>Pietermaritzburg, South Africa</w:t>
      </w:r>
      <w:r w:rsidR="00B663E1" w:rsidRPr="00232E7B">
        <w:t xml:space="preserve">. This project has transformed the </w:t>
      </w:r>
      <w:r w:rsidR="00B663E1" w:rsidRPr="00232E7B">
        <w:t>library’s open spaces into thriving vegetable gardens which have become a vital resource for the nourishment and well-being of its community members.</w:t>
      </w:r>
      <w:r w:rsidR="001A2083" w:rsidRPr="00232E7B">
        <w:t xml:space="preserve"> </w:t>
      </w:r>
      <w:r w:rsidR="000E3B6B" w:rsidRPr="00232E7B">
        <w:t xml:space="preserve">This community </w:t>
      </w:r>
      <w:r w:rsidR="000E3B6B" w:rsidRPr="00232E7B">
        <w:t>suffers from some of the highest levels of food insecurity in South Africa</w:t>
      </w:r>
      <w:r w:rsidR="000E3B6B" w:rsidRPr="00232E7B">
        <w:t xml:space="preserve">, and the project has </w:t>
      </w:r>
      <w:r w:rsidR="004435C6" w:rsidRPr="00232E7B">
        <w:t xml:space="preserve">helped stock local soup kitchens, as well as </w:t>
      </w:r>
      <w:r w:rsidR="004435C6" w:rsidRPr="00232E7B">
        <w:t>112 families, an elderly home with 70 residents, and an orphanage with 49 children.</w:t>
      </w:r>
      <w:r w:rsidR="000E3B6B" w:rsidRPr="00232E7B">
        <w:t xml:space="preserve"> </w:t>
      </w:r>
    </w:p>
    <w:p w14:paraId="5FF68F41" w14:textId="5A4C8063" w:rsidR="00540DD5" w:rsidRPr="00232E7B" w:rsidRDefault="00540DD5" w:rsidP="0031699D">
      <w:r>
        <w:t>Senegal’s</w:t>
      </w:r>
      <w:r w:rsidRPr="00540DD5">
        <w:t xml:space="preserve"> </w:t>
      </w:r>
      <w:hyperlink r:id="rId17" w:history="1">
        <w:proofErr w:type="spellStart"/>
        <w:r w:rsidRPr="00CC6B3F">
          <w:rPr>
            <w:rStyle w:val="Hyperlink"/>
          </w:rPr>
          <w:t>Lambaye</w:t>
        </w:r>
        <w:proofErr w:type="spellEnd"/>
        <w:r w:rsidRPr="00CC6B3F">
          <w:rPr>
            <w:rStyle w:val="Hyperlink"/>
          </w:rPr>
          <w:t xml:space="preserve"> Learning Center</w:t>
        </w:r>
        <w:r w:rsidRPr="00CC6B3F">
          <w:rPr>
            <w:rStyle w:val="Hyperlink"/>
          </w:rPr>
          <w:t xml:space="preserve"> Library</w:t>
        </w:r>
      </w:hyperlink>
      <w:r>
        <w:t xml:space="preserve"> offers a similar programme</w:t>
      </w:r>
      <w:r w:rsidR="00355122">
        <w:t xml:space="preserve">. It’s </w:t>
      </w:r>
      <w:r w:rsidR="00355122">
        <w:t xml:space="preserve">garden and a micro-gardening space </w:t>
      </w:r>
      <w:r w:rsidR="00355122">
        <w:t>help</w:t>
      </w:r>
      <w:r w:rsidR="00355122">
        <w:t xml:space="preserve"> train young people and women</w:t>
      </w:r>
      <w:r w:rsidR="00355122">
        <w:t xml:space="preserve"> from nearby villages in </w:t>
      </w:r>
      <w:r w:rsidR="00BA7C98" w:rsidRPr="00BA7C98">
        <w:t xml:space="preserve">gardening, </w:t>
      </w:r>
      <w:r w:rsidR="0061403D" w:rsidRPr="00BA7C98">
        <w:t>health,</w:t>
      </w:r>
      <w:r w:rsidR="00BA7C98" w:rsidRPr="00BA7C98">
        <w:t xml:space="preserve"> and environmental knowledge</w:t>
      </w:r>
      <w:r w:rsidR="00BA7C98">
        <w:t xml:space="preserve">. </w:t>
      </w:r>
    </w:p>
    <w:p w14:paraId="1FD4991B" w14:textId="7D302029" w:rsidR="004435C6" w:rsidRPr="00232E7B" w:rsidRDefault="00540DD5" w:rsidP="0031699D">
      <w:r>
        <w:t>U</w:t>
      </w:r>
      <w:r w:rsidR="00017FF0" w:rsidRPr="00232E7B">
        <w:t>rban gardening projects can</w:t>
      </w:r>
      <w:r>
        <w:t xml:space="preserve"> also</w:t>
      </w:r>
      <w:r w:rsidR="00017FF0" w:rsidRPr="00232E7B">
        <w:t xml:space="preserve"> be found in Europe, such as at the </w:t>
      </w:r>
      <w:hyperlink r:id="rId18" w:history="1">
        <w:r w:rsidR="00017FF0" w:rsidRPr="00CC6B3F">
          <w:rPr>
            <w:rStyle w:val="Hyperlink"/>
          </w:rPr>
          <w:t xml:space="preserve">Bad </w:t>
        </w:r>
        <w:proofErr w:type="spellStart"/>
        <w:r w:rsidR="00017FF0" w:rsidRPr="00CC6B3F">
          <w:rPr>
            <w:rStyle w:val="Hyperlink"/>
          </w:rPr>
          <w:t>Oldesloe</w:t>
        </w:r>
        <w:proofErr w:type="spellEnd"/>
        <w:r w:rsidR="00017FF0" w:rsidRPr="00CC6B3F">
          <w:rPr>
            <w:rStyle w:val="Hyperlink"/>
          </w:rPr>
          <w:t xml:space="preserve"> City Library</w:t>
        </w:r>
      </w:hyperlink>
      <w:r w:rsidR="00017FF0" w:rsidRPr="00232E7B">
        <w:t xml:space="preserve">, Germany. </w:t>
      </w:r>
      <w:r w:rsidR="00552EBF" w:rsidRPr="00232E7B">
        <w:t xml:space="preserve">This library’s </w:t>
      </w:r>
      <w:r w:rsidR="00552EBF" w:rsidRPr="00232E7B">
        <w:t>"Harvest Your City" project</w:t>
      </w:r>
      <w:r w:rsidR="00024F7D" w:rsidRPr="00232E7B">
        <w:t xml:space="preserve"> provides instruction on gardening</w:t>
      </w:r>
      <w:r w:rsidR="00E66956" w:rsidRPr="00232E7B">
        <w:t>, see</w:t>
      </w:r>
      <w:r w:rsidR="00F33AB5">
        <w:t>d</w:t>
      </w:r>
      <w:r w:rsidR="00E66956" w:rsidRPr="00232E7B">
        <w:t xml:space="preserve"> exchanges, and local food sharing initiatives. </w:t>
      </w:r>
    </w:p>
    <w:p w14:paraId="2C6C50DC" w14:textId="592C20CA" w:rsidR="007F02B9" w:rsidRPr="00232E7B" w:rsidRDefault="00C63C40" w:rsidP="0031699D">
      <w:r w:rsidRPr="00232E7B">
        <w:t xml:space="preserve">Access to </w:t>
      </w:r>
      <w:r w:rsidRPr="00232E7B">
        <w:t xml:space="preserve">ICT, </w:t>
      </w:r>
      <w:r w:rsidRPr="00232E7B">
        <w:t>skills, and support also plays a role in achieving better outcomes for farmers and food producers. T</w:t>
      </w:r>
      <w:r w:rsidR="005C4B36" w:rsidRPr="00232E7B">
        <w:t xml:space="preserve">his example from </w:t>
      </w:r>
      <w:hyperlink r:id="rId19" w:history="1">
        <w:proofErr w:type="spellStart"/>
        <w:r w:rsidR="005C4B36" w:rsidRPr="00316A2A">
          <w:rPr>
            <w:rStyle w:val="Hyperlink"/>
          </w:rPr>
          <w:t>Edenville</w:t>
        </w:r>
        <w:proofErr w:type="spellEnd"/>
      </w:hyperlink>
      <w:r w:rsidR="005C4B36" w:rsidRPr="00232E7B">
        <w:t>, a small rural farming community in the Free State Province, South Africa</w:t>
      </w:r>
      <w:r w:rsidRPr="00232E7B">
        <w:t xml:space="preserve">, </w:t>
      </w:r>
      <w:r w:rsidR="009D6F05" w:rsidRPr="00232E7B">
        <w:t>details how the</w:t>
      </w:r>
      <w:r w:rsidR="009D6F05" w:rsidRPr="00232E7B">
        <w:t xml:space="preserve"> local library</w:t>
      </w:r>
      <w:r w:rsidR="009D6F05" w:rsidRPr="00232E7B">
        <w:t xml:space="preserve"> helped </w:t>
      </w:r>
      <w:r w:rsidR="009D6F05" w:rsidRPr="00232E7B">
        <w:t>farmers</w:t>
      </w:r>
      <w:r w:rsidR="00300533">
        <w:t xml:space="preserve"> </w:t>
      </w:r>
      <w:r w:rsidR="00804AB7">
        <w:t xml:space="preserve">increase </w:t>
      </w:r>
      <w:r w:rsidR="009D6F05" w:rsidRPr="00232E7B">
        <w:t>production and gain economic benefits.</w:t>
      </w:r>
      <w:r w:rsidR="009D6F05" w:rsidRPr="00232E7B">
        <w:t xml:space="preserve"> </w:t>
      </w:r>
      <w:r w:rsidR="00FE6205">
        <w:t>The</w:t>
      </w:r>
      <w:r w:rsidR="00C87819" w:rsidRPr="00232E7B">
        <w:t xml:space="preserve"> </w:t>
      </w:r>
      <w:r w:rsidR="00C87819" w:rsidRPr="00232E7B">
        <w:t>library teamed up with the Small Enterprise Development Agency (SEDA) to design and deliver</w:t>
      </w:r>
      <w:r w:rsidR="00C87819" w:rsidRPr="00232E7B">
        <w:t xml:space="preserve"> </w:t>
      </w:r>
      <w:r w:rsidR="00C87819" w:rsidRPr="00232E7B">
        <w:t>a computer literacy training program</w:t>
      </w:r>
      <w:r w:rsidR="00C87819" w:rsidRPr="00232E7B">
        <w:t>me</w:t>
      </w:r>
      <w:r w:rsidR="00C87819" w:rsidRPr="00232E7B">
        <w:t xml:space="preserve"> for farmers, which enabled </w:t>
      </w:r>
      <w:r w:rsidR="00C87819" w:rsidRPr="00232E7B">
        <w:t>them</w:t>
      </w:r>
      <w:r w:rsidR="00C87819" w:rsidRPr="00232E7B">
        <w:t xml:space="preserve"> to communicate with stakeholders, compile reports</w:t>
      </w:r>
      <w:r w:rsidR="000677C3">
        <w:t>,</w:t>
      </w:r>
      <w:r w:rsidR="00C87819" w:rsidRPr="00232E7B">
        <w:t xml:space="preserve"> and</w:t>
      </w:r>
      <w:r w:rsidR="0096059D">
        <w:t xml:space="preserve"> maintain</w:t>
      </w:r>
      <w:r w:rsidR="00C87819" w:rsidRPr="00232E7B">
        <w:t xml:space="preserve"> other correspondence</w:t>
      </w:r>
      <w:r w:rsidR="0096059D">
        <w:t xml:space="preserve"> necessary for</w:t>
      </w:r>
      <w:r w:rsidR="00480363">
        <w:t xml:space="preserve"> supporting</w:t>
      </w:r>
      <w:r w:rsidR="0096059D">
        <w:t xml:space="preserve"> their business</w:t>
      </w:r>
      <w:r w:rsidR="00C87819" w:rsidRPr="00232E7B">
        <w:t>.</w:t>
      </w:r>
    </w:p>
    <w:p w14:paraId="489350F5" w14:textId="39D408E5" w:rsidR="002E0FB9" w:rsidRDefault="00380D8F" w:rsidP="0031699D">
      <w:hyperlink r:id="rId20" w:history="1">
        <w:proofErr w:type="spellStart"/>
        <w:r w:rsidR="005A66DF" w:rsidRPr="00380D8F">
          <w:rPr>
            <w:rStyle w:val="Hyperlink"/>
          </w:rPr>
          <w:t>Panguipulli</w:t>
        </w:r>
        <w:proofErr w:type="spellEnd"/>
        <w:r w:rsidR="005A66DF" w:rsidRPr="00380D8F">
          <w:rPr>
            <w:rStyle w:val="Hyperlink"/>
          </w:rPr>
          <w:t xml:space="preserve"> Public Library</w:t>
        </w:r>
        <w:r w:rsidR="003931F6" w:rsidRPr="00380D8F">
          <w:rPr>
            <w:rStyle w:val="Hyperlink"/>
          </w:rPr>
          <w:t xml:space="preserve"> No. 296</w:t>
        </w:r>
      </w:hyperlink>
      <w:r w:rsidR="005A66DF">
        <w:t xml:space="preserve"> in rural Chile </w:t>
      </w:r>
      <w:r w:rsidR="003931F6">
        <w:t>connects isolated farming communities with</w:t>
      </w:r>
      <w:r w:rsidR="00336024">
        <w:t xml:space="preserve"> ICT equipment, including</w:t>
      </w:r>
      <w:r w:rsidR="003931F6">
        <w:t xml:space="preserve"> </w:t>
      </w:r>
      <w:r w:rsidR="00336024">
        <w:t xml:space="preserve">internet, </w:t>
      </w:r>
      <w:r w:rsidR="00D44291">
        <w:t>radio,</w:t>
      </w:r>
      <w:r w:rsidR="00336024">
        <w:t xml:space="preserve"> and mobile phones</w:t>
      </w:r>
      <w:r w:rsidR="00336024">
        <w:t xml:space="preserve">, in order to increase information flow, </w:t>
      </w:r>
      <w:r w:rsidR="0020458E">
        <w:t>notably</w:t>
      </w:r>
      <w:r w:rsidR="00336024">
        <w:t xml:space="preserve"> access to information on </w:t>
      </w:r>
      <w:r w:rsidR="00D44291">
        <w:t>modern farming methods</w:t>
      </w:r>
      <w:r w:rsidR="00D44291">
        <w:t xml:space="preserve">. </w:t>
      </w:r>
      <w:r w:rsidR="00882589">
        <w:t>Similarly, the</w:t>
      </w:r>
      <w:r w:rsidR="00882589">
        <w:t xml:space="preserve"> </w:t>
      </w:r>
      <w:hyperlink r:id="rId21" w:history="1">
        <w:proofErr w:type="spellStart"/>
        <w:r w:rsidR="00882589" w:rsidRPr="00380D8F">
          <w:rPr>
            <w:rStyle w:val="Hyperlink"/>
          </w:rPr>
          <w:t>Busongora</w:t>
        </w:r>
        <w:proofErr w:type="spellEnd"/>
        <w:r w:rsidR="00882589" w:rsidRPr="00380D8F">
          <w:rPr>
            <w:rStyle w:val="Hyperlink"/>
          </w:rPr>
          <w:t xml:space="preserve"> Rural Information Centre</w:t>
        </w:r>
      </w:hyperlink>
      <w:r w:rsidR="00882589">
        <w:t xml:space="preserve"> (BRIC)</w:t>
      </w:r>
      <w:r w:rsidR="00882589">
        <w:t xml:space="preserve">, a library in Uganda, </w:t>
      </w:r>
      <w:r w:rsidR="00544DCD">
        <w:t xml:space="preserve">has partnered with the </w:t>
      </w:r>
      <w:r w:rsidR="00544DCD">
        <w:t>Rwenzori Information Network (RIC-NET)</w:t>
      </w:r>
      <w:r w:rsidR="00544DCD">
        <w:t xml:space="preserve"> to support farmers through </w:t>
      </w:r>
      <w:r w:rsidR="003975BA">
        <w:t xml:space="preserve">increasing their </w:t>
      </w:r>
      <w:r w:rsidR="00544DCD">
        <w:t xml:space="preserve">access to information. In this region, farmers are facing </w:t>
      </w:r>
      <w:r w:rsidR="00797300">
        <w:t>worsening</w:t>
      </w:r>
      <w:r w:rsidR="00544DCD">
        <w:t xml:space="preserve"> challenges with insects and pests, and the librar</w:t>
      </w:r>
      <w:r w:rsidR="00600308">
        <w:t>y has help</w:t>
      </w:r>
      <w:r w:rsidR="003C28B3">
        <w:t>ed</w:t>
      </w:r>
      <w:r w:rsidR="00600308">
        <w:t xml:space="preserve"> equip volunteers to </w:t>
      </w:r>
      <w:r w:rsidR="00F6681A">
        <w:t>act as information facilitators</w:t>
      </w:r>
      <w:r w:rsidR="003C28B3">
        <w:t xml:space="preserve"> on managing these challenges</w:t>
      </w:r>
      <w:r w:rsidR="00F6681A">
        <w:t>. They further provide</w:t>
      </w:r>
      <w:r w:rsidR="00F6681A">
        <w:t xml:space="preserve"> free ICT access and training to farmers and their families</w:t>
      </w:r>
      <w:r w:rsidR="00F6681A">
        <w:t xml:space="preserve">. </w:t>
      </w:r>
    </w:p>
    <w:p w14:paraId="172712E0" w14:textId="4C199C3B" w:rsidR="00294C91" w:rsidRDefault="00294C91" w:rsidP="00294C91">
      <w:r w:rsidRPr="00232E7B">
        <w:t xml:space="preserve">In another example, </w:t>
      </w:r>
      <w:hyperlink r:id="rId22" w:history="1">
        <w:r w:rsidRPr="00380D8F">
          <w:rPr>
            <w:rStyle w:val="Hyperlink"/>
          </w:rPr>
          <w:t>Romanian public libraries</w:t>
        </w:r>
      </w:hyperlink>
      <w:r w:rsidRPr="00232E7B">
        <w:t xml:space="preserve"> h</w:t>
      </w:r>
      <w:r>
        <w:t>ave taken an active role in h</w:t>
      </w:r>
      <w:r w:rsidRPr="00232E7B">
        <w:t>elp</w:t>
      </w:r>
      <w:r>
        <w:t>ing</w:t>
      </w:r>
      <w:r w:rsidRPr="00232E7B">
        <w:t xml:space="preserve"> farmers access opportunities for</w:t>
      </w:r>
      <w:r>
        <w:t xml:space="preserve"> state</w:t>
      </w:r>
      <w:r w:rsidRPr="00232E7B">
        <w:t xml:space="preserve"> agricultural subsidies. A collaboration between the libraries and the relevant government agency </w:t>
      </w:r>
      <w:r>
        <w:t>aided</w:t>
      </w:r>
      <w:r w:rsidRPr="00232E7B">
        <w:t xml:space="preserve"> beneficiaries by making the process for completing financing applications quicker and easier. </w:t>
      </w:r>
    </w:p>
    <w:p w14:paraId="4DCDC5F4" w14:textId="04F2BBD7" w:rsidR="00772D7A" w:rsidRDefault="00A22AD1" w:rsidP="0031699D">
      <w:r w:rsidRPr="00232E7B">
        <w:t xml:space="preserve"> </w:t>
      </w:r>
      <w:r w:rsidR="001479A7">
        <w:t>These examples illuminate</w:t>
      </w:r>
      <w:r w:rsidR="00360E47">
        <w:t xml:space="preserve"> the importance of </w:t>
      </w:r>
      <w:r w:rsidR="004016E6">
        <w:t xml:space="preserve">action taken at the community level to reinforce community bonds and build collective resilience. </w:t>
      </w:r>
      <w:r w:rsidR="00EF717E">
        <w:t xml:space="preserve">Libraries provide </w:t>
      </w:r>
      <w:r w:rsidR="00B52BEC">
        <w:t xml:space="preserve">programmes, </w:t>
      </w:r>
      <w:r w:rsidR="002725B4">
        <w:t xml:space="preserve">equipment, information resources, </w:t>
      </w:r>
      <w:r w:rsidR="00EF717E">
        <w:t xml:space="preserve">qualified staff, and </w:t>
      </w:r>
      <w:r w:rsidR="002725B4">
        <w:t>comm</w:t>
      </w:r>
      <w:r w:rsidR="00EF717E">
        <w:t>unity</w:t>
      </w:r>
      <w:r w:rsidR="002725B4">
        <w:t xml:space="preserve"> spaces</w:t>
      </w:r>
      <w:r w:rsidR="00EF717E">
        <w:t xml:space="preserve"> that </w:t>
      </w:r>
      <w:r w:rsidR="00772D7A">
        <w:t>enable this action to be effective and inclusive.</w:t>
      </w:r>
      <w:r w:rsidR="007E4F5D">
        <w:t xml:space="preserve"> However, as resources </w:t>
      </w:r>
      <w:r w:rsidR="00FF0AB5">
        <w:t>continue to become</w:t>
      </w:r>
      <w:r w:rsidR="007E4F5D">
        <w:t xml:space="preserve"> strained, the ongoing support for libraries in </w:t>
      </w:r>
      <w:r w:rsidR="00EB0516">
        <w:t xml:space="preserve">fulfilling this role is not always guaranteed. </w:t>
      </w:r>
    </w:p>
    <w:p w14:paraId="386E8FB3" w14:textId="77180728" w:rsidR="002F26EF" w:rsidRDefault="00EF717E" w:rsidP="0031699D">
      <w:r>
        <w:lastRenderedPageBreak/>
        <w:t xml:space="preserve"> </w:t>
      </w:r>
      <w:r w:rsidR="004016E6">
        <w:t xml:space="preserve">In the context of the climate crisis, this action, put in place and supported before disaster strikes, is necessary for responding to and overcoming the </w:t>
      </w:r>
      <w:r w:rsidR="00F34977">
        <w:t xml:space="preserve">adverse effects of climate change. </w:t>
      </w:r>
      <w:r w:rsidR="00CC1607">
        <w:t>Policymakers</w:t>
      </w:r>
      <w:r w:rsidR="00F34977">
        <w:t xml:space="preserve"> at the local</w:t>
      </w:r>
      <w:r w:rsidR="00C120F7">
        <w:t xml:space="preserve"> and </w:t>
      </w:r>
      <w:r w:rsidR="00F34977">
        <w:t>national level</w:t>
      </w:r>
      <w:r w:rsidR="00C120F7">
        <w:t>s</w:t>
      </w:r>
      <w:r w:rsidR="00F34977">
        <w:t xml:space="preserve"> are encouraged to recognise the role that libraries play in </w:t>
      </w:r>
      <w:r w:rsidR="007D67D1">
        <w:t>upholding</w:t>
      </w:r>
      <w:r w:rsidR="00F34977">
        <w:t xml:space="preserve"> a number of basic human rights and fundamental freedoms </w:t>
      </w:r>
      <w:r w:rsidR="007D67D1">
        <w:t xml:space="preserve">for their citizens. </w:t>
      </w:r>
      <w:r w:rsidR="006C1756">
        <w:t>A</w:t>
      </w:r>
      <w:r w:rsidR="00322797">
        <w:t>mong these, a</w:t>
      </w:r>
      <w:r w:rsidR="006C1756">
        <w:t>ccess to information, education, and cultural life of the community</w:t>
      </w:r>
      <w:r w:rsidR="00AE2978">
        <w:t xml:space="preserve"> </w:t>
      </w:r>
      <w:r w:rsidR="006C1756">
        <w:t xml:space="preserve">all intersect with </w:t>
      </w:r>
      <w:r w:rsidR="00747544">
        <w:t xml:space="preserve">matters of </w:t>
      </w:r>
      <w:r w:rsidR="006C1756">
        <w:t>food security</w:t>
      </w:r>
      <w:r w:rsidR="00CF07D8">
        <w:t>.</w:t>
      </w:r>
    </w:p>
    <w:p w14:paraId="60895AA9" w14:textId="6CBE660F" w:rsidR="00A22AD1" w:rsidRDefault="00976DBC" w:rsidP="0031699D">
      <w:r>
        <w:t>Supporting</w:t>
      </w:r>
      <w:r w:rsidR="00CF5E59">
        <w:t xml:space="preserve"> libraries </w:t>
      </w:r>
      <w:r>
        <w:t>in</w:t>
      </w:r>
      <w:r w:rsidR="00CF5E59">
        <w:t xml:space="preserve"> continu</w:t>
      </w:r>
      <w:r>
        <w:t>ing</w:t>
      </w:r>
      <w:r w:rsidR="00CF5E59">
        <w:t xml:space="preserve"> their work at the heart of their communities plays a role in building resilience and ensuring communities not only survive, but thrive, in the face of challenges to come. </w:t>
      </w:r>
    </w:p>
    <w:p w14:paraId="5F5E4EB3" w14:textId="5D20F9BB" w:rsidR="00F4700D" w:rsidRDefault="00F4700D" w:rsidP="00940B55">
      <w:pPr>
        <w:jc w:val="center"/>
      </w:pPr>
    </w:p>
    <w:p w14:paraId="551967BA" w14:textId="6B6A0B98" w:rsidR="00F4700D" w:rsidRPr="00232E7B" w:rsidRDefault="00940B55" w:rsidP="0031699D">
      <w:r>
        <w:t xml:space="preserve">Submission date: </w:t>
      </w:r>
      <w:r w:rsidR="00F4700D">
        <w:t>9/12/2022</w:t>
      </w:r>
    </w:p>
    <w:p w14:paraId="14C71F38" w14:textId="77777777" w:rsidR="00A22AD1" w:rsidRPr="00232E7B" w:rsidRDefault="00A22AD1" w:rsidP="00A22AD1"/>
    <w:p w14:paraId="1DD1391C" w14:textId="08CE0FDA" w:rsidR="00A22AD1" w:rsidRPr="00232E7B" w:rsidRDefault="00A22AD1" w:rsidP="00A22AD1"/>
    <w:sectPr w:rsidR="00A22AD1" w:rsidRPr="00232E7B" w:rsidSect="0039059C">
      <w:headerReference w:type="default" r:id="rId23"/>
      <w:footerReference w:type="default" r:id="rId24"/>
      <w:footerReference w:type="first" r:id="rId25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0271" w14:textId="77777777" w:rsidR="006F675E" w:rsidRDefault="006F675E" w:rsidP="001E5FCE">
      <w:pPr>
        <w:spacing w:after="0" w:line="240" w:lineRule="auto"/>
      </w:pPr>
      <w:r>
        <w:separator/>
      </w:r>
    </w:p>
  </w:endnote>
  <w:endnote w:type="continuationSeparator" w:id="0">
    <w:p w14:paraId="1CF494B5" w14:textId="77777777" w:rsidR="006F675E" w:rsidRDefault="006F675E" w:rsidP="001E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143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8A3F1" w14:textId="733DEAD1" w:rsidR="00940B55" w:rsidRDefault="00940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EDB2B" w14:textId="18222601" w:rsidR="000D3402" w:rsidRPr="000D3402" w:rsidRDefault="000D340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88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8453F" w14:textId="303654A6" w:rsidR="00940B55" w:rsidRDefault="00940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B747A" w14:textId="77777777" w:rsidR="00940B55" w:rsidRDefault="00940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EC15" w14:textId="77777777" w:rsidR="006F675E" w:rsidRDefault="006F675E" w:rsidP="001E5FCE">
      <w:pPr>
        <w:spacing w:after="0" w:line="240" w:lineRule="auto"/>
      </w:pPr>
      <w:r>
        <w:separator/>
      </w:r>
    </w:p>
  </w:footnote>
  <w:footnote w:type="continuationSeparator" w:id="0">
    <w:p w14:paraId="7EB52808" w14:textId="77777777" w:rsidR="006F675E" w:rsidRDefault="006F675E" w:rsidP="001E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E70A" w14:textId="36005AC5" w:rsidR="0039059C" w:rsidRPr="0039059C" w:rsidRDefault="00204151" w:rsidP="00940B55">
    <w:pPr>
      <w:pStyle w:val="Subtitle"/>
      <w:rPr>
        <w:sz w:val="32"/>
        <w:szCs w:val="32"/>
      </w:rPr>
    </w:pPr>
    <w:r>
      <w:t xml:space="preserve">Questionnaire on </w:t>
    </w:r>
    <w:r w:rsidR="0039059C" w:rsidRPr="0039059C">
      <w:t>Human Rights Council resolution 50/9</w:t>
    </w:r>
    <w:r w:rsidR="0039059C" w:rsidRPr="0039059C">
      <w:t>: IFLA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65B"/>
    <w:multiLevelType w:val="hybridMultilevel"/>
    <w:tmpl w:val="9594DD1E"/>
    <w:lvl w:ilvl="0" w:tplc="E5DCE2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D1"/>
    <w:rsid w:val="00012F6F"/>
    <w:rsid w:val="00017FF0"/>
    <w:rsid w:val="00024F7D"/>
    <w:rsid w:val="00043FF5"/>
    <w:rsid w:val="00045486"/>
    <w:rsid w:val="00066AAE"/>
    <w:rsid w:val="000677C3"/>
    <w:rsid w:val="00082971"/>
    <w:rsid w:val="00082BB1"/>
    <w:rsid w:val="000D3402"/>
    <w:rsid w:val="000E3B6B"/>
    <w:rsid w:val="0013719D"/>
    <w:rsid w:val="001479A7"/>
    <w:rsid w:val="00156586"/>
    <w:rsid w:val="001851E2"/>
    <w:rsid w:val="001A2083"/>
    <w:rsid w:val="001E5FCE"/>
    <w:rsid w:val="001F4D20"/>
    <w:rsid w:val="00204151"/>
    <w:rsid w:val="0020458E"/>
    <w:rsid w:val="00224D1D"/>
    <w:rsid w:val="00232E7B"/>
    <w:rsid w:val="002565C4"/>
    <w:rsid w:val="002606D5"/>
    <w:rsid w:val="002639BD"/>
    <w:rsid w:val="002725B4"/>
    <w:rsid w:val="00294C91"/>
    <w:rsid w:val="002B1CF5"/>
    <w:rsid w:val="002B2602"/>
    <w:rsid w:val="002E0FB9"/>
    <w:rsid w:val="002F26EF"/>
    <w:rsid w:val="002F49FB"/>
    <w:rsid w:val="00300533"/>
    <w:rsid w:val="0031024B"/>
    <w:rsid w:val="0031699D"/>
    <w:rsid w:val="00316A2A"/>
    <w:rsid w:val="00322797"/>
    <w:rsid w:val="00336024"/>
    <w:rsid w:val="00355122"/>
    <w:rsid w:val="00360E47"/>
    <w:rsid w:val="003613C6"/>
    <w:rsid w:val="00367692"/>
    <w:rsid w:val="00380D8F"/>
    <w:rsid w:val="0039059C"/>
    <w:rsid w:val="003931F6"/>
    <w:rsid w:val="003975BA"/>
    <w:rsid w:val="003C28B3"/>
    <w:rsid w:val="004016E6"/>
    <w:rsid w:val="00406C03"/>
    <w:rsid w:val="00411A44"/>
    <w:rsid w:val="004435C6"/>
    <w:rsid w:val="00446ADE"/>
    <w:rsid w:val="00480363"/>
    <w:rsid w:val="004A061D"/>
    <w:rsid w:val="004A6363"/>
    <w:rsid w:val="004D5288"/>
    <w:rsid w:val="0051205C"/>
    <w:rsid w:val="00524C52"/>
    <w:rsid w:val="00532EFD"/>
    <w:rsid w:val="00540DD5"/>
    <w:rsid w:val="00544DCD"/>
    <w:rsid w:val="00552EBF"/>
    <w:rsid w:val="0055659C"/>
    <w:rsid w:val="00557A93"/>
    <w:rsid w:val="00563590"/>
    <w:rsid w:val="00584728"/>
    <w:rsid w:val="00592D9A"/>
    <w:rsid w:val="00596D7E"/>
    <w:rsid w:val="005A66DF"/>
    <w:rsid w:val="005C4B36"/>
    <w:rsid w:val="005D220F"/>
    <w:rsid w:val="005F023E"/>
    <w:rsid w:val="00600308"/>
    <w:rsid w:val="00606C39"/>
    <w:rsid w:val="00613B08"/>
    <w:rsid w:val="0061403D"/>
    <w:rsid w:val="00624F49"/>
    <w:rsid w:val="00660837"/>
    <w:rsid w:val="00677A2F"/>
    <w:rsid w:val="0069562B"/>
    <w:rsid w:val="006C1756"/>
    <w:rsid w:val="006D48F7"/>
    <w:rsid w:val="006F675E"/>
    <w:rsid w:val="007004F3"/>
    <w:rsid w:val="00747544"/>
    <w:rsid w:val="00772D7A"/>
    <w:rsid w:val="00796CB4"/>
    <w:rsid w:val="00797300"/>
    <w:rsid w:val="007D67D1"/>
    <w:rsid w:val="007E4F5D"/>
    <w:rsid w:val="007F02B9"/>
    <w:rsid w:val="00804AB7"/>
    <w:rsid w:val="00822F0B"/>
    <w:rsid w:val="008658AD"/>
    <w:rsid w:val="00880AC4"/>
    <w:rsid w:val="00882589"/>
    <w:rsid w:val="00940B55"/>
    <w:rsid w:val="0096059D"/>
    <w:rsid w:val="00961EAE"/>
    <w:rsid w:val="009651B0"/>
    <w:rsid w:val="00976DBC"/>
    <w:rsid w:val="009D6F05"/>
    <w:rsid w:val="009F5286"/>
    <w:rsid w:val="00A056AE"/>
    <w:rsid w:val="00A22AD1"/>
    <w:rsid w:val="00A627ED"/>
    <w:rsid w:val="00AE2978"/>
    <w:rsid w:val="00B02329"/>
    <w:rsid w:val="00B52BEC"/>
    <w:rsid w:val="00B634AC"/>
    <w:rsid w:val="00B663E1"/>
    <w:rsid w:val="00BA7C98"/>
    <w:rsid w:val="00BD0537"/>
    <w:rsid w:val="00C120F7"/>
    <w:rsid w:val="00C1787C"/>
    <w:rsid w:val="00C63C40"/>
    <w:rsid w:val="00C72EE6"/>
    <w:rsid w:val="00C87819"/>
    <w:rsid w:val="00CA28DC"/>
    <w:rsid w:val="00CC1607"/>
    <w:rsid w:val="00CC2070"/>
    <w:rsid w:val="00CC6B3F"/>
    <w:rsid w:val="00CF07D8"/>
    <w:rsid w:val="00CF5E59"/>
    <w:rsid w:val="00D22B14"/>
    <w:rsid w:val="00D44291"/>
    <w:rsid w:val="00D66B6B"/>
    <w:rsid w:val="00D92E7B"/>
    <w:rsid w:val="00DA45F7"/>
    <w:rsid w:val="00DF69CD"/>
    <w:rsid w:val="00E368BD"/>
    <w:rsid w:val="00E66956"/>
    <w:rsid w:val="00E944DF"/>
    <w:rsid w:val="00EB0516"/>
    <w:rsid w:val="00EF717E"/>
    <w:rsid w:val="00F156BF"/>
    <w:rsid w:val="00F25360"/>
    <w:rsid w:val="00F33AB5"/>
    <w:rsid w:val="00F34977"/>
    <w:rsid w:val="00F46353"/>
    <w:rsid w:val="00F4700D"/>
    <w:rsid w:val="00F47287"/>
    <w:rsid w:val="00F52849"/>
    <w:rsid w:val="00F6681A"/>
    <w:rsid w:val="00F938F0"/>
    <w:rsid w:val="00FC2110"/>
    <w:rsid w:val="00FE6205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7877"/>
  <w15:chartTrackingRefBased/>
  <w15:docId w15:val="{AF20A43A-B5F7-4601-A5DD-0EB5D4CD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5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F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F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5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F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402"/>
  </w:style>
  <w:style w:type="paragraph" w:styleId="Footer">
    <w:name w:val="footer"/>
    <w:basedOn w:val="Normal"/>
    <w:link w:val="FooterChar"/>
    <w:uiPriority w:val="99"/>
    <w:unhideWhenUsed/>
    <w:rsid w:val="000D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402"/>
  </w:style>
  <w:style w:type="paragraph" w:styleId="Subtitle">
    <w:name w:val="Subtitle"/>
    <w:basedOn w:val="Normal"/>
    <w:next w:val="Normal"/>
    <w:link w:val="SubtitleChar"/>
    <w:uiPriority w:val="11"/>
    <w:qFormat/>
    <w:rsid w:val="00940B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0B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ronto.com/news/pop-up-food-bank-at-public-library-a-lifeline-for-some-north-etobicoke-residents/article_4183c0fb-49c8-5aca-8121-179e8bd4fe72.html" TargetMode="External"/><Relationship Id="rId18" Type="http://schemas.openxmlformats.org/officeDocument/2006/relationships/hyperlink" Target="https://www.biblio2030.de/%20ernte-deine-stadt-in-bad-oldeslo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ifl.net/system/files/resources/201411/ricnet_hires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ogs.ifla.org/public-libraries/2019/04/15/public-libraries-working-with-the-community-to-assist-flood-victims-in-iran/" TargetMode="External"/><Relationship Id="rId17" Type="http://schemas.openxmlformats.org/officeDocument/2006/relationships/hyperlink" Target="https://cdn.ifla.org/wp-content/uploads/files/assets/environmental-sustainability-and-libraries/documents/senegal_lambaye_fall_assane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ibrarymap.ifla.org/stories/South-Africa/LIBRARY-LED-COMMUNITY-GARDEN-FEEDS-PEOPLE,-BUILDS-SKILLS-AND-BOOSTS-EMPLOYABILITY/139" TargetMode="External"/><Relationship Id="rId20" Type="http://schemas.openxmlformats.org/officeDocument/2006/relationships/hyperlink" Target="https://www.eifl.net/system/files/resources/201408/chile_1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la.org/news/looking-to-libraries-for-resilience-stories-of-support-in-ukraine-and-beyond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fla.org/ensulib-announces-6th-ifla-green-library-award-2021-shortlist-green-library-project-farm-2-library-progra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libraryjournal.com/story/181121CAWildfires" TargetMode="External"/><Relationship Id="rId19" Type="http://schemas.openxmlformats.org/officeDocument/2006/relationships/hyperlink" Target="https://librarymap.ifla.org/stories/South-Africa/LIBRARY-GIVES-RURAL-FARMERS-ACCESS-TO-ICT,-SKILLS-AND-SUPPORT-TO-GROW-THEIR-BUSINESSES/1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.mcguire@ifla.org" TargetMode="External"/><Relationship Id="rId14" Type="http://schemas.openxmlformats.org/officeDocument/2006/relationships/hyperlink" Target="https://www.tsl.texas.gov/ldn/summer-food-program" TargetMode="External"/><Relationship Id="rId22" Type="http://schemas.openxmlformats.org/officeDocument/2006/relationships/hyperlink" Target="https://librarymap.ifla.org/stories/Romania/PUBLIC-LIBRARIES-IN-ROMANIA-FACILITATE-ACCESS-TO-AGRICULTURAL-SUBSIDIES/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2EBE-9AB5-4844-9D7B-9789B334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McGuire</dc:creator>
  <cp:keywords/>
  <dc:description/>
  <cp:lastModifiedBy>Claire McGuire</cp:lastModifiedBy>
  <cp:revision>15</cp:revision>
  <cp:lastPrinted>2022-12-09T09:15:00Z</cp:lastPrinted>
  <dcterms:created xsi:type="dcterms:W3CDTF">2022-12-09T08:48:00Z</dcterms:created>
  <dcterms:modified xsi:type="dcterms:W3CDTF">2022-12-09T09:18:00Z</dcterms:modified>
</cp:coreProperties>
</file>