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473" w:rsidRPr="00546473" w:rsidRDefault="00546473" w:rsidP="00546473">
      <w:pPr>
        <w:pStyle w:val="NormalWeb"/>
        <w:jc w:val="center"/>
        <w:rPr>
          <w:rFonts w:ascii="Garamond" w:hAnsi="Garamond"/>
          <w:sz w:val="28"/>
          <w:szCs w:val="28"/>
          <w:lang w:val="en-US"/>
        </w:rPr>
      </w:pPr>
      <w:r w:rsidRPr="00546473">
        <w:rPr>
          <w:rFonts w:ascii="Garamond" w:hAnsi="Garamond"/>
          <w:b/>
          <w:bCs/>
          <w:sz w:val="28"/>
          <w:szCs w:val="28"/>
          <w:lang w:val="en-US"/>
        </w:rPr>
        <w:t>Input to Resolution 51/35 – Technical assistance and capacity-building to address the human rights implications of the nuclear legacy in the Marshall Islands</w:t>
      </w:r>
    </w:p>
    <w:p w:rsidR="00757DA0" w:rsidRPr="00A30714" w:rsidRDefault="00757DA0" w:rsidP="00757DA0">
      <w:pPr>
        <w:jc w:val="center"/>
        <w:rPr>
          <w:rFonts w:ascii="Garamond" w:hAnsi="Garamond"/>
          <w:b/>
          <w:bCs/>
          <w:lang w:val="en-US"/>
        </w:rPr>
      </w:pPr>
    </w:p>
    <w:p w:rsidR="00757DA0" w:rsidRPr="00A30714" w:rsidRDefault="00546473" w:rsidP="00757DA0">
      <w:pPr>
        <w:jc w:val="center"/>
        <w:rPr>
          <w:rFonts w:ascii="Garamond" w:hAnsi="Garamond"/>
          <w:color w:val="000000" w:themeColor="text1"/>
          <w:lang w:val="en-US"/>
        </w:rPr>
      </w:pPr>
      <w:r>
        <w:rPr>
          <w:rFonts w:ascii="Garamond" w:hAnsi="Garamond"/>
          <w:color w:val="000000" w:themeColor="text1"/>
          <w:lang w:val="en-US"/>
        </w:rPr>
        <w:t>Prepared by Baïna Ubushieva, Ph.D. in Public Law</w:t>
      </w:r>
    </w:p>
    <w:p w:rsidR="009D43B5" w:rsidRDefault="009D43B5">
      <w:pPr>
        <w:rPr>
          <w:rFonts w:ascii="Garamond" w:hAnsi="Garamond" w:cs="Calibri"/>
          <w:color w:val="000000" w:themeColor="text1"/>
          <w:lang w:val="en-US"/>
        </w:rPr>
      </w:pPr>
    </w:p>
    <w:p w:rsidR="003772E3" w:rsidRDefault="003772E3">
      <w:pPr>
        <w:rPr>
          <w:rFonts w:ascii="Garamond" w:hAnsi="Garamond" w:cs="Calibri"/>
          <w:color w:val="000000" w:themeColor="text1"/>
          <w:lang w:val="en-US"/>
        </w:rPr>
      </w:pPr>
    </w:p>
    <w:p w:rsidR="008F6924" w:rsidRDefault="00DC1D85" w:rsidP="00DC1D85">
      <w:pPr>
        <w:jc w:val="both"/>
        <w:rPr>
          <w:rFonts w:ascii="Garamond" w:hAnsi="Garamond" w:cs="Calibri"/>
          <w:color w:val="000000" w:themeColor="text1"/>
          <w:lang w:val="en-US"/>
        </w:rPr>
      </w:pPr>
      <w:r w:rsidRPr="00DC1D85">
        <w:rPr>
          <w:rFonts w:ascii="Garamond" w:hAnsi="Garamond" w:cs="Calibri"/>
          <w:color w:val="000000" w:themeColor="text1"/>
          <w:lang w:val="en-US"/>
        </w:rPr>
        <w:t>This contribution aims to</w:t>
      </w:r>
      <w:r w:rsidR="00AF4629">
        <w:rPr>
          <w:rFonts w:ascii="Garamond" w:hAnsi="Garamond" w:cs="Calibri"/>
          <w:color w:val="000000" w:themeColor="text1"/>
          <w:lang w:val="en-US"/>
        </w:rPr>
        <w:t xml:space="preserve"> provide an example of</w:t>
      </w:r>
      <w:r w:rsidRPr="00DC1D85">
        <w:rPr>
          <w:rFonts w:ascii="Garamond" w:hAnsi="Garamond" w:cs="Calibri"/>
          <w:color w:val="000000" w:themeColor="text1"/>
          <w:lang w:val="en-US"/>
        </w:rPr>
        <w:t xml:space="preserve"> </w:t>
      </w:r>
      <w:r>
        <w:rPr>
          <w:rFonts w:ascii="Garamond" w:hAnsi="Garamond" w:cs="Calibri"/>
          <w:color w:val="000000" w:themeColor="text1"/>
          <w:lang w:val="en-US"/>
        </w:rPr>
        <w:t>France</w:t>
      </w:r>
      <w:r w:rsidR="00AF4629">
        <w:rPr>
          <w:rFonts w:ascii="Garamond" w:hAnsi="Garamond" w:cs="Calibri"/>
          <w:color w:val="000000" w:themeColor="text1"/>
          <w:lang w:val="en-US"/>
        </w:rPr>
        <w:t>’s legal response</w:t>
      </w:r>
      <w:r>
        <w:rPr>
          <w:rFonts w:ascii="Garamond" w:hAnsi="Garamond" w:cs="Calibri"/>
          <w:color w:val="000000" w:themeColor="text1"/>
          <w:lang w:val="en-US"/>
        </w:rPr>
        <w:t xml:space="preserve"> </w:t>
      </w:r>
      <w:r w:rsidRPr="00DC1D85">
        <w:rPr>
          <w:rFonts w:ascii="Garamond" w:hAnsi="Garamond" w:cs="Calibri"/>
          <w:color w:val="000000" w:themeColor="text1"/>
          <w:lang w:val="en-US"/>
        </w:rPr>
        <w:t xml:space="preserve">to the nuclear legacy in French Polynesia. Between 1966 and 1996, France conducted a total of 193 nuclear tests in the atolls of </w:t>
      </w:r>
      <w:proofErr w:type="spellStart"/>
      <w:r w:rsidRPr="00DC1D85">
        <w:rPr>
          <w:rFonts w:ascii="Garamond" w:hAnsi="Garamond" w:cs="Calibri"/>
          <w:color w:val="000000" w:themeColor="text1"/>
          <w:lang w:val="en-US"/>
        </w:rPr>
        <w:t>Moruroa</w:t>
      </w:r>
      <w:proofErr w:type="spellEnd"/>
      <w:r w:rsidRPr="00DC1D85">
        <w:rPr>
          <w:rFonts w:ascii="Garamond" w:hAnsi="Garamond" w:cs="Calibri"/>
          <w:color w:val="000000" w:themeColor="text1"/>
          <w:lang w:val="en-US"/>
        </w:rPr>
        <w:t xml:space="preserve"> and </w:t>
      </w:r>
      <w:proofErr w:type="spellStart"/>
      <w:r w:rsidRPr="00DC1D85">
        <w:rPr>
          <w:rFonts w:ascii="Garamond" w:hAnsi="Garamond" w:cs="Calibri"/>
          <w:color w:val="000000" w:themeColor="text1"/>
          <w:lang w:val="en-US"/>
        </w:rPr>
        <w:t>Fangataufa</w:t>
      </w:r>
      <w:proofErr w:type="spellEnd"/>
      <w:r w:rsidR="00825D14">
        <w:rPr>
          <w:rFonts w:ascii="Garamond" w:hAnsi="Garamond" w:cs="Calibri"/>
          <w:color w:val="000000" w:themeColor="text1"/>
          <w:lang w:val="en-US"/>
        </w:rPr>
        <w:t xml:space="preserve"> in the Tuamotu Archipelago</w:t>
      </w:r>
      <w:r w:rsidRPr="00DC1D85">
        <w:rPr>
          <w:rFonts w:ascii="Garamond" w:hAnsi="Garamond" w:cs="Calibri"/>
          <w:color w:val="000000" w:themeColor="text1"/>
          <w:lang w:val="en-US"/>
        </w:rPr>
        <w:t xml:space="preserve">. </w:t>
      </w:r>
      <w:r w:rsidR="00AF4629">
        <w:rPr>
          <w:rFonts w:ascii="Garamond" w:hAnsi="Garamond" w:cs="Calibri"/>
          <w:color w:val="000000" w:themeColor="text1"/>
          <w:lang w:val="en-US"/>
        </w:rPr>
        <w:t>F</w:t>
      </w:r>
      <w:r w:rsidRPr="00DC1D85">
        <w:rPr>
          <w:rFonts w:ascii="Garamond" w:hAnsi="Garamond" w:cs="Calibri"/>
          <w:color w:val="000000" w:themeColor="text1"/>
          <w:lang w:val="en-US"/>
        </w:rPr>
        <w:t>rom 1966 to 1974</w:t>
      </w:r>
      <w:r w:rsidR="00AF4629">
        <w:rPr>
          <w:rFonts w:ascii="Garamond" w:hAnsi="Garamond" w:cs="Calibri"/>
          <w:color w:val="000000" w:themeColor="text1"/>
          <w:lang w:val="en-US"/>
        </w:rPr>
        <w:t>,</w:t>
      </w:r>
      <w:r w:rsidRPr="00DC1D85">
        <w:rPr>
          <w:rFonts w:ascii="Garamond" w:hAnsi="Garamond" w:cs="Calibri"/>
          <w:color w:val="000000" w:themeColor="text1"/>
          <w:lang w:val="en-US"/>
        </w:rPr>
        <w:t xml:space="preserve"> </w:t>
      </w:r>
      <w:r w:rsidR="007C3FE8">
        <w:rPr>
          <w:rFonts w:ascii="Garamond" w:hAnsi="Garamond" w:cs="Calibri"/>
          <w:color w:val="000000" w:themeColor="text1"/>
          <w:lang w:val="en-US"/>
        </w:rPr>
        <w:t>41</w:t>
      </w:r>
      <w:r w:rsidRPr="00DC1D85">
        <w:rPr>
          <w:rFonts w:ascii="Garamond" w:hAnsi="Garamond" w:cs="Calibri"/>
          <w:color w:val="000000" w:themeColor="text1"/>
          <w:lang w:val="en-US"/>
        </w:rPr>
        <w:t xml:space="preserve"> </w:t>
      </w:r>
      <w:r w:rsidR="008F6924">
        <w:rPr>
          <w:rFonts w:ascii="Garamond" w:hAnsi="Garamond" w:cs="Calibri"/>
          <w:color w:val="000000" w:themeColor="text1"/>
          <w:lang w:val="en-US"/>
        </w:rPr>
        <w:t xml:space="preserve">nuclear </w:t>
      </w:r>
      <w:r w:rsidRPr="00DC1D85">
        <w:rPr>
          <w:rFonts w:ascii="Garamond" w:hAnsi="Garamond" w:cs="Calibri"/>
          <w:color w:val="000000" w:themeColor="text1"/>
          <w:lang w:val="en-US"/>
        </w:rPr>
        <w:t>tests were conducted in the atmosphere</w:t>
      </w:r>
      <w:r w:rsidR="007C3FE8">
        <w:rPr>
          <w:rStyle w:val="Appelnotedebasdep"/>
          <w:rFonts w:ascii="Garamond" w:hAnsi="Garamond" w:cs="Calibri"/>
          <w:color w:val="000000" w:themeColor="text1"/>
          <w:lang w:val="en-US"/>
        </w:rPr>
        <w:footnoteReference w:id="1"/>
      </w:r>
      <w:r w:rsidR="00AF4629">
        <w:rPr>
          <w:rFonts w:ascii="Garamond" w:hAnsi="Garamond" w:cs="Calibri"/>
          <w:color w:val="000000" w:themeColor="text1"/>
          <w:lang w:val="en-US"/>
        </w:rPr>
        <w:t>.</w:t>
      </w:r>
      <w:r w:rsidRPr="00DC1D85">
        <w:rPr>
          <w:rFonts w:ascii="Garamond" w:hAnsi="Garamond" w:cs="Calibri"/>
          <w:color w:val="000000" w:themeColor="text1"/>
          <w:lang w:val="en-US"/>
        </w:rPr>
        <w:t xml:space="preserve"> </w:t>
      </w:r>
      <w:r w:rsidR="00AF4629" w:rsidRPr="00DC1D85">
        <w:rPr>
          <w:rFonts w:ascii="Garamond" w:hAnsi="Garamond" w:cs="Calibri"/>
          <w:color w:val="000000" w:themeColor="text1"/>
          <w:lang w:val="en-US"/>
        </w:rPr>
        <w:t>F</w:t>
      </w:r>
      <w:r w:rsidRPr="00DC1D85">
        <w:rPr>
          <w:rFonts w:ascii="Garamond" w:hAnsi="Garamond" w:cs="Calibri"/>
          <w:color w:val="000000" w:themeColor="text1"/>
          <w:lang w:val="en-US"/>
        </w:rPr>
        <w:t xml:space="preserve">rom 1975 to 1995, </w:t>
      </w:r>
      <w:r w:rsidR="006D5B7A">
        <w:rPr>
          <w:rFonts w:ascii="Garamond" w:hAnsi="Garamond" w:cs="Calibri"/>
          <w:color w:val="000000" w:themeColor="text1"/>
          <w:lang w:val="en-US"/>
        </w:rPr>
        <w:t>nuclear tests</w:t>
      </w:r>
      <w:r w:rsidRPr="00DC1D85">
        <w:rPr>
          <w:rFonts w:ascii="Garamond" w:hAnsi="Garamond" w:cs="Calibri"/>
          <w:color w:val="000000" w:themeColor="text1"/>
          <w:lang w:val="en-US"/>
        </w:rPr>
        <w:t xml:space="preserve"> were conducted underground. </w:t>
      </w:r>
      <w:r w:rsidR="00055545">
        <w:rPr>
          <w:rFonts w:ascii="Garamond" w:hAnsi="Garamond" w:cs="Calibri"/>
          <w:color w:val="000000" w:themeColor="text1"/>
          <w:lang w:val="en-US"/>
        </w:rPr>
        <w:t>Officially, t</w:t>
      </w:r>
      <w:r w:rsidR="007A2A3A">
        <w:rPr>
          <w:rFonts w:ascii="Garamond" w:hAnsi="Garamond" w:cs="Calibri"/>
          <w:color w:val="000000" w:themeColor="text1"/>
          <w:lang w:val="en-US"/>
        </w:rPr>
        <w:t>hose atolls were selected as nuclear test</w:t>
      </w:r>
      <w:r w:rsidR="00055545">
        <w:rPr>
          <w:rFonts w:ascii="Garamond" w:hAnsi="Garamond" w:cs="Calibri"/>
          <w:color w:val="000000" w:themeColor="text1"/>
          <w:lang w:val="en-US"/>
        </w:rPr>
        <w:t>ing sites</w:t>
      </w:r>
      <w:r w:rsidR="007A2A3A">
        <w:rPr>
          <w:rFonts w:ascii="Garamond" w:hAnsi="Garamond" w:cs="Calibri"/>
          <w:color w:val="000000" w:themeColor="text1"/>
          <w:lang w:val="en-US"/>
        </w:rPr>
        <w:t xml:space="preserve"> due to their remote location</w:t>
      </w:r>
      <w:r w:rsidR="00055545">
        <w:rPr>
          <w:rFonts w:ascii="Garamond" w:hAnsi="Garamond" w:cs="Calibri"/>
          <w:color w:val="000000" w:themeColor="text1"/>
          <w:lang w:val="en-US"/>
        </w:rPr>
        <w:t>,</w:t>
      </w:r>
      <w:r w:rsidR="007A2A3A">
        <w:rPr>
          <w:rFonts w:ascii="Garamond" w:hAnsi="Garamond" w:cs="Calibri"/>
          <w:color w:val="000000" w:themeColor="text1"/>
          <w:lang w:val="en-US"/>
        </w:rPr>
        <w:t xml:space="preserve"> sparse population</w:t>
      </w:r>
      <w:r w:rsidR="00055545">
        <w:rPr>
          <w:rFonts w:ascii="Garamond" w:hAnsi="Garamond" w:cs="Calibri"/>
          <w:color w:val="000000" w:themeColor="text1"/>
          <w:lang w:val="en-US"/>
        </w:rPr>
        <w:t>, geological characteristics of the ground</w:t>
      </w:r>
      <w:r w:rsidR="00994F29">
        <w:rPr>
          <w:rFonts w:ascii="Garamond" w:hAnsi="Garamond" w:cs="Calibri"/>
          <w:color w:val="000000" w:themeColor="text1"/>
          <w:lang w:val="en-US"/>
        </w:rPr>
        <w:t xml:space="preserve">, </w:t>
      </w:r>
      <w:r w:rsidR="00055545">
        <w:rPr>
          <w:rFonts w:ascii="Garamond" w:hAnsi="Garamond" w:cs="Calibri"/>
          <w:color w:val="000000" w:themeColor="text1"/>
          <w:lang w:val="en-US"/>
        </w:rPr>
        <w:t>and the prevailing winds on the site</w:t>
      </w:r>
      <w:r w:rsidR="007A2A3A">
        <w:rPr>
          <w:rStyle w:val="Appelnotedebasdep"/>
          <w:rFonts w:ascii="Garamond" w:hAnsi="Garamond" w:cs="Calibri"/>
          <w:color w:val="000000" w:themeColor="text1"/>
          <w:lang w:val="en-US"/>
        </w:rPr>
        <w:footnoteReference w:id="2"/>
      </w:r>
      <w:r w:rsidR="007A2A3A">
        <w:rPr>
          <w:rFonts w:ascii="Garamond" w:hAnsi="Garamond" w:cs="Calibri"/>
          <w:color w:val="000000" w:themeColor="text1"/>
          <w:lang w:val="en-US"/>
        </w:rPr>
        <w:t xml:space="preserve">. </w:t>
      </w:r>
    </w:p>
    <w:p w:rsidR="007A2A3A" w:rsidRDefault="007A2A3A" w:rsidP="00DC1D85">
      <w:pPr>
        <w:jc w:val="both"/>
        <w:rPr>
          <w:rFonts w:ascii="Garamond" w:hAnsi="Garamond" w:cs="Calibri"/>
          <w:color w:val="000000" w:themeColor="text1"/>
          <w:lang w:val="en-US"/>
        </w:rPr>
      </w:pPr>
    </w:p>
    <w:p w:rsidR="00DC1D85" w:rsidRDefault="00DC1D85" w:rsidP="00DC1D85">
      <w:pPr>
        <w:jc w:val="both"/>
        <w:rPr>
          <w:rFonts w:ascii="Garamond" w:hAnsi="Garamond" w:cs="Calibri"/>
          <w:color w:val="000000" w:themeColor="text1"/>
          <w:lang w:val="en-US"/>
        </w:rPr>
      </w:pPr>
      <w:r w:rsidRPr="00DC1D85">
        <w:rPr>
          <w:rFonts w:ascii="Garamond" w:hAnsi="Garamond" w:cs="Calibri"/>
          <w:color w:val="000000" w:themeColor="text1"/>
          <w:lang w:val="en-US"/>
        </w:rPr>
        <w:t xml:space="preserve">These tests had </w:t>
      </w:r>
      <w:r w:rsidR="008F6924">
        <w:rPr>
          <w:rFonts w:ascii="Garamond" w:hAnsi="Garamond" w:cs="Calibri"/>
          <w:color w:val="000000" w:themeColor="text1"/>
          <w:lang w:val="en-US"/>
        </w:rPr>
        <w:t xml:space="preserve">harmful </w:t>
      </w:r>
      <w:r w:rsidRPr="00DC1D85">
        <w:rPr>
          <w:rFonts w:ascii="Garamond" w:hAnsi="Garamond" w:cs="Calibri"/>
          <w:color w:val="000000" w:themeColor="text1"/>
          <w:lang w:val="en-US"/>
        </w:rPr>
        <w:t>effects on both the local population and the environment.</w:t>
      </w:r>
      <w:r w:rsidR="00CB5427">
        <w:rPr>
          <w:rFonts w:ascii="Garamond" w:hAnsi="Garamond" w:cs="Calibri"/>
          <w:color w:val="000000" w:themeColor="text1"/>
          <w:lang w:val="en-US"/>
        </w:rPr>
        <w:t xml:space="preserve"> </w:t>
      </w:r>
      <w:r w:rsidR="008F6924">
        <w:rPr>
          <w:rFonts w:ascii="Garamond" w:hAnsi="Garamond" w:cs="Calibri"/>
          <w:color w:val="000000" w:themeColor="text1"/>
          <w:lang w:val="en-US"/>
        </w:rPr>
        <w:t>However, French authorities took a considerable amount of time from 1974 and</w:t>
      </w:r>
      <w:r w:rsidR="00724FDE">
        <w:rPr>
          <w:rFonts w:ascii="Garamond" w:hAnsi="Garamond" w:cs="Calibri"/>
          <w:color w:val="000000" w:themeColor="text1"/>
          <w:lang w:val="en-US"/>
        </w:rPr>
        <w:t xml:space="preserve"> from</w:t>
      </w:r>
      <w:r w:rsidR="008F6924">
        <w:rPr>
          <w:rFonts w:ascii="Garamond" w:hAnsi="Garamond" w:cs="Calibri"/>
          <w:color w:val="000000" w:themeColor="text1"/>
          <w:lang w:val="en-US"/>
        </w:rPr>
        <w:t xml:space="preserve"> 1995 to acknowledge the individual and collective</w:t>
      </w:r>
      <w:r w:rsidR="00724FDE">
        <w:rPr>
          <w:rFonts w:ascii="Garamond" w:hAnsi="Garamond" w:cs="Calibri"/>
          <w:color w:val="000000" w:themeColor="text1"/>
          <w:lang w:val="en-US"/>
        </w:rPr>
        <w:t xml:space="preserve"> negative</w:t>
      </w:r>
      <w:r w:rsidR="008F6924">
        <w:rPr>
          <w:rFonts w:ascii="Garamond" w:hAnsi="Garamond" w:cs="Calibri"/>
          <w:color w:val="000000" w:themeColor="text1"/>
          <w:lang w:val="en-US"/>
        </w:rPr>
        <w:t xml:space="preserve"> </w:t>
      </w:r>
      <w:r w:rsidR="00994F29">
        <w:rPr>
          <w:rFonts w:ascii="Garamond" w:hAnsi="Garamond" w:cs="Calibri"/>
          <w:color w:val="000000" w:themeColor="text1"/>
          <w:lang w:val="en-US"/>
        </w:rPr>
        <w:t>effects</w:t>
      </w:r>
      <w:r w:rsidR="008F6924">
        <w:rPr>
          <w:rFonts w:ascii="Garamond" w:hAnsi="Garamond" w:cs="Calibri"/>
          <w:color w:val="000000" w:themeColor="text1"/>
          <w:lang w:val="en-US"/>
        </w:rPr>
        <w:t xml:space="preserve"> on the local and employed population </w:t>
      </w:r>
      <w:r w:rsidR="00724FDE">
        <w:rPr>
          <w:rFonts w:ascii="Garamond" w:hAnsi="Garamond" w:cs="Calibri"/>
          <w:color w:val="000000" w:themeColor="text1"/>
          <w:lang w:val="en-US"/>
        </w:rPr>
        <w:t>at the</w:t>
      </w:r>
      <w:r w:rsidR="008F6924">
        <w:rPr>
          <w:rFonts w:ascii="Garamond" w:hAnsi="Garamond" w:cs="Calibri"/>
          <w:color w:val="000000" w:themeColor="text1"/>
          <w:lang w:val="en-US"/>
        </w:rPr>
        <w:t xml:space="preserve"> </w:t>
      </w:r>
      <w:r w:rsidR="00724FDE">
        <w:rPr>
          <w:rFonts w:ascii="Garamond" w:hAnsi="Garamond" w:cs="Calibri"/>
          <w:color w:val="000000" w:themeColor="text1"/>
          <w:lang w:val="en-US"/>
        </w:rPr>
        <w:t>affect</w:t>
      </w:r>
      <w:r w:rsidR="008F6924">
        <w:rPr>
          <w:rFonts w:ascii="Garamond" w:hAnsi="Garamond" w:cs="Calibri"/>
          <w:color w:val="000000" w:themeColor="text1"/>
          <w:lang w:val="en-US"/>
        </w:rPr>
        <w:t>ed sites.</w:t>
      </w:r>
      <w:r w:rsidR="003A4E89">
        <w:rPr>
          <w:rFonts w:ascii="Garamond" w:hAnsi="Garamond" w:cs="Calibri"/>
          <w:color w:val="000000" w:themeColor="text1"/>
          <w:lang w:val="en-US"/>
        </w:rPr>
        <w:t xml:space="preserve"> </w:t>
      </w:r>
    </w:p>
    <w:p w:rsidR="003A4E89" w:rsidRPr="00DC1D85" w:rsidRDefault="003A4E89" w:rsidP="00DC1D85">
      <w:pPr>
        <w:jc w:val="both"/>
        <w:rPr>
          <w:rFonts w:ascii="Garamond" w:hAnsi="Garamond" w:cs="Calibri"/>
          <w:color w:val="000000" w:themeColor="text1"/>
          <w:lang w:val="en-US"/>
        </w:rPr>
      </w:pPr>
    </w:p>
    <w:p w:rsidR="00527E4F" w:rsidRDefault="00527E4F" w:rsidP="00DC1D85">
      <w:pPr>
        <w:jc w:val="both"/>
        <w:rPr>
          <w:rFonts w:ascii="Garamond" w:hAnsi="Garamond" w:cs="Calibri"/>
          <w:color w:val="000000" w:themeColor="text1"/>
          <w:lang w:val="en-US"/>
        </w:rPr>
      </w:pPr>
      <w:r>
        <w:rPr>
          <w:rFonts w:ascii="Garamond" w:hAnsi="Garamond" w:cs="Calibri"/>
          <w:color w:val="000000" w:themeColor="text1"/>
          <w:lang w:val="en-US"/>
        </w:rPr>
        <w:t>France has</w:t>
      </w:r>
      <w:r w:rsidR="00DC1D85" w:rsidRPr="00DC1D85">
        <w:rPr>
          <w:rFonts w:ascii="Garamond" w:hAnsi="Garamond" w:cs="Calibri"/>
          <w:color w:val="000000" w:themeColor="text1"/>
          <w:lang w:val="en-US"/>
        </w:rPr>
        <w:t xml:space="preserve"> formally acknowledged and accepted </w:t>
      </w:r>
      <w:r>
        <w:rPr>
          <w:rFonts w:ascii="Garamond" w:hAnsi="Garamond" w:cs="Calibri"/>
          <w:color w:val="000000" w:themeColor="text1"/>
          <w:lang w:val="en-US"/>
        </w:rPr>
        <w:t xml:space="preserve">the nuclear legacy of French Polynesia </w:t>
      </w:r>
      <w:r w:rsidR="00DC1D85" w:rsidRPr="00DC1D85">
        <w:rPr>
          <w:rFonts w:ascii="Garamond" w:hAnsi="Garamond" w:cs="Calibri"/>
          <w:color w:val="000000" w:themeColor="text1"/>
          <w:lang w:val="en-US"/>
        </w:rPr>
        <w:t xml:space="preserve">through </w:t>
      </w:r>
      <w:r>
        <w:rPr>
          <w:rFonts w:ascii="Garamond" w:hAnsi="Garamond" w:cs="Calibri"/>
          <w:color w:val="000000" w:themeColor="text1"/>
          <w:lang w:val="en-US"/>
        </w:rPr>
        <w:t xml:space="preserve">the adoption of </w:t>
      </w:r>
      <w:r w:rsidR="00DC1D85" w:rsidRPr="00DC1D85">
        <w:rPr>
          <w:rFonts w:ascii="Garamond" w:hAnsi="Garamond" w:cs="Calibri"/>
          <w:color w:val="000000" w:themeColor="text1"/>
          <w:lang w:val="en-US"/>
        </w:rPr>
        <w:t>Organic Law</w:t>
      </w:r>
      <w:r w:rsidR="00D47632">
        <w:rPr>
          <w:rStyle w:val="Appelnotedebasdep"/>
          <w:rFonts w:ascii="Garamond" w:hAnsi="Garamond" w:cs="Calibri"/>
          <w:color w:val="000000" w:themeColor="text1"/>
          <w:lang w:val="en-US"/>
        </w:rPr>
        <w:footnoteReference w:id="3"/>
      </w:r>
      <w:r w:rsidR="00DC1D85" w:rsidRPr="00DC1D85">
        <w:rPr>
          <w:rFonts w:ascii="Garamond" w:hAnsi="Garamond" w:cs="Calibri"/>
          <w:color w:val="000000" w:themeColor="text1"/>
          <w:lang w:val="en-US"/>
        </w:rPr>
        <w:t xml:space="preserve"> </w:t>
      </w:r>
      <w:r>
        <w:rPr>
          <w:rFonts w:ascii="Garamond" w:hAnsi="Garamond" w:cs="Calibri"/>
          <w:color w:val="000000" w:themeColor="text1"/>
          <w:lang w:val="en-US"/>
        </w:rPr>
        <w:t>n° 2019-706 of 5 July 2019. This law amends Organic Law n°</w:t>
      </w:r>
      <w:r w:rsidR="00DC1D85" w:rsidRPr="00DC1D85">
        <w:rPr>
          <w:rFonts w:ascii="Garamond" w:hAnsi="Garamond" w:cs="Calibri"/>
          <w:color w:val="000000" w:themeColor="text1"/>
          <w:lang w:val="en-US"/>
        </w:rPr>
        <w:t xml:space="preserve"> 2004-192, </w:t>
      </w:r>
      <w:r w:rsidR="00DC1D85">
        <w:rPr>
          <w:rFonts w:ascii="Garamond" w:hAnsi="Garamond" w:cs="Calibri"/>
          <w:color w:val="000000" w:themeColor="text1"/>
          <w:lang w:val="en-US"/>
        </w:rPr>
        <w:t>adopted</w:t>
      </w:r>
      <w:r w:rsidR="00DC1D85" w:rsidRPr="00DC1D85">
        <w:rPr>
          <w:rFonts w:ascii="Garamond" w:hAnsi="Garamond" w:cs="Calibri"/>
          <w:color w:val="000000" w:themeColor="text1"/>
          <w:lang w:val="en-US"/>
        </w:rPr>
        <w:t xml:space="preserve"> on </w:t>
      </w:r>
      <w:r w:rsidR="00DC1D85">
        <w:rPr>
          <w:rFonts w:ascii="Garamond" w:hAnsi="Garamond" w:cs="Calibri"/>
          <w:color w:val="000000" w:themeColor="text1"/>
          <w:lang w:val="en-US"/>
        </w:rPr>
        <w:t xml:space="preserve">27 </w:t>
      </w:r>
      <w:r w:rsidR="00DC1D85" w:rsidRPr="00DC1D85">
        <w:rPr>
          <w:rFonts w:ascii="Garamond" w:hAnsi="Garamond" w:cs="Calibri"/>
          <w:color w:val="000000" w:themeColor="text1"/>
          <w:lang w:val="en-US"/>
        </w:rPr>
        <w:t>February 2004</w:t>
      </w:r>
      <w:r>
        <w:rPr>
          <w:rFonts w:ascii="Garamond" w:hAnsi="Garamond" w:cs="Calibri"/>
          <w:color w:val="000000" w:themeColor="text1"/>
          <w:lang w:val="en-US"/>
        </w:rPr>
        <w:t>,</w:t>
      </w:r>
      <w:r w:rsidR="00DC1D85" w:rsidRPr="00DC1D85">
        <w:rPr>
          <w:rFonts w:ascii="Garamond" w:hAnsi="Garamond" w:cs="Calibri"/>
          <w:color w:val="000000" w:themeColor="text1"/>
          <w:lang w:val="en-US"/>
        </w:rPr>
        <w:t xml:space="preserve"> address</w:t>
      </w:r>
      <w:r w:rsidR="00DC1D85">
        <w:rPr>
          <w:rFonts w:ascii="Garamond" w:hAnsi="Garamond" w:cs="Calibri"/>
          <w:color w:val="000000" w:themeColor="text1"/>
          <w:lang w:val="en-US"/>
        </w:rPr>
        <w:t>ing</w:t>
      </w:r>
      <w:r w:rsidR="00DC1D85" w:rsidRPr="00DC1D85">
        <w:rPr>
          <w:rFonts w:ascii="Garamond" w:hAnsi="Garamond" w:cs="Calibri"/>
          <w:color w:val="000000" w:themeColor="text1"/>
          <w:lang w:val="en-US"/>
        </w:rPr>
        <w:t xml:space="preserve"> the autonom</w:t>
      </w:r>
      <w:r w:rsidR="008F74F6">
        <w:rPr>
          <w:rFonts w:ascii="Garamond" w:hAnsi="Garamond" w:cs="Calibri"/>
          <w:color w:val="000000" w:themeColor="text1"/>
          <w:lang w:val="en-US"/>
        </w:rPr>
        <w:t>ous</w:t>
      </w:r>
      <w:r w:rsidR="00DC1D85" w:rsidRPr="00DC1D85">
        <w:rPr>
          <w:rFonts w:ascii="Garamond" w:hAnsi="Garamond" w:cs="Calibri"/>
          <w:color w:val="000000" w:themeColor="text1"/>
          <w:lang w:val="en-US"/>
        </w:rPr>
        <w:t xml:space="preserve"> status of French Polynesia. </w:t>
      </w:r>
      <w:r w:rsidR="00FC19AB">
        <w:rPr>
          <w:rFonts w:ascii="Garamond" w:hAnsi="Garamond" w:cs="Calibri"/>
          <w:color w:val="000000" w:themeColor="text1"/>
          <w:lang w:val="en-US"/>
        </w:rPr>
        <w:t>Th</w:t>
      </w:r>
      <w:r>
        <w:rPr>
          <w:rFonts w:ascii="Garamond" w:hAnsi="Garamond" w:cs="Calibri"/>
          <w:color w:val="000000" w:themeColor="text1"/>
          <w:lang w:val="en-US"/>
        </w:rPr>
        <w:t>e</w:t>
      </w:r>
      <w:r w:rsidR="00FC19AB">
        <w:rPr>
          <w:rFonts w:ascii="Garamond" w:hAnsi="Garamond" w:cs="Calibri"/>
          <w:color w:val="000000" w:themeColor="text1"/>
          <w:lang w:val="en-US"/>
        </w:rPr>
        <w:t xml:space="preserve"> </w:t>
      </w:r>
      <w:r>
        <w:rPr>
          <w:rFonts w:ascii="Garamond" w:hAnsi="Garamond" w:cs="Calibri"/>
          <w:color w:val="000000" w:themeColor="text1"/>
          <w:lang w:val="en-US"/>
        </w:rPr>
        <w:t xml:space="preserve">amended </w:t>
      </w:r>
      <w:r w:rsidR="00FC19AB">
        <w:rPr>
          <w:rFonts w:ascii="Garamond" w:hAnsi="Garamond" w:cs="Calibri"/>
          <w:color w:val="000000" w:themeColor="text1"/>
          <w:lang w:val="en-US"/>
        </w:rPr>
        <w:t xml:space="preserve">Organic Law </w:t>
      </w:r>
      <w:r>
        <w:rPr>
          <w:rFonts w:ascii="Garamond" w:hAnsi="Garamond" w:cs="Calibri"/>
          <w:color w:val="000000" w:themeColor="text1"/>
          <w:lang w:val="en-US"/>
        </w:rPr>
        <w:t>serves as the</w:t>
      </w:r>
      <w:r w:rsidR="00FC19AB">
        <w:rPr>
          <w:rFonts w:ascii="Garamond" w:hAnsi="Garamond" w:cs="Calibri"/>
          <w:color w:val="000000" w:themeColor="text1"/>
          <w:lang w:val="en-US"/>
        </w:rPr>
        <w:t xml:space="preserve"> legal </w:t>
      </w:r>
      <w:r>
        <w:rPr>
          <w:rFonts w:ascii="Garamond" w:hAnsi="Garamond" w:cs="Calibri"/>
          <w:color w:val="000000" w:themeColor="text1"/>
          <w:lang w:val="en-US"/>
        </w:rPr>
        <w:t>basis</w:t>
      </w:r>
      <w:r w:rsidR="00FC19AB">
        <w:rPr>
          <w:rFonts w:ascii="Garamond" w:hAnsi="Garamond" w:cs="Calibri"/>
          <w:color w:val="000000" w:themeColor="text1"/>
          <w:lang w:val="en-US"/>
        </w:rPr>
        <w:t xml:space="preserve"> for </w:t>
      </w:r>
      <w:r w:rsidR="00CB5427">
        <w:rPr>
          <w:rFonts w:ascii="Garamond" w:hAnsi="Garamond" w:cs="Calibri"/>
          <w:color w:val="000000" w:themeColor="text1"/>
          <w:lang w:val="en-US"/>
        </w:rPr>
        <w:t xml:space="preserve">the </w:t>
      </w:r>
      <w:r>
        <w:rPr>
          <w:rFonts w:ascii="Garamond" w:hAnsi="Garamond" w:cs="Calibri"/>
          <w:color w:val="000000" w:themeColor="text1"/>
          <w:lang w:val="en-US"/>
        </w:rPr>
        <w:t>implementation</w:t>
      </w:r>
      <w:r w:rsidR="00CB5427">
        <w:rPr>
          <w:rFonts w:ascii="Garamond" w:hAnsi="Garamond" w:cs="Calibri"/>
          <w:color w:val="000000" w:themeColor="text1"/>
          <w:lang w:val="en-US"/>
        </w:rPr>
        <w:t xml:space="preserve"> of </w:t>
      </w:r>
      <w:r w:rsidR="00FC19AB">
        <w:rPr>
          <w:rFonts w:ascii="Garamond" w:hAnsi="Garamond" w:cs="Calibri"/>
          <w:color w:val="000000" w:themeColor="text1"/>
          <w:lang w:val="en-US"/>
        </w:rPr>
        <w:t>mechanisms and tools</w:t>
      </w:r>
      <w:r w:rsidR="00CB5427">
        <w:rPr>
          <w:rFonts w:ascii="Garamond" w:hAnsi="Garamond" w:cs="Calibri"/>
          <w:color w:val="000000" w:themeColor="text1"/>
          <w:lang w:val="en-US"/>
        </w:rPr>
        <w:t xml:space="preserve"> </w:t>
      </w:r>
      <w:r>
        <w:rPr>
          <w:rFonts w:ascii="Garamond" w:hAnsi="Garamond" w:cs="Calibri"/>
          <w:color w:val="000000" w:themeColor="text1"/>
          <w:lang w:val="en-US"/>
        </w:rPr>
        <w:t>aimed at addressing</w:t>
      </w:r>
      <w:r w:rsidR="00CB5427">
        <w:rPr>
          <w:rFonts w:ascii="Garamond" w:hAnsi="Garamond" w:cs="Calibri"/>
          <w:color w:val="000000" w:themeColor="text1"/>
          <w:lang w:val="en-US"/>
        </w:rPr>
        <w:t xml:space="preserve"> the French nuclear legacy.</w:t>
      </w:r>
      <w:r w:rsidR="00FC19AB">
        <w:rPr>
          <w:rFonts w:ascii="Garamond" w:hAnsi="Garamond" w:cs="Calibri"/>
          <w:color w:val="000000" w:themeColor="text1"/>
          <w:lang w:val="en-US"/>
        </w:rPr>
        <w:t xml:space="preserve"> </w:t>
      </w:r>
    </w:p>
    <w:p w:rsidR="00527E4F" w:rsidRDefault="00527E4F" w:rsidP="00DC1D85">
      <w:pPr>
        <w:jc w:val="both"/>
        <w:rPr>
          <w:rFonts w:ascii="Garamond" w:hAnsi="Garamond" w:cs="Calibri"/>
          <w:color w:val="000000" w:themeColor="text1"/>
          <w:lang w:val="en-US"/>
        </w:rPr>
      </w:pPr>
    </w:p>
    <w:p w:rsidR="00DC1D85" w:rsidRPr="00DC1D85" w:rsidRDefault="00AA0F9B" w:rsidP="00DC1D85">
      <w:pPr>
        <w:jc w:val="both"/>
        <w:rPr>
          <w:rFonts w:ascii="Garamond" w:hAnsi="Garamond" w:cs="Calibri"/>
          <w:color w:val="000000" w:themeColor="text1"/>
          <w:lang w:val="en-US"/>
        </w:rPr>
      </w:pPr>
      <w:r>
        <w:rPr>
          <w:rFonts w:ascii="Garamond" w:hAnsi="Garamond" w:cs="Calibri"/>
          <w:color w:val="000000" w:themeColor="text1"/>
          <w:lang w:val="en-US"/>
        </w:rPr>
        <w:t>A</w:t>
      </w:r>
      <w:r w:rsidR="00DC1D85" w:rsidRPr="00DC1D85">
        <w:rPr>
          <w:rFonts w:ascii="Garamond" w:hAnsi="Garamond" w:cs="Calibri"/>
          <w:color w:val="000000" w:themeColor="text1"/>
          <w:lang w:val="en-US"/>
        </w:rPr>
        <w:t xml:space="preserve">rticle 6-1 of this </w:t>
      </w:r>
      <w:r w:rsidR="00187831">
        <w:rPr>
          <w:rFonts w:ascii="Garamond" w:hAnsi="Garamond" w:cs="Calibri"/>
          <w:color w:val="000000" w:themeColor="text1"/>
          <w:lang w:val="en-US"/>
        </w:rPr>
        <w:t>O</w:t>
      </w:r>
      <w:r w:rsidR="00DC1D85" w:rsidRPr="00DC1D85">
        <w:rPr>
          <w:rFonts w:ascii="Garamond" w:hAnsi="Garamond" w:cs="Calibri"/>
          <w:color w:val="000000" w:themeColor="text1"/>
          <w:lang w:val="en-US"/>
        </w:rPr>
        <w:t>rganic law</w:t>
      </w:r>
      <w:r w:rsidR="00527E4F">
        <w:rPr>
          <w:rFonts w:ascii="Garamond" w:hAnsi="Garamond" w:cs="Calibri"/>
          <w:color w:val="000000" w:themeColor="text1"/>
          <w:lang w:val="en-US"/>
        </w:rPr>
        <w:t xml:space="preserve"> </w:t>
      </w:r>
      <w:r w:rsidR="00DC1D85" w:rsidRPr="00DC1D85">
        <w:rPr>
          <w:rFonts w:ascii="Garamond" w:hAnsi="Garamond" w:cs="Calibri"/>
          <w:color w:val="000000" w:themeColor="text1"/>
          <w:lang w:val="en-US"/>
        </w:rPr>
        <w:t xml:space="preserve">explicitly recognizes </w:t>
      </w:r>
      <w:r w:rsidR="008C0EBD">
        <w:rPr>
          <w:rFonts w:ascii="Garamond" w:hAnsi="Garamond" w:cs="Calibri"/>
          <w:color w:val="000000" w:themeColor="text1"/>
          <w:lang w:val="en-US"/>
        </w:rPr>
        <w:t xml:space="preserve">that </w:t>
      </w:r>
      <w:r w:rsidR="00DC1D85" w:rsidRPr="00DC1D85">
        <w:rPr>
          <w:rFonts w:ascii="Garamond" w:hAnsi="Garamond" w:cs="Calibri"/>
          <w:color w:val="000000" w:themeColor="text1"/>
          <w:lang w:val="en-US"/>
        </w:rPr>
        <w:t xml:space="preserve">French Polynesia </w:t>
      </w:r>
      <w:r w:rsidR="008C0EBD">
        <w:rPr>
          <w:rFonts w:ascii="Garamond" w:hAnsi="Garamond" w:cs="Calibri"/>
          <w:color w:val="000000" w:themeColor="text1"/>
          <w:lang w:val="en-US"/>
        </w:rPr>
        <w:t>has been harnessed to</w:t>
      </w:r>
      <w:r w:rsidR="00DC1D85" w:rsidRPr="00DC1D85">
        <w:rPr>
          <w:rFonts w:ascii="Garamond" w:hAnsi="Garamond" w:cs="Calibri"/>
          <w:color w:val="000000" w:themeColor="text1"/>
          <w:lang w:val="en-US"/>
        </w:rPr>
        <w:t xml:space="preserve"> develop </w:t>
      </w:r>
      <w:r w:rsidR="008C0EBD">
        <w:rPr>
          <w:rFonts w:ascii="Garamond" w:hAnsi="Garamond" w:cs="Calibri"/>
          <w:color w:val="000000" w:themeColor="text1"/>
          <w:lang w:val="en-US"/>
        </w:rPr>
        <w:t xml:space="preserve">the </w:t>
      </w:r>
      <w:r w:rsidR="00DC1D85" w:rsidRPr="00DC1D85">
        <w:rPr>
          <w:rFonts w:ascii="Garamond" w:hAnsi="Garamond" w:cs="Calibri"/>
          <w:color w:val="000000" w:themeColor="text1"/>
          <w:lang w:val="en-US"/>
        </w:rPr>
        <w:t>nuclear deterrence capabilities and national defense</w:t>
      </w:r>
      <w:r w:rsidR="00DC1D85">
        <w:rPr>
          <w:rFonts w:ascii="Garamond" w:hAnsi="Garamond" w:cs="Calibri"/>
          <w:color w:val="000000" w:themeColor="text1"/>
          <w:lang w:val="en-US"/>
        </w:rPr>
        <w:t xml:space="preserve"> of France</w:t>
      </w:r>
      <w:r w:rsidR="00DC1D85" w:rsidRPr="00DC1D85">
        <w:rPr>
          <w:rFonts w:ascii="Garamond" w:hAnsi="Garamond" w:cs="Calibri"/>
          <w:color w:val="000000" w:themeColor="text1"/>
          <w:lang w:val="en-US"/>
        </w:rPr>
        <w:t xml:space="preserve">. Article 6-1 also guarantees compensation for individuals suffering from radiation-induced </w:t>
      </w:r>
      <w:r w:rsidR="00DC1D85">
        <w:rPr>
          <w:rFonts w:ascii="Garamond" w:hAnsi="Garamond" w:cs="Calibri"/>
          <w:color w:val="000000" w:themeColor="text1"/>
          <w:lang w:val="en-US"/>
        </w:rPr>
        <w:t>disease</w:t>
      </w:r>
      <w:r w:rsidR="00DC1D85" w:rsidRPr="00DC1D85">
        <w:rPr>
          <w:rFonts w:ascii="Garamond" w:hAnsi="Garamond" w:cs="Calibri"/>
          <w:color w:val="000000" w:themeColor="text1"/>
          <w:lang w:val="en-US"/>
        </w:rPr>
        <w:t>s resulting from exposure to ionizing radiation from French nuclear tests, with further elaboration on compensation conditions expected in subsequent legislation.</w:t>
      </w:r>
    </w:p>
    <w:p w:rsidR="00DC1D85" w:rsidRPr="00DC1D85" w:rsidRDefault="00DC1D85" w:rsidP="00DC1D85">
      <w:pPr>
        <w:jc w:val="both"/>
        <w:rPr>
          <w:rFonts w:ascii="Garamond" w:hAnsi="Garamond" w:cs="Calibri"/>
          <w:color w:val="000000" w:themeColor="text1"/>
          <w:lang w:val="en-US"/>
        </w:rPr>
      </w:pPr>
    </w:p>
    <w:p w:rsidR="00442566" w:rsidRPr="003A4E89" w:rsidRDefault="00DC1D85" w:rsidP="00DC1D85">
      <w:pPr>
        <w:jc w:val="both"/>
        <w:rPr>
          <w:rFonts w:ascii="Garamond" w:hAnsi="Garamond" w:cs="Calibri"/>
          <w:color w:val="000000" w:themeColor="text1"/>
          <w:lang w:val="en-US"/>
        </w:rPr>
      </w:pPr>
      <w:r w:rsidRPr="00DC1D85">
        <w:rPr>
          <w:rFonts w:ascii="Garamond" w:hAnsi="Garamond" w:cs="Calibri"/>
          <w:color w:val="000000" w:themeColor="text1"/>
          <w:lang w:val="en-US"/>
        </w:rPr>
        <w:t xml:space="preserve">Furthermore, </w:t>
      </w:r>
      <w:r w:rsidR="008F74F6">
        <w:rPr>
          <w:rFonts w:ascii="Garamond" w:hAnsi="Garamond" w:cs="Calibri"/>
          <w:color w:val="000000" w:themeColor="text1"/>
          <w:lang w:val="en-US"/>
        </w:rPr>
        <w:t>the same article 6-1</w:t>
      </w:r>
      <w:r w:rsidRPr="00DC1D85">
        <w:rPr>
          <w:rFonts w:ascii="Garamond" w:hAnsi="Garamond" w:cs="Calibri"/>
          <w:color w:val="000000" w:themeColor="text1"/>
          <w:lang w:val="en-US"/>
        </w:rPr>
        <w:t xml:space="preserve"> </w:t>
      </w:r>
      <w:r>
        <w:rPr>
          <w:rFonts w:ascii="Garamond" w:hAnsi="Garamond" w:cs="Calibri"/>
          <w:color w:val="000000" w:themeColor="text1"/>
          <w:lang w:val="en-US"/>
        </w:rPr>
        <w:t>outlines</w:t>
      </w:r>
      <w:r w:rsidRPr="00DC1D85">
        <w:rPr>
          <w:rFonts w:ascii="Garamond" w:hAnsi="Garamond" w:cs="Calibri"/>
          <w:color w:val="000000" w:themeColor="text1"/>
          <w:lang w:val="en-US"/>
        </w:rPr>
        <w:t xml:space="preserve"> the State's obligations to maintain and </w:t>
      </w:r>
      <w:r w:rsidR="00AC0620">
        <w:rPr>
          <w:rFonts w:ascii="Garamond" w:hAnsi="Garamond" w:cs="Calibri"/>
          <w:color w:val="000000" w:themeColor="text1"/>
          <w:lang w:val="en-US"/>
        </w:rPr>
        <w:t>monitor</w:t>
      </w:r>
      <w:r w:rsidRPr="00DC1D85">
        <w:rPr>
          <w:rFonts w:ascii="Garamond" w:hAnsi="Garamond" w:cs="Calibri"/>
          <w:color w:val="000000" w:themeColor="text1"/>
          <w:lang w:val="en-US"/>
        </w:rPr>
        <w:t xml:space="preserve"> the </w:t>
      </w:r>
      <w:r w:rsidR="00AC0620">
        <w:rPr>
          <w:rFonts w:ascii="Garamond" w:hAnsi="Garamond" w:cs="Calibri"/>
          <w:color w:val="000000" w:themeColor="text1"/>
          <w:lang w:val="en-US"/>
        </w:rPr>
        <w:t xml:space="preserve">state of </w:t>
      </w:r>
      <w:r w:rsidRPr="00DC1D85">
        <w:rPr>
          <w:rFonts w:ascii="Garamond" w:hAnsi="Garamond" w:cs="Calibri"/>
          <w:color w:val="000000" w:themeColor="text1"/>
          <w:lang w:val="en-US"/>
        </w:rPr>
        <w:t xml:space="preserve">affected sites </w:t>
      </w:r>
      <w:r w:rsidR="00AC0620">
        <w:rPr>
          <w:rFonts w:ascii="Garamond" w:hAnsi="Garamond" w:cs="Calibri"/>
          <w:color w:val="000000" w:themeColor="text1"/>
          <w:lang w:val="en-US"/>
        </w:rPr>
        <w:t>o</w:t>
      </w:r>
      <w:r w:rsidRPr="00DC1D85">
        <w:rPr>
          <w:rFonts w:ascii="Garamond" w:hAnsi="Garamond" w:cs="Calibri"/>
          <w:color w:val="000000" w:themeColor="text1"/>
          <w:lang w:val="en-US"/>
        </w:rPr>
        <w:t xml:space="preserve">n the atolls of </w:t>
      </w:r>
      <w:proofErr w:type="spellStart"/>
      <w:r w:rsidRPr="00DC1D85">
        <w:rPr>
          <w:rFonts w:ascii="Garamond" w:hAnsi="Garamond" w:cs="Calibri"/>
          <w:color w:val="000000" w:themeColor="text1"/>
          <w:lang w:val="en-US"/>
        </w:rPr>
        <w:t>Moruroa</w:t>
      </w:r>
      <w:proofErr w:type="spellEnd"/>
      <w:r w:rsidRPr="00DC1D85">
        <w:rPr>
          <w:rFonts w:ascii="Garamond" w:hAnsi="Garamond" w:cs="Calibri"/>
          <w:color w:val="000000" w:themeColor="text1"/>
          <w:lang w:val="en-US"/>
        </w:rPr>
        <w:t xml:space="preserve"> and </w:t>
      </w:r>
      <w:proofErr w:type="spellStart"/>
      <w:r w:rsidRPr="00DC1D85">
        <w:rPr>
          <w:rFonts w:ascii="Garamond" w:hAnsi="Garamond" w:cs="Calibri"/>
          <w:color w:val="000000" w:themeColor="text1"/>
          <w:lang w:val="en-US"/>
        </w:rPr>
        <w:t>Fangataufa</w:t>
      </w:r>
      <w:proofErr w:type="spellEnd"/>
      <w:r w:rsidRPr="00DC1D85">
        <w:rPr>
          <w:rFonts w:ascii="Garamond" w:hAnsi="Garamond" w:cs="Calibri"/>
          <w:color w:val="000000" w:themeColor="text1"/>
          <w:lang w:val="en-US"/>
        </w:rPr>
        <w:t>. Additionally, it commits to supporting the economic and structural transition of French Polynesia following the cessation of nuclear testing activities.</w:t>
      </w:r>
    </w:p>
    <w:p w:rsidR="00442566" w:rsidRPr="003A4E89" w:rsidRDefault="00442566" w:rsidP="00442566">
      <w:pPr>
        <w:jc w:val="both"/>
        <w:rPr>
          <w:rFonts w:ascii="Garamond" w:hAnsi="Garamond" w:cs="Calibri"/>
          <w:color w:val="000000" w:themeColor="text1"/>
          <w:lang w:val="en-US"/>
        </w:rPr>
      </w:pPr>
    </w:p>
    <w:p w:rsidR="008F74F6" w:rsidRDefault="00F90F0A" w:rsidP="00237096">
      <w:pPr>
        <w:jc w:val="both"/>
        <w:rPr>
          <w:rFonts w:ascii="Garamond" w:hAnsi="Garamond" w:cs="Calibri"/>
          <w:color w:val="000000" w:themeColor="text1"/>
          <w:lang w:val="en-US"/>
        </w:rPr>
      </w:pPr>
      <w:r w:rsidRPr="00F90F0A">
        <w:rPr>
          <w:rFonts w:ascii="Garamond" w:hAnsi="Garamond" w:cs="Calibri"/>
          <w:color w:val="000000" w:themeColor="text1"/>
          <w:lang w:val="en-US"/>
        </w:rPr>
        <w:t xml:space="preserve">The French national law </w:t>
      </w:r>
      <w:r w:rsidR="008F74F6">
        <w:rPr>
          <w:rFonts w:ascii="Garamond" w:hAnsi="Garamond" w:cs="Calibri"/>
          <w:color w:val="000000" w:themeColor="text1"/>
          <w:lang w:val="en-US"/>
        </w:rPr>
        <w:t xml:space="preserve">explicitly </w:t>
      </w:r>
      <w:r>
        <w:rPr>
          <w:rFonts w:ascii="Garamond" w:hAnsi="Garamond" w:cs="Calibri"/>
          <w:color w:val="000000" w:themeColor="text1"/>
          <w:lang w:val="en-US"/>
        </w:rPr>
        <w:t>acknowledges</w:t>
      </w:r>
      <w:r w:rsidR="00193B96">
        <w:rPr>
          <w:rFonts w:ascii="Garamond" w:hAnsi="Garamond" w:cs="Calibri"/>
          <w:color w:val="000000" w:themeColor="text1"/>
          <w:lang w:val="en-US"/>
        </w:rPr>
        <w:t xml:space="preserve"> </w:t>
      </w:r>
      <w:r w:rsidR="007B5F70" w:rsidRPr="007B5F70">
        <w:rPr>
          <w:rFonts w:ascii="Garamond" w:hAnsi="Garamond" w:cs="Calibri"/>
          <w:color w:val="000000" w:themeColor="text1"/>
          <w:lang w:val="en-US"/>
        </w:rPr>
        <w:t>only</w:t>
      </w:r>
      <w:r>
        <w:rPr>
          <w:rFonts w:ascii="Garamond" w:hAnsi="Garamond" w:cs="Calibri"/>
          <w:color w:val="000000" w:themeColor="text1"/>
          <w:lang w:val="en-US"/>
        </w:rPr>
        <w:t xml:space="preserve"> the</w:t>
      </w:r>
      <w:r w:rsidR="007B5F70">
        <w:rPr>
          <w:rFonts w:ascii="Garamond" w:hAnsi="Garamond" w:cs="Calibri"/>
          <w:color w:val="000000" w:themeColor="text1"/>
          <w:lang w:val="en-US"/>
        </w:rPr>
        <w:t xml:space="preserve"> individual</w:t>
      </w:r>
      <w:r>
        <w:rPr>
          <w:rFonts w:ascii="Garamond" w:hAnsi="Garamond" w:cs="Calibri"/>
          <w:color w:val="000000" w:themeColor="text1"/>
          <w:lang w:val="en-US"/>
        </w:rPr>
        <w:t xml:space="preserve"> health-related repercussions of nuclear tests, guaranteeing </w:t>
      </w:r>
      <w:r w:rsidR="00193B96">
        <w:rPr>
          <w:rFonts w:ascii="Garamond" w:hAnsi="Garamond" w:cs="Calibri"/>
          <w:color w:val="000000" w:themeColor="text1"/>
          <w:lang w:val="en-US"/>
        </w:rPr>
        <w:t>compensation for victims</w:t>
      </w:r>
      <w:r w:rsidR="007B5F70">
        <w:rPr>
          <w:rFonts w:ascii="Garamond" w:hAnsi="Garamond" w:cs="Calibri"/>
          <w:color w:val="000000" w:themeColor="text1"/>
          <w:lang w:val="en-US"/>
        </w:rPr>
        <w:t>. H</w:t>
      </w:r>
      <w:r w:rsidR="00193B96">
        <w:rPr>
          <w:rFonts w:ascii="Garamond" w:hAnsi="Garamond" w:cs="Calibri"/>
          <w:color w:val="000000" w:themeColor="text1"/>
          <w:lang w:val="en-US"/>
        </w:rPr>
        <w:t>owever</w:t>
      </w:r>
      <w:r w:rsidR="007B5F70">
        <w:rPr>
          <w:rFonts w:ascii="Garamond" w:hAnsi="Garamond" w:cs="Calibri"/>
          <w:color w:val="000000" w:themeColor="text1"/>
          <w:lang w:val="en-US"/>
        </w:rPr>
        <w:t>, it</w:t>
      </w:r>
      <w:r w:rsidR="00193B96">
        <w:rPr>
          <w:rFonts w:ascii="Garamond" w:hAnsi="Garamond" w:cs="Calibri"/>
          <w:color w:val="000000" w:themeColor="text1"/>
          <w:lang w:val="en-US"/>
        </w:rPr>
        <w:t xml:space="preserve"> does not recognize the </w:t>
      </w:r>
      <w:r w:rsidR="007B5F70">
        <w:rPr>
          <w:rFonts w:ascii="Garamond" w:hAnsi="Garamond" w:cs="Calibri"/>
          <w:color w:val="000000" w:themeColor="text1"/>
          <w:lang w:val="en-US"/>
        </w:rPr>
        <w:t xml:space="preserve">adverse </w:t>
      </w:r>
      <w:r w:rsidR="00193B96">
        <w:rPr>
          <w:rFonts w:ascii="Garamond" w:hAnsi="Garamond" w:cs="Calibri"/>
          <w:color w:val="000000" w:themeColor="text1"/>
          <w:lang w:val="en-US"/>
        </w:rPr>
        <w:t>impact of French nuclear testing</w:t>
      </w:r>
      <w:r w:rsidR="007B5F70">
        <w:rPr>
          <w:rFonts w:ascii="Garamond" w:hAnsi="Garamond" w:cs="Calibri"/>
          <w:color w:val="000000" w:themeColor="text1"/>
          <w:lang w:val="en-US"/>
        </w:rPr>
        <w:t xml:space="preserve"> on the environment of</w:t>
      </w:r>
      <w:r w:rsidR="00193B96">
        <w:rPr>
          <w:rFonts w:ascii="Garamond" w:hAnsi="Garamond" w:cs="Calibri"/>
          <w:color w:val="000000" w:themeColor="text1"/>
          <w:lang w:val="en-US"/>
        </w:rPr>
        <w:t xml:space="preserve"> French Polynesia. </w:t>
      </w:r>
    </w:p>
    <w:p w:rsidR="008F74F6" w:rsidRDefault="008F74F6" w:rsidP="00237096">
      <w:pPr>
        <w:jc w:val="both"/>
        <w:rPr>
          <w:rFonts w:ascii="Garamond" w:hAnsi="Garamond" w:cs="Calibri"/>
          <w:color w:val="000000" w:themeColor="text1"/>
          <w:lang w:val="en-US"/>
        </w:rPr>
      </w:pPr>
    </w:p>
    <w:p w:rsidR="008F74F6" w:rsidRPr="008F74F6" w:rsidRDefault="008F74F6" w:rsidP="008F74F6">
      <w:pPr>
        <w:pStyle w:val="Paragraphedeliste"/>
        <w:numPr>
          <w:ilvl w:val="0"/>
          <w:numId w:val="4"/>
        </w:numPr>
        <w:jc w:val="both"/>
        <w:rPr>
          <w:rFonts w:ascii="Garamond" w:hAnsi="Garamond" w:cs="Calibri"/>
          <w:b/>
          <w:bCs/>
          <w:color w:val="000000" w:themeColor="text1"/>
          <w:lang w:val="en-US"/>
        </w:rPr>
      </w:pPr>
      <w:r w:rsidRPr="008F74F6">
        <w:rPr>
          <w:rFonts w:ascii="Garamond" w:hAnsi="Garamond" w:cs="Calibri"/>
          <w:b/>
          <w:bCs/>
          <w:color w:val="000000" w:themeColor="text1"/>
          <w:lang w:val="en-US"/>
        </w:rPr>
        <w:lastRenderedPageBreak/>
        <w:t>The recognition and compensation of victims of French nuclear tests</w:t>
      </w:r>
    </w:p>
    <w:p w:rsidR="008F74F6" w:rsidRDefault="008F74F6" w:rsidP="00237096">
      <w:pPr>
        <w:jc w:val="both"/>
        <w:rPr>
          <w:rFonts w:ascii="Garamond" w:hAnsi="Garamond" w:cs="Calibri"/>
          <w:color w:val="000000" w:themeColor="text1"/>
          <w:lang w:val="en-US"/>
        </w:rPr>
      </w:pPr>
    </w:p>
    <w:p w:rsidR="0087348A" w:rsidRPr="0087348A" w:rsidRDefault="00F64F3A" w:rsidP="00C07130">
      <w:pPr>
        <w:jc w:val="both"/>
        <w:rPr>
          <w:rFonts w:ascii="Garamond" w:hAnsi="Garamond"/>
          <w:color w:val="000000" w:themeColor="text1"/>
          <w:lang w:val="en-US"/>
        </w:rPr>
      </w:pPr>
      <w:r>
        <w:rPr>
          <w:rFonts w:ascii="Garamond" w:hAnsi="Garamond" w:cs="Calibri"/>
          <w:color w:val="000000" w:themeColor="text1"/>
          <w:lang w:val="en-US"/>
        </w:rPr>
        <w:t xml:space="preserve">The issue of compensation of victims of French nuclear tests has been addressed earlier than the official </w:t>
      </w:r>
      <w:r w:rsidR="00C07130">
        <w:rPr>
          <w:rFonts w:ascii="Garamond" w:hAnsi="Garamond" w:cs="Calibri"/>
          <w:color w:val="000000" w:themeColor="text1"/>
          <w:lang w:val="en-US"/>
        </w:rPr>
        <w:t xml:space="preserve">legal </w:t>
      </w:r>
      <w:r>
        <w:rPr>
          <w:rFonts w:ascii="Garamond" w:hAnsi="Garamond" w:cs="Calibri"/>
          <w:color w:val="000000" w:themeColor="text1"/>
          <w:lang w:val="en-US"/>
        </w:rPr>
        <w:t>recognition of the nuclear legacy of French Polynesia.</w:t>
      </w:r>
      <w:r w:rsidR="00C07130">
        <w:rPr>
          <w:rFonts w:ascii="Garamond" w:hAnsi="Garamond" w:cs="Calibri"/>
          <w:color w:val="000000" w:themeColor="text1"/>
          <w:lang w:val="en-US"/>
        </w:rPr>
        <w:t xml:space="preserve"> </w:t>
      </w:r>
      <w:r w:rsidR="0087348A">
        <w:rPr>
          <w:rFonts w:ascii="Garamond" w:hAnsi="Garamond" w:cs="Calibri"/>
          <w:color w:val="000000" w:themeColor="text1"/>
          <w:lang w:val="en-US"/>
        </w:rPr>
        <w:t xml:space="preserve">Compensating victims of nuclear tests is a crucial component of a broader array of essential </w:t>
      </w:r>
      <w:r w:rsidR="0087348A" w:rsidRPr="00A30714">
        <w:rPr>
          <w:rFonts w:ascii="Garamond" w:hAnsi="Garamond" w:cs="Calibri"/>
          <w:color w:val="000000" w:themeColor="text1"/>
          <w:lang w:val="en-US"/>
        </w:rPr>
        <w:t xml:space="preserve">measures aimed at addressing the </w:t>
      </w:r>
      <w:r w:rsidR="0087348A">
        <w:rPr>
          <w:rFonts w:ascii="Garamond" w:hAnsi="Garamond" w:cs="Calibri"/>
          <w:color w:val="000000" w:themeColor="text1"/>
          <w:lang w:val="en-US"/>
        </w:rPr>
        <w:t>nuclear legacy</w:t>
      </w:r>
      <w:r w:rsidR="0087348A" w:rsidRPr="00A30714">
        <w:rPr>
          <w:rFonts w:ascii="Garamond" w:hAnsi="Garamond" w:cs="Calibri"/>
          <w:color w:val="000000" w:themeColor="text1"/>
          <w:lang w:val="en-US"/>
        </w:rPr>
        <w:t xml:space="preserve"> and </w:t>
      </w:r>
      <w:r w:rsidR="0087348A">
        <w:rPr>
          <w:rFonts w:ascii="Garamond" w:hAnsi="Garamond" w:cs="Calibri"/>
          <w:color w:val="000000" w:themeColor="text1"/>
          <w:lang w:val="en-US"/>
        </w:rPr>
        <w:t>redressing the impacts caused or induced by</w:t>
      </w:r>
      <w:r w:rsidR="0087348A" w:rsidRPr="00A30714">
        <w:rPr>
          <w:rFonts w:ascii="Garamond" w:hAnsi="Garamond" w:cs="Calibri"/>
          <w:color w:val="000000" w:themeColor="text1"/>
          <w:lang w:val="en-US"/>
        </w:rPr>
        <w:t xml:space="preserve"> </w:t>
      </w:r>
      <w:r w:rsidR="0087348A">
        <w:rPr>
          <w:rFonts w:ascii="Garamond" w:hAnsi="Garamond" w:cs="Calibri"/>
          <w:color w:val="000000" w:themeColor="text1"/>
          <w:lang w:val="en-US"/>
        </w:rPr>
        <w:t>nuclear tests</w:t>
      </w:r>
      <w:r w:rsidR="0087348A" w:rsidRPr="00A30714">
        <w:rPr>
          <w:rFonts w:ascii="Garamond" w:hAnsi="Garamond" w:cs="Calibri"/>
          <w:color w:val="000000" w:themeColor="text1"/>
          <w:lang w:val="en-US"/>
        </w:rPr>
        <w:t>.</w:t>
      </w:r>
      <w:r w:rsidR="0087348A">
        <w:rPr>
          <w:rFonts w:ascii="Garamond" w:hAnsi="Garamond" w:cs="Calibri"/>
          <w:color w:val="000000" w:themeColor="text1"/>
          <w:lang w:val="en-US"/>
        </w:rPr>
        <w:t xml:space="preserve"> </w:t>
      </w:r>
    </w:p>
    <w:p w:rsidR="0087348A" w:rsidRDefault="0087348A" w:rsidP="00C07130">
      <w:pPr>
        <w:jc w:val="both"/>
        <w:rPr>
          <w:rFonts w:ascii="Garamond" w:hAnsi="Garamond" w:cs="Calibri"/>
          <w:color w:val="000000" w:themeColor="text1"/>
          <w:lang w:val="en-US"/>
        </w:rPr>
      </w:pPr>
    </w:p>
    <w:p w:rsidR="008F74F6" w:rsidRPr="002E26CF" w:rsidRDefault="00C07130" w:rsidP="00C07130">
      <w:pPr>
        <w:jc w:val="both"/>
        <w:rPr>
          <w:rFonts w:ascii="Garamond" w:hAnsi="Garamond"/>
          <w:color w:val="000000" w:themeColor="text1"/>
          <w:lang w:val="en-US"/>
        </w:rPr>
      </w:pPr>
      <w:r>
        <w:rPr>
          <w:rFonts w:ascii="Garamond" w:hAnsi="Garamond" w:cs="Calibri"/>
          <w:color w:val="000000" w:themeColor="text1"/>
          <w:lang w:val="en-US"/>
        </w:rPr>
        <w:t>On 5 January 2010</w:t>
      </w:r>
      <w:r w:rsidR="0087348A">
        <w:rPr>
          <w:rFonts w:ascii="Garamond" w:hAnsi="Garamond" w:cs="Calibri"/>
          <w:color w:val="000000" w:themeColor="text1"/>
          <w:lang w:val="en-US"/>
        </w:rPr>
        <w:t>,</w:t>
      </w:r>
      <w:r>
        <w:rPr>
          <w:rFonts w:ascii="Garamond" w:hAnsi="Garamond" w:cs="Calibri"/>
          <w:color w:val="000000" w:themeColor="text1"/>
          <w:lang w:val="en-US"/>
        </w:rPr>
        <w:t xml:space="preserve"> Law n° 2010-2 concerning the recognition and compensation of victims of French nuclear tests</w:t>
      </w:r>
      <w:r w:rsidR="0087348A">
        <w:rPr>
          <w:rFonts w:ascii="Garamond" w:hAnsi="Garamond" w:cs="Calibri"/>
          <w:color w:val="000000" w:themeColor="text1"/>
          <w:lang w:val="en-US"/>
        </w:rPr>
        <w:t xml:space="preserve"> was adopted</w:t>
      </w:r>
      <w:r w:rsidR="008F74F6">
        <w:rPr>
          <w:rStyle w:val="Appelnotedebasdep"/>
          <w:rFonts w:ascii="Garamond" w:hAnsi="Garamond"/>
          <w:color w:val="000000" w:themeColor="text1"/>
          <w:lang w:val="en-US"/>
        </w:rPr>
        <w:footnoteReference w:id="4"/>
      </w:r>
      <w:r w:rsidR="002E26CF">
        <w:rPr>
          <w:rFonts w:ascii="Garamond" w:hAnsi="Garamond"/>
          <w:color w:val="000000" w:themeColor="text1"/>
          <w:lang w:val="en-US"/>
        </w:rPr>
        <w:t xml:space="preserve">. This law represents a significant step towards addressing the long-standing consequences of nuclear testing. </w:t>
      </w:r>
      <w:r w:rsidR="0087348A">
        <w:rPr>
          <w:rFonts w:ascii="Garamond" w:hAnsi="Garamond"/>
          <w:color w:val="000000" w:themeColor="text1"/>
          <w:lang w:val="en-US"/>
        </w:rPr>
        <w:t>However,</w:t>
      </w:r>
      <w:r w:rsidR="002E26CF">
        <w:rPr>
          <w:rFonts w:ascii="Garamond" w:hAnsi="Garamond"/>
          <w:color w:val="000000" w:themeColor="text1"/>
          <w:lang w:val="en-US"/>
        </w:rPr>
        <w:t xml:space="preserve"> a notable gap between exposure to radiation and the establishment of adequate compensation mechanisms</w:t>
      </w:r>
      <w:r w:rsidR="0087348A">
        <w:rPr>
          <w:rFonts w:ascii="Garamond" w:hAnsi="Garamond"/>
          <w:color w:val="000000" w:themeColor="text1"/>
          <w:lang w:val="en-US"/>
        </w:rPr>
        <w:t xml:space="preserve"> should be noted</w:t>
      </w:r>
      <w:r w:rsidR="002E26CF">
        <w:rPr>
          <w:rFonts w:ascii="Garamond" w:hAnsi="Garamond"/>
          <w:color w:val="000000" w:themeColor="text1"/>
          <w:lang w:val="en-US"/>
        </w:rPr>
        <w:t xml:space="preserve">. </w:t>
      </w:r>
    </w:p>
    <w:p w:rsidR="008F74F6" w:rsidRPr="008F74F6" w:rsidRDefault="008F74F6" w:rsidP="008F74F6">
      <w:pPr>
        <w:jc w:val="both"/>
        <w:rPr>
          <w:rFonts w:ascii="Garamond" w:hAnsi="Garamond" w:cs="Calibri"/>
          <w:color w:val="000000" w:themeColor="text1"/>
          <w:lang w:val="en-US"/>
        </w:rPr>
      </w:pPr>
    </w:p>
    <w:p w:rsidR="00A35C0E" w:rsidRDefault="00CD6562" w:rsidP="00FE7555">
      <w:pPr>
        <w:jc w:val="both"/>
        <w:rPr>
          <w:rFonts w:ascii="Garamond" w:hAnsi="Garamond" w:cs="Calibri"/>
          <w:color w:val="000000" w:themeColor="text1"/>
          <w:lang w:val="en-US"/>
        </w:rPr>
      </w:pPr>
      <w:r>
        <w:rPr>
          <w:rFonts w:ascii="Garamond" w:hAnsi="Garamond" w:cs="Calibri"/>
          <w:color w:val="000000" w:themeColor="text1"/>
          <w:lang w:val="en-US"/>
        </w:rPr>
        <w:t>T</w:t>
      </w:r>
      <w:r w:rsidR="002E26CF">
        <w:rPr>
          <w:rFonts w:ascii="Garamond" w:hAnsi="Garamond" w:cs="Calibri"/>
          <w:color w:val="000000" w:themeColor="text1"/>
          <w:lang w:val="en-US"/>
        </w:rPr>
        <w:t xml:space="preserve">he </w:t>
      </w:r>
      <w:r w:rsidR="008F74F6" w:rsidRPr="00757DA0">
        <w:rPr>
          <w:rFonts w:ascii="Garamond" w:hAnsi="Garamond" w:cs="Calibri"/>
          <w:color w:val="000000" w:themeColor="text1"/>
          <w:lang w:val="en-US"/>
        </w:rPr>
        <w:t>French Compensation Committee for Victims of Nuclear Tests, an independent administrative authority</w:t>
      </w:r>
      <w:r>
        <w:rPr>
          <w:rFonts w:ascii="Garamond" w:hAnsi="Garamond" w:cs="Calibri"/>
          <w:color w:val="000000" w:themeColor="text1"/>
          <w:lang w:val="en-US"/>
        </w:rPr>
        <w:t xml:space="preserve"> established by the </w:t>
      </w:r>
      <w:r w:rsidR="00650361">
        <w:rPr>
          <w:rFonts w:ascii="Garamond" w:hAnsi="Garamond" w:cs="Calibri"/>
          <w:color w:val="000000" w:themeColor="text1"/>
          <w:lang w:val="en-US"/>
        </w:rPr>
        <w:t>afore</w:t>
      </w:r>
      <w:r>
        <w:rPr>
          <w:rFonts w:ascii="Garamond" w:hAnsi="Garamond" w:cs="Calibri"/>
          <w:color w:val="000000" w:themeColor="text1"/>
          <w:lang w:val="en-US"/>
        </w:rPr>
        <w:t>mentioned Law</w:t>
      </w:r>
      <w:r w:rsidR="00650361">
        <w:rPr>
          <w:rFonts w:ascii="Garamond" w:hAnsi="Garamond" w:cs="Calibri"/>
          <w:color w:val="000000" w:themeColor="text1"/>
          <w:lang w:val="en-US"/>
        </w:rPr>
        <w:t>,</w:t>
      </w:r>
      <w:r w:rsidR="002E26CF">
        <w:rPr>
          <w:rFonts w:ascii="Garamond" w:hAnsi="Garamond" w:cs="Calibri"/>
          <w:color w:val="000000" w:themeColor="text1"/>
          <w:lang w:val="en-US"/>
        </w:rPr>
        <w:t xml:space="preserve"> </w:t>
      </w:r>
      <w:r>
        <w:rPr>
          <w:rFonts w:ascii="Garamond" w:hAnsi="Garamond" w:cs="Calibri"/>
          <w:color w:val="000000" w:themeColor="text1"/>
          <w:lang w:val="en-US"/>
        </w:rPr>
        <w:t xml:space="preserve">is </w:t>
      </w:r>
      <w:r w:rsidR="00650361">
        <w:rPr>
          <w:rFonts w:ascii="Garamond" w:hAnsi="Garamond" w:cs="Calibri"/>
          <w:color w:val="000000" w:themeColor="text1"/>
          <w:lang w:val="en-US"/>
        </w:rPr>
        <w:t xml:space="preserve">tasked with evaluating </w:t>
      </w:r>
      <w:r>
        <w:rPr>
          <w:rFonts w:ascii="Garamond" w:hAnsi="Garamond" w:cs="Calibri"/>
          <w:color w:val="000000" w:themeColor="text1"/>
          <w:lang w:val="en-US"/>
        </w:rPr>
        <w:t>compensation claims</w:t>
      </w:r>
      <w:r w:rsidR="008F3B7C">
        <w:rPr>
          <w:rFonts w:ascii="Garamond" w:hAnsi="Garamond" w:cs="Calibri"/>
          <w:color w:val="000000" w:themeColor="text1"/>
          <w:lang w:val="en-US"/>
        </w:rPr>
        <w:t xml:space="preserve"> </w:t>
      </w:r>
      <w:r>
        <w:rPr>
          <w:rFonts w:ascii="Garamond" w:hAnsi="Garamond" w:cs="Calibri"/>
          <w:color w:val="000000" w:themeColor="text1"/>
          <w:lang w:val="en-US"/>
        </w:rPr>
        <w:t>and de</w:t>
      </w:r>
      <w:r w:rsidR="00650361">
        <w:rPr>
          <w:rFonts w:ascii="Garamond" w:hAnsi="Garamond" w:cs="Calibri"/>
          <w:color w:val="000000" w:themeColor="text1"/>
          <w:lang w:val="en-US"/>
        </w:rPr>
        <w:t>termin</w:t>
      </w:r>
      <w:r>
        <w:rPr>
          <w:rFonts w:ascii="Garamond" w:hAnsi="Garamond" w:cs="Calibri"/>
          <w:color w:val="000000" w:themeColor="text1"/>
          <w:lang w:val="en-US"/>
        </w:rPr>
        <w:t>ing whether applicants meet the criteria outlined in the law.</w:t>
      </w:r>
      <w:r w:rsidR="00C07130">
        <w:rPr>
          <w:rFonts w:ascii="Garamond" w:hAnsi="Garamond" w:cs="Calibri"/>
          <w:color w:val="000000" w:themeColor="text1"/>
          <w:lang w:val="en-US"/>
        </w:rPr>
        <w:t xml:space="preserve"> </w:t>
      </w:r>
    </w:p>
    <w:p w:rsidR="00A35C0E" w:rsidRDefault="00A35C0E" w:rsidP="00FE7555">
      <w:pPr>
        <w:jc w:val="both"/>
        <w:rPr>
          <w:rFonts w:ascii="Garamond" w:hAnsi="Garamond" w:cs="Calibri"/>
          <w:color w:val="000000" w:themeColor="text1"/>
          <w:lang w:val="en-US"/>
        </w:rPr>
      </w:pPr>
    </w:p>
    <w:p w:rsidR="0022752F" w:rsidRDefault="00500B51" w:rsidP="00FE7555">
      <w:pPr>
        <w:jc w:val="both"/>
        <w:rPr>
          <w:rFonts w:ascii="Garamond" w:hAnsi="Garamond" w:cs="Calibri"/>
          <w:color w:val="000000" w:themeColor="text1"/>
          <w:lang w:val="en-US"/>
        </w:rPr>
      </w:pPr>
      <w:r>
        <w:rPr>
          <w:rFonts w:ascii="Garamond" w:hAnsi="Garamond" w:cs="Calibri"/>
          <w:color w:val="000000" w:themeColor="text1"/>
          <w:lang w:val="en-US"/>
        </w:rPr>
        <w:t xml:space="preserve">To be recognized as a victim of French nuclear testing, the applicant must meet three conditions: </w:t>
      </w:r>
    </w:p>
    <w:p w:rsidR="0022752F" w:rsidRDefault="0022752F" w:rsidP="00FE7555">
      <w:pPr>
        <w:jc w:val="both"/>
        <w:rPr>
          <w:rFonts w:ascii="Garamond" w:hAnsi="Garamond" w:cs="Calibri"/>
          <w:color w:val="000000" w:themeColor="text1"/>
          <w:lang w:val="en-US"/>
        </w:rPr>
      </w:pPr>
    </w:p>
    <w:p w:rsidR="0022752F" w:rsidRPr="0022752F" w:rsidRDefault="0022752F" w:rsidP="0022752F">
      <w:pPr>
        <w:pStyle w:val="Paragraphedeliste"/>
        <w:numPr>
          <w:ilvl w:val="0"/>
          <w:numId w:val="7"/>
        </w:numPr>
        <w:jc w:val="both"/>
        <w:rPr>
          <w:rFonts w:ascii="Garamond" w:hAnsi="Garamond" w:cs="Calibri"/>
          <w:color w:val="000000" w:themeColor="text1"/>
          <w:lang w:val="en-US"/>
        </w:rPr>
      </w:pPr>
      <w:r w:rsidRPr="0022752F">
        <w:rPr>
          <w:rFonts w:ascii="Garamond" w:hAnsi="Garamond" w:cs="Calibri"/>
          <w:b/>
          <w:bCs/>
          <w:color w:val="000000" w:themeColor="text1"/>
          <w:u w:val="single"/>
          <w:lang w:val="en-US"/>
        </w:rPr>
        <w:t>H</w:t>
      </w:r>
      <w:r w:rsidR="00500B51" w:rsidRPr="0022752F">
        <w:rPr>
          <w:rFonts w:ascii="Garamond" w:hAnsi="Garamond" w:cs="Calibri"/>
          <w:b/>
          <w:bCs/>
          <w:color w:val="000000" w:themeColor="text1"/>
          <w:u w:val="single"/>
          <w:lang w:val="en-US"/>
        </w:rPr>
        <w:t>ealth condition</w:t>
      </w:r>
      <w:r w:rsidR="00500B51" w:rsidRPr="0022752F">
        <w:rPr>
          <w:rFonts w:ascii="Garamond" w:hAnsi="Garamond" w:cs="Calibri"/>
          <w:color w:val="000000" w:themeColor="text1"/>
          <w:lang w:val="en-US"/>
        </w:rPr>
        <w:t xml:space="preserve"> – suffering from one of the diseases listed as potentially radiation-induced, </w:t>
      </w:r>
      <w:proofErr w:type="gramStart"/>
      <w:r w:rsidR="00500B51" w:rsidRPr="0022752F">
        <w:rPr>
          <w:rFonts w:ascii="Garamond" w:hAnsi="Garamond" w:cs="Calibri"/>
          <w:i/>
          <w:iCs/>
          <w:color w:val="000000" w:themeColor="text1"/>
          <w:lang w:val="en-US"/>
        </w:rPr>
        <w:t>i.e.</w:t>
      </w:r>
      <w:proofErr w:type="gramEnd"/>
      <w:r w:rsidR="00500B51" w:rsidRPr="0022752F">
        <w:rPr>
          <w:rFonts w:ascii="Garamond" w:hAnsi="Garamond" w:cs="Calibri"/>
          <w:color w:val="000000" w:themeColor="text1"/>
          <w:lang w:val="en-US"/>
        </w:rPr>
        <w:t xml:space="preserve"> caused by exposure to ionizing radiation</w:t>
      </w:r>
      <w:r w:rsidRPr="0022752F">
        <w:rPr>
          <w:rFonts w:ascii="Garamond" w:hAnsi="Garamond" w:cs="Calibri"/>
          <w:color w:val="000000" w:themeColor="text1"/>
          <w:lang w:val="en-US"/>
        </w:rPr>
        <w:t xml:space="preserve">. The diseases are listed in a decree </w:t>
      </w:r>
      <w:r w:rsidR="00A35C0E">
        <w:rPr>
          <w:rFonts w:ascii="Garamond" w:hAnsi="Garamond" w:cs="Calibri"/>
          <w:color w:val="000000" w:themeColor="text1"/>
          <w:lang w:val="en-US"/>
        </w:rPr>
        <w:t>of 14 September 2014</w:t>
      </w:r>
      <w:r w:rsidRPr="0022752F">
        <w:rPr>
          <w:rFonts w:ascii="Garamond" w:hAnsi="Garamond" w:cs="Calibri"/>
          <w:color w:val="000000" w:themeColor="text1"/>
          <w:lang w:val="en-US"/>
        </w:rPr>
        <w:t>, which specifies the 23 pathologies recognized as partially radio-induced, in accordance with the studies acknowledged by the international scientific community, making individuals eligible for compensation.</w:t>
      </w:r>
    </w:p>
    <w:p w:rsidR="0022752F" w:rsidRDefault="0022752F" w:rsidP="0022752F">
      <w:pPr>
        <w:pStyle w:val="Paragraphedeliste"/>
        <w:ind w:left="1068"/>
        <w:jc w:val="both"/>
        <w:rPr>
          <w:rFonts w:ascii="Garamond" w:hAnsi="Garamond" w:cs="Calibri"/>
          <w:color w:val="000000" w:themeColor="text1"/>
          <w:lang w:val="en-US"/>
        </w:rPr>
      </w:pPr>
      <w:r w:rsidRPr="0022752F">
        <w:rPr>
          <w:rFonts w:ascii="Garamond" w:hAnsi="Garamond"/>
          <w:color w:val="000000" w:themeColor="text1"/>
          <w:lang w:val="en-US"/>
        </w:rPr>
        <w:t>Relevant pathologies: leukemias (except chronic lymphocytic leukemia, considered non-radiation-induced); myelodysplasias; breast cancer; thyroid cancer for exposure during the growth period; skin cancer except malignant melanoma; lung cancer; colon cancer; salivary gland cancer; esophageal cancer; stomach cancer; liver cancer; bladder cancer; ovarian cancer; brain and central nervous system cancer; bone and connective tissue cancer; uterine cancer; small intestine cancer; rectal cancer; kidney cancer; gallbladder cancer; biliary tract cancer; non-Hodgkin lymphomas;  myelomas; biliary tract and gallbladder cancer.</w:t>
      </w:r>
    </w:p>
    <w:p w:rsidR="0022752F" w:rsidRPr="0022752F" w:rsidRDefault="0022752F" w:rsidP="0022752F">
      <w:pPr>
        <w:pStyle w:val="Paragraphedeliste"/>
        <w:numPr>
          <w:ilvl w:val="0"/>
          <w:numId w:val="7"/>
        </w:numPr>
        <w:jc w:val="both"/>
        <w:rPr>
          <w:rFonts w:ascii="Garamond" w:hAnsi="Garamond" w:cs="Calibri"/>
          <w:color w:val="000000" w:themeColor="text1"/>
          <w:lang w:val="en-US"/>
        </w:rPr>
      </w:pPr>
      <w:r w:rsidRPr="0022752F">
        <w:rPr>
          <w:rFonts w:ascii="Garamond" w:hAnsi="Garamond" w:cs="Calibri"/>
          <w:b/>
          <w:bCs/>
          <w:color w:val="000000" w:themeColor="text1"/>
          <w:u w:val="single"/>
          <w:lang w:val="en-US"/>
        </w:rPr>
        <w:t>L</w:t>
      </w:r>
      <w:r w:rsidR="00500B51" w:rsidRPr="0022752F">
        <w:rPr>
          <w:rFonts w:ascii="Garamond" w:hAnsi="Garamond" w:cs="Calibri"/>
          <w:b/>
          <w:bCs/>
          <w:color w:val="000000" w:themeColor="text1"/>
          <w:u w:val="single"/>
          <w:lang w:val="en-US"/>
        </w:rPr>
        <w:t>ocation condition</w:t>
      </w:r>
      <w:r w:rsidR="00500B51" w:rsidRPr="0022752F">
        <w:rPr>
          <w:rFonts w:ascii="Garamond" w:hAnsi="Garamond" w:cs="Calibri"/>
          <w:color w:val="000000" w:themeColor="text1"/>
          <w:lang w:val="en-US"/>
        </w:rPr>
        <w:t xml:space="preserve"> – having been present in specific areas of the Sahara or in French Polynesia</w:t>
      </w:r>
      <w:r w:rsidRPr="0022752F">
        <w:rPr>
          <w:rFonts w:ascii="Garamond" w:hAnsi="Garamond" w:cs="Calibri"/>
          <w:color w:val="000000" w:themeColor="text1"/>
          <w:lang w:val="en-US"/>
        </w:rPr>
        <w:t>. This condition is fulfilled by presence in French Polynesia, regardless of the specific island or atoll. However, for individuals submitting a claim related to nuclear tests conducted in the Sahara, it is necessary to establish their presence at the Saharan Military Test Center or the Oasis Military Testing Center or “in the geographical areas surrounding these centers”.</w:t>
      </w:r>
    </w:p>
    <w:p w:rsidR="00500B51" w:rsidRPr="0022752F" w:rsidRDefault="0022752F" w:rsidP="0022752F">
      <w:pPr>
        <w:pStyle w:val="Paragraphedeliste"/>
        <w:numPr>
          <w:ilvl w:val="0"/>
          <w:numId w:val="7"/>
        </w:numPr>
        <w:jc w:val="both"/>
        <w:rPr>
          <w:rFonts w:ascii="Garamond" w:hAnsi="Garamond" w:cs="Calibri"/>
          <w:color w:val="000000" w:themeColor="text1"/>
          <w:lang w:val="en-US"/>
        </w:rPr>
      </w:pPr>
      <w:r w:rsidRPr="0022752F">
        <w:rPr>
          <w:rFonts w:ascii="Garamond" w:hAnsi="Garamond" w:cs="Calibri"/>
          <w:b/>
          <w:bCs/>
          <w:color w:val="000000" w:themeColor="text1"/>
          <w:u w:val="single"/>
          <w:lang w:val="en-US"/>
        </w:rPr>
        <w:t>T</w:t>
      </w:r>
      <w:r w:rsidR="00500B51" w:rsidRPr="0022752F">
        <w:rPr>
          <w:rFonts w:ascii="Garamond" w:hAnsi="Garamond" w:cs="Calibri"/>
          <w:b/>
          <w:bCs/>
          <w:color w:val="000000" w:themeColor="text1"/>
          <w:u w:val="single"/>
          <w:lang w:val="en-US"/>
        </w:rPr>
        <w:t>emporal condition</w:t>
      </w:r>
      <w:r w:rsidR="00500B51" w:rsidRPr="0022752F">
        <w:rPr>
          <w:rFonts w:ascii="Garamond" w:hAnsi="Garamond" w:cs="Calibri"/>
          <w:color w:val="000000" w:themeColor="text1"/>
          <w:lang w:val="en-US"/>
        </w:rPr>
        <w:t xml:space="preserve"> – during the periods of nuclear testing.</w:t>
      </w:r>
    </w:p>
    <w:p w:rsidR="00500B51" w:rsidRDefault="00500B51" w:rsidP="00FE7555">
      <w:pPr>
        <w:jc w:val="both"/>
        <w:rPr>
          <w:rFonts w:ascii="Garamond" w:hAnsi="Garamond" w:cs="Calibri"/>
          <w:color w:val="000000" w:themeColor="text1"/>
          <w:lang w:val="en-US"/>
        </w:rPr>
      </w:pPr>
    </w:p>
    <w:p w:rsidR="00FE7555" w:rsidRDefault="00C07130" w:rsidP="00FE7555">
      <w:pPr>
        <w:jc w:val="both"/>
        <w:rPr>
          <w:rFonts w:ascii="Garamond" w:hAnsi="Garamond"/>
          <w:color w:val="000000" w:themeColor="text1"/>
          <w:lang w:val="en-US"/>
        </w:rPr>
      </w:pPr>
      <w:r>
        <w:rPr>
          <w:rFonts w:ascii="Garamond" w:hAnsi="Garamond" w:cs="Calibri"/>
          <w:color w:val="000000" w:themeColor="text1"/>
          <w:lang w:val="en-US"/>
        </w:rPr>
        <w:t>Th</w:t>
      </w:r>
      <w:r w:rsidR="00CD6562">
        <w:rPr>
          <w:rFonts w:ascii="Garamond" w:hAnsi="Garamond"/>
          <w:color w:val="000000" w:themeColor="text1"/>
          <w:lang w:val="en-US"/>
        </w:rPr>
        <w:t xml:space="preserve">e </w:t>
      </w:r>
      <w:r>
        <w:rPr>
          <w:rFonts w:ascii="Garamond" w:hAnsi="Garamond"/>
          <w:color w:val="000000" w:themeColor="text1"/>
          <w:lang w:val="en-US"/>
        </w:rPr>
        <w:t>methodology</w:t>
      </w:r>
      <w:r w:rsidR="00650361">
        <w:rPr>
          <w:rFonts w:ascii="Garamond" w:hAnsi="Garamond"/>
          <w:color w:val="000000" w:themeColor="text1"/>
          <w:lang w:val="en-US"/>
        </w:rPr>
        <w:t xml:space="preserve"> employed relies on</w:t>
      </w:r>
      <w:r>
        <w:rPr>
          <w:rFonts w:ascii="Garamond" w:hAnsi="Garamond"/>
          <w:color w:val="000000" w:themeColor="text1"/>
          <w:lang w:val="en-US"/>
        </w:rPr>
        <w:t xml:space="preserve"> </w:t>
      </w:r>
      <w:r w:rsidR="00650361">
        <w:rPr>
          <w:rFonts w:ascii="Garamond" w:hAnsi="Garamond"/>
          <w:color w:val="000000" w:themeColor="text1"/>
          <w:lang w:val="en-US"/>
        </w:rPr>
        <w:t>establishing a</w:t>
      </w:r>
      <w:r>
        <w:rPr>
          <w:rFonts w:ascii="Garamond" w:hAnsi="Garamond"/>
          <w:color w:val="000000" w:themeColor="text1"/>
          <w:lang w:val="en-US"/>
        </w:rPr>
        <w:t xml:space="preserve"> </w:t>
      </w:r>
      <w:r w:rsidRPr="0087348A">
        <w:rPr>
          <w:rFonts w:ascii="Garamond" w:hAnsi="Garamond"/>
          <w:b/>
          <w:bCs/>
          <w:color w:val="000000" w:themeColor="text1"/>
          <w:lang w:val="en-US"/>
        </w:rPr>
        <w:t>causal link</w:t>
      </w:r>
      <w:r>
        <w:rPr>
          <w:rFonts w:ascii="Garamond" w:hAnsi="Garamond"/>
          <w:color w:val="000000" w:themeColor="text1"/>
          <w:lang w:val="en-US"/>
        </w:rPr>
        <w:t xml:space="preserve"> between exposure to ionic radiation and the</w:t>
      </w:r>
      <w:r w:rsidR="00650361">
        <w:rPr>
          <w:rFonts w:ascii="Garamond" w:hAnsi="Garamond"/>
          <w:color w:val="000000" w:themeColor="text1"/>
          <w:lang w:val="en-US"/>
        </w:rPr>
        <w:t xml:space="preserve"> development of radio-induced</w:t>
      </w:r>
      <w:r>
        <w:rPr>
          <w:rFonts w:ascii="Garamond" w:hAnsi="Garamond"/>
          <w:color w:val="000000" w:themeColor="text1"/>
          <w:lang w:val="en-US"/>
        </w:rPr>
        <w:t xml:space="preserve"> diseases.</w:t>
      </w:r>
      <w:r w:rsidR="00E16107">
        <w:rPr>
          <w:rFonts w:ascii="Garamond" w:hAnsi="Garamond"/>
          <w:color w:val="000000" w:themeColor="text1"/>
          <w:lang w:val="en-US"/>
        </w:rPr>
        <w:t xml:space="preserve"> Once the causal link is established</w:t>
      </w:r>
      <w:r w:rsidR="00650361">
        <w:rPr>
          <w:rFonts w:ascii="Garamond" w:hAnsi="Garamond"/>
          <w:color w:val="000000" w:themeColor="text1"/>
          <w:lang w:val="en-US"/>
        </w:rPr>
        <w:t>,</w:t>
      </w:r>
      <w:r w:rsidR="00E16107">
        <w:rPr>
          <w:rFonts w:ascii="Garamond" w:hAnsi="Garamond"/>
          <w:color w:val="000000" w:themeColor="text1"/>
          <w:lang w:val="en-US"/>
        </w:rPr>
        <w:t xml:space="preserve"> </w:t>
      </w:r>
      <w:r w:rsidR="00650361">
        <w:rPr>
          <w:rFonts w:ascii="Garamond" w:hAnsi="Garamond"/>
          <w:color w:val="000000" w:themeColor="text1"/>
          <w:lang w:val="en-US"/>
        </w:rPr>
        <w:t xml:space="preserve">there is a </w:t>
      </w:r>
      <w:r w:rsidR="00650361" w:rsidRPr="00D2261B">
        <w:rPr>
          <w:rFonts w:ascii="Garamond" w:hAnsi="Garamond"/>
          <w:b/>
          <w:bCs/>
          <w:color w:val="000000" w:themeColor="text1"/>
          <w:lang w:val="en-US"/>
        </w:rPr>
        <w:t>presumption of responsibility</w:t>
      </w:r>
      <w:r w:rsidR="00650361">
        <w:rPr>
          <w:rFonts w:ascii="Garamond" w:hAnsi="Garamond"/>
          <w:color w:val="000000" w:themeColor="text1"/>
          <w:lang w:val="en-US"/>
        </w:rPr>
        <w:t xml:space="preserve"> on the part of French authorities</w:t>
      </w:r>
      <w:r w:rsidR="00D4683D">
        <w:rPr>
          <w:rFonts w:ascii="Garamond" w:hAnsi="Garamond"/>
          <w:color w:val="000000" w:themeColor="text1"/>
          <w:lang w:val="en-US"/>
        </w:rPr>
        <w:t xml:space="preserve"> and the claim is considered to be admissible</w:t>
      </w:r>
      <w:r w:rsidR="00650361">
        <w:rPr>
          <w:rFonts w:ascii="Garamond" w:hAnsi="Garamond"/>
          <w:color w:val="000000" w:themeColor="text1"/>
          <w:lang w:val="en-US"/>
        </w:rPr>
        <w:t xml:space="preserve">. This presumption could be lifted if </w:t>
      </w:r>
      <w:r w:rsidR="00EB049B">
        <w:rPr>
          <w:rFonts w:ascii="Garamond" w:hAnsi="Garamond"/>
          <w:color w:val="000000" w:themeColor="text1"/>
          <w:lang w:val="en-US"/>
        </w:rPr>
        <w:t>the Committee</w:t>
      </w:r>
      <w:r w:rsidR="00FE7555">
        <w:rPr>
          <w:rFonts w:ascii="Garamond" w:hAnsi="Garamond"/>
          <w:color w:val="000000" w:themeColor="text1"/>
          <w:lang w:val="en-US"/>
        </w:rPr>
        <w:t xml:space="preserve"> determine that </w:t>
      </w:r>
      <w:r w:rsidR="00FE7555" w:rsidRPr="00B16755">
        <w:rPr>
          <w:rFonts w:ascii="Garamond" w:hAnsi="Garamond"/>
          <w:color w:val="000000" w:themeColor="text1"/>
          <w:lang w:val="en-US"/>
        </w:rPr>
        <w:t xml:space="preserve">the </w:t>
      </w:r>
      <w:r w:rsidR="00FE7555">
        <w:rPr>
          <w:rFonts w:ascii="Garamond" w:hAnsi="Garamond"/>
          <w:color w:val="000000" w:themeColor="text1"/>
          <w:lang w:val="en-US"/>
        </w:rPr>
        <w:t xml:space="preserve">individual’s </w:t>
      </w:r>
      <w:r w:rsidR="00FE7555" w:rsidRPr="00B16755">
        <w:rPr>
          <w:rFonts w:ascii="Garamond" w:hAnsi="Garamond"/>
          <w:color w:val="000000" w:themeColor="text1"/>
          <w:lang w:val="en-US"/>
        </w:rPr>
        <w:t>annual</w:t>
      </w:r>
      <w:r w:rsidR="00FE7555">
        <w:rPr>
          <w:rFonts w:ascii="Garamond" w:hAnsi="Garamond"/>
          <w:color w:val="000000" w:themeColor="text1"/>
          <w:lang w:val="en-US"/>
        </w:rPr>
        <w:t xml:space="preserve"> d</w:t>
      </w:r>
      <w:r w:rsidR="00FE7555" w:rsidRPr="00B16755">
        <w:rPr>
          <w:rFonts w:ascii="Garamond" w:hAnsi="Garamond"/>
          <w:color w:val="000000" w:themeColor="text1"/>
          <w:lang w:val="en-US"/>
        </w:rPr>
        <w:t>ose of ionizing radiation from French nuclear tests was lower than the effective dose limit for population exposure to ionizing radiation</w:t>
      </w:r>
      <w:r w:rsidR="00FE7555">
        <w:rPr>
          <w:rFonts w:ascii="Garamond" w:hAnsi="Garamond"/>
          <w:color w:val="000000" w:themeColor="text1"/>
          <w:lang w:val="en-US"/>
        </w:rPr>
        <w:t>, which is</w:t>
      </w:r>
      <w:r w:rsidR="00FE7555" w:rsidRPr="00B16755">
        <w:rPr>
          <w:rFonts w:ascii="Garamond" w:hAnsi="Garamond"/>
          <w:color w:val="000000" w:themeColor="text1"/>
          <w:lang w:val="en-US"/>
        </w:rPr>
        <w:t xml:space="preserve"> set under </w:t>
      </w:r>
      <w:r w:rsidR="00FE7555">
        <w:rPr>
          <w:rFonts w:ascii="Garamond" w:hAnsi="Garamond"/>
          <w:color w:val="000000" w:themeColor="text1"/>
          <w:lang w:val="en-US"/>
        </w:rPr>
        <w:t>1 millisievert per year</w:t>
      </w:r>
      <w:r w:rsidR="00F70C90">
        <w:rPr>
          <w:rStyle w:val="Appelnotedebasdep"/>
          <w:rFonts w:ascii="Garamond" w:hAnsi="Garamond"/>
          <w:color w:val="000000" w:themeColor="text1"/>
          <w:lang w:val="en-US"/>
        </w:rPr>
        <w:footnoteReference w:id="5"/>
      </w:r>
      <w:r w:rsidR="00FE7555">
        <w:rPr>
          <w:rFonts w:ascii="Garamond" w:hAnsi="Garamond"/>
          <w:color w:val="000000" w:themeColor="text1"/>
          <w:lang w:val="en-US"/>
        </w:rPr>
        <w:t xml:space="preserve"> (as</w:t>
      </w:r>
      <w:r w:rsidR="00FE7555" w:rsidRPr="00B16755">
        <w:rPr>
          <w:rFonts w:ascii="Garamond" w:hAnsi="Garamond"/>
          <w:color w:val="000000" w:themeColor="text1"/>
          <w:lang w:val="en-US"/>
        </w:rPr>
        <w:t xml:space="preserve"> provided Article L. 1333-2 of the Public Health Code</w:t>
      </w:r>
      <w:r w:rsidR="00FE7555">
        <w:rPr>
          <w:rFonts w:ascii="Garamond" w:hAnsi="Garamond"/>
          <w:color w:val="000000" w:themeColor="text1"/>
          <w:lang w:val="en-US"/>
        </w:rPr>
        <w:t>).</w:t>
      </w:r>
      <w:r w:rsidR="00EB049B">
        <w:rPr>
          <w:rFonts w:ascii="Garamond" w:hAnsi="Garamond"/>
          <w:color w:val="000000" w:themeColor="text1"/>
          <w:lang w:val="en-US"/>
        </w:rPr>
        <w:t xml:space="preserve"> </w:t>
      </w:r>
    </w:p>
    <w:p w:rsidR="008F3B7C" w:rsidRDefault="008F3B7C" w:rsidP="00CD6562">
      <w:pPr>
        <w:jc w:val="both"/>
        <w:rPr>
          <w:rFonts w:ascii="Garamond" w:hAnsi="Garamond"/>
          <w:color w:val="000000" w:themeColor="text1"/>
          <w:lang w:val="en-US"/>
        </w:rPr>
      </w:pPr>
    </w:p>
    <w:p w:rsidR="008F3B7C" w:rsidRPr="00473CA2" w:rsidRDefault="008F3B7C" w:rsidP="00CD6562">
      <w:pPr>
        <w:jc w:val="both"/>
        <w:rPr>
          <w:rFonts w:ascii="Garamond" w:hAnsi="Garamond"/>
          <w:b/>
          <w:bCs/>
          <w:color w:val="000000" w:themeColor="text1"/>
          <w:u w:val="single"/>
          <w:lang w:val="en-US"/>
        </w:rPr>
      </w:pPr>
      <w:r>
        <w:rPr>
          <w:rFonts w:ascii="Garamond" w:hAnsi="Garamond"/>
          <w:color w:val="000000" w:themeColor="text1"/>
          <w:lang w:val="en-US"/>
        </w:rPr>
        <w:t>Composed of experts</w:t>
      </w:r>
      <w:r w:rsidR="00EB049B">
        <w:rPr>
          <w:rFonts w:ascii="Garamond" w:hAnsi="Garamond"/>
          <w:color w:val="000000" w:themeColor="text1"/>
          <w:lang w:val="en-US"/>
        </w:rPr>
        <w:t>, the Committee</w:t>
      </w:r>
      <w:r>
        <w:rPr>
          <w:rFonts w:ascii="Garamond" w:hAnsi="Garamond"/>
          <w:color w:val="000000" w:themeColor="text1"/>
          <w:lang w:val="en-US"/>
        </w:rPr>
        <w:t xml:space="preserve"> appl</w:t>
      </w:r>
      <w:r w:rsidR="00EB049B">
        <w:rPr>
          <w:rFonts w:ascii="Garamond" w:hAnsi="Garamond"/>
          <w:color w:val="000000" w:themeColor="text1"/>
          <w:lang w:val="en-US"/>
        </w:rPr>
        <w:t>ies</w:t>
      </w:r>
      <w:r>
        <w:rPr>
          <w:rFonts w:ascii="Garamond" w:hAnsi="Garamond"/>
          <w:color w:val="000000" w:themeColor="text1"/>
          <w:lang w:val="en-US"/>
        </w:rPr>
        <w:t xml:space="preserve"> the s</w:t>
      </w:r>
      <w:r>
        <w:rPr>
          <w:rFonts w:ascii="Garamond" w:hAnsi="Garamond" w:cs="Calibri"/>
          <w:color w:val="000000" w:themeColor="text1"/>
          <w:lang w:val="en-US"/>
        </w:rPr>
        <w:t>cientific approach in determining victim status</w:t>
      </w:r>
      <w:r w:rsidR="00EB049B">
        <w:rPr>
          <w:rFonts w:ascii="Garamond" w:hAnsi="Garamond" w:cs="Calibri"/>
          <w:color w:val="000000" w:themeColor="text1"/>
          <w:lang w:val="en-US"/>
        </w:rPr>
        <w:t xml:space="preserve">. </w:t>
      </w:r>
      <w:r>
        <w:rPr>
          <w:rFonts w:ascii="Garamond" w:hAnsi="Garamond" w:cs="Calibri"/>
          <w:color w:val="000000" w:themeColor="text1"/>
          <w:lang w:val="en-US"/>
        </w:rPr>
        <w:t xml:space="preserve">The Committee is in charge of investigating and gathering information not presented in the applicant’s claim </w:t>
      </w:r>
      <w:r w:rsidR="001E1957">
        <w:rPr>
          <w:rFonts w:ascii="Garamond" w:hAnsi="Garamond" w:cs="Calibri"/>
          <w:color w:val="000000" w:themeColor="text1"/>
          <w:lang w:val="en-US"/>
        </w:rPr>
        <w:t>(</w:t>
      </w:r>
      <w:r>
        <w:rPr>
          <w:rFonts w:ascii="Garamond" w:hAnsi="Garamond" w:cs="Calibri"/>
          <w:color w:val="000000" w:themeColor="text1"/>
          <w:lang w:val="en-US"/>
        </w:rPr>
        <w:t>work conditions, assignments and etc</w:t>
      </w:r>
      <w:r w:rsidR="00500B51">
        <w:rPr>
          <w:rFonts w:ascii="Garamond" w:hAnsi="Garamond" w:cs="Calibri"/>
          <w:color w:val="000000" w:themeColor="text1"/>
          <w:lang w:val="en-US"/>
        </w:rPr>
        <w:t>.</w:t>
      </w:r>
      <w:r w:rsidR="001E1957">
        <w:rPr>
          <w:rFonts w:ascii="Garamond" w:hAnsi="Garamond" w:cs="Calibri"/>
          <w:color w:val="000000" w:themeColor="text1"/>
          <w:lang w:val="en-US"/>
        </w:rPr>
        <w:t>), hearing the victim’s testimonials.</w:t>
      </w:r>
    </w:p>
    <w:p w:rsidR="001E1957" w:rsidRDefault="001E1957" w:rsidP="00CD6562">
      <w:pPr>
        <w:jc w:val="both"/>
        <w:rPr>
          <w:rFonts w:ascii="Garamond" w:hAnsi="Garamond" w:cs="Calibri"/>
          <w:color w:val="000000" w:themeColor="text1"/>
          <w:lang w:val="en-US"/>
        </w:rPr>
      </w:pPr>
    </w:p>
    <w:p w:rsidR="001E1957" w:rsidRDefault="001E1957" w:rsidP="00CD6562">
      <w:pPr>
        <w:jc w:val="both"/>
        <w:rPr>
          <w:rFonts w:ascii="Garamond" w:hAnsi="Garamond" w:cs="Calibri"/>
          <w:color w:val="000000" w:themeColor="text1"/>
          <w:lang w:val="en-US"/>
        </w:rPr>
      </w:pPr>
      <w:r>
        <w:rPr>
          <w:rFonts w:ascii="Garamond" w:hAnsi="Garamond" w:cs="Calibri"/>
          <w:color w:val="000000" w:themeColor="text1"/>
          <w:lang w:val="en-US"/>
        </w:rPr>
        <w:t xml:space="preserve">The methodology </w:t>
      </w:r>
      <w:r w:rsidR="004F05C8">
        <w:rPr>
          <w:rFonts w:ascii="Garamond" w:hAnsi="Garamond" w:cs="Calibri"/>
          <w:color w:val="000000" w:themeColor="text1"/>
          <w:lang w:val="en-US"/>
        </w:rPr>
        <w:t>followed by</w:t>
      </w:r>
      <w:r>
        <w:rPr>
          <w:rFonts w:ascii="Garamond" w:hAnsi="Garamond" w:cs="Calibri"/>
          <w:color w:val="000000" w:themeColor="text1"/>
          <w:lang w:val="en-US"/>
        </w:rPr>
        <w:t xml:space="preserve"> the Committee applies two principles: </w:t>
      </w:r>
      <w:r w:rsidR="004F05C8">
        <w:rPr>
          <w:rFonts w:ascii="Garamond" w:hAnsi="Garamond" w:cs="Calibri"/>
          <w:color w:val="000000" w:themeColor="text1"/>
          <w:lang w:val="en-US"/>
        </w:rPr>
        <w:t xml:space="preserve">the </w:t>
      </w:r>
      <w:r w:rsidRPr="003A4E89">
        <w:rPr>
          <w:rFonts w:ascii="Garamond" w:hAnsi="Garamond" w:cs="Calibri"/>
          <w:b/>
          <w:bCs/>
          <w:color w:val="000000" w:themeColor="text1"/>
          <w:lang w:val="en-US"/>
        </w:rPr>
        <w:t>principle of humanity</w:t>
      </w:r>
      <w:r>
        <w:rPr>
          <w:rFonts w:ascii="Garamond" w:hAnsi="Garamond" w:cs="Calibri"/>
          <w:color w:val="000000" w:themeColor="text1"/>
          <w:lang w:val="en-US"/>
        </w:rPr>
        <w:t xml:space="preserve"> et </w:t>
      </w:r>
      <w:r w:rsidR="004F05C8">
        <w:rPr>
          <w:rFonts w:ascii="Garamond" w:hAnsi="Garamond" w:cs="Calibri"/>
          <w:color w:val="000000" w:themeColor="text1"/>
          <w:lang w:val="en-US"/>
        </w:rPr>
        <w:t xml:space="preserve">the </w:t>
      </w:r>
      <w:r w:rsidRPr="003A4E89">
        <w:rPr>
          <w:rFonts w:ascii="Garamond" w:hAnsi="Garamond" w:cs="Calibri"/>
          <w:b/>
          <w:bCs/>
          <w:color w:val="000000" w:themeColor="text1"/>
          <w:lang w:val="en-US"/>
        </w:rPr>
        <w:t>principle of equity</w:t>
      </w:r>
      <w:r w:rsidR="004F05C8">
        <w:rPr>
          <w:rStyle w:val="Appelnotedebasdep"/>
          <w:rFonts w:ascii="Garamond" w:hAnsi="Garamond" w:cs="Calibri"/>
          <w:color w:val="000000" w:themeColor="text1"/>
          <w:lang w:val="en-US"/>
        </w:rPr>
        <w:footnoteReference w:id="6"/>
      </w:r>
      <w:r>
        <w:rPr>
          <w:rFonts w:ascii="Garamond" w:hAnsi="Garamond" w:cs="Calibri"/>
          <w:color w:val="000000" w:themeColor="text1"/>
          <w:lang w:val="en-US"/>
        </w:rPr>
        <w:t>.</w:t>
      </w:r>
      <w:r w:rsidR="00B52750">
        <w:rPr>
          <w:rFonts w:ascii="Garamond" w:hAnsi="Garamond" w:cs="Calibri"/>
          <w:color w:val="000000" w:themeColor="text1"/>
          <w:lang w:val="en-US"/>
        </w:rPr>
        <w:t xml:space="preserve"> The principle of humanity </w:t>
      </w:r>
      <w:r w:rsidR="004F05C8">
        <w:rPr>
          <w:rFonts w:ascii="Garamond" w:hAnsi="Garamond" w:cs="Calibri"/>
          <w:color w:val="000000" w:themeColor="text1"/>
          <w:lang w:val="en-US"/>
        </w:rPr>
        <w:t>entails</w:t>
      </w:r>
      <w:r w:rsidR="00B52750">
        <w:rPr>
          <w:rFonts w:ascii="Garamond" w:hAnsi="Garamond" w:cs="Calibri"/>
          <w:color w:val="000000" w:themeColor="text1"/>
          <w:lang w:val="en-US"/>
        </w:rPr>
        <w:t xml:space="preserve"> listen</w:t>
      </w:r>
      <w:r w:rsidR="004F05C8">
        <w:rPr>
          <w:rFonts w:ascii="Garamond" w:hAnsi="Garamond" w:cs="Calibri"/>
          <w:color w:val="000000" w:themeColor="text1"/>
          <w:lang w:val="en-US"/>
        </w:rPr>
        <w:t>ing to</w:t>
      </w:r>
      <w:r w:rsidR="00B52750">
        <w:rPr>
          <w:rFonts w:ascii="Garamond" w:hAnsi="Garamond" w:cs="Calibri"/>
          <w:color w:val="000000" w:themeColor="text1"/>
          <w:lang w:val="en-US"/>
        </w:rPr>
        <w:t xml:space="preserve"> the presumed victims or their heirs and recogniz</w:t>
      </w:r>
      <w:r w:rsidR="004F05C8">
        <w:rPr>
          <w:rFonts w:ascii="Garamond" w:hAnsi="Garamond" w:cs="Calibri"/>
          <w:color w:val="000000" w:themeColor="text1"/>
          <w:lang w:val="en-US"/>
        </w:rPr>
        <w:t>ing</w:t>
      </w:r>
      <w:r w:rsidR="00B52750">
        <w:rPr>
          <w:rFonts w:ascii="Garamond" w:hAnsi="Garamond" w:cs="Calibri"/>
          <w:color w:val="000000" w:themeColor="text1"/>
          <w:lang w:val="en-US"/>
        </w:rPr>
        <w:t xml:space="preserve"> the</w:t>
      </w:r>
      <w:r w:rsidR="004F05C8">
        <w:rPr>
          <w:rFonts w:ascii="Garamond" w:hAnsi="Garamond" w:cs="Calibri"/>
          <w:color w:val="000000" w:themeColor="text1"/>
          <w:lang w:val="en-US"/>
        </w:rPr>
        <w:t>ir</w:t>
      </w:r>
      <w:r w:rsidR="00B52750">
        <w:rPr>
          <w:rFonts w:ascii="Garamond" w:hAnsi="Garamond" w:cs="Calibri"/>
          <w:color w:val="000000" w:themeColor="text1"/>
          <w:lang w:val="en-US"/>
        </w:rPr>
        <w:t xml:space="preserve"> profound suffering</w:t>
      </w:r>
      <w:r w:rsidR="004F05C8">
        <w:rPr>
          <w:rFonts w:ascii="Garamond" w:hAnsi="Garamond" w:cs="Calibri"/>
          <w:color w:val="000000" w:themeColor="text1"/>
          <w:lang w:val="en-US"/>
        </w:rPr>
        <w:t xml:space="preserve"> caused by diseases resulting from radiation exposure. The principle of equity ensures that applicants are guaranteed that decisions concerning them will be made based on equal rules for all, following a comprehensive review of their claims. </w:t>
      </w:r>
    </w:p>
    <w:p w:rsidR="00D4683D" w:rsidRDefault="00D4683D" w:rsidP="00CD6562">
      <w:pPr>
        <w:jc w:val="both"/>
        <w:rPr>
          <w:rFonts w:ascii="Garamond" w:hAnsi="Garamond" w:cs="Calibri"/>
          <w:color w:val="000000" w:themeColor="text1"/>
          <w:lang w:val="en-US"/>
        </w:rPr>
      </w:pPr>
    </w:p>
    <w:p w:rsidR="00D4683D" w:rsidRPr="001E1957" w:rsidRDefault="00D4683D" w:rsidP="00D4683D">
      <w:pPr>
        <w:jc w:val="both"/>
        <w:rPr>
          <w:rFonts w:ascii="Garamond" w:hAnsi="Garamond" w:cs="Calibri"/>
          <w:color w:val="000000" w:themeColor="text1"/>
          <w:lang w:val="en-US"/>
        </w:rPr>
      </w:pPr>
      <w:r>
        <w:rPr>
          <w:rFonts w:ascii="Garamond" w:hAnsi="Garamond" w:cs="Calibri"/>
          <w:color w:val="000000" w:themeColor="text1"/>
          <w:lang w:val="en-US"/>
        </w:rPr>
        <w:t>The Committee</w:t>
      </w:r>
      <w:r w:rsidR="00342B79">
        <w:rPr>
          <w:rFonts w:ascii="Garamond" w:hAnsi="Garamond" w:cs="Calibri"/>
          <w:color w:val="000000" w:themeColor="text1"/>
          <w:lang w:val="en-US"/>
        </w:rPr>
        <w:t>’s methodology</w:t>
      </w:r>
      <w:r>
        <w:rPr>
          <w:rFonts w:ascii="Garamond" w:hAnsi="Garamond" w:cs="Calibri"/>
          <w:color w:val="000000" w:themeColor="text1"/>
          <w:lang w:val="en-US"/>
        </w:rPr>
        <w:t xml:space="preserve"> </w:t>
      </w:r>
      <w:r w:rsidR="00342B79">
        <w:rPr>
          <w:rFonts w:ascii="Garamond" w:hAnsi="Garamond" w:cs="Calibri"/>
          <w:color w:val="000000" w:themeColor="text1"/>
          <w:lang w:val="en-US"/>
        </w:rPr>
        <w:t>categorizes</w:t>
      </w:r>
      <w:r>
        <w:rPr>
          <w:rFonts w:ascii="Garamond" w:hAnsi="Garamond" w:cs="Calibri"/>
          <w:color w:val="000000" w:themeColor="text1"/>
          <w:lang w:val="en-US"/>
        </w:rPr>
        <w:t xml:space="preserve"> individuals affected by nuclear testing</w:t>
      </w:r>
      <w:r w:rsidR="00342B79">
        <w:rPr>
          <w:rFonts w:ascii="Garamond" w:hAnsi="Garamond" w:cs="Calibri"/>
          <w:color w:val="000000" w:themeColor="text1"/>
          <w:lang w:val="en-US"/>
        </w:rPr>
        <w:t xml:space="preserve"> into distinct groups</w:t>
      </w:r>
      <w:r>
        <w:rPr>
          <w:rFonts w:ascii="Garamond" w:hAnsi="Garamond" w:cs="Calibri"/>
          <w:color w:val="000000" w:themeColor="text1"/>
          <w:lang w:val="en-US"/>
        </w:rPr>
        <w:t xml:space="preserve">: </w:t>
      </w:r>
      <w:r w:rsidR="00342B79">
        <w:rPr>
          <w:rFonts w:ascii="Garamond" w:hAnsi="Garamond" w:cs="Calibri"/>
          <w:color w:val="000000" w:themeColor="text1"/>
          <w:lang w:val="en-US"/>
        </w:rPr>
        <w:t xml:space="preserve">those who </w:t>
      </w:r>
      <w:r>
        <w:rPr>
          <w:rFonts w:ascii="Garamond" w:hAnsi="Garamond" w:cs="Calibri"/>
          <w:color w:val="000000" w:themeColor="text1"/>
          <w:lang w:val="en-US"/>
        </w:rPr>
        <w:t>work</w:t>
      </w:r>
      <w:r w:rsidR="00342B79">
        <w:rPr>
          <w:rFonts w:ascii="Garamond" w:hAnsi="Garamond" w:cs="Calibri"/>
          <w:color w:val="000000" w:themeColor="text1"/>
          <w:lang w:val="en-US"/>
        </w:rPr>
        <w:t>ed</w:t>
      </w:r>
      <w:r>
        <w:rPr>
          <w:rFonts w:ascii="Garamond" w:hAnsi="Garamond" w:cs="Calibri"/>
          <w:color w:val="000000" w:themeColor="text1"/>
          <w:lang w:val="en-US"/>
        </w:rPr>
        <w:t xml:space="preserve"> in the testing zones of the Center </w:t>
      </w:r>
      <w:r w:rsidR="002144EA">
        <w:rPr>
          <w:rFonts w:ascii="Garamond" w:hAnsi="Garamond" w:cs="Calibri"/>
          <w:color w:val="000000" w:themeColor="text1"/>
          <w:lang w:val="en-US"/>
        </w:rPr>
        <w:t>for</w:t>
      </w:r>
      <w:r>
        <w:rPr>
          <w:rFonts w:ascii="Garamond" w:hAnsi="Garamond" w:cs="Calibri"/>
          <w:color w:val="000000" w:themeColor="text1"/>
          <w:lang w:val="en-US"/>
        </w:rPr>
        <w:t xml:space="preserve"> Pacific </w:t>
      </w:r>
      <w:r w:rsidR="002144EA">
        <w:rPr>
          <w:rFonts w:ascii="Garamond" w:hAnsi="Garamond" w:cs="Calibri"/>
          <w:color w:val="000000" w:themeColor="text1"/>
          <w:lang w:val="en-US"/>
        </w:rPr>
        <w:t>Tests</w:t>
      </w:r>
      <w:r>
        <w:rPr>
          <w:rFonts w:ascii="Garamond" w:hAnsi="Garamond" w:cs="Calibri"/>
          <w:color w:val="000000" w:themeColor="text1"/>
          <w:lang w:val="en-US"/>
        </w:rPr>
        <w:t xml:space="preserve"> in French Polynesia;</w:t>
      </w:r>
      <w:r w:rsidR="002144EA">
        <w:rPr>
          <w:rFonts w:ascii="Garamond" w:hAnsi="Garamond" w:cs="Calibri"/>
          <w:color w:val="000000" w:themeColor="text1"/>
          <w:lang w:val="en-US"/>
        </w:rPr>
        <w:t xml:space="preserve"> </w:t>
      </w:r>
      <w:r w:rsidR="00342B79">
        <w:rPr>
          <w:rFonts w:ascii="Garamond" w:hAnsi="Garamond" w:cs="Calibri"/>
          <w:color w:val="000000" w:themeColor="text1"/>
          <w:lang w:val="en-US"/>
        </w:rPr>
        <w:t>those</w:t>
      </w:r>
      <w:r w:rsidR="002144EA">
        <w:rPr>
          <w:rFonts w:ascii="Garamond" w:hAnsi="Garamond" w:cs="Calibri"/>
          <w:color w:val="000000" w:themeColor="text1"/>
          <w:lang w:val="en-US"/>
        </w:rPr>
        <w:t xml:space="preserve"> present in the Sahara in the zones </w:t>
      </w:r>
      <w:r w:rsidR="00342B79">
        <w:rPr>
          <w:rFonts w:ascii="Garamond" w:hAnsi="Garamond" w:cs="Calibri"/>
          <w:color w:val="000000" w:themeColor="text1"/>
          <w:lang w:val="en-US"/>
        </w:rPr>
        <w:t>specifie</w:t>
      </w:r>
      <w:r w:rsidR="002144EA">
        <w:rPr>
          <w:rFonts w:ascii="Garamond" w:hAnsi="Garamond" w:cs="Calibri"/>
          <w:color w:val="000000" w:themeColor="text1"/>
          <w:lang w:val="en-US"/>
        </w:rPr>
        <w:t xml:space="preserve">d by the decree of 15 September 2014; </w:t>
      </w:r>
      <w:r w:rsidR="00342B79">
        <w:rPr>
          <w:rFonts w:ascii="Garamond" w:hAnsi="Garamond" w:cs="Calibri"/>
          <w:color w:val="000000" w:themeColor="text1"/>
          <w:lang w:val="en-US"/>
        </w:rPr>
        <w:t xml:space="preserve">and those </w:t>
      </w:r>
      <w:r w:rsidR="002144EA">
        <w:rPr>
          <w:rFonts w:ascii="Garamond" w:hAnsi="Garamond" w:cs="Calibri"/>
          <w:color w:val="000000" w:themeColor="text1"/>
          <w:lang w:val="en-US"/>
        </w:rPr>
        <w:t xml:space="preserve">present in French Polynesia </w:t>
      </w:r>
      <w:r w:rsidR="00342B79">
        <w:rPr>
          <w:rFonts w:ascii="Garamond" w:hAnsi="Garamond" w:cs="Calibri"/>
          <w:color w:val="000000" w:themeColor="text1"/>
          <w:lang w:val="en-US"/>
        </w:rPr>
        <w:t xml:space="preserve">but </w:t>
      </w:r>
      <w:r w:rsidR="002144EA">
        <w:rPr>
          <w:rFonts w:ascii="Garamond" w:hAnsi="Garamond" w:cs="Calibri"/>
          <w:color w:val="000000" w:themeColor="text1"/>
          <w:lang w:val="en-US"/>
        </w:rPr>
        <w:t>outside the Center for Pacific Tests.</w:t>
      </w:r>
      <w:r w:rsidR="00342B79">
        <w:rPr>
          <w:rFonts w:ascii="Garamond" w:hAnsi="Garamond" w:cs="Calibri"/>
          <w:color w:val="000000" w:themeColor="text1"/>
          <w:lang w:val="en-US"/>
        </w:rPr>
        <w:t xml:space="preserve"> </w:t>
      </w:r>
      <w:r w:rsidR="002F2ABD">
        <w:rPr>
          <w:rFonts w:ascii="Garamond" w:hAnsi="Garamond" w:cs="Calibri"/>
          <w:color w:val="000000" w:themeColor="text1"/>
          <w:lang w:val="en-US"/>
        </w:rPr>
        <w:t xml:space="preserve">In regard to </w:t>
      </w:r>
      <w:r w:rsidR="00342B79">
        <w:rPr>
          <w:rFonts w:ascii="Garamond" w:hAnsi="Garamond" w:cs="Calibri"/>
          <w:color w:val="000000" w:themeColor="text1"/>
          <w:lang w:val="en-US"/>
        </w:rPr>
        <w:t>the latter group, the effects of radioactive fallout from atmospheric nuclear tests are evaluated using the</w:t>
      </w:r>
      <w:r w:rsidR="002F2ABD">
        <w:rPr>
          <w:rFonts w:ascii="Garamond" w:hAnsi="Garamond" w:cs="Calibri"/>
          <w:color w:val="000000" w:themeColor="text1"/>
          <w:lang w:val="en-US"/>
        </w:rPr>
        <w:t xml:space="preserve"> concept of the</w:t>
      </w:r>
      <w:r w:rsidR="00342B79">
        <w:rPr>
          <w:rFonts w:ascii="Garamond" w:hAnsi="Garamond" w:cs="Calibri"/>
          <w:color w:val="000000" w:themeColor="text1"/>
          <w:lang w:val="en-US"/>
        </w:rPr>
        <w:t xml:space="preserve"> committed effective dose, which considers both external exposure and internal contamination. This assessment is conducted using methods adopted by various international bodies </w:t>
      </w:r>
      <w:r w:rsidR="00836A7B">
        <w:rPr>
          <w:rFonts w:ascii="Garamond" w:hAnsi="Garamond" w:cs="Calibri"/>
          <w:color w:val="000000" w:themeColor="text1"/>
          <w:lang w:val="en-US"/>
        </w:rPr>
        <w:t xml:space="preserve">such as </w:t>
      </w:r>
      <w:r w:rsidR="00342B79">
        <w:rPr>
          <w:rFonts w:ascii="Garamond" w:hAnsi="Garamond" w:cs="Calibri"/>
          <w:color w:val="000000" w:themeColor="text1"/>
          <w:lang w:val="en-US"/>
        </w:rPr>
        <w:t>IAEA, ICPR, WHO, EURATOM</w:t>
      </w:r>
      <w:r w:rsidR="00836A7B">
        <w:rPr>
          <w:rFonts w:ascii="Garamond" w:hAnsi="Garamond" w:cs="Calibri"/>
          <w:color w:val="000000" w:themeColor="text1"/>
          <w:lang w:val="en-US"/>
        </w:rPr>
        <w:t>.</w:t>
      </w:r>
    </w:p>
    <w:p w:rsidR="008F74F6" w:rsidRDefault="008F74F6" w:rsidP="00237096">
      <w:pPr>
        <w:jc w:val="both"/>
        <w:rPr>
          <w:rFonts w:ascii="Garamond" w:hAnsi="Garamond"/>
          <w:color w:val="000000" w:themeColor="text1"/>
          <w:lang w:val="en-US"/>
        </w:rPr>
      </w:pPr>
    </w:p>
    <w:p w:rsidR="008F74F6" w:rsidRDefault="008F74F6" w:rsidP="008F74F6">
      <w:pPr>
        <w:jc w:val="both"/>
        <w:rPr>
          <w:rFonts w:ascii="Garamond" w:hAnsi="Garamond"/>
          <w:color w:val="000000" w:themeColor="text1"/>
          <w:lang w:val="en-US"/>
        </w:rPr>
      </w:pPr>
    </w:p>
    <w:p w:rsidR="008F74F6" w:rsidRPr="00C2595F" w:rsidRDefault="008F74F6" w:rsidP="00C2595F">
      <w:pPr>
        <w:pStyle w:val="Paragraphedeliste"/>
        <w:numPr>
          <w:ilvl w:val="0"/>
          <w:numId w:val="4"/>
        </w:numPr>
        <w:jc w:val="both"/>
        <w:rPr>
          <w:rFonts w:ascii="Garamond" w:hAnsi="Garamond"/>
          <w:b/>
          <w:bCs/>
          <w:color w:val="000000" w:themeColor="text1"/>
          <w:lang w:val="en-US"/>
        </w:rPr>
      </w:pPr>
      <w:r w:rsidRPr="00C2595F">
        <w:rPr>
          <w:rFonts w:ascii="Garamond" w:hAnsi="Garamond"/>
          <w:b/>
          <w:bCs/>
          <w:color w:val="000000" w:themeColor="text1"/>
          <w:lang w:val="en-US"/>
        </w:rPr>
        <w:t>The lack of recognizing the environmental impact of nuclear tests</w:t>
      </w:r>
    </w:p>
    <w:p w:rsidR="008F74F6" w:rsidRDefault="008F74F6" w:rsidP="00237096">
      <w:pPr>
        <w:jc w:val="both"/>
        <w:rPr>
          <w:rFonts w:ascii="Garamond" w:hAnsi="Garamond"/>
          <w:color w:val="000000" w:themeColor="text1"/>
          <w:lang w:val="en-US"/>
        </w:rPr>
      </w:pPr>
    </w:p>
    <w:p w:rsidR="008F6924" w:rsidRDefault="008F6924" w:rsidP="00237096">
      <w:pPr>
        <w:jc w:val="both"/>
        <w:rPr>
          <w:rFonts w:ascii="Garamond" w:hAnsi="Garamond" w:cs="Calibri"/>
          <w:color w:val="000000" w:themeColor="text1"/>
          <w:lang w:val="en-US"/>
        </w:rPr>
      </w:pPr>
    </w:p>
    <w:p w:rsidR="00BB03EE" w:rsidRDefault="0012000E" w:rsidP="00237096">
      <w:pPr>
        <w:jc w:val="both"/>
        <w:rPr>
          <w:rFonts w:ascii="Garamond" w:hAnsi="Garamond" w:cs="Calibri"/>
          <w:color w:val="000000" w:themeColor="text1"/>
          <w:lang w:val="en-US"/>
        </w:rPr>
      </w:pPr>
      <w:r>
        <w:rPr>
          <w:rFonts w:ascii="Garamond" w:hAnsi="Garamond" w:cs="Calibri"/>
          <w:color w:val="000000" w:themeColor="text1"/>
          <w:lang w:val="en-US"/>
        </w:rPr>
        <w:t xml:space="preserve">The </w:t>
      </w:r>
      <w:r w:rsidR="00EB049B">
        <w:rPr>
          <w:rFonts w:ascii="Garamond" w:hAnsi="Garamond" w:cs="Calibri"/>
          <w:color w:val="000000" w:themeColor="text1"/>
          <w:lang w:val="en-US"/>
        </w:rPr>
        <w:t>L</w:t>
      </w:r>
      <w:r>
        <w:rPr>
          <w:rFonts w:ascii="Garamond" w:hAnsi="Garamond" w:cs="Calibri"/>
          <w:color w:val="000000" w:themeColor="text1"/>
          <w:lang w:val="en-US"/>
        </w:rPr>
        <w:t xml:space="preserve">aw of 5 January 2010 did not </w:t>
      </w:r>
      <w:r w:rsidR="008F6924">
        <w:rPr>
          <w:rFonts w:ascii="Garamond" w:hAnsi="Garamond" w:cs="Calibri"/>
          <w:color w:val="000000" w:themeColor="text1"/>
          <w:lang w:val="en-US"/>
        </w:rPr>
        <w:t>address the issue of the adverse consequences of nuclear tests on the environment.</w:t>
      </w:r>
      <w:r w:rsidR="002F2ABD">
        <w:rPr>
          <w:rFonts w:ascii="Garamond" w:hAnsi="Garamond" w:cs="Calibri"/>
          <w:color w:val="000000" w:themeColor="text1"/>
          <w:lang w:val="en-US"/>
        </w:rPr>
        <w:t xml:space="preserve"> However, </w:t>
      </w:r>
      <w:r w:rsidR="00AC0620" w:rsidRPr="00DC1D85">
        <w:rPr>
          <w:rFonts w:ascii="Garamond" w:hAnsi="Garamond" w:cs="Calibri"/>
          <w:color w:val="000000" w:themeColor="text1"/>
          <w:lang w:val="en-US"/>
        </w:rPr>
        <w:t>Organic Law</w:t>
      </w:r>
      <w:r w:rsidR="00AC0620">
        <w:rPr>
          <w:rStyle w:val="Appelnotedebasdep"/>
          <w:rFonts w:ascii="Garamond" w:hAnsi="Garamond" w:cs="Calibri"/>
          <w:color w:val="000000" w:themeColor="text1"/>
          <w:lang w:val="en-US"/>
        </w:rPr>
        <w:footnoteReference w:id="7"/>
      </w:r>
      <w:r w:rsidR="00AC0620" w:rsidRPr="00DC1D85">
        <w:rPr>
          <w:rFonts w:ascii="Garamond" w:hAnsi="Garamond" w:cs="Calibri"/>
          <w:color w:val="000000" w:themeColor="text1"/>
          <w:lang w:val="en-US"/>
        </w:rPr>
        <w:t xml:space="preserve"> </w:t>
      </w:r>
      <w:r w:rsidR="00AC0620">
        <w:rPr>
          <w:rFonts w:ascii="Garamond" w:hAnsi="Garamond" w:cs="Calibri"/>
          <w:color w:val="000000" w:themeColor="text1"/>
          <w:lang w:val="en-US"/>
        </w:rPr>
        <w:t xml:space="preserve">n° 2019-706 of 5 July 2019 </w:t>
      </w:r>
      <w:r w:rsidR="002F2ABD">
        <w:rPr>
          <w:rFonts w:ascii="Garamond" w:hAnsi="Garamond" w:cs="Calibri"/>
          <w:color w:val="000000" w:themeColor="text1"/>
          <w:lang w:val="en-US"/>
        </w:rPr>
        <w:t>ensure</w:t>
      </w:r>
      <w:r w:rsidR="00AC0620">
        <w:rPr>
          <w:rFonts w:ascii="Garamond" w:hAnsi="Garamond" w:cs="Calibri"/>
          <w:color w:val="000000" w:themeColor="text1"/>
          <w:lang w:val="en-US"/>
        </w:rPr>
        <w:t>s that</w:t>
      </w:r>
      <w:r w:rsidR="002F2ABD">
        <w:rPr>
          <w:rFonts w:ascii="Garamond" w:hAnsi="Garamond" w:cs="Calibri"/>
          <w:color w:val="000000" w:themeColor="text1"/>
          <w:lang w:val="en-US"/>
        </w:rPr>
        <w:t xml:space="preserve"> the</w:t>
      </w:r>
      <w:r w:rsidR="00AC0620">
        <w:rPr>
          <w:rFonts w:ascii="Garamond" w:hAnsi="Garamond" w:cs="Calibri"/>
          <w:color w:val="000000" w:themeColor="text1"/>
          <w:lang w:val="en-US"/>
        </w:rPr>
        <w:t xml:space="preserve"> State </w:t>
      </w:r>
      <w:r w:rsidR="002F2ABD">
        <w:rPr>
          <w:rFonts w:ascii="Garamond" w:hAnsi="Garamond" w:cs="Calibri"/>
          <w:color w:val="000000" w:themeColor="text1"/>
          <w:lang w:val="en-US"/>
        </w:rPr>
        <w:t>is responsible for maintaining</w:t>
      </w:r>
      <w:r w:rsidR="00AC0620">
        <w:rPr>
          <w:rFonts w:ascii="Garamond" w:hAnsi="Garamond" w:cs="Calibri"/>
          <w:color w:val="000000" w:themeColor="text1"/>
          <w:lang w:val="en-US"/>
        </w:rPr>
        <w:t xml:space="preserve"> and monitoring the </w:t>
      </w:r>
      <w:r w:rsidR="003A4E89">
        <w:rPr>
          <w:rFonts w:ascii="Garamond" w:hAnsi="Garamond" w:cs="Calibri"/>
          <w:color w:val="000000" w:themeColor="text1"/>
          <w:lang w:val="en-US"/>
        </w:rPr>
        <w:t>state</w:t>
      </w:r>
      <w:r w:rsidR="00AC0620">
        <w:rPr>
          <w:rFonts w:ascii="Garamond" w:hAnsi="Garamond" w:cs="Calibri"/>
          <w:color w:val="000000" w:themeColor="text1"/>
          <w:lang w:val="en-US"/>
        </w:rPr>
        <w:t xml:space="preserve"> of the affected sites on the atolls of </w:t>
      </w:r>
      <w:proofErr w:type="spellStart"/>
      <w:r w:rsidR="00AC0620">
        <w:rPr>
          <w:rFonts w:ascii="Garamond" w:hAnsi="Garamond" w:cs="Calibri"/>
          <w:color w:val="000000" w:themeColor="text1"/>
          <w:lang w:val="en-US"/>
        </w:rPr>
        <w:t>Moruroa</w:t>
      </w:r>
      <w:proofErr w:type="spellEnd"/>
      <w:r w:rsidR="00AC0620">
        <w:rPr>
          <w:rFonts w:ascii="Garamond" w:hAnsi="Garamond" w:cs="Calibri"/>
          <w:color w:val="000000" w:themeColor="text1"/>
          <w:lang w:val="en-US"/>
        </w:rPr>
        <w:t xml:space="preserve"> and </w:t>
      </w:r>
      <w:proofErr w:type="spellStart"/>
      <w:r w:rsidR="00AC0620">
        <w:rPr>
          <w:rFonts w:ascii="Garamond" w:hAnsi="Garamond" w:cs="Calibri"/>
          <w:color w:val="000000" w:themeColor="text1"/>
          <w:lang w:val="en-US"/>
        </w:rPr>
        <w:t>Fangataufa</w:t>
      </w:r>
      <w:proofErr w:type="spellEnd"/>
      <w:r w:rsidR="00AC0620">
        <w:rPr>
          <w:rFonts w:ascii="Garamond" w:hAnsi="Garamond" w:cs="Calibri"/>
          <w:color w:val="000000" w:themeColor="text1"/>
          <w:lang w:val="en-US"/>
        </w:rPr>
        <w:t>.</w:t>
      </w:r>
      <w:r w:rsidR="00BB03EE">
        <w:rPr>
          <w:rFonts w:ascii="Garamond" w:hAnsi="Garamond" w:cs="Calibri"/>
          <w:color w:val="000000" w:themeColor="text1"/>
          <w:lang w:val="en-US"/>
        </w:rPr>
        <w:t xml:space="preserve"> </w:t>
      </w:r>
      <w:r w:rsidR="002F2ABD">
        <w:rPr>
          <w:rFonts w:ascii="Garamond" w:hAnsi="Garamond" w:cs="Calibri"/>
          <w:color w:val="000000" w:themeColor="text1"/>
          <w:lang w:val="en-US"/>
        </w:rPr>
        <w:t xml:space="preserve">It should be noted that </w:t>
      </w:r>
      <w:r w:rsidR="00BB03EE" w:rsidRPr="00BB03EE">
        <w:rPr>
          <w:rFonts w:ascii="Garamond" w:hAnsi="Garamond" w:cs="Calibri"/>
          <w:color w:val="000000" w:themeColor="text1"/>
          <w:lang w:val="en-US"/>
        </w:rPr>
        <w:t>the</w:t>
      </w:r>
      <w:r w:rsidR="00BB03EE">
        <w:rPr>
          <w:rFonts w:ascii="Garamond" w:hAnsi="Garamond" w:cs="Calibri"/>
          <w:color w:val="000000" w:themeColor="text1"/>
          <w:lang w:val="en-US"/>
        </w:rPr>
        <w:t>se</w:t>
      </w:r>
      <w:r w:rsidR="00BB03EE" w:rsidRPr="00BB03EE">
        <w:rPr>
          <w:rFonts w:ascii="Garamond" w:hAnsi="Garamond" w:cs="Calibri"/>
          <w:color w:val="000000" w:themeColor="text1"/>
          <w:lang w:val="en-US"/>
        </w:rPr>
        <w:t xml:space="preserve"> sites </w:t>
      </w:r>
      <w:r w:rsidR="00BB03EE">
        <w:rPr>
          <w:rFonts w:ascii="Garamond" w:hAnsi="Garamond" w:cs="Calibri"/>
          <w:color w:val="000000" w:themeColor="text1"/>
          <w:lang w:val="en-US"/>
        </w:rPr>
        <w:t>are classified as</w:t>
      </w:r>
      <w:r w:rsidR="00BB03EE" w:rsidRPr="00BB03EE">
        <w:rPr>
          <w:rFonts w:ascii="Garamond" w:hAnsi="Garamond" w:cs="Calibri"/>
          <w:color w:val="000000" w:themeColor="text1"/>
          <w:lang w:val="en-US"/>
        </w:rPr>
        <w:t xml:space="preserve"> military area</w:t>
      </w:r>
      <w:r w:rsidR="00BB03EE">
        <w:rPr>
          <w:rFonts w:ascii="Garamond" w:hAnsi="Garamond" w:cs="Calibri"/>
          <w:color w:val="000000" w:themeColor="text1"/>
          <w:lang w:val="en-US"/>
        </w:rPr>
        <w:t>s</w:t>
      </w:r>
      <w:r w:rsidR="00BB03EE">
        <w:rPr>
          <w:rStyle w:val="Appelnotedebasdep"/>
          <w:rFonts w:ascii="Garamond" w:hAnsi="Garamond" w:cs="Calibri"/>
          <w:color w:val="000000" w:themeColor="text1"/>
        </w:rPr>
        <w:footnoteReference w:id="8"/>
      </w:r>
      <w:r w:rsidR="00BB03EE" w:rsidRPr="00BB03EE">
        <w:rPr>
          <w:rFonts w:ascii="Garamond" w:hAnsi="Garamond" w:cs="Calibri"/>
          <w:color w:val="000000" w:themeColor="text1"/>
          <w:lang w:val="en-US"/>
        </w:rPr>
        <w:t>. Article L 1333-15 of the Defense Code s</w:t>
      </w:r>
      <w:r w:rsidR="00BB03EE">
        <w:rPr>
          <w:rFonts w:ascii="Garamond" w:hAnsi="Garamond" w:cs="Calibri"/>
          <w:color w:val="000000" w:themeColor="text1"/>
          <w:lang w:val="en-US"/>
        </w:rPr>
        <w:t xml:space="preserve">pecifies that the obligation to control </w:t>
      </w:r>
      <w:r w:rsidR="00BB03EE" w:rsidRPr="00BB03EE">
        <w:rPr>
          <w:rFonts w:ascii="Garamond" w:hAnsi="Garamond" w:cs="Calibri"/>
          <w:color w:val="000000" w:themeColor="text1"/>
          <w:lang w:val="en-US"/>
        </w:rPr>
        <w:t xml:space="preserve">nuclear installations and activities related to defense is governed by </w:t>
      </w:r>
      <w:r w:rsidR="00BB03EE">
        <w:rPr>
          <w:rFonts w:ascii="Garamond" w:hAnsi="Garamond" w:cs="Calibri"/>
          <w:color w:val="000000" w:themeColor="text1"/>
          <w:lang w:val="en-US"/>
        </w:rPr>
        <w:t>procedure</w:t>
      </w:r>
      <w:r w:rsidR="00BB03EE" w:rsidRPr="00BB03EE">
        <w:rPr>
          <w:rFonts w:ascii="Garamond" w:hAnsi="Garamond" w:cs="Calibri"/>
          <w:color w:val="000000" w:themeColor="text1"/>
          <w:lang w:val="en-US"/>
        </w:rPr>
        <w:t xml:space="preserve">s </w:t>
      </w:r>
      <w:r w:rsidR="002F2ABD">
        <w:rPr>
          <w:rFonts w:ascii="Garamond" w:hAnsi="Garamond" w:cs="Calibri"/>
          <w:color w:val="000000" w:themeColor="text1"/>
          <w:lang w:val="en-US"/>
        </w:rPr>
        <w:t xml:space="preserve">that </w:t>
      </w:r>
      <w:r w:rsidR="00BB03EE" w:rsidRPr="00BB03EE">
        <w:rPr>
          <w:rFonts w:ascii="Garamond" w:hAnsi="Garamond" w:cs="Calibri"/>
          <w:color w:val="000000" w:themeColor="text1"/>
          <w:lang w:val="en-US"/>
        </w:rPr>
        <w:t>reconcil</w:t>
      </w:r>
      <w:r w:rsidR="002F2ABD">
        <w:rPr>
          <w:rFonts w:ascii="Garamond" w:hAnsi="Garamond" w:cs="Calibri"/>
          <w:color w:val="000000" w:themeColor="text1"/>
          <w:lang w:val="en-US"/>
        </w:rPr>
        <w:t>e</w:t>
      </w:r>
      <w:r w:rsidR="00BB03EE" w:rsidRPr="00BB03EE">
        <w:rPr>
          <w:rFonts w:ascii="Garamond" w:hAnsi="Garamond" w:cs="Calibri"/>
          <w:color w:val="000000" w:themeColor="text1"/>
          <w:lang w:val="en-US"/>
        </w:rPr>
        <w:t xml:space="preserve"> the principles of nuclear safety and radiation protection with the requirements </w:t>
      </w:r>
      <w:r w:rsidR="00BB03EE">
        <w:rPr>
          <w:rFonts w:ascii="Garamond" w:hAnsi="Garamond" w:cs="Calibri"/>
          <w:color w:val="000000" w:themeColor="text1"/>
          <w:lang w:val="en-US"/>
        </w:rPr>
        <w:t>of</w:t>
      </w:r>
      <w:r w:rsidR="00BB03EE" w:rsidRPr="00BB03EE">
        <w:rPr>
          <w:rFonts w:ascii="Garamond" w:hAnsi="Garamond" w:cs="Calibri"/>
          <w:color w:val="000000" w:themeColor="text1"/>
          <w:lang w:val="en-US"/>
        </w:rPr>
        <w:t xml:space="preserve"> national defense.</w:t>
      </w:r>
    </w:p>
    <w:p w:rsidR="002F2ABD" w:rsidRPr="003A4E89" w:rsidRDefault="002F2ABD" w:rsidP="00BA3F8C">
      <w:pPr>
        <w:jc w:val="both"/>
        <w:rPr>
          <w:rFonts w:ascii="Garamond" w:hAnsi="Garamond"/>
          <w:color w:val="000000" w:themeColor="text1"/>
          <w:lang w:val="en-US"/>
        </w:rPr>
      </w:pPr>
    </w:p>
    <w:p w:rsidR="00E37E35" w:rsidRDefault="002F2ABD" w:rsidP="00BA3F8C">
      <w:pPr>
        <w:jc w:val="both"/>
        <w:rPr>
          <w:rFonts w:ascii="Garamond" w:hAnsi="Garamond"/>
          <w:color w:val="000000" w:themeColor="text1"/>
          <w:lang w:val="en-US"/>
        </w:rPr>
      </w:pPr>
      <w:r w:rsidRPr="002F2ABD">
        <w:rPr>
          <w:rFonts w:ascii="Garamond" w:hAnsi="Garamond"/>
          <w:color w:val="000000" w:themeColor="text1"/>
          <w:lang w:val="en-US"/>
        </w:rPr>
        <w:t>The lack of consideration</w:t>
      </w:r>
      <w:r>
        <w:rPr>
          <w:rFonts w:ascii="Garamond" w:hAnsi="Garamond"/>
          <w:color w:val="000000" w:themeColor="text1"/>
          <w:lang w:val="en-US"/>
        </w:rPr>
        <w:t xml:space="preserve"> for environmental harm from French nuclear testing could be </w:t>
      </w:r>
      <w:r w:rsidR="00E37E35">
        <w:rPr>
          <w:rFonts w:ascii="Garamond" w:hAnsi="Garamond"/>
          <w:color w:val="000000" w:themeColor="text1"/>
          <w:lang w:val="en-US"/>
        </w:rPr>
        <w:t>addresse</w:t>
      </w:r>
      <w:r>
        <w:rPr>
          <w:rFonts w:ascii="Garamond" w:hAnsi="Garamond"/>
          <w:color w:val="000000" w:themeColor="text1"/>
          <w:lang w:val="en-US"/>
        </w:rPr>
        <w:t xml:space="preserve">d by </w:t>
      </w:r>
      <w:r w:rsidR="003A4E89">
        <w:rPr>
          <w:rFonts w:ascii="Garamond" w:hAnsi="Garamond"/>
          <w:color w:val="000000" w:themeColor="text1"/>
          <w:lang w:val="en-US"/>
        </w:rPr>
        <w:t>invoking</w:t>
      </w:r>
      <w:r>
        <w:rPr>
          <w:rFonts w:ascii="Garamond" w:hAnsi="Garamond"/>
          <w:color w:val="000000" w:themeColor="text1"/>
          <w:lang w:val="en-US"/>
        </w:rPr>
        <w:t xml:space="preserve"> the right to </w:t>
      </w:r>
      <w:r w:rsidR="007E542E">
        <w:rPr>
          <w:rFonts w:ascii="Garamond" w:hAnsi="Garamond"/>
          <w:color w:val="000000" w:themeColor="text1"/>
          <w:lang w:val="en-US"/>
        </w:rPr>
        <w:t xml:space="preserve">live in a balanced and healthy environment, </w:t>
      </w:r>
      <w:r w:rsidR="00E37E35">
        <w:rPr>
          <w:rFonts w:ascii="Garamond" w:hAnsi="Garamond"/>
          <w:color w:val="000000" w:themeColor="text1"/>
          <w:lang w:val="en-US"/>
        </w:rPr>
        <w:t>which is a</w:t>
      </w:r>
      <w:r w:rsidR="007E542E">
        <w:rPr>
          <w:rFonts w:ascii="Garamond" w:hAnsi="Garamond"/>
          <w:color w:val="000000" w:themeColor="text1"/>
          <w:lang w:val="en-US"/>
        </w:rPr>
        <w:t xml:space="preserve"> variation of the </w:t>
      </w:r>
      <w:r w:rsidR="00E37E35">
        <w:rPr>
          <w:rFonts w:ascii="Garamond" w:hAnsi="Garamond"/>
          <w:color w:val="000000" w:themeColor="text1"/>
          <w:lang w:val="en-US"/>
        </w:rPr>
        <w:t xml:space="preserve">broader </w:t>
      </w:r>
      <w:r w:rsidR="007E542E">
        <w:rPr>
          <w:rFonts w:ascii="Garamond" w:hAnsi="Garamond"/>
          <w:color w:val="000000" w:themeColor="text1"/>
          <w:lang w:val="en-US"/>
        </w:rPr>
        <w:t>human right to a clean, healthy and sustainable environment</w:t>
      </w:r>
      <w:r w:rsidR="00E37E35">
        <w:rPr>
          <w:rFonts w:ascii="Garamond" w:hAnsi="Garamond"/>
          <w:color w:val="000000" w:themeColor="text1"/>
          <w:lang w:val="en-US"/>
        </w:rPr>
        <w:t xml:space="preserve"> recognized by resolutions 48/13 of the United Nations Human Rights Council in 2021 and 76/300 of the United Nations General Assembly</w:t>
      </w:r>
      <w:r w:rsidR="007E542E">
        <w:rPr>
          <w:rFonts w:ascii="Garamond" w:hAnsi="Garamond"/>
          <w:color w:val="000000" w:themeColor="text1"/>
          <w:lang w:val="en-US"/>
        </w:rPr>
        <w:t xml:space="preserve">. </w:t>
      </w:r>
    </w:p>
    <w:p w:rsidR="00E37E35" w:rsidRDefault="00E37E35" w:rsidP="00BA3F8C">
      <w:pPr>
        <w:jc w:val="both"/>
        <w:rPr>
          <w:rFonts w:ascii="Garamond" w:hAnsi="Garamond"/>
          <w:color w:val="000000" w:themeColor="text1"/>
          <w:lang w:val="en-US"/>
        </w:rPr>
      </w:pPr>
    </w:p>
    <w:p w:rsidR="00F10DCC" w:rsidRDefault="00E37E35" w:rsidP="00117762">
      <w:pPr>
        <w:jc w:val="both"/>
        <w:rPr>
          <w:rFonts w:ascii="Garamond" w:hAnsi="Garamond"/>
          <w:color w:val="000000" w:themeColor="text1"/>
          <w:lang w:val="en-US"/>
        </w:rPr>
      </w:pPr>
      <w:r>
        <w:rPr>
          <w:rFonts w:ascii="Garamond" w:hAnsi="Garamond"/>
          <w:color w:val="000000" w:themeColor="text1"/>
          <w:lang w:val="en-US"/>
        </w:rPr>
        <w:t>Enshrined in</w:t>
      </w:r>
      <w:r w:rsidR="007E542E">
        <w:rPr>
          <w:rFonts w:ascii="Garamond" w:hAnsi="Garamond"/>
          <w:color w:val="000000" w:themeColor="text1"/>
          <w:lang w:val="en-US"/>
        </w:rPr>
        <w:t xml:space="preserve"> </w:t>
      </w:r>
      <w:r w:rsidR="000428F9">
        <w:rPr>
          <w:rFonts w:ascii="Garamond" w:hAnsi="Garamond"/>
          <w:color w:val="000000" w:themeColor="text1"/>
          <w:lang w:val="en-US"/>
        </w:rPr>
        <w:t xml:space="preserve">Article 1 of </w:t>
      </w:r>
      <w:r w:rsidR="007E542E">
        <w:rPr>
          <w:rFonts w:ascii="Garamond" w:hAnsi="Garamond"/>
          <w:color w:val="000000" w:themeColor="text1"/>
          <w:lang w:val="en-US"/>
        </w:rPr>
        <w:t xml:space="preserve">the </w:t>
      </w:r>
      <w:r w:rsidR="003E74F3">
        <w:rPr>
          <w:rFonts w:ascii="Garamond" w:hAnsi="Garamond"/>
          <w:color w:val="000000" w:themeColor="text1"/>
          <w:lang w:val="en-US"/>
        </w:rPr>
        <w:t xml:space="preserve">Environmental Charter of 2004, the right of everyone to live in a balanced and healthy environment </w:t>
      </w:r>
      <w:r>
        <w:rPr>
          <w:rFonts w:ascii="Garamond" w:hAnsi="Garamond"/>
          <w:color w:val="000000" w:themeColor="text1"/>
          <w:lang w:val="en-US"/>
        </w:rPr>
        <w:t>holds</w:t>
      </w:r>
      <w:r w:rsidR="003E74F3">
        <w:rPr>
          <w:rFonts w:ascii="Garamond" w:hAnsi="Garamond"/>
          <w:color w:val="000000" w:themeColor="text1"/>
          <w:lang w:val="en-US"/>
        </w:rPr>
        <w:t xml:space="preserve"> constitutional value</w:t>
      </w:r>
      <w:r>
        <w:rPr>
          <w:rFonts w:ascii="Garamond" w:hAnsi="Garamond"/>
          <w:color w:val="000000" w:themeColor="text1"/>
          <w:lang w:val="en-US"/>
        </w:rPr>
        <w:t>,</w:t>
      </w:r>
      <w:r w:rsidR="003E74F3">
        <w:rPr>
          <w:rFonts w:ascii="Garamond" w:hAnsi="Garamond"/>
          <w:color w:val="000000" w:themeColor="text1"/>
          <w:lang w:val="en-US"/>
        </w:rPr>
        <w:t xml:space="preserve"> as the </w:t>
      </w:r>
      <w:r>
        <w:rPr>
          <w:rFonts w:ascii="Garamond" w:hAnsi="Garamond"/>
          <w:color w:val="000000" w:themeColor="text1"/>
          <w:lang w:val="en-US"/>
        </w:rPr>
        <w:t>p</w:t>
      </w:r>
      <w:r w:rsidR="003E74F3">
        <w:rPr>
          <w:rFonts w:ascii="Garamond" w:hAnsi="Garamond"/>
          <w:color w:val="000000" w:themeColor="text1"/>
          <w:lang w:val="en-US"/>
        </w:rPr>
        <w:t xml:space="preserve">reamble of </w:t>
      </w:r>
      <w:r w:rsidR="000428F9">
        <w:rPr>
          <w:rFonts w:ascii="Garamond" w:hAnsi="Garamond"/>
          <w:color w:val="000000" w:themeColor="text1"/>
          <w:lang w:val="en-US"/>
        </w:rPr>
        <w:t xml:space="preserve">the </w:t>
      </w:r>
      <w:r w:rsidR="003E74F3">
        <w:rPr>
          <w:rFonts w:ascii="Garamond" w:hAnsi="Garamond"/>
          <w:color w:val="000000" w:themeColor="text1"/>
          <w:lang w:val="en-US"/>
        </w:rPr>
        <w:t xml:space="preserve">French </w:t>
      </w:r>
      <w:r w:rsidR="003E74F3">
        <w:rPr>
          <w:rFonts w:ascii="Garamond" w:hAnsi="Garamond"/>
          <w:color w:val="000000" w:themeColor="text1"/>
          <w:lang w:val="en-US"/>
        </w:rPr>
        <w:lastRenderedPageBreak/>
        <w:t>Constitution</w:t>
      </w:r>
      <w:r w:rsidR="000428F9">
        <w:rPr>
          <w:rFonts w:ascii="Garamond" w:hAnsi="Garamond"/>
          <w:color w:val="000000" w:themeColor="text1"/>
          <w:lang w:val="en-US"/>
        </w:rPr>
        <w:t xml:space="preserve"> of 1958</w:t>
      </w:r>
      <w:r w:rsidR="003E74F3">
        <w:rPr>
          <w:rFonts w:ascii="Garamond" w:hAnsi="Garamond"/>
          <w:color w:val="000000" w:themeColor="text1"/>
          <w:lang w:val="en-US"/>
        </w:rPr>
        <w:t xml:space="preserve"> </w:t>
      </w:r>
      <w:r>
        <w:rPr>
          <w:rFonts w:ascii="Garamond" w:hAnsi="Garamond"/>
          <w:color w:val="000000" w:themeColor="text1"/>
          <w:lang w:val="en-US"/>
        </w:rPr>
        <w:t xml:space="preserve">explicitly </w:t>
      </w:r>
      <w:r w:rsidR="000428F9">
        <w:rPr>
          <w:rFonts w:ascii="Garamond" w:hAnsi="Garamond"/>
          <w:color w:val="000000" w:themeColor="text1"/>
          <w:lang w:val="en-US"/>
        </w:rPr>
        <w:t>refer</w:t>
      </w:r>
      <w:r>
        <w:rPr>
          <w:rFonts w:ascii="Garamond" w:hAnsi="Garamond"/>
          <w:color w:val="000000" w:themeColor="text1"/>
          <w:lang w:val="en-US"/>
        </w:rPr>
        <w:t>ence</w:t>
      </w:r>
      <w:r w:rsidR="000428F9">
        <w:rPr>
          <w:rFonts w:ascii="Garamond" w:hAnsi="Garamond"/>
          <w:color w:val="000000" w:themeColor="text1"/>
          <w:lang w:val="en-US"/>
        </w:rPr>
        <w:t xml:space="preserve">s </w:t>
      </w:r>
      <w:r w:rsidR="003E74F3">
        <w:rPr>
          <w:rFonts w:ascii="Garamond" w:hAnsi="Garamond"/>
          <w:color w:val="000000" w:themeColor="text1"/>
          <w:lang w:val="en-US"/>
        </w:rPr>
        <w:t xml:space="preserve">the Environmental Charter. </w:t>
      </w:r>
      <w:r>
        <w:rPr>
          <w:rFonts w:ascii="Garamond" w:hAnsi="Garamond"/>
          <w:color w:val="000000" w:themeColor="text1"/>
          <w:lang w:val="en-US"/>
        </w:rPr>
        <w:t>The Constitutional Council, drawing from Articles 1 and 2 of the Environmental Charter, has established a duty of vigilance regarding environmental harm that may result from its activities. This duty extends not only to public authorities and administrative bodies, but also to all individuals. Moreover, the French Council of State</w:t>
      </w:r>
      <w:r w:rsidR="00AE0389">
        <w:rPr>
          <w:rStyle w:val="Appelnotedebasdep"/>
          <w:rFonts w:ascii="Garamond" w:hAnsi="Garamond"/>
          <w:color w:val="000000" w:themeColor="text1"/>
          <w:lang w:val="en-US"/>
        </w:rPr>
        <w:footnoteReference w:id="9"/>
      </w:r>
      <w:r>
        <w:rPr>
          <w:rFonts w:ascii="Garamond" w:hAnsi="Garamond"/>
          <w:color w:val="000000" w:themeColor="text1"/>
          <w:lang w:val="en-US"/>
        </w:rPr>
        <w:t xml:space="preserve"> affirmed that the right of everyone to live in balanced and healthy environment h</w:t>
      </w:r>
      <w:r w:rsidR="00AE0389">
        <w:rPr>
          <w:rFonts w:ascii="Garamond" w:hAnsi="Garamond"/>
          <w:color w:val="000000" w:themeColor="text1"/>
          <w:lang w:val="en-US"/>
        </w:rPr>
        <w:t>olds</w:t>
      </w:r>
      <w:r>
        <w:rPr>
          <w:rFonts w:ascii="Garamond" w:hAnsi="Garamond"/>
          <w:color w:val="000000" w:themeColor="text1"/>
          <w:lang w:val="en-US"/>
        </w:rPr>
        <w:t xml:space="preserve"> a character of a fundamental freedom.</w:t>
      </w:r>
      <w:r w:rsidR="00AE0389">
        <w:rPr>
          <w:rFonts w:ascii="Garamond" w:hAnsi="Garamond"/>
          <w:color w:val="000000" w:themeColor="text1"/>
          <w:lang w:val="en-US"/>
        </w:rPr>
        <w:t xml:space="preserve"> This key ruling enables individuals who believe that administrative actions are infringing this fundamental freedom to file an urgent claim before a judge responsible for deciding interim measures.</w:t>
      </w:r>
      <w:r w:rsidR="003A4E89">
        <w:rPr>
          <w:rFonts w:ascii="Garamond" w:hAnsi="Garamond"/>
          <w:color w:val="000000" w:themeColor="text1"/>
          <w:lang w:val="en-US"/>
        </w:rPr>
        <w:t xml:space="preserve"> </w:t>
      </w:r>
    </w:p>
    <w:p w:rsidR="00F10DCC" w:rsidRDefault="00F10DCC" w:rsidP="00117762">
      <w:pPr>
        <w:jc w:val="both"/>
        <w:rPr>
          <w:rFonts w:ascii="Garamond" w:hAnsi="Garamond"/>
          <w:color w:val="000000" w:themeColor="text1"/>
          <w:lang w:val="en-US"/>
        </w:rPr>
      </w:pPr>
    </w:p>
    <w:p w:rsidR="00117762" w:rsidRDefault="00F10DCC" w:rsidP="00117762">
      <w:pPr>
        <w:jc w:val="both"/>
        <w:rPr>
          <w:rFonts w:ascii="Garamond" w:hAnsi="Garamond"/>
          <w:color w:val="000000" w:themeColor="text1"/>
          <w:lang w:val="en-US"/>
        </w:rPr>
      </w:pPr>
      <w:r>
        <w:rPr>
          <w:rFonts w:ascii="Garamond" w:hAnsi="Garamond"/>
          <w:color w:val="000000" w:themeColor="text1"/>
          <w:lang w:val="en-US"/>
        </w:rPr>
        <w:t>Recently, t</w:t>
      </w:r>
      <w:r w:rsidR="003A4E89">
        <w:rPr>
          <w:rFonts w:ascii="Garamond" w:hAnsi="Garamond"/>
          <w:color w:val="000000" w:themeColor="text1"/>
          <w:lang w:val="en-US"/>
        </w:rPr>
        <w:t>he Constitutional Council recognized</w:t>
      </w:r>
      <w:r w:rsidR="003A4E89">
        <w:rPr>
          <w:rStyle w:val="Appelnotedebasdep"/>
          <w:rFonts w:ascii="Garamond" w:hAnsi="Garamond"/>
          <w:color w:val="000000" w:themeColor="text1"/>
          <w:lang w:val="en-US"/>
        </w:rPr>
        <w:footnoteReference w:id="10"/>
      </w:r>
      <w:r w:rsidR="003A4E89">
        <w:rPr>
          <w:rFonts w:ascii="Garamond" w:hAnsi="Garamond"/>
          <w:color w:val="000000" w:themeColor="text1"/>
          <w:lang w:val="en-US"/>
        </w:rPr>
        <w:t xml:space="preserve"> that </w:t>
      </w:r>
      <w:r>
        <w:rPr>
          <w:rFonts w:ascii="Garamond" w:hAnsi="Garamond"/>
          <w:color w:val="000000" w:themeColor="text1"/>
          <w:lang w:val="en-US"/>
        </w:rPr>
        <w:t>the right to live in balanced and healthy environment guaranteed by Article 1 of the Environmental Charter, entails that the</w:t>
      </w:r>
      <w:r w:rsidR="003A4E89">
        <w:rPr>
          <w:rFonts w:ascii="Garamond" w:hAnsi="Garamond"/>
          <w:color w:val="000000" w:themeColor="text1"/>
          <w:lang w:val="en-US"/>
        </w:rPr>
        <w:t xml:space="preserve"> </w:t>
      </w:r>
      <w:r>
        <w:rPr>
          <w:rFonts w:ascii="Garamond" w:hAnsi="Garamond"/>
          <w:color w:val="000000" w:themeColor="text1"/>
          <w:lang w:val="en-US"/>
        </w:rPr>
        <w:t>Parliament</w:t>
      </w:r>
      <w:r w:rsidR="003A4E89">
        <w:rPr>
          <w:rFonts w:ascii="Garamond" w:hAnsi="Garamond"/>
          <w:color w:val="000000" w:themeColor="text1"/>
          <w:lang w:val="en-US"/>
        </w:rPr>
        <w:t>, when adopting measures that could cause serious and lasting harm to the environment, must ensure that the choices aimed at meeting present needs do not compromise the ability of future generations and other peoples to meet their own needs, while preserving their freedom of choice.</w:t>
      </w:r>
      <w:r>
        <w:rPr>
          <w:rFonts w:ascii="Garamond" w:hAnsi="Garamond"/>
          <w:color w:val="000000" w:themeColor="text1"/>
          <w:lang w:val="en-US"/>
        </w:rPr>
        <w:t xml:space="preserve"> In this decision the Constitutional Council recognized that allowing the storage of radioactive waste in an underground facility is likely to cause serious and lasting harm to the environment.  </w:t>
      </w:r>
    </w:p>
    <w:p w:rsidR="00117762" w:rsidRDefault="00117762" w:rsidP="00117762">
      <w:pPr>
        <w:jc w:val="both"/>
        <w:rPr>
          <w:rFonts w:ascii="Garamond" w:hAnsi="Garamond"/>
          <w:color w:val="000000" w:themeColor="text1"/>
          <w:lang w:val="en-US"/>
        </w:rPr>
      </w:pPr>
    </w:p>
    <w:p w:rsidR="00117762" w:rsidRDefault="00D14E7F" w:rsidP="007B7E57">
      <w:pPr>
        <w:jc w:val="both"/>
        <w:rPr>
          <w:rFonts w:ascii="Garamond" w:hAnsi="Garamond"/>
          <w:lang w:val="en-US"/>
        </w:rPr>
      </w:pPr>
      <w:r>
        <w:rPr>
          <w:rFonts w:ascii="Garamond" w:hAnsi="Garamond"/>
          <w:lang w:val="en-US"/>
        </w:rPr>
        <w:t>T</w:t>
      </w:r>
      <w:r w:rsidR="00117762">
        <w:rPr>
          <w:rFonts w:ascii="Garamond" w:hAnsi="Garamond"/>
          <w:lang w:val="en-US"/>
        </w:rPr>
        <w:t>he substantial components of right to live in a</w:t>
      </w:r>
      <w:r w:rsidR="00117762">
        <w:rPr>
          <w:rFonts w:ascii="Garamond" w:hAnsi="Garamond"/>
          <w:color w:val="000000" w:themeColor="text1"/>
          <w:lang w:val="en-US"/>
        </w:rPr>
        <w:t xml:space="preserve"> balanced and healthy environment, similarly to </w:t>
      </w:r>
      <w:r w:rsidR="00117762">
        <w:rPr>
          <w:rFonts w:ascii="Garamond" w:hAnsi="Garamond"/>
          <w:lang w:val="en-US"/>
        </w:rPr>
        <w:t xml:space="preserve">the human right to a clean, healthy and sustainable environment, as outlined </w:t>
      </w:r>
      <w:r w:rsidR="00117762" w:rsidRPr="000E6756">
        <w:rPr>
          <w:rFonts w:ascii="Garamond" w:hAnsi="Garamond"/>
          <w:lang w:val="en-US"/>
        </w:rPr>
        <w:t>by the S</w:t>
      </w:r>
      <w:r w:rsidR="00117762">
        <w:rPr>
          <w:rFonts w:ascii="Garamond" w:hAnsi="Garamond"/>
          <w:lang w:val="en-US"/>
        </w:rPr>
        <w:t xml:space="preserve">pecial </w:t>
      </w:r>
      <w:r w:rsidR="00117762" w:rsidRPr="000E6756">
        <w:rPr>
          <w:rFonts w:ascii="Garamond" w:hAnsi="Garamond"/>
          <w:lang w:val="en-US"/>
        </w:rPr>
        <w:t>R</w:t>
      </w:r>
      <w:r w:rsidR="00117762">
        <w:rPr>
          <w:rFonts w:ascii="Garamond" w:hAnsi="Garamond"/>
          <w:lang w:val="en-US"/>
        </w:rPr>
        <w:t xml:space="preserve">apporteur on the </w:t>
      </w:r>
      <w:r w:rsidR="00117762" w:rsidRPr="000E6756">
        <w:rPr>
          <w:rFonts w:ascii="Garamond" w:hAnsi="Garamond"/>
          <w:lang w:val="en-US"/>
        </w:rPr>
        <w:t>Env</w:t>
      </w:r>
      <w:r w:rsidR="00117762">
        <w:rPr>
          <w:rFonts w:ascii="Garamond" w:hAnsi="Garamond"/>
          <w:lang w:val="en-US"/>
        </w:rPr>
        <w:t>ironment and Human Rights</w:t>
      </w:r>
      <w:r w:rsidR="00117762">
        <w:rPr>
          <w:rStyle w:val="Appelnotedebasdep"/>
          <w:rFonts w:ascii="Garamond" w:hAnsi="Garamond"/>
          <w:lang w:val="en-US"/>
        </w:rPr>
        <w:footnoteReference w:id="11"/>
      </w:r>
      <w:r w:rsidR="00117762">
        <w:rPr>
          <w:rFonts w:ascii="Garamond" w:hAnsi="Garamond"/>
          <w:lang w:val="en-US"/>
        </w:rPr>
        <w:t xml:space="preserve"> </w:t>
      </w:r>
      <w:r w:rsidR="00117762" w:rsidRPr="000E6756">
        <w:rPr>
          <w:rFonts w:ascii="Garamond" w:hAnsi="Garamond"/>
          <w:lang w:val="en-US"/>
        </w:rPr>
        <w:t xml:space="preserve">and emphasized by </w:t>
      </w:r>
      <w:r w:rsidR="00117762" w:rsidRPr="002E2432">
        <w:rPr>
          <w:rFonts w:ascii="Garamond" w:hAnsi="Garamond"/>
          <w:lang w:val="en-US"/>
        </w:rPr>
        <w:t>U</w:t>
      </w:r>
      <w:r w:rsidR="00117762">
        <w:rPr>
          <w:rFonts w:ascii="Garamond" w:hAnsi="Garamond"/>
          <w:lang w:val="en-US"/>
        </w:rPr>
        <w:t xml:space="preserve">N </w:t>
      </w:r>
      <w:r w:rsidR="00117762" w:rsidRPr="002E2432">
        <w:rPr>
          <w:rFonts w:ascii="Garamond" w:hAnsi="Garamond"/>
          <w:lang w:val="en-US"/>
        </w:rPr>
        <w:t>bodies</w:t>
      </w:r>
      <w:r w:rsidR="00117762">
        <w:rPr>
          <w:rStyle w:val="Appelnotedebasdep"/>
          <w:rFonts w:ascii="Garamond" w:hAnsi="Garamond"/>
          <w:lang w:val="en-US"/>
        </w:rPr>
        <w:footnoteReference w:id="12"/>
      </w:r>
      <w:r w:rsidR="00117762">
        <w:rPr>
          <w:rFonts w:ascii="Garamond" w:hAnsi="Garamond"/>
          <w:lang w:val="en-US"/>
        </w:rPr>
        <w:t xml:space="preserve">, </w:t>
      </w:r>
      <w:r w:rsidR="007B7E57">
        <w:rPr>
          <w:rFonts w:ascii="Garamond" w:hAnsi="Garamond"/>
          <w:lang w:val="en-US"/>
        </w:rPr>
        <w:t>includ</w:t>
      </w:r>
      <w:r w:rsidR="003A4E89">
        <w:rPr>
          <w:rFonts w:ascii="Garamond" w:hAnsi="Garamond"/>
          <w:lang w:val="en-US"/>
        </w:rPr>
        <w:t>e</w:t>
      </w:r>
      <w:r w:rsidR="00117762">
        <w:rPr>
          <w:rFonts w:ascii="Garamond" w:hAnsi="Garamond"/>
          <w:lang w:val="en-US"/>
        </w:rPr>
        <w:t xml:space="preserve"> </w:t>
      </w:r>
      <w:r w:rsidR="00117762" w:rsidRPr="002E2432">
        <w:rPr>
          <w:rFonts w:ascii="Garamond" w:hAnsi="Garamond"/>
          <w:lang w:val="en-US"/>
        </w:rPr>
        <w:t>clean</w:t>
      </w:r>
      <w:r w:rsidR="00117762">
        <w:rPr>
          <w:rFonts w:ascii="Garamond" w:hAnsi="Garamond"/>
          <w:lang w:val="en-US"/>
        </w:rPr>
        <w:t xml:space="preserve"> </w:t>
      </w:r>
      <w:r w:rsidR="00117762" w:rsidRPr="002E2432">
        <w:rPr>
          <w:rFonts w:ascii="Garamond" w:hAnsi="Garamond"/>
          <w:lang w:val="en-US"/>
        </w:rPr>
        <w:t>air,</w:t>
      </w:r>
      <w:r w:rsidR="00117762">
        <w:rPr>
          <w:rFonts w:ascii="Garamond" w:hAnsi="Garamond"/>
          <w:lang w:val="en-US"/>
        </w:rPr>
        <w:t xml:space="preserve"> </w:t>
      </w:r>
      <w:r w:rsidR="00117762" w:rsidRPr="002E2432">
        <w:rPr>
          <w:rFonts w:ascii="Garamond" w:hAnsi="Garamond"/>
          <w:lang w:val="en-US"/>
        </w:rPr>
        <w:t>a</w:t>
      </w:r>
      <w:r w:rsidR="00117762">
        <w:rPr>
          <w:rFonts w:ascii="Garamond" w:hAnsi="Garamond"/>
          <w:lang w:val="en-US"/>
        </w:rPr>
        <w:t xml:space="preserve"> </w:t>
      </w:r>
      <w:r w:rsidR="00117762" w:rsidRPr="002E2432">
        <w:rPr>
          <w:rFonts w:ascii="Garamond" w:hAnsi="Garamond"/>
          <w:lang w:val="en-US"/>
        </w:rPr>
        <w:t>safe</w:t>
      </w:r>
      <w:r w:rsidR="00117762">
        <w:rPr>
          <w:rFonts w:ascii="Garamond" w:hAnsi="Garamond"/>
          <w:lang w:val="en-US"/>
        </w:rPr>
        <w:t xml:space="preserve"> </w:t>
      </w:r>
      <w:r w:rsidR="00117762" w:rsidRPr="002E2432">
        <w:rPr>
          <w:rFonts w:ascii="Garamond" w:hAnsi="Garamond"/>
          <w:lang w:val="en-US"/>
        </w:rPr>
        <w:t>climate,</w:t>
      </w:r>
      <w:r w:rsidR="00117762">
        <w:rPr>
          <w:rFonts w:ascii="Garamond" w:hAnsi="Garamond"/>
          <w:lang w:val="en-US"/>
        </w:rPr>
        <w:t xml:space="preserve"> </w:t>
      </w:r>
      <w:r w:rsidR="00117762" w:rsidRPr="002E2432">
        <w:rPr>
          <w:rFonts w:ascii="Garamond" w:hAnsi="Garamond"/>
          <w:lang w:val="en-US"/>
        </w:rPr>
        <w:t>healthy</w:t>
      </w:r>
      <w:r w:rsidR="00117762">
        <w:rPr>
          <w:rFonts w:ascii="Garamond" w:hAnsi="Garamond"/>
          <w:lang w:val="en-US"/>
        </w:rPr>
        <w:t xml:space="preserve"> </w:t>
      </w:r>
      <w:r w:rsidR="00117762" w:rsidRPr="002E2432">
        <w:rPr>
          <w:rFonts w:ascii="Garamond" w:hAnsi="Garamond"/>
          <w:lang w:val="en-US"/>
        </w:rPr>
        <w:t>and</w:t>
      </w:r>
      <w:r w:rsidR="00117762">
        <w:rPr>
          <w:rFonts w:ascii="Garamond" w:hAnsi="Garamond"/>
          <w:lang w:val="en-US"/>
        </w:rPr>
        <w:t xml:space="preserve"> </w:t>
      </w:r>
      <w:r w:rsidR="00117762" w:rsidRPr="002E2432">
        <w:rPr>
          <w:rFonts w:ascii="Garamond" w:hAnsi="Garamond"/>
          <w:lang w:val="en-US"/>
        </w:rPr>
        <w:t>sustainably</w:t>
      </w:r>
      <w:r w:rsidR="00117762">
        <w:rPr>
          <w:rFonts w:ascii="Garamond" w:hAnsi="Garamond"/>
          <w:lang w:val="en-US"/>
        </w:rPr>
        <w:t xml:space="preserve"> </w:t>
      </w:r>
      <w:r w:rsidR="00117762" w:rsidRPr="002E2432">
        <w:rPr>
          <w:rFonts w:ascii="Garamond" w:hAnsi="Garamond"/>
          <w:lang w:val="en-US"/>
        </w:rPr>
        <w:t>produced</w:t>
      </w:r>
      <w:r w:rsidR="00117762">
        <w:rPr>
          <w:rFonts w:ascii="Garamond" w:hAnsi="Garamond"/>
          <w:lang w:val="en-US"/>
        </w:rPr>
        <w:t xml:space="preserve"> </w:t>
      </w:r>
      <w:r w:rsidR="00117762" w:rsidRPr="002E2432">
        <w:rPr>
          <w:rFonts w:ascii="Garamond" w:hAnsi="Garamond"/>
          <w:lang w:val="en-US"/>
        </w:rPr>
        <w:t>food,</w:t>
      </w:r>
      <w:r w:rsidR="00117762">
        <w:rPr>
          <w:rFonts w:ascii="Garamond" w:hAnsi="Garamond"/>
          <w:lang w:val="en-US"/>
        </w:rPr>
        <w:t xml:space="preserve"> </w:t>
      </w:r>
      <w:r w:rsidR="00117762" w:rsidRPr="002E2432">
        <w:rPr>
          <w:rFonts w:ascii="Garamond" w:hAnsi="Garamond"/>
          <w:lang w:val="en-US"/>
        </w:rPr>
        <w:t>access</w:t>
      </w:r>
      <w:r w:rsidR="00117762">
        <w:rPr>
          <w:rFonts w:ascii="Garamond" w:hAnsi="Garamond"/>
          <w:lang w:val="en-US"/>
        </w:rPr>
        <w:t xml:space="preserve"> </w:t>
      </w:r>
      <w:r w:rsidR="00117762" w:rsidRPr="002E2432">
        <w:rPr>
          <w:rFonts w:ascii="Garamond" w:hAnsi="Garamond"/>
          <w:lang w:val="en-US"/>
        </w:rPr>
        <w:t>to</w:t>
      </w:r>
      <w:r w:rsidR="00117762">
        <w:rPr>
          <w:rFonts w:ascii="Garamond" w:hAnsi="Garamond"/>
          <w:lang w:val="en-US"/>
        </w:rPr>
        <w:t xml:space="preserve"> </w:t>
      </w:r>
      <w:r w:rsidR="00117762" w:rsidRPr="002E2432">
        <w:rPr>
          <w:rFonts w:ascii="Garamond" w:hAnsi="Garamond"/>
          <w:lang w:val="en-US"/>
        </w:rPr>
        <w:t xml:space="preserve">safe </w:t>
      </w:r>
      <w:r w:rsidR="00117762" w:rsidRPr="00117762">
        <w:rPr>
          <w:rFonts w:ascii="Garamond" w:hAnsi="Garamond"/>
          <w:lang w:val="en-US"/>
        </w:rPr>
        <w:t>water and adequate sanitation, non-toxic environments in which to live, work and play, healthy ecosystems and healthy biodiversity</w:t>
      </w:r>
      <w:r w:rsidR="003A4E89">
        <w:rPr>
          <w:rFonts w:ascii="Garamond" w:hAnsi="Garamond"/>
          <w:lang w:val="en-US"/>
        </w:rPr>
        <w:t>. These elements</w:t>
      </w:r>
      <w:r w:rsidR="007B7E57">
        <w:rPr>
          <w:rFonts w:ascii="Garamond" w:hAnsi="Garamond"/>
          <w:lang w:val="en-US"/>
        </w:rPr>
        <w:t xml:space="preserve"> provide a framework for addressing and mitigating the environmental impacts of nuclear testing</w:t>
      </w:r>
      <w:r w:rsidR="00117762" w:rsidRPr="00117762">
        <w:rPr>
          <w:rFonts w:ascii="Garamond" w:hAnsi="Garamond"/>
          <w:lang w:val="en-US"/>
        </w:rPr>
        <w:t>.</w:t>
      </w:r>
      <w:r w:rsidR="00117762">
        <w:rPr>
          <w:rFonts w:ascii="Garamond" w:hAnsi="Garamond"/>
          <w:lang w:val="en-US"/>
        </w:rPr>
        <w:t xml:space="preserve"> </w:t>
      </w:r>
      <w:r w:rsidR="007B7E57">
        <w:rPr>
          <w:rFonts w:ascii="Garamond" w:hAnsi="Garamond"/>
          <w:lang w:val="en-US"/>
        </w:rPr>
        <w:t>T</w:t>
      </w:r>
      <w:r w:rsidR="003A4E89">
        <w:rPr>
          <w:rFonts w:ascii="Garamond" w:hAnsi="Garamond"/>
          <w:lang w:val="en-US"/>
        </w:rPr>
        <w:t xml:space="preserve">ogether with procedural </w:t>
      </w:r>
      <w:r w:rsidR="007B7E57">
        <w:rPr>
          <w:rFonts w:ascii="Garamond" w:hAnsi="Garamond"/>
          <w:lang w:val="en-US"/>
        </w:rPr>
        <w:t>com</w:t>
      </w:r>
      <w:r w:rsidR="003A4E89">
        <w:rPr>
          <w:rFonts w:ascii="Garamond" w:hAnsi="Garamond"/>
          <w:lang w:val="en-US"/>
        </w:rPr>
        <w:t>ponents</w:t>
      </w:r>
      <w:r w:rsidR="007B7E57">
        <w:rPr>
          <w:rFonts w:ascii="Garamond" w:hAnsi="Garamond"/>
          <w:lang w:val="en-US"/>
        </w:rPr>
        <w:t xml:space="preserve"> </w:t>
      </w:r>
      <w:r w:rsidR="007B7E57" w:rsidRPr="00117762">
        <w:rPr>
          <w:rFonts w:ascii="Garamond" w:hAnsi="Garamond"/>
          <w:lang w:val="en-US"/>
        </w:rPr>
        <w:t>such as access to information, public participation and</w:t>
      </w:r>
      <w:r w:rsidR="007B7E57">
        <w:rPr>
          <w:rFonts w:ascii="Garamond" w:hAnsi="Garamond"/>
          <w:lang w:val="en-US"/>
        </w:rPr>
        <w:t xml:space="preserve"> </w:t>
      </w:r>
      <w:r w:rsidR="007B7E57" w:rsidRPr="00117762">
        <w:rPr>
          <w:rFonts w:ascii="Garamond" w:hAnsi="Garamond"/>
          <w:lang w:val="en-US"/>
        </w:rPr>
        <w:t>access</w:t>
      </w:r>
      <w:r w:rsidR="007B7E57">
        <w:rPr>
          <w:rFonts w:ascii="Garamond" w:hAnsi="Garamond"/>
          <w:lang w:val="en-US"/>
        </w:rPr>
        <w:t xml:space="preserve"> </w:t>
      </w:r>
      <w:r w:rsidR="007B7E57" w:rsidRPr="00117762">
        <w:rPr>
          <w:rFonts w:ascii="Garamond" w:hAnsi="Garamond"/>
          <w:lang w:val="en-US"/>
        </w:rPr>
        <w:t>to</w:t>
      </w:r>
      <w:r w:rsidR="007B7E57">
        <w:rPr>
          <w:rFonts w:ascii="Garamond" w:hAnsi="Garamond"/>
          <w:lang w:val="en-US"/>
        </w:rPr>
        <w:t xml:space="preserve"> </w:t>
      </w:r>
      <w:r w:rsidR="007B7E57" w:rsidRPr="00117762">
        <w:rPr>
          <w:rFonts w:ascii="Garamond" w:hAnsi="Garamond"/>
          <w:lang w:val="en-US"/>
        </w:rPr>
        <w:t>justice</w:t>
      </w:r>
      <w:r w:rsidR="007B7E57">
        <w:rPr>
          <w:rFonts w:ascii="Garamond" w:hAnsi="Garamond"/>
          <w:lang w:val="en-US"/>
        </w:rPr>
        <w:t xml:space="preserve">, </w:t>
      </w:r>
      <w:r w:rsidR="003A4E89">
        <w:rPr>
          <w:rFonts w:ascii="Garamond" w:hAnsi="Garamond"/>
          <w:lang w:val="en-US"/>
        </w:rPr>
        <w:t>they play an</w:t>
      </w:r>
      <w:r w:rsidR="007B7E57">
        <w:rPr>
          <w:rFonts w:ascii="Garamond" w:hAnsi="Garamond"/>
          <w:lang w:val="en-US"/>
        </w:rPr>
        <w:t xml:space="preserve"> instrumental in ensuring this right and addressing the nuclear legacy in French Polynesia.</w:t>
      </w:r>
      <w:r w:rsidR="0051726E">
        <w:rPr>
          <w:rFonts w:ascii="Garamond" w:hAnsi="Garamond"/>
          <w:lang w:val="en-US"/>
        </w:rPr>
        <w:t xml:space="preserve"> </w:t>
      </w:r>
    </w:p>
    <w:p w:rsidR="0051726E" w:rsidRDefault="0051726E" w:rsidP="007B7E57">
      <w:pPr>
        <w:jc w:val="both"/>
        <w:rPr>
          <w:rFonts w:ascii="Garamond" w:hAnsi="Garamond"/>
          <w:lang w:val="en-US"/>
        </w:rPr>
      </w:pPr>
    </w:p>
    <w:p w:rsidR="00117762" w:rsidRPr="00117762" w:rsidRDefault="0051726E" w:rsidP="00117762">
      <w:pPr>
        <w:jc w:val="both"/>
        <w:rPr>
          <w:rFonts w:ascii="Garamond" w:hAnsi="Garamond"/>
          <w:color w:val="000000" w:themeColor="text1"/>
          <w:lang w:val="en-US"/>
        </w:rPr>
      </w:pPr>
      <w:r>
        <w:rPr>
          <w:rFonts w:ascii="Garamond" w:hAnsi="Garamond"/>
          <w:lang w:val="en-US"/>
        </w:rPr>
        <w:t xml:space="preserve">The right to live in a balanced and healthy environment could be invoked to demand comprehensive environmental assessments and remediation efforts for areas affected by nuclear testing, ensuring the long-term health and safety of local communities and ecosystems. Moreover, this right empowers local communities and environmental activists to raise awareness about the environmental and health impacts of nuclear testing in French Polynesia. It also provides a legal basis for public participation in decision-making processes related to nuclear legacy issues, promoting transparency by </w:t>
      </w:r>
      <w:r w:rsidR="007A76C4">
        <w:rPr>
          <w:rFonts w:ascii="Garamond" w:hAnsi="Garamond"/>
          <w:lang w:val="en-US"/>
        </w:rPr>
        <w:t xml:space="preserve">enabling </w:t>
      </w:r>
      <w:r>
        <w:rPr>
          <w:rFonts w:ascii="Garamond" w:hAnsi="Garamond"/>
          <w:lang w:val="en-US"/>
        </w:rPr>
        <w:t xml:space="preserve">affected communities to demand the </w:t>
      </w:r>
      <w:r w:rsidR="007A76C4">
        <w:rPr>
          <w:rFonts w:ascii="Garamond" w:hAnsi="Garamond"/>
          <w:lang w:val="en-US"/>
        </w:rPr>
        <w:t>disclosure</w:t>
      </w:r>
      <w:r>
        <w:rPr>
          <w:rFonts w:ascii="Garamond" w:hAnsi="Garamond"/>
          <w:lang w:val="en-US"/>
        </w:rPr>
        <w:t xml:space="preserve"> of information </w:t>
      </w:r>
      <w:r w:rsidR="007A76C4">
        <w:rPr>
          <w:rFonts w:ascii="Garamond" w:hAnsi="Garamond"/>
          <w:lang w:val="en-US"/>
        </w:rPr>
        <w:t>classified as</w:t>
      </w:r>
      <w:r>
        <w:rPr>
          <w:rFonts w:ascii="Garamond" w:hAnsi="Garamond"/>
          <w:lang w:val="en-US"/>
        </w:rPr>
        <w:t xml:space="preserve"> </w:t>
      </w:r>
      <w:r w:rsidR="007A76C4">
        <w:rPr>
          <w:rFonts w:ascii="Garamond" w:hAnsi="Garamond"/>
          <w:lang w:val="en-US"/>
        </w:rPr>
        <w:t>d</w:t>
      </w:r>
      <w:r>
        <w:rPr>
          <w:rFonts w:ascii="Garamond" w:hAnsi="Garamond"/>
          <w:lang w:val="en-US"/>
        </w:rPr>
        <w:t xml:space="preserve">efense secret. </w:t>
      </w:r>
      <w:r w:rsidR="007A76C4">
        <w:rPr>
          <w:rFonts w:ascii="Garamond" w:hAnsi="Garamond"/>
          <w:lang w:val="en-US"/>
        </w:rPr>
        <w:t>By</w:t>
      </w:r>
      <w:r>
        <w:rPr>
          <w:rFonts w:ascii="Garamond" w:hAnsi="Garamond"/>
          <w:lang w:val="en-US"/>
        </w:rPr>
        <w:t xml:space="preserve"> allow</w:t>
      </w:r>
      <w:r w:rsidR="007A76C4">
        <w:rPr>
          <w:rFonts w:ascii="Garamond" w:hAnsi="Garamond"/>
          <w:lang w:val="en-US"/>
        </w:rPr>
        <w:t>ing</w:t>
      </w:r>
      <w:r>
        <w:rPr>
          <w:rFonts w:ascii="Garamond" w:hAnsi="Garamond"/>
          <w:lang w:val="en-US"/>
        </w:rPr>
        <w:t xml:space="preserve"> affected communities to voice their concerns </w:t>
      </w:r>
      <w:r w:rsidR="007A76C4">
        <w:rPr>
          <w:rFonts w:ascii="Garamond" w:hAnsi="Garamond"/>
          <w:lang w:val="en-US"/>
        </w:rPr>
        <w:t xml:space="preserve">regarding </w:t>
      </w:r>
      <w:r>
        <w:rPr>
          <w:rFonts w:ascii="Garamond" w:hAnsi="Garamond"/>
          <w:lang w:val="en-US"/>
        </w:rPr>
        <w:t>contamination</w:t>
      </w:r>
      <w:r w:rsidR="007A76C4">
        <w:rPr>
          <w:rFonts w:ascii="Garamond" w:hAnsi="Garamond"/>
          <w:lang w:val="en-US"/>
        </w:rPr>
        <w:t xml:space="preserve"> risks, this right facilitates their contribution to developing solutions.</w:t>
      </w:r>
    </w:p>
    <w:p w:rsidR="007A2ECE" w:rsidRPr="0051726E" w:rsidRDefault="007A2ECE">
      <w:pPr>
        <w:rPr>
          <w:rFonts w:ascii="Open Sans" w:eastAsia="Times New Roman" w:hAnsi="Open Sans" w:cs="Open Sans"/>
          <w:color w:val="474747"/>
          <w:sz w:val="26"/>
          <w:szCs w:val="26"/>
          <w:lang w:val="en-US" w:eastAsia="fr-FR"/>
        </w:rPr>
      </w:pPr>
      <w:r w:rsidRPr="0051726E">
        <w:rPr>
          <w:rFonts w:ascii="Open Sans" w:hAnsi="Open Sans" w:cs="Open Sans"/>
          <w:color w:val="474747"/>
          <w:sz w:val="26"/>
          <w:szCs w:val="26"/>
          <w:lang w:val="en-US"/>
        </w:rPr>
        <w:br w:type="page"/>
      </w:r>
    </w:p>
    <w:p w:rsidR="007A2ECE" w:rsidRDefault="007A2ECE" w:rsidP="007A2ECE">
      <w:pPr>
        <w:jc w:val="center"/>
        <w:rPr>
          <w:rFonts w:ascii="Garamond" w:hAnsi="Garamond"/>
          <w:b/>
          <w:bCs/>
          <w:color w:val="000000" w:themeColor="text1"/>
          <w:sz w:val="28"/>
          <w:szCs w:val="28"/>
          <w:lang w:val="en-US"/>
        </w:rPr>
      </w:pPr>
      <w:r w:rsidRPr="007A2ECE">
        <w:rPr>
          <w:rFonts w:ascii="Garamond" w:hAnsi="Garamond"/>
          <w:b/>
          <w:bCs/>
          <w:color w:val="000000" w:themeColor="text1"/>
          <w:sz w:val="28"/>
          <w:szCs w:val="28"/>
          <w:lang w:val="en-US"/>
        </w:rPr>
        <w:lastRenderedPageBreak/>
        <w:t>A</w:t>
      </w:r>
      <w:r>
        <w:rPr>
          <w:rFonts w:ascii="Garamond" w:hAnsi="Garamond"/>
          <w:b/>
          <w:bCs/>
          <w:color w:val="000000" w:themeColor="text1"/>
          <w:sz w:val="28"/>
          <w:szCs w:val="28"/>
          <w:lang w:val="en-US"/>
        </w:rPr>
        <w:t>NNEX</w:t>
      </w:r>
    </w:p>
    <w:p w:rsidR="007A2ECE" w:rsidRPr="007A2ECE" w:rsidRDefault="007A2ECE" w:rsidP="007A2ECE">
      <w:pPr>
        <w:jc w:val="center"/>
        <w:rPr>
          <w:rFonts w:ascii="Garamond" w:hAnsi="Garamond"/>
          <w:b/>
          <w:bCs/>
          <w:color w:val="000000" w:themeColor="text1"/>
          <w:sz w:val="28"/>
          <w:szCs w:val="28"/>
          <w:lang w:val="en-US"/>
        </w:rPr>
      </w:pPr>
      <w:r w:rsidRPr="007A2ECE">
        <w:rPr>
          <w:rFonts w:ascii="Garamond" w:hAnsi="Garamond"/>
          <w:b/>
          <w:bCs/>
          <w:color w:val="000000" w:themeColor="text1"/>
          <w:sz w:val="28"/>
          <w:szCs w:val="28"/>
          <w:lang w:val="en-US"/>
        </w:rPr>
        <w:t xml:space="preserve"> </w:t>
      </w:r>
    </w:p>
    <w:p w:rsidR="007A2ECE" w:rsidRDefault="007A2ECE" w:rsidP="007A2ECE">
      <w:pPr>
        <w:jc w:val="center"/>
        <w:rPr>
          <w:rFonts w:ascii="Garamond" w:hAnsi="Garamond"/>
          <w:b/>
          <w:bCs/>
          <w:color w:val="000000" w:themeColor="text1"/>
          <w:lang w:val="en-US"/>
        </w:rPr>
      </w:pPr>
      <w:r w:rsidRPr="001B73F5">
        <w:rPr>
          <w:rFonts w:ascii="Garamond" w:hAnsi="Garamond"/>
          <w:b/>
          <w:bCs/>
          <w:color w:val="000000" w:themeColor="text1"/>
          <w:lang w:val="en-US"/>
        </w:rPr>
        <w:t>LAW No. 2010-2 of January 5, 2010, regarding the recognition and compensation of victims of French nuclear tests</w:t>
      </w:r>
    </w:p>
    <w:p w:rsidR="007A2ECE" w:rsidRDefault="007A2ECE" w:rsidP="007A2ECE">
      <w:pPr>
        <w:jc w:val="both"/>
        <w:rPr>
          <w:rFonts w:ascii="Garamond" w:hAnsi="Garamond"/>
          <w:b/>
          <w:bCs/>
          <w:color w:val="000000" w:themeColor="text1"/>
          <w:lang w:val="en-US"/>
        </w:rPr>
      </w:pPr>
    </w:p>
    <w:p w:rsidR="007A2ECE" w:rsidRDefault="007A2ECE" w:rsidP="007A2ECE">
      <w:pPr>
        <w:jc w:val="both"/>
        <w:rPr>
          <w:rFonts w:ascii="Garamond" w:hAnsi="Garamond"/>
          <w:b/>
          <w:bCs/>
          <w:color w:val="000000" w:themeColor="text1"/>
          <w:lang w:val="en-US"/>
        </w:rPr>
      </w:pPr>
    </w:p>
    <w:p w:rsidR="007A2ECE" w:rsidRDefault="007A2ECE" w:rsidP="007A2ECE">
      <w:pPr>
        <w:jc w:val="both"/>
        <w:rPr>
          <w:rFonts w:ascii="Garamond" w:hAnsi="Garamond"/>
          <w:b/>
          <w:bCs/>
          <w:color w:val="000000" w:themeColor="text1"/>
          <w:lang w:val="en-US"/>
        </w:rPr>
      </w:pPr>
      <w:r>
        <w:rPr>
          <w:rFonts w:ascii="Garamond" w:hAnsi="Garamond"/>
          <w:b/>
          <w:bCs/>
          <w:color w:val="000000" w:themeColor="text1"/>
          <w:lang w:val="en-US"/>
        </w:rPr>
        <w:t xml:space="preserve">Link to the original French text of the LAW:  </w:t>
      </w:r>
    </w:p>
    <w:p w:rsidR="007A2ECE" w:rsidRDefault="00000000" w:rsidP="007A2ECE">
      <w:pPr>
        <w:jc w:val="both"/>
        <w:rPr>
          <w:rFonts w:ascii="Garamond" w:hAnsi="Garamond"/>
          <w:color w:val="000000" w:themeColor="text1"/>
          <w:lang w:val="en-US"/>
        </w:rPr>
      </w:pPr>
      <w:hyperlink r:id="rId7" w:history="1">
        <w:r w:rsidR="007A2ECE" w:rsidRPr="008E0FF1">
          <w:rPr>
            <w:rStyle w:val="Lienhypertexte"/>
            <w:rFonts w:ascii="Garamond" w:hAnsi="Garamond"/>
            <w:lang w:val="en-US"/>
          </w:rPr>
          <w:t>https://www.legifrance.gouv.fr/loda/id/JORFTEXT000021625586/</w:t>
        </w:r>
      </w:hyperlink>
    </w:p>
    <w:p w:rsidR="007A2ECE" w:rsidRDefault="007A2ECE" w:rsidP="007A2ECE">
      <w:pPr>
        <w:jc w:val="both"/>
        <w:rPr>
          <w:rFonts w:ascii="Garamond" w:hAnsi="Garamond"/>
          <w:color w:val="000000" w:themeColor="text1"/>
          <w:lang w:val="en-US"/>
        </w:rPr>
      </w:pPr>
    </w:p>
    <w:p w:rsidR="00015FC1" w:rsidRPr="001B73F5" w:rsidRDefault="00015FC1"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b/>
          <w:bCs/>
          <w:color w:val="000000" w:themeColor="text1"/>
          <w:lang w:val="en-US"/>
        </w:rPr>
        <w:t xml:space="preserve">Article 1 </w:t>
      </w:r>
    </w:p>
    <w:p w:rsidR="007A2ECE" w:rsidRDefault="007A2ECE" w:rsidP="007A2ECE">
      <w:pPr>
        <w:jc w:val="both"/>
        <w:rPr>
          <w:rFonts w:ascii="Garamond" w:hAnsi="Garamond"/>
          <w:color w:val="000000" w:themeColor="text1"/>
          <w:lang w:val="en-US"/>
        </w:rPr>
      </w:pPr>
    </w:p>
    <w:p w:rsidR="007A2ECE" w:rsidRPr="00E21712" w:rsidRDefault="007A2ECE" w:rsidP="007A2ECE">
      <w:pPr>
        <w:jc w:val="both"/>
        <w:rPr>
          <w:rFonts w:ascii="Garamond" w:hAnsi="Garamond"/>
          <w:color w:val="000000" w:themeColor="text1"/>
          <w:lang w:val="en-US"/>
        </w:rPr>
      </w:pPr>
      <w:r w:rsidRPr="00E21712">
        <w:rPr>
          <w:rFonts w:ascii="Garamond" w:hAnsi="Garamond"/>
          <w:color w:val="000000" w:themeColor="text1"/>
          <w:lang w:val="en-US"/>
        </w:rPr>
        <w:t>I. - Any person suffering from a radiation-induced illness resulting from exposure to ionizing radiation from French nuclear tests and listed on a list established by decree of the Council of State in accordance with the works recognized by the international scientific community may obtain full compensation for their damage under the conditions provided by this law.</w:t>
      </w:r>
    </w:p>
    <w:p w:rsidR="007A2ECE" w:rsidRPr="00E21712" w:rsidRDefault="007A2ECE" w:rsidP="007A2ECE">
      <w:pPr>
        <w:jc w:val="both"/>
        <w:rPr>
          <w:rFonts w:ascii="Garamond" w:hAnsi="Garamond"/>
          <w:color w:val="000000" w:themeColor="text1"/>
          <w:lang w:val="en-US"/>
        </w:rPr>
      </w:pPr>
    </w:p>
    <w:p w:rsidR="007A2ECE" w:rsidRPr="00E21712" w:rsidRDefault="007A2ECE" w:rsidP="007A2ECE">
      <w:pPr>
        <w:jc w:val="both"/>
        <w:rPr>
          <w:rFonts w:ascii="Garamond" w:hAnsi="Garamond"/>
          <w:color w:val="000000" w:themeColor="text1"/>
          <w:lang w:val="en-US"/>
        </w:rPr>
      </w:pPr>
      <w:r w:rsidRPr="00E21712">
        <w:rPr>
          <w:rFonts w:ascii="Garamond" w:hAnsi="Garamond"/>
          <w:color w:val="000000" w:themeColor="text1"/>
          <w:lang w:val="en-US"/>
        </w:rPr>
        <w:t xml:space="preserve">II. - If the person has passed away, the request for compensation can be made by their heirs. If the person died before the promulgation of Law No. 2018-1317 of </w:t>
      </w:r>
      <w:r w:rsidR="00015FC1">
        <w:rPr>
          <w:rFonts w:ascii="Garamond" w:hAnsi="Garamond"/>
          <w:color w:val="000000" w:themeColor="text1"/>
          <w:lang w:val="en-US"/>
        </w:rPr>
        <w:t xml:space="preserve">28 </w:t>
      </w:r>
      <w:r w:rsidRPr="00E21712">
        <w:rPr>
          <w:rFonts w:ascii="Garamond" w:hAnsi="Garamond"/>
          <w:color w:val="000000" w:themeColor="text1"/>
          <w:lang w:val="en-US"/>
        </w:rPr>
        <w:t>December 2018, the Finance Law for 2019, the request must be submitted by the heir before</w:t>
      </w:r>
      <w:r w:rsidR="00015FC1">
        <w:rPr>
          <w:rFonts w:ascii="Garamond" w:hAnsi="Garamond"/>
          <w:color w:val="000000" w:themeColor="text1"/>
          <w:lang w:val="en-US"/>
        </w:rPr>
        <w:t xml:space="preserve"> 31</w:t>
      </w:r>
      <w:r w:rsidRPr="00E21712">
        <w:rPr>
          <w:rFonts w:ascii="Garamond" w:hAnsi="Garamond"/>
          <w:color w:val="000000" w:themeColor="text1"/>
          <w:lang w:val="en-US"/>
        </w:rPr>
        <w:t xml:space="preserve"> December 2024. If the person dies after the promulgation of the same law, the request must be submitted by the heir no later than </w:t>
      </w:r>
      <w:r w:rsidR="00015FC1">
        <w:rPr>
          <w:rFonts w:ascii="Garamond" w:hAnsi="Garamond"/>
          <w:color w:val="000000" w:themeColor="text1"/>
          <w:lang w:val="en-US"/>
        </w:rPr>
        <w:t xml:space="preserve">31 </w:t>
      </w:r>
      <w:r w:rsidRPr="00E21712">
        <w:rPr>
          <w:rFonts w:ascii="Garamond" w:hAnsi="Garamond"/>
          <w:color w:val="000000" w:themeColor="text1"/>
          <w:lang w:val="en-US"/>
        </w:rPr>
        <w:t xml:space="preserve">December </w:t>
      </w:r>
      <w:r w:rsidR="00015FC1">
        <w:rPr>
          <w:rFonts w:ascii="Garamond" w:hAnsi="Garamond"/>
          <w:color w:val="000000" w:themeColor="text1"/>
          <w:lang w:val="en-US"/>
        </w:rPr>
        <w:t>2020</w:t>
      </w:r>
      <w:r w:rsidRPr="00E21712">
        <w:rPr>
          <w:rFonts w:ascii="Garamond" w:hAnsi="Garamond"/>
          <w:color w:val="000000" w:themeColor="text1"/>
          <w:lang w:val="en-US"/>
        </w:rPr>
        <w:t xml:space="preserve"> of the sixth year following the death.</w:t>
      </w:r>
    </w:p>
    <w:p w:rsidR="007A2ECE" w:rsidRPr="00E21712"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E21712">
        <w:rPr>
          <w:rFonts w:ascii="Garamond" w:hAnsi="Garamond"/>
          <w:color w:val="000000" w:themeColor="text1"/>
          <w:lang w:val="en-US"/>
        </w:rPr>
        <w:t xml:space="preserve">III. - When a compensation claim based on Section I of Article 4 has been rejected by the Minister of Defense or by the Compensation Committee for Victims of Nuclear Tests before the entry into force of Law No. 2017-256 of </w:t>
      </w:r>
      <w:r w:rsidR="00015FC1">
        <w:rPr>
          <w:rFonts w:ascii="Garamond" w:hAnsi="Garamond"/>
          <w:color w:val="000000" w:themeColor="text1"/>
          <w:lang w:val="en-US"/>
        </w:rPr>
        <w:t xml:space="preserve">28 </w:t>
      </w:r>
      <w:r w:rsidRPr="00E21712">
        <w:rPr>
          <w:rFonts w:ascii="Garamond" w:hAnsi="Garamond"/>
          <w:color w:val="000000" w:themeColor="text1"/>
          <w:lang w:val="en-US"/>
        </w:rPr>
        <w:t xml:space="preserve">February 2017, on real equality overseas and other provisions on social and economic matters, the applicant or their heirs, if deceased, may submit a new compensation claim before </w:t>
      </w:r>
      <w:r w:rsidR="00015FC1">
        <w:rPr>
          <w:rFonts w:ascii="Garamond" w:hAnsi="Garamond"/>
          <w:color w:val="000000" w:themeColor="text1"/>
          <w:lang w:val="en-US"/>
        </w:rPr>
        <w:t xml:space="preserve">31 </w:t>
      </w:r>
      <w:r w:rsidRPr="00E21712">
        <w:rPr>
          <w:rFonts w:ascii="Garamond" w:hAnsi="Garamond"/>
          <w:color w:val="000000" w:themeColor="text1"/>
          <w:lang w:val="en-US"/>
        </w:rPr>
        <w:t>December 2020.</w:t>
      </w:r>
    </w:p>
    <w:p w:rsidR="007A2ECE" w:rsidRDefault="007A2ECE" w:rsidP="007A2ECE">
      <w:pPr>
        <w:jc w:val="both"/>
        <w:rPr>
          <w:rFonts w:ascii="Garamond" w:hAnsi="Garamond"/>
          <w:color w:val="000000" w:themeColor="text1"/>
          <w:lang w:val="en-US"/>
        </w:rPr>
      </w:pPr>
    </w:p>
    <w:p w:rsidR="007A2ECE" w:rsidRDefault="007A2ECE" w:rsidP="00015FC1">
      <w:pPr>
        <w:jc w:val="both"/>
        <w:rPr>
          <w:rFonts w:ascii="Garamond" w:hAnsi="Garamond"/>
          <w:color w:val="000000" w:themeColor="text1"/>
          <w:lang w:val="en-US"/>
        </w:rPr>
      </w:pPr>
      <w:r w:rsidRPr="00BA3F8C">
        <w:rPr>
          <w:rFonts w:ascii="Garamond" w:hAnsi="Garamond"/>
          <w:b/>
          <w:bCs/>
          <w:color w:val="000000" w:themeColor="text1"/>
          <w:lang w:val="en-US"/>
        </w:rPr>
        <w:t>Article 2</w:t>
      </w:r>
    </w:p>
    <w:p w:rsidR="007A2ECE" w:rsidRPr="003F197D" w:rsidRDefault="007A2ECE" w:rsidP="007A2ECE">
      <w:pPr>
        <w:jc w:val="both"/>
        <w:rPr>
          <w:rFonts w:ascii="Garamond" w:hAnsi="Garamond"/>
          <w:color w:val="000000" w:themeColor="text1"/>
          <w:lang w:val="en-US"/>
        </w:rPr>
      </w:pPr>
    </w:p>
    <w:p w:rsidR="007A2ECE" w:rsidRPr="003F197D" w:rsidRDefault="007A2ECE" w:rsidP="007A2ECE">
      <w:pPr>
        <w:jc w:val="both"/>
        <w:rPr>
          <w:rFonts w:ascii="Garamond" w:hAnsi="Garamond"/>
          <w:color w:val="000000" w:themeColor="text1"/>
          <w:lang w:val="en-US"/>
        </w:rPr>
      </w:pPr>
      <w:r w:rsidRPr="003F197D">
        <w:rPr>
          <w:rFonts w:ascii="Garamond" w:hAnsi="Garamond"/>
          <w:color w:val="000000" w:themeColor="text1"/>
          <w:lang w:val="en-US"/>
        </w:rPr>
        <w:t>A person suffering from a radiation-induced pathology must have resided or stayed in:</w:t>
      </w:r>
    </w:p>
    <w:p w:rsidR="007A2ECE" w:rsidRPr="003F197D" w:rsidRDefault="007A2ECE" w:rsidP="007A2ECE">
      <w:pPr>
        <w:jc w:val="both"/>
        <w:rPr>
          <w:rFonts w:ascii="Garamond" w:hAnsi="Garamond"/>
          <w:color w:val="000000" w:themeColor="text1"/>
          <w:lang w:val="en-US"/>
        </w:rPr>
      </w:pPr>
    </w:p>
    <w:p w:rsidR="007A2ECE" w:rsidRDefault="007A2ECE" w:rsidP="00015FC1">
      <w:pPr>
        <w:pStyle w:val="Paragraphedeliste"/>
        <w:numPr>
          <w:ilvl w:val="0"/>
          <w:numId w:val="6"/>
        </w:numPr>
        <w:jc w:val="both"/>
        <w:rPr>
          <w:rFonts w:ascii="Garamond" w:hAnsi="Garamond"/>
          <w:color w:val="000000" w:themeColor="text1"/>
          <w:lang w:val="en-US"/>
        </w:rPr>
      </w:pPr>
      <w:r w:rsidRPr="00015FC1">
        <w:rPr>
          <w:rFonts w:ascii="Garamond" w:hAnsi="Garamond"/>
          <w:color w:val="000000" w:themeColor="text1"/>
          <w:lang w:val="en-US"/>
        </w:rPr>
        <w:t xml:space="preserve">Either between </w:t>
      </w:r>
      <w:r w:rsidR="00015FC1">
        <w:rPr>
          <w:rFonts w:ascii="Garamond" w:hAnsi="Garamond"/>
          <w:color w:val="000000" w:themeColor="text1"/>
          <w:lang w:val="en-US"/>
        </w:rPr>
        <w:t xml:space="preserve">13 </w:t>
      </w:r>
      <w:r w:rsidRPr="00015FC1">
        <w:rPr>
          <w:rFonts w:ascii="Garamond" w:hAnsi="Garamond"/>
          <w:color w:val="000000" w:themeColor="text1"/>
          <w:lang w:val="en-US"/>
        </w:rPr>
        <w:t xml:space="preserve">February 1960, and </w:t>
      </w:r>
      <w:r w:rsidR="00015FC1">
        <w:rPr>
          <w:rFonts w:ascii="Garamond" w:hAnsi="Garamond"/>
          <w:color w:val="000000" w:themeColor="text1"/>
          <w:lang w:val="en-US"/>
        </w:rPr>
        <w:t xml:space="preserve">31 </w:t>
      </w:r>
      <w:r w:rsidRPr="00015FC1">
        <w:rPr>
          <w:rFonts w:ascii="Garamond" w:hAnsi="Garamond"/>
          <w:color w:val="000000" w:themeColor="text1"/>
          <w:lang w:val="en-US"/>
        </w:rPr>
        <w:t xml:space="preserve">December 1967, at the Saharan Center for Military </w:t>
      </w:r>
      <w:r w:rsidR="002144EA">
        <w:rPr>
          <w:rFonts w:ascii="Garamond" w:hAnsi="Garamond"/>
          <w:color w:val="000000" w:themeColor="text1"/>
          <w:lang w:val="en-US"/>
        </w:rPr>
        <w:t>Tests</w:t>
      </w:r>
      <w:r w:rsidRPr="00015FC1">
        <w:rPr>
          <w:rFonts w:ascii="Garamond" w:hAnsi="Garamond"/>
          <w:color w:val="000000" w:themeColor="text1"/>
          <w:lang w:val="en-US"/>
        </w:rPr>
        <w:t xml:space="preserve"> or between </w:t>
      </w:r>
      <w:r w:rsidR="00015FC1">
        <w:rPr>
          <w:rFonts w:ascii="Garamond" w:hAnsi="Garamond"/>
          <w:color w:val="000000" w:themeColor="text1"/>
          <w:lang w:val="en-US"/>
        </w:rPr>
        <w:t xml:space="preserve">7 </w:t>
      </w:r>
      <w:r w:rsidRPr="00015FC1">
        <w:rPr>
          <w:rFonts w:ascii="Garamond" w:hAnsi="Garamond"/>
          <w:color w:val="000000" w:themeColor="text1"/>
          <w:lang w:val="en-US"/>
        </w:rPr>
        <w:t xml:space="preserve">November 1961, and </w:t>
      </w:r>
      <w:r w:rsidR="00015FC1">
        <w:rPr>
          <w:rFonts w:ascii="Garamond" w:hAnsi="Garamond"/>
          <w:color w:val="000000" w:themeColor="text1"/>
          <w:lang w:val="en-US"/>
        </w:rPr>
        <w:t xml:space="preserve">31 </w:t>
      </w:r>
      <w:r w:rsidRPr="00015FC1">
        <w:rPr>
          <w:rFonts w:ascii="Garamond" w:hAnsi="Garamond"/>
          <w:color w:val="000000" w:themeColor="text1"/>
          <w:lang w:val="en-US"/>
        </w:rPr>
        <w:t xml:space="preserve">December 1967, at the Oasis Center for Military </w:t>
      </w:r>
      <w:r w:rsidR="002144EA">
        <w:rPr>
          <w:rFonts w:ascii="Garamond" w:hAnsi="Garamond"/>
          <w:color w:val="000000" w:themeColor="text1"/>
          <w:lang w:val="en-US"/>
        </w:rPr>
        <w:t>Test</w:t>
      </w:r>
      <w:r w:rsidRPr="00015FC1">
        <w:rPr>
          <w:rFonts w:ascii="Garamond" w:hAnsi="Garamond"/>
          <w:color w:val="000000" w:themeColor="text1"/>
          <w:lang w:val="en-US"/>
        </w:rPr>
        <w:t xml:space="preserve">s or in the peripheral </w:t>
      </w:r>
      <w:r w:rsidR="00CB23CC">
        <w:rPr>
          <w:rFonts w:ascii="Garamond" w:hAnsi="Garamond"/>
          <w:color w:val="000000" w:themeColor="text1"/>
          <w:lang w:val="en-US"/>
        </w:rPr>
        <w:t>areas</w:t>
      </w:r>
      <w:r w:rsidRPr="00015FC1">
        <w:rPr>
          <w:rFonts w:ascii="Garamond" w:hAnsi="Garamond"/>
          <w:color w:val="000000" w:themeColor="text1"/>
          <w:lang w:val="en-US"/>
        </w:rPr>
        <w:t xml:space="preserve"> of these centers.</w:t>
      </w:r>
    </w:p>
    <w:p w:rsidR="007A2ECE" w:rsidRDefault="007A2ECE" w:rsidP="007A2ECE">
      <w:pPr>
        <w:pStyle w:val="Paragraphedeliste"/>
        <w:numPr>
          <w:ilvl w:val="0"/>
          <w:numId w:val="6"/>
        </w:numPr>
        <w:jc w:val="both"/>
        <w:rPr>
          <w:rFonts w:ascii="Garamond" w:hAnsi="Garamond"/>
          <w:color w:val="000000" w:themeColor="text1"/>
          <w:lang w:val="en-US"/>
        </w:rPr>
      </w:pPr>
      <w:r w:rsidRPr="00015FC1">
        <w:rPr>
          <w:rFonts w:ascii="Garamond" w:hAnsi="Garamond"/>
          <w:color w:val="000000" w:themeColor="text1"/>
          <w:lang w:val="en-US"/>
        </w:rPr>
        <w:t xml:space="preserve">Or between </w:t>
      </w:r>
      <w:r w:rsidR="00015FC1">
        <w:rPr>
          <w:rFonts w:ascii="Garamond" w:hAnsi="Garamond"/>
          <w:color w:val="000000" w:themeColor="text1"/>
          <w:lang w:val="en-US"/>
        </w:rPr>
        <w:t xml:space="preserve">2 </w:t>
      </w:r>
      <w:r w:rsidRPr="00015FC1">
        <w:rPr>
          <w:rFonts w:ascii="Garamond" w:hAnsi="Garamond"/>
          <w:color w:val="000000" w:themeColor="text1"/>
          <w:lang w:val="en-US"/>
        </w:rPr>
        <w:t xml:space="preserve">July 1966, and </w:t>
      </w:r>
      <w:r w:rsidR="00015FC1">
        <w:rPr>
          <w:rFonts w:ascii="Garamond" w:hAnsi="Garamond"/>
          <w:color w:val="000000" w:themeColor="text1"/>
          <w:lang w:val="en-US"/>
        </w:rPr>
        <w:t xml:space="preserve">31 </w:t>
      </w:r>
      <w:r w:rsidRPr="00015FC1">
        <w:rPr>
          <w:rFonts w:ascii="Garamond" w:hAnsi="Garamond"/>
          <w:color w:val="000000" w:themeColor="text1"/>
          <w:lang w:val="en-US"/>
        </w:rPr>
        <w:t>December 1998, in French Polynesia.</w:t>
      </w:r>
    </w:p>
    <w:p w:rsidR="00015FC1" w:rsidRPr="00015FC1" w:rsidRDefault="00015FC1" w:rsidP="00015FC1">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3F197D">
        <w:rPr>
          <w:rFonts w:ascii="Garamond" w:hAnsi="Garamond"/>
          <w:color w:val="000000" w:themeColor="text1"/>
          <w:lang w:val="en-US"/>
        </w:rPr>
        <w:t xml:space="preserve">A decree by the Council of State defines the peripheral </w:t>
      </w:r>
      <w:r w:rsidR="00CB23CC">
        <w:rPr>
          <w:rFonts w:ascii="Garamond" w:hAnsi="Garamond"/>
          <w:color w:val="000000" w:themeColor="text1"/>
          <w:lang w:val="en-US"/>
        </w:rPr>
        <w:t>areas</w:t>
      </w:r>
      <w:r w:rsidRPr="003F197D">
        <w:rPr>
          <w:rFonts w:ascii="Garamond" w:hAnsi="Garamond"/>
          <w:color w:val="000000" w:themeColor="text1"/>
          <w:lang w:val="en-US"/>
        </w:rPr>
        <w:t xml:space="preserve"> mentioned in</w:t>
      </w:r>
      <w:r w:rsidR="00CB23CC">
        <w:rPr>
          <w:rFonts w:ascii="Garamond" w:hAnsi="Garamond"/>
          <w:color w:val="000000" w:themeColor="text1"/>
          <w:lang w:val="en-US"/>
        </w:rPr>
        <w:t xml:space="preserve"> 1</w:t>
      </w:r>
      <w:r w:rsidRPr="003F197D">
        <w:rPr>
          <w:rFonts w:ascii="Garamond" w:hAnsi="Garamond"/>
          <w:color w:val="000000" w:themeColor="text1"/>
          <w:lang w:val="en-US"/>
        </w:rPr>
        <w:t>.</w:t>
      </w:r>
    </w:p>
    <w:p w:rsidR="007A2ECE" w:rsidRDefault="007A2ECE" w:rsidP="007A2ECE">
      <w:pPr>
        <w:jc w:val="both"/>
        <w:rPr>
          <w:rFonts w:ascii="Garamond" w:hAnsi="Garamond"/>
          <w:color w:val="000000" w:themeColor="text1"/>
          <w:lang w:val="en-US"/>
        </w:rPr>
      </w:pPr>
    </w:p>
    <w:p w:rsidR="007A2ECE" w:rsidRPr="00BA3F8C" w:rsidRDefault="007A2ECE" w:rsidP="00015FC1">
      <w:pPr>
        <w:jc w:val="both"/>
        <w:rPr>
          <w:rFonts w:ascii="Garamond" w:hAnsi="Garamond"/>
          <w:color w:val="000000" w:themeColor="text1"/>
          <w:lang w:val="en-US"/>
        </w:rPr>
      </w:pPr>
      <w:r w:rsidRPr="00BA3F8C">
        <w:rPr>
          <w:rFonts w:ascii="Garamond" w:hAnsi="Garamond"/>
          <w:b/>
          <w:bCs/>
          <w:color w:val="000000" w:themeColor="text1"/>
          <w:lang w:val="en-US"/>
        </w:rPr>
        <w:t>Article 3</w:t>
      </w:r>
    </w:p>
    <w:p w:rsidR="007A2ECE" w:rsidRPr="00BA3F8C"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 xml:space="preserve">The applicant, if </w:t>
      </w:r>
      <w:proofErr w:type="gramStart"/>
      <w:r w:rsidRPr="00BA3F8C">
        <w:rPr>
          <w:rFonts w:ascii="Garamond" w:hAnsi="Garamond"/>
          <w:color w:val="000000" w:themeColor="text1"/>
          <w:lang w:val="en-US"/>
        </w:rPr>
        <w:t>necessary</w:t>
      </w:r>
      <w:proofErr w:type="gramEnd"/>
      <w:r w:rsidRPr="00BA3F8C">
        <w:rPr>
          <w:rFonts w:ascii="Garamond" w:hAnsi="Garamond"/>
          <w:color w:val="000000" w:themeColor="text1"/>
          <w:lang w:val="en-US"/>
        </w:rPr>
        <w:t xml:space="preserve"> with the assistance of the relevant administrations, substantiates that the person referred to in Article 1 has resided or stayed in the areas and during the periods specified in Article 2, and that they suffer from one of the diseases listed in accordance with Article 1.</w:t>
      </w:r>
    </w:p>
    <w:p w:rsidR="007A2ECE" w:rsidRDefault="007A2ECE" w:rsidP="007A2ECE">
      <w:pPr>
        <w:jc w:val="both"/>
        <w:rPr>
          <w:rFonts w:ascii="Garamond" w:hAnsi="Garamond"/>
          <w:color w:val="000000" w:themeColor="text1"/>
          <w:lang w:val="en-US"/>
        </w:rPr>
      </w:pPr>
    </w:p>
    <w:p w:rsidR="007A2ECE" w:rsidRPr="00BA3F8C" w:rsidRDefault="007A2ECE" w:rsidP="00015FC1">
      <w:pPr>
        <w:jc w:val="both"/>
        <w:rPr>
          <w:rFonts w:ascii="Garamond" w:hAnsi="Garamond"/>
          <w:color w:val="000000" w:themeColor="text1"/>
          <w:lang w:val="en-US"/>
        </w:rPr>
      </w:pPr>
      <w:r w:rsidRPr="00BA3F8C">
        <w:rPr>
          <w:rFonts w:ascii="Garamond" w:hAnsi="Garamond"/>
          <w:b/>
          <w:bCs/>
          <w:color w:val="000000" w:themeColor="text1"/>
          <w:lang w:val="en-US"/>
        </w:rPr>
        <w:t>Article 4</w:t>
      </w:r>
    </w:p>
    <w:p w:rsidR="007A2ECE" w:rsidRPr="00BA3F8C" w:rsidRDefault="007A2ECE" w:rsidP="007A2ECE">
      <w:pPr>
        <w:jc w:val="both"/>
        <w:rPr>
          <w:rFonts w:ascii="Garamond" w:hAnsi="Garamond"/>
          <w:color w:val="000000" w:themeColor="text1"/>
          <w:lang w:val="en-US"/>
        </w:rPr>
      </w:pP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t xml:space="preserve">I. - Compensation claims are submitted to the Compensation Committee for Victims of Nuclear Tests, which issues a </w:t>
      </w:r>
      <w:r>
        <w:rPr>
          <w:rFonts w:ascii="Garamond" w:hAnsi="Garamond"/>
          <w:color w:val="000000" w:themeColor="text1"/>
          <w:lang w:val="en-US"/>
        </w:rPr>
        <w:t>motivat</w:t>
      </w:r>
      <w:r w:rsidRPr="00BA3F8C">
        <w:rPr>
          <w:rFonts w:ascii="Garamond" w:hAnsi="Garamond"/>
          <w:color w:val="000000" w:themeColor="text1"/>
          <w:lang w:val="en-US"/>
        </w:rPr>
        <w:t>ed decision within eight months following the submission of the complete file.</w:t>
      </w: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lastRenderedPageBreak/>
        <w:t>II. - The Compensation Committee, which is an independent administrative authority, consists of nine members appointed by decree:</w:t>
      </w:r>
    </w:p>
    <w:p w:rsidR="007A2ECE" w:rsidRPr="00BA3F8C"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A president, whose function is performed by a member of the Council of State or a magistrate of the Court of Cassation, proposed, respectively, by the Vice President of the Council of State or the First President of the Court of Cassation.</w:t>
      </w:r>
    </w:p>
    <w:p w:rsidR="007A2ECE" w:rsidRPr="00BA3F8C"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Eight qualified individuals, including at least five doctors, among whom at least:</w:t>
      </w:r>
    </w:p>
    <w:p w:rsidR="007A2ECE" w:rsidRDefault="007A2ECE" w:rsidP="007A2ECE">
      <w:pPr>
        <w:pStyle w:val="Paragraphedeliste"/>
        <w:numPr>
          <w:ilvl w:val="0"/>
          <w:numId w:val="1"/>
        </w:numPr>
        <w:jc w:val="both"/>
        <w:rPr>
          <w:rFonts w:ascii="Garamond" w:hAnsi="Garamond"/>
          <w:color w:val="000000" w:themeColor="text1"/>
          <w:lang w:val="en-US"/>
        </w:rPr>
      </w:pPr>
      <w:r w:rsidRPr="001B73F5">
        <w:rPr>
          <w:rFonts w:ascii="Garamond" w:hAnsi="Garamond"/>
          <w:color w:val="000000" w:themeColor="text1"/>
          <w:lang w:val="en-US"/>
        </w:rPr>
        <w:t>two doctors appointed on the proposal of the High Council for Public Health due to their expertise in the field of radiopathology;</w:t>
      </w:r>
    </w:p>
    <w:p w:rsidR="007A2ECE" w:rsidRDefault="007A2ECE" w:rsidP="007A2ECE">
      <w:pPr>
        <w:pStyle w:val="Paragraphedeliste"/>
        <w:numPr>
          <w:ilvl w:val="0"/>
          <w:numId w:val="1"/>
        </w:numPr>
        <w:jc w:val="both"/>
        <w:rPr>
          <w:rFonts w:ascii="Garamond" w:hAnsi="Garamond"/>
          <w:color w:val="000000" w:themeColor="text1"/>
          <w:lang w:val="en-US"/>
        </w:rPr>
      </w:pPr>
      <w:r w:rsidRPr="001B73F5">
        <w:rPr>
          <w:rFonts w:ascii="Garamond" w:hAnsi="Garamond"/>
          <w:color w:val="000000" w:themeColor="text1"/>
          <w:lang w:val="en-US"/>
        </w:rPr>
        <w:t>one doctor appointed on the proposal of the High Council for Public Health due to their expertise in the field of bodily injury compensation;</w:t>
      </w:r>
    </w:p>
    <w:p w:rsidR="007A2ECE" w:rsidRDefault="007A2ECE" w:rsidP="007A2ECE">
      <w:pPr>
        <w:pStyle w:val="Paragraphedeliste"/>
        <w:numPr>
          <w:ilvl w:val="0"/>
          <w:numId w:val="1"/>
        </w:numPr>
        <w:jc w:val="both"/>
        <w:rPr>
          <w:rFonts w:ascii="Garamond" w:hAnsi="Garamond"/>
          <w:color w:val="000000" w:themeColor="text1"/>
          <w:lang w:val="en-US"/>
        </w:rPr>
      </w:pPr>
      <w:r w:rsidRPr="001B73F5">
        <w:rPr>
          <w:rFonts w:ascii="Garamond" w:hAnsi="Garamond"/>
          <w:color w:val="000000" w:themeColor="text1"/>
          <w:lang w:val="en-US"/>
        </w:rPr>
        <w:t>one doctor appointed on the proposal of the High Council for Public Health due to their expertise in the field of epidemiology;</w:t>
      </w:r>
    </w:p>
    <w:p w:rsidR="007A2ECE" w:rsidRDefault="007A2ECE" w:rsidP="007A2ECE">
      <w:pPr>
        <w:pStyle w:val="Paragraphedeliste"/>
        <w:numPr>
          <w:ilvl w:val="0"/>
          <w:numId w:val="1"/>
        </w:numPr>
        <w:jc w:val="both"/>
        <w:rPr>
          <w:rFonts w:ascii="Garamond" w:hAnsi="Garamond"/>
          <w:color w:val="000000" w:themeColor="text1"/>
          <w:lang w:val="en-US"/>
        </w:rPr>
      </w:pPr>
      <w:r w:rsidRPr="001B73F5">
        <w:rPr>
          <w:rFonts w:ascii="Garamond" w:hAnsi="Garamond"/>
          <w:color w:val="000000" w:themeColor="text1"/>
          <w:lang w:val="en-US"/>
        </w:rPr>
        <w:t>one doctor appointed, after receiving the opinion of the High Council for Public Health, on the proposal of associations representing victims of nuclear tests.</w:t>
      </w:r>
    </w:p>
    <w:p w:rsidR="007A2ECE" w:rsidRPr="001B73F5"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The eight qualified individuals include four women and four men.</w:t>
      </w:r>
    </w:p>
    <w:p w:rsidR="007A2ECE" w:rsidRPr="00BA3F8C"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Substitute members for these qualified individuals are designated under the same conditions. They replace the titular members in case of absence or impediment.</w:t>
      </w:r>
    </w:p>
    <w:p w:rsidR="007A2ECE" w:rsidRPr="00BA3F8C"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The president may appoint a vice-president from among these qualified individuals.</w:t>
      </w:r>
    </w:p>
    <w:p w:rsidR="007A2ECE" w:rsidRPr="00BA3F8C"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The term of office for committee members is three years. This term is renewable, subject to the eighth paragraph of this II.</w:t>
      </w:r>
    </w:p>
    <w:p w:rsidR="007A2ECE" w:rsidRPr="00BA3F8C"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In the event of a tie vote, that of the committee's president is decisive.</w:t>
      </w:r>
    </w:p>
    <w:p w:rsidR="007A2ECE" w:rsidRPr="00BA3F8C" w:rsidRDefault="007A2ECE" w:rsidP="007A2ECE">
      <w:pPr>
        <w:jc w:val="both"/>
        <w:rPr>
          <w:rFonts w:ascii="Garamond" w:hAnsi="Garamond"/>
          <w:color w:val="000000" w:themeColor="text1"/>
          <w:lang w:val="en-US"/>
        </w:rPr>
      </w:pPr>
    </w:p>
    <w:p w:rsidR="007A2ECE" w:rsidRDefault="007A2ECE" w:rsidP="007A2ECE">
      <w:pPr>
        <w:jc w:val="both"/>
        <w:rPr>
          <w:rFonts w:ascii="Garamond" w:hAnsi="Garamond"/>
          <w:color w:val="000000" w:themeColor="text1"/>
          <w:lang w:val="en-US"/>
        </w:rPr>
      </w:pPr>
      <w:r w:rsidRPr="00BA3F8C">
        <w:rPr>
          <w:rFonts w:ascii="Garamond" w:hAnsi="Garamond"/>
          <w:color w:val="000000" w:themeColor="text1"/>
          <w:lang w:val="en-US"/>
        </w:rPr>
        <w:t>In the exercise of their duties, committee members receive no instructions from any authority.</w:t>
      </w:r>
    </w:p>
    <w:p w:rsidR="00BD22A8" w:rsidRPr="00BA3F8C" w:rsidRDefault="00BD22A8" w:rsidP="007A2ECE">
      <w:pPr>
        <w:jc w:val="both"/>
        <w:rPr>
          <w:rFonts w:ascii="Garamond" w:hAnsi="Garamond"/>
          <w:color w:val="000000" w:themeColor="text1"/>
          <w:lang w:val="en-US"/>
        </w:rPr>
      </w:pP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t>III. (</w:t>
      </w:r>
      <w:r w:rsidR="00BD22A8">
        <w:rPr>
          <w:rFonts w:ascii="Garamond" w:hAnsi="Garamond"/>
          <w:color w:val="000000" w:themeColor="text1"/>
          <w:lang w:val="en-US"/>
        </w:rPr>
        <w:t>Abolished</w:t>
      </w:r>
      <w:r w:rsidRPr="00BA3F8C">
        <w:rPr>
          <w:rFonts w:ascii="Garamond" w:hAnsi="Garamond"/>
          <w:color w:val="000000" w:themeColor="text1"/>
          <w:lang w:val="en-US"/>
        </w:rPr>
        <w:t>)</w:t>
      </w:r>
    </w:p>
    <w:p w:rsidR="007A2ECE" w:rsidRPr="00BA3F8C" w:rsidRDefault="007A2ECE" w:rsidP="007A2ECE">
      <w:pPr>
        <w:jc w:val="both"/>
        <w:rPr>
          <w:rFonts w:ascii="Garamond" w:hAnsi="Garamond"/>
          <w:color w:val="000000" w:themeColor="text1"/>
          <w:lang w:val="en-US"/>
        </w:rPr>
      </w:pP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t>IV. The president of the Compensation Committee for Victims of Nuclear Tests is authorized to act in court on behalf of the committee.</w:t>
      </w:r>
    </w:p>
    <w:p w:rsidR="007A2ECE" w:rsidRPr="00BA3F8C" w:rsidRDefault="007A2ECE" w:rsidP="007A2ECE">
      <w:pPr>
        <w:jc w:val="both"/>
        <w:rPr>
          <w:rFonts w:ascii="Garamond" w:hAnsi="Garamond"/>
          <w:color w:val="000000" w:themeColor="text1"/>
          <w:lang w:val="en-US"/>
        </w:rPr>
      </w:pPr>
    </w:p>
    <w:p w:rsidR="007A2ECE" w:rsidRPr="001B73F5" w:rsidRDefault="007A2ECE" w:rsidP="007A2ECE">
      <w:pPr>
        <w:jc w:val="both"/>
        <w:rPr>
          <w:rFonts w:ascii="Garamond" w:hAnsi="Garamond"/>
          <w:b/>
          <w:bCs/>
          <w:color w:val="000000" w:themeColor="text1"/>
          <w:lang w:val="en-US"/>
        </w:rPr>
      </w:pPr>
      <w:r w:rsidRPr="00BA3F8C">
        <w:rPr>
          <w:rFonts w:ascii="Garamond" w:hAnsi="Garamond"/>
          <w:color w:val="000000" w:themeColor="text1"/>
          <w:lang w:val="en-US"/>
        </w:rPr>
        <w:t xml:space="preserve">V. - </w:t>
      </w:r>
      <w:r w:rsidRPr="00B16755">
        <w:rPr>
          <w:rFonts w:ascii="Garamond" w:hAnsi="Garamond"/>
          <w:color w:val="000000" w:themeColor="text1"/>
          <w:lang w:val="en-US"/>
        </w:rPr>
        <w:t xml:space="preserve">This committee examines whether the </w:t>
      </w:r>
      <w:r w:rsidRPr="00CB23CC">
        <w:rPr>
          <w:rFonts w:ascii="Garamond" w:hAnsi="Garamond"/>
          <w:b/>
          <w:bCs/>
          <w:color w:val="000000" w:themeColor="text1"/>
          <w:u w:val="single"/>
          <w:lang w:val="en-US"/>
        </w:rPr>
        <w:t>conditions are met</w:t>
      </w:r>
      <w:r w:rsidRPr="00B16755">
        <w:rPr>
          <w:rFonts w:ascii="Garamond" w:hAnsi="Garamond"/>
          <w:color w:val="000000" w:themeColor="text1"/>
          <w:lang w:val="en-US"/>
        </w:rPr>
        <w:t xml:space="preserve">. When they are met, the individual benefits from a </w:t>
      </w:r>
      <w:r w:rsidRPr="00BD22A8">
        <w:rPr>
          <w:rFonts w:ascii="Garamond" w:hAnsi="Garamond"/>
          <w:b/>
          <w:bCs/>
          <w:color w:val="000000" w:themeColor="text1"/>
          <w:u w:val="single"/>
          <w:lang w:val="en-US"/>
        </w:rPr>
        <w:t>presumption of causation</w:t>
      </w:r>
      <w:r w:rsidRPr="00B16755">
        <w:rPr>
          <w:rFonts w:ascii="Garamond" w:hAnsi="Garamond"/>
          <w:color w:val="000000" w:themeColor="text1"/>
          <w:lang w:val="en-US"/>
        </w:rPr>
        <w:t>, unless it is established that the annual dose of ionizing radiation from French nuclear tests received by the individual was lower than the effective dose limit for population exposure to ionizing radiation set under the conditions provided for in 3° of Article L. 1333-2 of the Public Health Code.</w:t>
      </w:r>
    </w:p>
    <w:p w:rsidR="007A2ECE" w:rsidRPr="00BA3F8C" w:rsidRDefault="007A2ECE" w:rsidP="007A2ECE">
      <w:pPr>
        <w:jc w:val="both"/>
        <w:rPr>
          <w:rFonts w:ascii="Garamond" w:hAnsi="Garamond"/>
          <w:color w:val="000000" w:themeColor="text1"/>
          <w:lang w:val="en-US"/>
        </w:rPr>
      </w:pP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t>The committee conducts or has conducted any scientific or medical investigation deemed useful, and professional confidentiality cannot be invoked against it.</w:t>
      </w:r>
    </w:p>
    <w:p w:rsidR="007A2ECE" w:rsidRPr="00BA3F8C" w:rsidRDefault="007A2ECE" w:rsidP="007A2ECE">
      <w:pPr>
        <w:jc w:val="both"/>
        <w:rPr>
          <w:rFonts w:ascii="Garamond" w:hAnsi="Garamond"/>
          <w:color w:val="000000" w:themeColor="text1"/>
          <w:lang w:val="en-US"/>
        </w:rPr>
      </w:pP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t>It may request from any state service, public authority, social benefit management organization, or insurer the communication of all information necessary for the examination of the request. This information cannot be used for purposes other than this examination.</w:t>
      </w:r>
    </w:p>
    <w:p w:rsidR="007A2ECE" w:rsidRPr="00BA3F8C" w:rsidRDefault="007A2ECE" w:rsidP="007A2ECE">
      <w:pPr>
        <w:jc w:val="both"/>
        <w:rPr>
          <w:rFonts w:ascii="Garamond" w:hAnsi="Garamond"/>
          <w:color w:val="000000" w:themeColor="text1"/>
          <w:lang w:val="en-US"/>
        </w:rPr>
      </w:pP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lastRenderedPageBreak/>
        <w:t>Committee members and designated assisting agents must be authorized, under the conditions defined for the application of Article 413-9 of the Penal Code, to be aware of the information mentioned in the preceding paragraphs.</w:t>
      </w:r>
    </w:p>
    <w:p w:rsidR="007A2ECE" w:rsidRPr="00BA3F8C" w:rsidRDefault="007A2ECE" w:rsidP="007A2ECE">
      <w:pPr>
        <w:jc w:val="both"/>
        <w:rPr>
          <w:rFonts w:ascii="Garamond" w:hAnsi="Garamond"/>
          <w:color w:val="000000" w:themeColor="text1"/>
          <w:lang w:val="en-US"/>
        </w:rPr>
      </w:pP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t>In the examination of requests, the committee respects the principle of adversarial proceedings. The applicant may be assisted by a person of their choice.</w:t>
      </w:r>
    </w:p>
    <w:p w:rsidR="007A2ECE" w:rsidRPr="00BA3F8C" w:rsidRDefault="007A2ECE" w:rsidP="007A2ECE">
      <w:pPr>
        <w:jc w:val="both"/>
        <w:rPr>
          <w:rFonts w:ascii="Garamond" w:hAnsi="Garamond"/>
          <w:color w:val="000000" w:themeColor="text1"/>
          <w:lang w:val="en-US"/>
        </w:rPr>
      </w:pPr>
    </w:p>
    <w:p w:rsidR="007A2ECE" w:rsidRPr="00BA3F8C" w:rsidRDefault="007A2ECE" w:rsidP="007A2ECE">
      <w:pPr>
        <w:jc w:val="both"/>
        <w:rPr>
          <w:rFonts w:ascii="Garamond" w:hAnsi="Garamond"/>
          <w:color w:val="000000" w:themeColor="text1"/>
          <w:lang w:val="en-US"/>
        </w:rPr>
      </w:pPr>
      <w:r w:rsidRPr="00BA3F8C">
        <w:rPr>
          <w:rFonts w:ascii="Garamond" w:hAnsi="Garamond"/>
          <w:color w:val="000000" w:themeColor="text1"/>
          <w:lang w:val="en-US"/>
        </w:rPr>
        <w:t>VI. ― The operating procedures of the Compensation Committee for Victims of Nuclear Tests, the elements that the file presented by the applicant must contain, as well as the procedures for processing requests, including the methods ensuring compliance with the principle of adversarial proceedings and the right to a defense, are set by decree of the Council of State. They must include the possibility for the requester to defend their request in person or through a representative.</w:t>
      </w:r>
    </w:p>
    <w:p w:rsidR="007A2ECE" w:rsidRPr="00BA3F8C" w:rsidRDefault="007A2ECE" w:rsidP="007A2ECE">
      <w:pPr>
        <w:jc w:val="both"/>
        <w:rPr>
          <w:rFonts w:ascii="Garamond" w:hAnsi="Garamond"/>
          <w:color w:val="000000" w:themeColor="text1"/>
          <w:lang w:val="en-US"/>
        </w:rPr>
      </w:pPr>
    </w:p>
    <w:p w:rsidR="007A2ECE" w:rsidRPr="00270A41" w:rsidRDefault="007A2ECE" w:rsidP="00270A41">
      <w:pPr>
        <w:jc w:val="both"/>
        <w:rPr>
          <w:rFonts w:ascii="Garamond" w:hAnsi="Garamond"/>
          <w:color w:val="000000" w:themeColor="text1"/>
          <w:lang w:val="en-US"/>
        </w:rPr>
      </w:pPr>
      <w:r w:rsidRPr="00BA3F8C">
        <w:rPr>
          <w:rFonts w:ascii="Garamond" w:hAnsi="Garamond"/>
          <w:color w:val="000000" w:themeColor="text1"/>
          <w:lang w:val="en-US"/>
        </w:rPr>
        <w:t>VII</w:t>
      </w:r>
      <w:r w:rsidRPr="00270A41">
        <w:rPr>
          <w:rFonts w:ascii="Garamond" w:hAnsi="Garamond"/>
          <w:color w:val="000000" w:themeColor="text1"/>
          <w:lang w:val="en-US"/>
        </w:rPr>
        <w:t>. - (</w:t>
      </w:r>
      <w:r w:rsidR="00BD22A8" w:rsidRPr="00270A41">
        <w:rPr>
          <w:rFonts w:ascii="Garamond" w:hAnsi="Garamond"/>
          <w:color w:val="000000" w:themeColor="text1"/>
          <w:lang w:val="en-US"/>
        </w:rPr>
        <w:t>Abolished</w:t>
      </w:r>
      <w:r w:rsidRPr="00270A41">
        <w:rPr>
          <w:rFonts w:ascii="Garamond" w:hAnsi="Garamond"/>
          <w:color w:val="000000" w:themeColor="text1"/>
          <w:lang w:val="en-US"/>
        </w:rPr>
        <w:t>)</w:t>
      </w:r>
    </w:p>
    <w:p w:rsidR="00270A41" w:rsidRPr="00270A41" w:rsidRDefault="00270A41" w:rsidP="00270A41">
      <w:pPr>
        <w:jc w:val="both"/>
        <w:rPr>
          <w:rFonts w:ascii="Garamond" w:hAnsi="Garamond"/>
          <w:color w:val="000000" w:themeColor="text1"/>
          <w:lang w:val="en-US"/>
        </w:rPr>
      </w:pPr>
    </w:p>
    <w:p w:rsidR="00270A41" w:rsidRPr="00270A41" w:rsidRDefault="00270A41" w:rsidP="00270A41">
      <w:pPr>
        <w:jc w:val="both"/>
        <w:rPr>
          <w:rFonts w:ascii="Garamond" w:hAnsi="Garamond" w:cs="Open Sans"/>
          <w:b/>
          <w:bCs/>
          <w:color w:val="000000" w:themeColor="text1"/>
          <w:lang w:val="en-US"/>
        </w:rPr>
      </w:pPr>
      <w:r w:rsidRPr="00270A41">
        <w:rPr>
          <w:rFonts w:ascii="Garamond" w:hAnsi="Garamond" w:cs="Open Sans"/>
          <w:b/>
          <w:bCs/>
          <w:color w:val="000000" w:themeColor="text1"/>
          <w:lang w:val="en-US"/>
        </w:rPr>
        <w:t>Article 5</w:t>
      </w:r>
    </w:p>
    <w:p w:rsidR="00270A41" w:rsidRPr="00270A41" w:rsidRDefault="00270A41" w:rsidP="00270A41">
      <w:pPr>
        <w:jc w:val="both"/>
        <w:rPr>
          <w:rFonts w:ascii="Garamond" w:hAnsi="Garamond" w:cs="Open Sans"/>
          <w:color w:val="000000" w:themeColor="text1"/>
          <w:lang w:val="en-US"/>
        </w:rPr>
      </w:pPr>
    </w:p>
    <w:p w:rsidR="00270A41" w:rsidRDefault="00270A41" w:rsidP="00270A41">
      <w:pPr>
        <w:jc w:val="both"/>
        <w:rPr>
          <w:rFonts w:ascii="Garamond" w:hAnsi="Garamond" w:cs="Open Sans"/>
          <w:color w:val="000000" w:themeColor="text1"/>
          <w:lang w:val="en-US"/>
        </w:rPr>
      </w:pPr>
      <w:r w:rsidRPr="00270A41">
        <w:rPr>
          <w:rFonts w:ascii="Garamond" w:hAnsi="Garamond" w:cs="Open Sans"/>
          <w:color w:val="000000" w:themeColor="text1"/>
          <w:lang w:val="en-US"/>
        </w:rPr>
        <w:t>Compensation is paid in the form of a lump sum.</w:t>
      </w:r>
    </w:p>
    <w:p w:rsidR="00270A41" w:rsidRPr="00270A41" w:rsidRDefault="00270A41" w:rsidP="00270A41">
      <w:pPr>
        <w:jc w:val="both"/>
        <w:rPr>
          <w:rFonts w:ascii="Garamond" w:hAnsi="Garamond" w:cs="Open Sans"/>
          <w:color w:val="000000" w:themeColor="text1"/>
          <w:lang w:val="en-US"/>
        </w:rPr>
      </w:pPr>
    </w:p>
    <w:p w:rsidR="00270A41" w:rsidRPr="00A120FE" w:rsidRDefault="00270A41" w:rsidP="00270A41">
      <w:pPr>
        <w:jc w:val="both"/>
        <w:rPr>
          <w:rFonts w:ascii="Garamond" w:hAnsi="Garamond" w:cs="Open Sans"/>
          <w:color w:val="000000" w:themeColor="text1"/>
          <w:lang w:val="en-US"/>
        </w:rPr>
      </w:pPr>
      <w:r w:rsidRPr="00270A41">
        <w:rPr>
          <w:rFonts w:ascii="Garamond" w:hAnsi="Garamond" w:cs="Open Sans"/>
          <w:color w:val="000000" w:themeColor="text1"/>
          <w:lang w:val="en-US"/>
        </w:rPr>
        <w:t xml:space="preserve">Any compensation already received by the applicant for the same damage, including the updated amount of any pensions granted, shall be deducted from the amounts paid under the compensation </w:t>
      </w:r>
      <w:r w:rsidRPr="00A120FE">
        <w:rPr>
          <w:rFonts w:ascii="Garamond" w:hAnsi="Garamond" w:cs="Open Sans"/>
          <w:color w:val="000000" w:themeColor="text1"/>
          <w:lang w:val="en-US"/>
        </w:rPr>
        <w:t>provided for by this law.</w:t>
      </w:r>
    </w:p>
    <w:p w:rsidR="006E5054" w:rsidRPr="00A120FE" w:rsidRDefault="006E5054" w:rsidP="00BA3F8C">
      <w:pPr>
        <w:jc w:val="both"/>
        <w:rPr>
          <w:rFonts w:ascii="Garamond" w:hAnsi="Garamond"/>
          <w:color w:val="000000" w:themeColor="text1"/>
          <w:lang w:val="en-US"/>
        </w:rPr>
      </w:pPr>
    </w:p>
    <w:p w:rsidR="00A120FE" w:rsidRPr="00A120FE" w:rsidRDefault="00A120FE" w:rsidP="00A120FE">
      <w:pPr>
        <w:jc w:val="both"/>
        <w:rPr>
          <w:rFonts w:ascii="Garamond" w:hAnsi="Garamond"/>
          <w:b/>
          <w:bCs/>
          <w:color w:val="000000" w:themeColor="text1"/>
          <w:lang w:val="en-US"/>
        </w:rPr>
      </w:pPr>
      <w:r w:rsidRPr="00A120FE">
        <w:rPr>
          <w:rFonts w:ascii="Garamond" w:hAnsi="Garamond"/>
          <w:b/>
          <w:bCs/>
          <w:color w:val="000000" w:themeColor="text1"/>
          <w:lang w:val="en-US"/>
        </w:rPr>
        <w:t>Article 6</w:t>
      </w:r>
    </w:p>
    <w:p w:rsidR="00A120FE" w:rsidRPr="00A120FE" w:rsidRDefault="00A120FE" w:rsidP="00A120FE">
      <w:pPr>
        <w:jc w:val="both"/>
        <w:rPr>
          <w:rFonts w:ascii="Garamond" w:hAnsi="Garamond"/>
          <w:color w:val="000000" w:themeColor="text1"/>
          <w:lang w:val="en-US"/>
        </w:rPr>
      </w:pPr>
    </w:p>
    <w:p w:rsidR="00A120FE" w:rsidRPr="00A120FE" w:rsidRDefault="00A120FE" w:rsidP="00A120FE">
      <w:pPr>
        <w:jc w:val="both"/>
        <w:rPr>
          <w:rFonts w:ascii="Garamond" w:hAnsi="Garamond"/>
          <w:color w:val="000000" w:themeColor="text1"/>
          <w:lang w:val="en-US"/>
        </w:rPr>
      </w:pPr>
      <w:r w:rsidRPr="00A120FE">
        <w:rPr>
          <w:rFonts w:ascii="Garamond" w:hAnsi="Garamond"/>
          <w:color w:val="000000" w:themeColor="text1"/>
          <w:lang w:val="en-US"/>
        </w:rPr>
        <w:t>Acceptance of the compensation offer constitutes a settlement within the meaning of Article 2044 of the Civil Code and a waiver of any ongoing legal action. It renders inadmissible any other legal action seeking compensation for the same damages.</w:t>
      </w:r>
    </w:p>
    <w:sectPr w:rsidR="00A120FE" w:rsidRPr="00A120F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17A7" w:rsidRDefault="009817A7" w:rsidP="00A30714">
      <w:r>
        <w:separator/>
      </w:r>
    </w:p>
  </w:endnote>
  <w:endnote w:type="continuationSeparator" w:id="0">
    <w:p w:rsidR="009817A7" w:rsidRDefault="009817A7" w:rsidP="00A3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60700226"/>
      <w:docPartObj>
        <w:docPartGallery w:val="Page Numbers (Bottom of Page)"/>
        <w:docPartUnique/>
      </w:docPartObj>
    </w:sdtPr>
    <w:sdtContent>
      <w:p w:rsidR="002E26CF" w:rsidRDefault="002E26CF" w:rsidP="008E0FF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D4683D">
          <w:rPr>
            <w:rStyle w:val="Numrodepage"/>
            <w:noProof/>
          </w:rPr>
          <w:t>2</w:t>
        </w:r>
        <w:r>
          <w:rPr>
            <w:rStyle w:val="Numrodepage"/>
          </w:rPr>
          <w:fldChar w:fldCharType="end"/>
        </w:r>
      </w:p>
    </w:sdtContent>
  </w:sdt>
  <w:p w:rsidR="002E26CF" w:rsidRDefault="002E26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65432530"/>
      <w:docPartObj>
        <w:docPartGallery w:val="Page Numbers (Bottom of Page)"/>
        <w:docPartUnique/>
      </w:docPartObj>
    </w:sdtPr>
    <w:sdtContent>
      <w:p w:rsidR="002E26CF" w:rsidRDefault="002E26CF" w:rsidP="008E0FF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E26CF" w:rsidRDefault="002E26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17A7" w:rsidRDefault="009817A7" w:rsidP="00A30714">
      <w:r>
        <w:separator/>
      </w:r>
    </w:p>
  </w:footnote>
  <w:footnote w:type="continuationSeparator" w:id="0">
    <w:p w:rsidR="009817A7" w:rsidRDefault="009817A7" w:rsidP="00A30714">
      <w:r>
        <w:continuationSeparator/>
      </w:r>
    </w:p>
  </w:footnote>
  <w:footnote w:id="1">
    <w:p w:rsidR="007C3FE8" w:rsidRPr="00E64C0B" w:rsidRDefault="007C3FE8" w:rsidP="00E64C0B">
      <w:pPr>
        <w:pStyle w:val="Notedebasdepage"/>
        <w:jc w:val="both"/>
        <w:rPr>
          <w:rFonts w:ascii="Garamond" w:hAnsi="Garamond"/>
          <w:lang w:val="en-US"/>
        </w:rPr>
      </w:pPr>
      <w:r w:rsidRPr="00E64C0B">
        <w:rPr>
          <w:rStyle w:val="Appelnotedebasdep"/>
          <w:rFonts w:ascii="Garamond" w:hAnsi="Garamond"/>
        </w:rPr>
        <w:footnoteRef/>
      </w:r>
      <w:r w:rsidRPr="00E64C0B">
        <w:rPr>
          <w:rFonts w:ascii="Garamond" w:hAnsi="Garamond"/>
          <w:lang w:val="en-US"/>
        </w:rPr>
        <w:t xml:space="preserve"> De </w:t>
      </w:r>
      <w:proofErr w:type="spellStart"/>
      <w:r w:rsidRPr="00E64C0B">
        <w:rPr>
          <w:rFonts w:ascii="Garamond" w:hAnsi="Garamond"/>
          <w:lang w:val="en-US"/>
        </w:rPr>
        <w:t>Vathaire</w:t>
      </w:r>
      <w:proofErr w:type="spellEnd"/>
      <w:r w:rsidRPr="00E64C0B">
        <w:rPr>
          <w:rFonts w:ascii="Garamond" w:hAnsi="Garamond"/>
          <w:lang w:val="en-US"/>
        </w:rPr>
        <w:t xml:space="preserve"> F., “Health Outcomes of the Nuclear Tests in French Polynesia”, Press Release </w:t>
      </w:r>
      <w:r w:rsidR="00E64C0B" w:rsidRPr="00E64C0B">
        <w:rPr>
          <w:rFonts w:ascii="Garamond" w:hAnsi="Garamond"/>
          <w:lang w:val="en-US"/>
        </w:rPr>
        <w:t>from the</w:t>
      </w:r>
      <w:r w:rsidRPr="00E64C0B">
        <w:rPr>
          <w:rFonts w:ascii="Garamond" w:hAnsi="Garamond"/>
          <w:lang w:val="en-US"/>
        </w:rPr>
        <w:t xml:space="preserve"> INSERM Center for Research in Epidemiology and Population Health, 15 May 2023,</w:t>
      </w:r>
      <w:r w:rsidR="00E64C0B" w:rsidRPr="00E64C0B">
        <w:rPr>
          <w:rFonts w:ascii="Garamond" w:hAnsi="Garamond"/>
          <w:lang w:val="en-US"/>
        </w:rPr>
        <w:t xml:space="preserve"> </w:t>
      </w:r>
      <w:r w:rsidR="00E64C0B">
        <w:rPr>
          <w:rFonts w:ascii="Garamond" w:hAnsi="Garamond"/>
          <w:lang w:val="en-US"/>
        </w:rPr>
        <w:t>available online</w:t>
      </w:r>
      <w:r w:rsidR="00E64C0B" w:rsidRPr="00E64C0B">
        <w:rPr>
          <w:rFonts w:ascii="Garamond" w:hAnsi="Garamond"/>
          <w:lang w:val="en-US"/>
        </w:rPr>
        <w:t xml:space="preserve">, </w:t>
      </w:r>
      <w:hyperlink r:id="rId1" w:history="1">
        <w:r w:rsidR="00E64C0B" w:rsidRPr="008E0FF1">
          <w:rPr>
            <w:rStyle w:val="Lienhypertexte"/>
            <w:rFonts w:ascii="Garamond" w:hAnsi="Garamond"/>
            <w:lang w:val="en-US"/>
          </w:rPr>
          <w:t>https://presse.inserm.fr/en/consequences-sur-la-sante-des-essais-nucleaires-en-polynesie-francaise/67100/</w:t>
        </w:r>
      </w:hyperlink>
      <w:r w:rsidR="00E64C0B">
        <w:rPr>
          <w:rFonts w:ascii="Garamond" w:hAnsi="Garamond"/>
          <w:lang w:val="en-US"/>
        </w:rPr>
        <w:t xml:space="preserve"> </w:t>
      </w:r>
    </w:p>
  </w:footnote>
  <w:footnote w:id="2">
    <w:p w:rsidR="007A2A3A" w:rsidRPr="00D47632" w:rsidRDefault="007A2A3A" w:rsidP="007A2A3A">
      <w:pPr>
        <w:pStyle w:val="Notedebasdepage"/>
        <w:jc w:val="both"/>
        <w:rPr>
          <w:rFonts w:ascii="Garamond" w:hAnsi="Garamond"/>
        </w:rPr>
      </w:pPr>
      <w:r w:rsidRPr="00E64C0B">
        <w:rPr>
          <w:rStyle w:val="Appelnotedebasdep"/>
          <w:rFonts w:ascii="Garamond" w:hAnsi="Garamond"/>
        </w:rPr>
        <w:footnoteRef/>
      </w:r>
      <w:r w:rsidRPr="00F923B2">
        <w:rPr>
          <w:rFonts w:ascii="Garamond" w:hAnsi="Garamond"/>
          <w:lang w:val="en-US"/>
        </w:rPr>
        <w:t xml:space="preserve"> To explore the impact of French Polynesia’s colonial status on France’s choice of a nuclear testing site</w:t>
      </w:r>
      <w:r w:rsidR="00F923B2" w:rsidRPr="00F923B2">
        <w:rPr>
          <w:rFonts w:ascii="Garamond" w:hAnsi="Garamond"/>
          <w:lang w:val="en-US"/>
        </w:rPr>
        <w:t xml:space="preserve">, along with </w:t>
      </w:r>
      <w:r w:rsidR="00311FD4" w:rsidRPr="00F923B2">
        <w:rPr>
          <w:rFonts w:ascii="Garamond" w:hAnsi="Garamond"/>
          <w:lang w:val="en-US"/>
        </w:rPr>
        <w:t xml:space="preserve">arguments </w:t>
      </w:r>
      <w:r w:rsidR="00F923B2">
        <w:rPr>
          <w:rFonts w:ascii="Garamond" w:hAnsi="Garamond"/>
          <w:lang w:val="en-US"/>
        </w:rPr>
        <w:t>supporting the</w:t>
      </w:r>
      <w:r w:rsidR="00311FD4" w:rsidRPr="00F923B2">
        <w:rPr>
          <w:rFonts w:ascii="Garamond" w:hAnsi="Garamond"/>
          <w:lang w:val="en-US"/>
        </w:rPr>
        <w:t xml:space="preserve"> recognition of such an impact</w:t>
      </w:r>
      <w:r w:rsidRPr="00F923B2">
        <w:rPr>
          <w:rFonts w:ascii="Garamond" w:hAnsi="Garamond"/>
          <w:lang w:val="en-US"/>
        </w:rPr>
        <w:t xml:space="preserve">, see, </w:t>
      </w:r>
      <w:proofErr w:type="spellStart"/>
      <w:r w:rsidRPr="00F923B2">
        <w:rPr>
          <w:rFonts w:ascii="Garamond" w:hAnsi="Garamond"/>
          <w:lang w:val="en-US"/>
        </w:rPr>
        <w:t>Poirat</w:t>
      </w:r>
      <w:proofErr w:type="spellEnd"/>
      <w:r w:rsidRPr="00F923B2">
        <w:rPr>
          <w:rFonts w:ascii="Garamond" w:hAnsi="Garamond"/>
          <w:lang w:val="en-US"/>
        </w:rPr>
        <w:t xml:space="preserve"> F., « </w:t>
      </w:r>
      <w:proofErr w:type="spellStart"/>
      <w:r w:rsidRPr="00F923B2">
        <w:rPr>
          <w:rFonts w:ascii="Garamond" w:hAnsi="Garamond"/>
          <w:lang w:val="en-US"/>
        </w:rPr>
        <w:t>Essais</w:t>
      </w:r>
      <w:proofErr w:type="spellEnd"/>
      <w:r w:rsidRPr="00F923B2">
        <w:rPr>
          <w:rFonts w:ascii="Garamond" w:hAnsi="Garamond"/>
          <w:lang w:val="en-US"/>
        </w:rPr>
        <w:t xml:space="preserve"> </w:t>
      </w:r>
      <w:proofErr w:type="spellStart"/>
      <w:r w:rsidRPr="00F923B2">
        <w:rPr>
          <w:rFonts w:ascii="Garamond" w:hAnsi="Garamond"/>
          <w:lang w:val="en-US"/>
        </w:rPr>
        <w:t>nucléaires</w:t>
      </w:r>
      <w:proofErr w:type="spellEnd"/>
      <w:r w:rsidRPr="00F923B2">
        <w:rPr>
          <w:rFonts w:ascii="Garamond" w:hAnsi="Garamond"/>
          <w:lang w:val="en-US"/>
        </w:rPr>
        <w:t xml:space="preserve"> et </w:t>
      </w:r>
      <w:proofErr w:type="spellStart"/>
      <w:r w:rsidRPr="00F923B2">
        <w:rPr>
          <w:rFonts w:ascii="Garamond" w:hAnsi="Garamond"/>
          <w:lang w:val="en-US"/>
        </w:rPr>
        <w:t>statut</w:t>
      </w:r>
      <w:proofErr w:type="spellEnd"/>
      <w:r w:rsidRPr="00F923B2">
        <w:rPr>
          <w:rFonts w:ascii="Garamond" w:hAnsi="Garamond"/>
          <w:lang w:val="en-US"/>
        </w:rPr>
        <w:t xml:space="preserve"> colonial de la </w:t>
      </w:r>
      <w:proofErr w:type="spellStart"/>
      <w:r w:rsidRPr="00F923B2">
        <w:rPr>
          <w:rFonts w:ascii="Garamond" w:hAnsi="Garamond"/>
          <w:lang w:val="en-US"/>
        </w:rPr>
        <w:t>Polynésie</w:t>
      </w:r>
      <w:proofErr w:type="spellEnd"/>
      <w:r w:rsidRPr="00F923B2">
        <w:rPr>
          <w:rFonts w:ascii="Garamond" w:hAnsi="Garamond"/>
          <w:lang w:val="en-US"/>
        </w:rPr>
        <w:t xml:space="preserve"> </w:t>
      </w:r>
      <w:proofErr w:type="gramStart"/>
      <w:r w:rsidRPr="00F923B2">
        <w:rPr>
          <w:rFonts w:ascii="Garamond" w:hAnsi="Garamond"/>
          <w:lang w:val="en-US"/>
        </w:rPr>
        <w:t>Française :</w:t>
      </w:r>
      <w:proofErr w:type="gramEnd"/>
      <w:r w:rsidRPr="00F923B2">
        <w:rPr>
          <w:rFonts w:ascii="Garamond" w:hAnsi="Garamond"/>
          <w:lang w:val="en-US"/>
        </w:rPr>
        <w:t xml:space="preserve"> la </w:t>
      </w:r>
      <w:proofErr w:type="spellStart"/>
      <w:r w:rsidRPr="00F923B2">
        <w:rPr>
          <w:rFonts w:ascii="Garamond" w:hAnsi="Garamond"/>
          <w:lang w:val="en-US"/>
        </w:rPr>
        <w:t>rhétorique</w:t>
      </w:r>
      <w:proofErr w:type="spellEnd"/>
      <w:r w:rsidRPr="00F923B2">
        <w:rPr>
          <w:rFonts w:ascii="Garamond" w:hAnsi="Garamond"/>
          <w:lang w:val="en-US"/>
        </w:rPr>
        <w:t xml:space="preserve"> </w:t>
      </w:r>
      <w:proofErr w:type="spellStart"/>
      <w:r w:rsidRPr="00F923B2">
        <w:rPr>
          <w:rFonts w:ascii="Garamond" w:hAnsi="Garamond"/>
          <w:lang w:val="en-US"/>
        </w:rPr>
        <w:t>indépendantiste</w:t>
      </w:r>
      <w:proofErr w:type="spellEnd"/>
      <w:r w:rsidRPr="00F923B2">
        <w:rPr>
          <w:rFonts w:ascii="Garamond" w:hAnsi="Garamond"/>
          <w:lang w:val="en-US"/>
        </w:rPr>
        <w:t xml:space="preserve"> au sein de </w:t>
      </w:r>
      <w:proofErr w:type="spellStart"/>
      <w:r w:rsidRPr="00F923B2">
        <w:rPr>
          <w:rFonts w:ascii="Garamond" w:hAnsi="Garamond"/>
          <w:lang w:val="en-US"/>
        </w:rPr>
        <w:t>l’Organisation</w:t>
      </w:r>
      <w:proofErr w:type="spellEnd"/>
      <w:r w:rsidRPr="00F923B2">
        <w:rPr>
          <w:rFonts w:ascii="Garamond" w:hAnsi="Garamond"/>
          <w:lang w:val="en-US"/>
        </w:rPr>
        <w:t xml:space="preserve"> des Nations </w:t>
      </w:r>
      <w:proofErr w:type="spellStart"/>
      <w:r w:rsidRPr="00F923B2">
        <w:rPr>
          <w:rFonts w:ascii="Garamond" w:hAnsi="Garamond"/>
          <w:lang w:val="en-US"/>
        </w:rPr>
        <w:t>Unies</w:t>
      </w:r>
      <w:proofErr w:type="spellEnd"/>
      <w:r w:rsidRPr="00F923B2">
        <w:rPr>
          <w:rFonts w:ascii="Garamond" w:hAnsi="Garamond"/>
          <w:lang w:val="en-US"/>
        </w:rPr>
        <w:t xml:space="preserve"> », </w:t>
      </w:r>
      <w:r w:rsidRPr="00F923B2">
        <w:rPr>
          <w:rFonts w:ascii="Garamond" w:hAnsi="Garamond"/>
          <w:i/>
          <w:iCs/>
          <w:lang w:val="en-US"/>
        </w:rPr>
        <w:t xml:space="preserve">in Le </w:t>
      </w:r>
      <w:proofErr w:type="spellStart"/>
      <w:r w:rsidRPr="00F923B2">
        <w:rPr>
          <w:rFonts w:ascii="Garamond" w:hAnsi="Garamond"/>
          <w:i/>
          <w:iCs/>
          <w:lang w:val="en-US"/>
        </w:rPr>
        <w:t>traitement</w:t>
      </w:r>
      <w:proofErr w:type="spellEnd"/>
      <w:r w:rsidRPr="00F923B2">
        <w:rPr>
          <w:rFonts w:ascii="Garamond" w:hAnsi="Garamond"/>
          <w:i/>
          <w:iCs/>
          <w:lang w:val="en-US"/>
        </w:rPr>
        <w:t xml:space="preserve"> </w:t>
      </w:r>
      <w:proofErr w:type="spellStart"/>
      <w:r w:rsidRPr="00F923B2">
        <w:rPr>
          <w:rFonts w:ascii="Garamond" w:hAnsi="Garamond"/>
          <w:i/>
          <w:iCs/>
          <w:lang w:val="en-US"/>
        </w:rPr>
        <w:t>juridique</w:t>
      </w:r>
      <w:proofErr w:type="spellEnd"/>
      <w:r w:rsidRPr="00F923B2">
        <w:rPr>
          <w:rFonts w:ascii="Garamond" w:hAnsi="Garamond"/>
          <w:i/>
          <w:iCs/>
          <w:lang w:val="en-US"/>
        </w:rPr>
        <w:t xml:space="preserve"> </w:t>
      </w:r>
      <w:proofErr w:type="spellStart"/>
      <w:r w:rsidRPr="00F923B2">
        <w:rPr>
          <w:rFonts w:ascii="Garamond" w:hAnsi="Garamond"/>
          <w:i/>
          <w:iCs/>
          <w:lang w:val="en-US"/>
        </w:rPr>
        <w:t>contemporain</w:t>
      </w:r>
      <w:proofErr w:type="spellEnd"/>
      <w:r w:rsidRPr="00F923B2">
        <w:rPr>
          <w:rFonts w:ascii="Garamond" w:hAnsi="Garamond"/>
          <w:i/>
          <w:iCs/>
          <w:lang w:val="en-US"/>
        </w:rPr>
        <w:t xml:space="preserve">. </w:t>
      </w:r>
      <w:r w:rsidRPr="00D47632">
        <w:rPr>
          <w:rFonts w:ascii="Garamond" w:hAnsi="Garamond"/>
          <w:i/>
          <w:iCs/>
        </w:rPr>
        <w:t>Du fait nucléaire en Polynésie Française</w:t>
      </w:r>
      <w:r w:rsidRPr="00D47632">
        <w:rPr>
          <w:rFonts w:ascii="Garamond" w:hAnsi="Garamond"/>
        </w:rPr>
        <w:t xml:space="preserve">, </w:t>
      </w:r>
      <w:proofErr w:type="spellStart"/>
      <w:r w:rsidRPr="00D47632">
        <w:rPr>
          <w:rFonts w:ascii="Garamond" w:hAnsi="Garamond"/>
        </w:rPr>
        <w:t>Calley</w:t>
      </w:r>
      <w:proofErr w:type="spellEnd"/>
      <w:r w:rsidRPr="00D47632">
        <w:rPr>
          <w:rFonts w:ascii="Garamond" w:hAnsi="Garamond"/>
        </w:rPr>
        <w:t xml:space="preserve"> G. et </w:t>
      </w:r>
      <w:proofErr w:type="spellStart"/>
      <w:r w:rsidRPr="00D47632">
        <w:rPr>
          <w:rFonts w:ascii="Garamond" w:hAnsi="Garamond"/>
        </w:rPr>
        <w:t>Poirat</w:t>
      </w:r>
      <w:proofErr w:type="spellEnd"/>
      <w:r w:rsidRPr="00D47632">
        <w:rPr>
          <w:rFonts w:ascii="Garamond" w:hAnsi="Garamond"/>
        </w:rPr>
        <w:t xml:space="preserve"> F., Éditions A. </w:t>
      </w:r>
      <w:proofErr w:type="spellStart"/>
      <w:r w:rsidRPr="00D47632">
        <w:rPr>
          <w:rFonts w:ascii="Garamond" w:hAnsi="Garamond"/>
        </w:rPr>
        <w:t>Pedone</w:t>
      </w:r>
      <w:proofErr w:type="spellEnd"/>
      <w:r w:rsidRPr="00D47632">
        <w:rPr>
          <w:rFonts w:ascii="Garamond" w:hAnsi="Garamond"/>
        </w:rPr>
        <w:t>, 2023, pp. 341-363.</w:t>
      </w:r>
    </w:p>
  </w:footnote>
  <w:footnote w:id="3">
    <w:p w:rsidR="00D47632" w:rsidRPr="00D47632" w:rsidRDefault="00D47632" w:rsidP="00D47632">
      <w:pPr>
        <w:pStyle w:val="Notedebasdepage"/>
        <w:jc w:val="both"/>
        <w:rPr>
          <w:rFonts w:ascii="Garamond" w:hAnsi="Garamond"/>
          <w:lang w:val="en-US"/>
        </w:rPr>
      </w:pPr>
      <w:r w:rsidRPr="00D47632">
        <w:rPr>
          <w:rStyle w:val="Appelnotedebasdep"/>
          <w:rFonts w:ascii="Garamond" w:hAnsi="Garamond"/>
        </w:rPr>
        <w:footnoteRef/>
      </w:r>
      <w:r w:rsidRPr="00D47632">
        <w:rPr>
          <w:rFonts w:ascii="Garamond" w:hAnsi="Garamond"/>
          <w:lang w:val="en-US"/>
        </w:rPr>
        <w:t xml:space="preserve"> </w:t>
      </w:r>
      <w:r>
        <w:rPr>
          <w:rFonts w:ascii="Garamond" w:hAnsi="Garamond"/>
          <w:lang w:val="en-US"/>
        </w:rPr>
        <w:t xml:space="preserve">According to French law, an </w:t>
      </w:r>
      <w:r w:rsidR="00527E4F">
        <w:rPr>
          <w:rFonts w:ascii="Garamond" w:hAnsi="Garamond"/>
          <w:lang w:val="en-US"/>
        </w:rPr>
        <w:t>‘o</w:t>
      </w:r>
      <w:r>
        <w:rPr>
          <w:rFonts w:ascii="Garamond" w:hAnsi="Garamond"/>
          <w:lang w:val="en-US"/>
        </w:rPr>
        <w:t>rganic law</w:t>
      </w:r>
      <w:r w:rsidR="00527E4F">
        <w:rPr>
          <w:rFonts w:ascii="Garamond" w:hAnsi="Garamond"/>
          <w:lang w:val="en-US"/>
        </w:rPr>
        <w:t>’</w:t>
      </w:r>
      <w:r>
        <w:rPr>
          <w:rFonts w:ascii="Garamond" w:hAnsi="Garamond"/>
          <w:lang w:val="en-US"/>
        </w:rPr>
        <w:t xml:space="preserve"> is a general provision that establishes rules specific to the organization public powers. They modify or supplement the Constitution and are adopted by the French Parliament. </w:t>
      </w:r>
    </w:p>
  </w:footnote>
  <w:footnote w:id="4">
    <w:p w:rsidR="008F74F6" w:rsidRPr="00F70C90" w:rsidRDefault="008F74F6">
      <w:pPr>
        <w:pStyle w:val="Notedebasdepage"/>
        <w:rPr>
          <w:rFonts w:ascii="Garamond" w:hAnsi="Garamond"/>
          <w:lang w:val="en-US"/>
        </w:rPr>
      </w:pPr>
      <w:r w:rsidRPr="007A2ECE">
        <w:rPr>
          <w:rStyle w:val="Appelnotedebasdep"/>
          <w:rFonts w:ascii="Garamond" w:hAnsi="Garamond"/>
        </w:rPr>
        <w:footnoteRef/>
      </w:r>
      <w:r w:rsidRPr="007A2ECE">
        <w:rPr>
          <w:rFonts w:ascii="Garamond" w:hAnsi="Garamond"/>
          <w:lang w:val="en-US"/>
        </w:rPr>
        <w:t xml:space="preserve"> Please refer to the </w:t>
      </w:r>
      <w:r w:rsidRPr="00F70C90">
        <w:rPr>
          <w:rFonts w:ascii="Garamond" w:hAnsi="Garamond"/>
          <w:lang w:val="en-US"/>
        </w:rPr>
        <w:t xml:space="preserve">annex for the English translation of the </w:t>
      </w:r>
      <w:r w:rsidR="007A2ECE" w:rsidRPr="00F70C90">
        <w:rPr>
          <w:rFonts w:ascii="Garamond" w:hAnsi="Garamond"/>
          <w:lang w:val="en-US"/>
        </w:rPr>
        <w:t xml:space="preserve">Organic </w:t>
      </w:r>
      <w:r w:rsidRPr="00F70C90">
        <w:rPr>
          <w:rFonts w:ascii="Garamond" w:hAnsi="Garamond"/>
          <w:lang w:val="en-US"/>
        </w:rPr>
        <w:t>Law</w:t>
      </w:r>
      <w:r w:rsidR="007A2ECE" w:rsidRPr="00F70C90">
        <w:rPr>
          <w:rFonts w:ascii="Garamond" w:hAnsi="Garamond"/>
          <w:lang w:val="en-US"/>
        </w:rPr>
        <w:t>.</w:t>
      </w:r>
    </w:p>
  </w:footnote>
  <w:footnote w:id="5">
    <w:p w:rsidR="00F70C90" w:rsidRPr="00F70C90" w:rsidRDefault="00F70C90" w:rsidP="00F70C90">
      <w:pPr>
        <w:pStyle w:val="Notedebasdepage"/>
        <w:jc w:val="both"/>
        <w:rPr>
          <w:rFonts w:ascii="Garamond" w:hAnsi="Garamond"/>
          <w:lang w:val="en-US"/>
        </w:rPr>
      </w:pPr>
      <w:r w:rsidRPr="00F70C90">
        <w:rPr>
          <w:rStyle w:val="Appelnotedebasdep"/>
          <w:rFonts w:ascii="Garamond" w:hAnsi="Garamond"/>
        </w:rPr>
        <w:footnoteRef/>
      </w:r>
      <w:r w:rsidRPr="00F70C90">
        <w:rPr>
          <w:rFonts w:ascii="Garamond" w:hAnsi="Garamond"/>
          <w:lang w:val="en-US"/>
        </w:rPr>
        <w:t xml:space="preserve"> The level of 1 mSv per year </w:t>
      </w:r>
      <w:r>
        <w:rPr>
          <w:rFonts w:ascii="Garamond" w:hAnsi="Garamond"/>
          <w:lang w:val="en-US"/>
        </w:rPr>
        <w:t xml:space="preserve">is derived </w:t>
      </w:r>
      <w:r w:rsidRPr="00F70C90">
        <w:rPr>
          <w:rFonts w:ascii="Garamond" w:hAnsi="Garamond"/>
          <w:lang w:val="en-US"/>
        </w:rPr>
        <w:t>from international consensus</w:t>
      </w:r>
      <w:r w:rsidR="0050311D">
        <w:rPr>
          <w:rFonts w:ascii="Garamond" w:hAnsi="Garamond"/>
          <w:lang w:val="en-US"/>
        </w:rPr>
        <w:t xml:space="preserve"> built on the report </w:t>
      </w:r>
      <w:r w:rsidRPr="00F70C90">
        <w:rPr>
          <w:rFonts w:ascii="Garamond" w:hAnsi="Garamond"/>
          <w:lang w:val="en-US"/>
        </w:rPr>
        <w:t xml:space="preserve">of the United Nations Scientific Committee on the Effects of Atomic Radiation (UNSCEAR) and the </w:t>
      </w:r>
      <w:r w:rsidR="0050311D">
        <w:rPr>
          <w:rFonts w:ascii="Garamond" w:hAnsi="Garamond"/>
          <w:lang w:val="en-US"/>
        </w:rPr>
        <w:t>statement</w:t>
      </w:r>
      <w:r w:rsidRPr="00F70C90">
        <w:rPr>
          <w:rFonts w:ascii="Garamond" w:hAnsi="Garamond"/>
          <w:lang w:val="en-US"/>
        </w:rPr>
        <w:t xml:space="preserve"> of the International Commission on Radiological Protection (ICRP). This permissible dose level is endorsed by </w:t>
      </w:r>
      <w:r>
        <w:rPr>
          <w:rFonts w:ascii="Garamond" w:hAnsi="Garamond"/>
          <w:lang w:val="en-US"/>
        </w:rPr>
        <w:t xml:space="preserve">various </w:t>
      </w:r>
      <w:r w:rsidRPr="00F70C90">
        <w:rPr>
          <w:rFonts w:ascii="Garamond" w:hAnsi="Garamond"/>
          <w:lang w:val="en-US"/>
        </w:rPr>
        <w:t xml:space="preserve">international organizations: the World Health Organization (WHO), the International Atomic Energy Agency (IAEA), the International </w:t>
      </w:r>
      <w:proofErr w:type="spellStart"/>
      <w:r w:rsidRPr="00F70C90">
        <w:rPr>
          <w:rFonts w:ascii="Garamond" w:hAnsi="Garamond"/>
          <w:lang w:val="en-US"/>
        </w:rPr>
        <w:t>Labour</w:t>
      </w:r>
      <w:proofErr w:type="spellEnd"/>
      <w:r w:rsidRPr="00F70C90">
        <w:rPr>
          <w:rFonts w:ascii="Garamond" w:hAnsi="Garamond"/>
          <w:lang w:val="en-US"/>
        </w:rPr>
        <w:t xml:space="preserve"> Organization (ILO)</w:t>
      </w:r>
      <w:r w:rsidR="00500B51">
        <w:rPr>
          <w:rFonts w:ascii="Garamond" w:hAnsi="Garamond"/>
          <w:lang w:val="en-US"/>
        </w:rPr>
        <w:t xml:space="preserve"> and the EURATOM</w:t>
      </w:r>
      <w:r w:rsidRPr="00F70C90">
        <w:rPr>
          <w:rFonts w:ascii="Garamond" w:hAnsi="Garamond"/>
          <w:lang w:val="en-US"/>
        </w:rPr>
        <w:t>.</w:t>
      </w:r>
      <w:r>
        <w:rPr>
          <w:rFonts w:ascii="Garamond" w:hAnsi="Garamond"/>
          <w:lang w:val="en-US"/>
        </w:rPr>
        <w:t xml:space="preserve"> </w:t>
      </w:r>
      <w:r w:rsidRPr="004F05C8">
        <w:rPr>
          <w:rFonts w:ascii="Garamond" w:hAnsi="Garamond"/>
          <w:lang w:val="en-US"/>
        </w:rPr>
        <w:t xml:space="preserve">See, </w:t>
      </w:r>
      <w:r w:rsidRPr="004F05C8">
        <w:rPr>
          <w:rFonts w:ascii="Garamond" w:hAnsi="Garamond"/>
          <w:i/>
          <w:iCs/>
          <w:lang w:val="en-US"/>
        </w:rPr>
        <w:t xml:space="preserve">Methodology followed by the </w:t>
      </w:r>
      <w:r>
        <w:rPr>
          <w:rFonts w:ascii="Garamond" w:hAnsi="Garamond"/>
          <w:i/>
          <w:iCs/>
          <w:lang w:val="en-US"/>
        </w:rPr>
        <w:t>Compensation Committee for Victims of Nuclear Tests (CIVEN)</w:t>
      </w:r>
      <w:r>
        <w:rPr>
          <w:rFonts w:ascii="Garamond" w:hAnsi="Garamond"/>
          <w:lang w:val="en-US"/>
        </w:rPr>
        <w:t>,</w:t>
      </w:r>
      <w:r w:rsidRPr="004F05C8">
        <w:rPr>
          <w:rFonts w:ascii="Garamond" w:hAnsi="Garamond"/>
          <w:lang w:val="en-US"/>
        </w:rPr>
        <w:t xml:space="preserve"> Annex to Resolution n° 2020-1 of 22 June 2020,</w:t>
      </w:r>
      <w:r>
        <w:rPr>
          <w:rFonts w:ascii="Garamond" w:hAnsi="Garamond"/>
          <w:lang w:val="en-US"/>
        </w:rPr>
        <w:t xml:space="preserve"> p. 9,</w:t>
      </w:r>
      <w:r w:rsidRPr="004F05C8">
        <w:rPr>
          <w:rFonts w:ascii="Garamond" w:hAnsi="Garamond"/>
          <w:lang w:val="en-US"/>
        </w:rPr>
        <w:t xml:space="preserve"> available online: </w:t>
      </w:r>
      <w:hyperlink r:id="rId2" w:history="1">
        <w:r w:rsidRPr="004F05C8">
          <w:rPr>
            <w:rStyle w:val="Lienhypertexte"/>
            <w:rFonts w:ascii="Garamond" w:hAnsi="Garamond"/>
            <w:lang w:val="en-US"/>
          </w:rPr>
          <w:t>https://www.gouvernement.fr/upload/media/organization/0001/01/sites_default_files_contenu_piece-jointe_2020_06_methodologie_suivie_par_le_civen_-_22_juin_2020.pdf</w:t>
        </w:r>
      </w:hyperlink>
      <w:r>
        <w:rPr>
          <w:lang w:val="en-US"/>
        </w:rPr>
        <w:t xml:space="preserve"> </w:t>
      </w:r>
    </w:p>
  </w:footnote>
  <w:footnote w:id="6">
    <w:p w:rsidR="004F05C8" w:rsidRPr="004F05C8" w:rsidRDefault="004F05C8" w:rsidP="004F05C8">
      <w:pPr>
        <w:pStyle w:val="Notedebasdepage"/>
        <w:jc w:val="both"/>
        <w:rPr>
          <w:rFonts w:ascii="Garamond" w:hAnsi="Garamond"/>
          <w:lang w:val="en-US"/>
        </w:rPr>
      </w:pPr>
      <w:r w:rsidRPr="004F05C8">
        <w:rPr>
          <w:rStyle w:val="Appelnotedebasdep"/>
          <w:rFonts w:ascii="Garamond" w:hAnsi="Garamond"/>
        </w:rPr>
        <w:footnoteRef/>
      </w:r>
      <w:r w:rsidRPr="004F05C8">
        <w:rPr>
          <w:rFonts w:ascii="Garamond" w:hAnsi="Garamond"/>
          <w:lang w:val="en-US"/>
        </w:rPr>
        <w:t xml:space="preserve"> See, </w:t>
      </w:r>
      <w:r w:rsidRPr="004F05C8">
        <w:rPr>
          <w:rFonts w:ascii="Garamond" w:hAnsi="Garamond"/>
          <w:i/>
          <w:iCs/>
          <w:lang w:val="en-US"/>
        </w:rPr>
        <w:t xml:space="preserve">Methodology followed by the </w:t>
      </w:r>
      <w:r>
        <w:rPr>
          <w:rFonts w:ascii="Garamond" w:hAnsi="Garamond"/>
          <w:i/>
          <w:iCs/>
          <w:lang w:val="en-US"/>
        </w:rPr>
        <w:t>Compensation Committee for Victims of Nuclear Tests (CIVEN)</w:t>
      </w:r>
      <w:r>
        <w:rPr>
          <w:rFonts w:ascii="Garamond" w:hAnsi="Garamond"/>
          <w:lang w:val="en-US"/>
        </w:rPr>
        <w:t>,</w:t>
      </w:r>
      <w:r w:rsidRPr="004F05C8">
        <w:rPr>
          <w:rFonts w:ascii="Garamond" w:hAnsi="Garamond"/>
          <w:lang w:val="en-US"/>
        </w:rPr>
        <w:t xml:space="preserve"> Annex to Resolution n° 2020-1 of 22 June 2020, available online: </w:t>
      </w:r>
      <w:hyperlink r:id="rId3" w:history="1">
        <w:r w:rsidRPr="004F05C8">
          <w:rPr>
            <w:rStyle w:val="Lienhypertexte"/>
            <w:rFonts w:ascii="Garamond" w:hAnsi="Garamond"/>
            <w:lang w:val="en-US"/>
          </w:rPr>
          <w:t>https://www.gouvernement.fr/upload/media/organization/0001/01/sites_default_files_contenu_piece-jointe_2020_06_methodologie_suivie_par_le_civen_-_22_juin_2020.pdf</w:t>
        </w:r>
      </w:hyperlink>
      <w:r>
        <w:rPr>
          <w:lang w:val="en-US"/>
        </w:rPr>
        <w:t xml:space="preserve"> </w:t>
      </w:r>
    </w:p>
  </w:footnote>
  <w:footnote w:id="7">
    <w:p w:rsidR="00AC0620" w:rsidRPr="00BB03EE" w:rsidRDefault="00AC0620" w:rsidP="00AC0620">
      <w:pPr>
        <w:pStyle w:val="Notedebasdepage"/>
        <w:jc w:val="both"/>
        <w:rPr>
          <w:rFonts w:ascii="Garamond" w:hAnsi="Garamond"/>
          <w:lang w:val="en-US"/>
        </w:rPr>
      </w:pPr>
      <w:r w:rsidRPr="00D47632">
        <w:rPr>
          <w:rStyle w:val="Appelnotedebasdep"/>
          <w:rFonts w:ascii="Garamond" w:hAnsi="Garamond"/>
        </w:rPr>
        <w:footnoteRef/>
      </w:r>
      <w:r w:rsidRPr="00D47632">
        <w:rPr>
          <w:rFonts w:ascii="Garamond" w:hAnsi="Garamond"/>
          <w:lang w:val="en-US"/>
        </w:rPr>
        <w:t xml:space="preserve"> </w:t>
      </w:r>
      <w:r>
        <w:rPr>
          <w:rFonts w:ascii="Garamond" w:hAnsi="Garamond"/>
          <w:lang w:val="en-US"/>
        </w:rPr>
        <w:t xml:space="preserve">According to French </w:t>
      </w:r>
      <w:r w:rsidRPr="00BB03EE">
        <w:rPr>
          <w:rFonts w:ascii="Garamond" w:hAnsi="Garamond"/>
          <w:lang w:val="en-US"/>
        </w:rPr>
        <w:t xml:space="preserve">law, an ‘organic law’ is a general provision that establishes rules specific to the organization public powers. They modify or supplement the Constitution and are adopted by the French Parliament. </w:t>
      </w:r>
    </w:p>
  </w:footnote>
  <w:footnote w:id="8">
    <w:p w:rsidR="00BB03EE" w:rsidRPr="00BB03EE" w:rsidRDefault="00BB03EE" w:rsidP="00BB03EE">
      <w:pPr>
        <w:pStyle w:val="Notedebasdepage"/>
        <w:jc w:val="both"/>
        <w:rPr>
          <w:rFonts w:ascii="Garamond" w:hAnsi="Garamond"/>
          <w:lang w:val="en-US"/>
        </w:rPr>
      </w:pPr>
      <w:r w:rsidRPr="00BB03EE">
        <w:rPr>
          <w:rStyle w:val="Appelnotedebasdep"/>
          <w:rFonts w:ascii="Garamond" w:hAnsi="Garamond"/>
        </w:rPr>
        <w:footnoteRef/>
      </w:r>
      <w:r w:rsidRPr="00BB03EE">
        <w:rPr>
          <w:rFonts w:ascii="Garamond" w:hAnsi="Garamond"/>
          <w:lang w:val="en-US"/>
        </w:rPr>
        <w:t xml:space="preserve"> Decree n° 1878/DOM of 4 August 1964. A decree of 1 August 1980 of the delegation of the Minister of Defense classified these sites as </w:t>
      </w:r>
      <w:r>
        <w:rPr>
          <w:rFonts w:ascii="Garamond" w:hAnsi="Garamond"/>
          <w:lang w:val="en-US"/>
        </w:rPr>
        <w:t>“</w:t>
      </w:r>
      <w:r w:rsidRPr="00BB03EE">
        <w:rPr>
          <w:rFonts w:ascii="Garamond" w:hAnsi="Garamond"/>
          <w:lang w:val="en-US"/>
        </w:rPr>
        <w:t>protected areas of national defense</w:t>
      </w:r>
      <w:r>
        <w:rPr>
          <w:rFonts w:ascii="Garamond" w:hAnsi="Garamond"/>
          <w:lang w:val="en-US"/>
        </w:rPr>
        <w:t>”</w:t>
      </w:r>
      <w:r w:rsidRPr="00BB03EE">
        <w:rPr>
          <w:rFonts w:ascii="Garamond" w:hAnsi="Garamond"/>
          <w:lang w:val="en-US"/>
        </w:rPr>
        <w:t>.</w:t>
      </w:r>
    </w:p>
  </w:footnote>
  <w:footnote w:id="9">
    <w:p w:rsidR="00AE0389" w:rsidRPr="003A4E89" w:rsidRDefault="00AE0389" w:rsidP="000E6756">
      <w:pPr>
        <w:pStyle w:val="Notedebasdepage"/>
        <w:jc w:val="both"/>
        <w:rPr>
          <w:rFonts w:ascii="Garamond" w:hAnsi="Garamond"/>
          <w:lang w:val="en-US"/>
        </w:rPr>
      </w:pPr>
      <w:r w:rsidRPr="000E6756">
        <w:rPr>
          <w:rStyle w:val="Appelnotedebasdep"/>
          <w:rFonts w:ascii="Garamond" w:hAnsi="Garamond"/>
        </w:rPr>
        <w:footnoteRef/>
      </w:r>
      <w:r w:rsidRPr="000E6756">
        <w:rPr>
          <w:rFonts w:ascii="Garamond" w:hAnsi="Garamond"/>
          <w:lang w:val="en-US"/>
        </w:rPr>
        <w:t xml:space="preserve"> </w:t>
      </w:r>
      <w:r w:rsidR="00FA6FFB" w:rsidRPr="000E6756">
        <w:rPr>
          <w:rFonts w:ascii="Garamond" w:hAnsi="Garamond"/>
          <w:lang w:val="en-US"/>
        </w:rPr>
        <w:t xml:space="preserve">Council of State, </w:t>
      </w:r>
      <w:r w:rsidR="00FA6FFB" w:rsidRPr="003A4E89">
        <w:rPr>
          <w:rFonts w:ascii="Garamond" w:hAnsi="Garamond"/>
          <w:lang w:val="en-US"/>
        </w:rPr>
        <w:t>Ruling</w:t>
      </w:r>
      <w:r w:rsidRPr="003A4E89">
        <w:rPr>
          <w:rFonts w:ascii="Garamond" w:hAnsi="Garamond"/>
          <w:lang w:val="en-US"/>
        </w:rPr>
        <w:t xml:space="preserve"> n° 451129, 20 </w:t>
      </w:r>
      <w:r w:rsidR="000E6756" w:rsidRPr="003A4E89">
        <w:rPr>
          <w:rFonts w:ascii="Garamond" w:hAnsi="Garamond"/>
          <w:lang w:val="en-US"/>
        </w:rPr>
        <w:t>S</w:t>
      </w:r>
      <w:r w:rsidRPr="003A4E89">
        <w:rPr>
          <w:rFonts w:ascii="Garamond" w:hAnsi="Garamond"/>
          <w:lang w:val="en-US"/>
        </w:rPr>
        <w:t>eptembe</w:t>
      </w:r>
      <w:r w:rsidR="000E6756" w:rsidRPr="003A4E89">
        <w:rPr>
          <w:rFonts w:ascii="Garamond" w:hAnsi="Garamond"/>
          <w:lang w:val="en-US"/>
        </w:rPr>
        <w:t>r</w:t>
      </w:r>
      <w:r w:rsidRPr="003A4E89">
        <w:rPr>
          <w:rFonts w:ascii="Garamond" w:hAnsi="Garamond"/>
          <w:lang w:val="en-US"/>
        </w:rPr>
        <w:t xml:space="preserve"> 2022.</w:t>
      </w:r>
    </w:p>
  </w:footnote>
  <w:footnote w:id="10">
    <w:p w:rsidR="003A4E89" w:rsidRPr="003A4E89" w:rsidRDefault="003A4E89" w:rsidP="001A64DC">
      <w:pPr>
        <w:pStyle w:val="Notedebasdepage"/>
        <w:jc w:val="both"/>
        <w:rPr>
          <w:rFonts w:ascii="Garamond" w:hAnsi="Garamond"/>
          <w:lang w:val="en-US"/>
        </w:rPr>
      </w:pPr>
      <w:r w:rsidRPr="003A4E89">
        <w:rPr>
          <w:rStyle w:val="Appelnotedebasdep"/>
          <w:rFonts w:ascii="Garamond" w:hAnsi="Garamond"/>
        </w:rPr>
        <w:footnoteRef/>
      </w:r>
      <w:r w:rsidRPr="003A4E89">
        <w:rPr>
          <w:rFonts w:ascii="Garamond" w:hAnsi="Garamond"/>
          <w:lang w:val="en-US"/>
        </w:rPr>
        <w:t xml:space="preserve"> Constitutional Council, </w:t>
      </w:r>
      <w:r w:rsidR="00F10DCC" w:rsidRPr="00F10DCC">
        <w:rPr>
          <w:rFonts w:ascii="Garamond" w:hAnsi="Garamond"/>
          <w:i/>
          <w:iCs/>
          <w:lang w:val="en-US"/>
        </w:rPr>
        <w:t xml:space="preserve">Association Meuse Nature </w:t>
      </w:r>
      <w:proofErr w:type="spellStart"/>
      <w:r w:rsidR="00F10DCC" w:rsidRPr="00F10DCC">
        <w:rPr>
          <w:rFonts w:ascii="Garamond" w:hAnsi="Garamond"/>
          <w:i/>
          <w:iCs/>
          <w:lang w:val="en-US"/>
        </w:rPr>
        <w:t>Environ</w:t>
      </w:r>
      <w:r w:rsidR="001A64DC">
        <w:rPr>
          <w:rFonts w:ascii="Garamond" w:hAnsi="Garamond"/>
          <w:i/>
          <w:iCs/>
          <w:lang w:val="en-US"/>
        </w:rPr>
        <w:t>ne</w:t>
      </w:r>
      <w:r w:rsidR="00F10DCC" w:rsidRPr="00F10DCC">
        <w:rPr>
          <w:rFonts w:ascii="Garamond" w:hAnsi="Garamond"/>
          <w:i/>
          <w:iCs/>
          <w:lang w:val="en-US"/>
        </w:rPr>
        <w:t>ment</w:t>
      </w:r>
      <w:proofErr w:type="spellEnd"/>
      <w:r w:rsidR="00F10DCC" w:rsidRPr="00F10DCC">
        <w:rPr>
          <w:rFonts w:ascii="Garamond" w:hAnsi="Garamond"/>
          <w:i/>
          <w:iCs/>
          <w:lang w:val="en-US"/>
        </w:rPr>
        <w:t xml:space="preserve"> and others (Storage of radioactive waste in deep geological </w:t>
      </w:r>
      <w:r w:rsidR="001A64DC">
        <w:rPr>
          <w:rFonts w:ascii="Garamond" w:hAnsi="Garamond"/>
          <w:i/>
          <w:iCs/>
          <w:lang w:val="en-US"/>
        </w:rPr>
        <w:t>repositories</w:t>
      </w:r>
      <w:r w:rsidR="00F10DCC" w:rsidRPr="00F10DCC">
        <w:rPr>
          <w:rFonts w:ascii="Garamond" w:hAnsi="Garamond"/>
          <w:i/>
          <w:iCs/>
          <w:lang w:val="en-US"/>
        </w:rPr>
        <w:t>)</w:t>
      </w:r>
      <w:r w:rsidR="00F10DCC">
        <w:rPr>
          <w:rFonts w:ascii="Garamond" w:hAnsi="Garamond"/>
          <w:lang w:val="en-US"/>
        </w:rPr>
        <w:t xml:space="preserve">, </w:t>
      </w:r>
      <w:r w:rsidRPr="003A4E89">
        <w:rPr>
          <w:rFonts w:ascii="Garamond" w:hAnsi="Garamond"/>
          <w:lang w:val="en-US"/>
        </w:rPr>
        <w:t>Decision n° 2023-1066, QPC of 27 October 2023.</w:t>
      </w:r>
    </w:p>
  </w:footnote>
  <w:footnote w:id="11">
    <w:p w:rsidR="00117762" w:rsidRPr="003A4E89" w:rsidRDefault="00117762" w:rsidP="00117762">
      <w:pPr>
        <w:pStyle w:val="NormalWeb"/>
        <w:spacing w:before="0" w:beforeAutospacing="0" w:after="0" w:afterAutospacing="0"/>
        <w:jc w:val="both"/>
        <w:rPr>
          <w:rFonts w:ascii="Garamond" w:hAnsi="Garamond"/>
          <w:sz w:val="20"/>
          <w:szCs w:val="20"/>
          <w:lang w:val="en-US"/>
        </w:rPr>
      </w:pPr>
      <w:r w:rsidRPr="003A4E89">
        <w:rPr>
          <w:rStyle w:val="Appelnotedebasdep"/>
          <w:rFonts w:ascii="Garamond" w:hAnsi="Garamond"/>
          <w:sz w:val="20"/>
          <w:szCs w:val="20"/>
        </w:rPr>
        <w:footnoteRef/>
      </w:r>
      <w:r w:rsidRPr="003A4E89">
        <w:rPr>
          <w:rFonts w:ascii="Garamond" w:hAnsi="Garamond"/>
          <w:sz w:val="20"/>
          <w:szCs w:val="20"/>
          <w:lang w:val="en-US"/>
        </w:rPr>
        <w:t xml:space="preserve"> See, SR-Env reports on “Clean air and human rights”, A/HRC/40/55, 2019; “Human rights and a safe climate”, A/74/161, 2019; “Human rights depend on healthy and sustainable food systems”, A/76/179, 2021; “The global water crisis and human rights”, A/HRC/46/28, 2021; “Human rights depend on a non-toxic environment”, A/HRC/49/53, 2022; “Human rights depend on a healthy biosphere”, A/75/161, 2020; “Human rights depend on a healthy biosphere: good practices”, Annex to A/75/161, 2020. </w:t>
      </w:r>
    </w:p>
  </w:footnote>
  <w:footnote w:id="12">
    <w:p w:rsidR="00117762" w:rsidRPr="00117762" w:rsidRDefault="00117762" w:rsidP="00117762">
      <w:pPr>
        <w:pStyle w:val="NormalWeb"/>
        <w:spacing w:before="0" w:beforeAutospacing="0" w:after="0" w:afterAutospacing="0"/>
        <w:jc w:val="both"/>
        <w:rPr>
          <w:lang w:val="en-US"/>
        </w:rPr>
      </w:pPr>
      <w:r w:rsidRPr="003A4E89">
        <w:rPr>
          <w:rStyle w:val="Appelnotedebasdep"/>
          <w:rFonts w:ascii="Garamond" w:hAnsi="Garamond"/>
          <w:sz w:val="20"/>
          <w:szCs w:val="20"/>
        </w:rPr>
        <w:footnoteRef/>
      </w:r>
      <w:r w:rsidRPr="003A4E89">
        <w:rPr>
          <w:rFonts w:ascii="Garamond" w:hAnsi="Garamond"/>
          <w:sz w:val="20"/>
          <w:szCs w:val="20"/>
          <w:lang w:val="en-US"/>
        </w:rPr>
        <w:t xml:space="preserve"> Committee on the Rights of Child, General Comment No. 26 on children’s rights and the environment, with a special focus on climate change, CRC/C/GC/26, 2023. OHCHR, UNEP, UNDP, Information Note, </w:t>
      </w:r>
      <w:r w:rsidRPr="003A4E89">
        <w:rPr>
          <w:rFonts w:ascii="Garamond" w:hAnsi="Garamond"/>
          <w:i/>
          <w:iCs/>
          <w:sz w:val="20"/>
          <w:szCs w:val="20"/>
          <w:lang w:val="en-US"/>
        </w:rPr>
        <w:t>“What is the Right to a Healthy Environme</w:t>
      </w:r>
      <w:r w:rsidRPr="00117762">
        <w:rPr>
          <w:rFonts w:ascii="Garamond" w:hAnsi="Garamond"/>
          <w:i/>
          <w:iCs/>
          <w:sz w:val="20"/>
          <w:szCs w:val="20"/>
          <w:lang w:val="en-US"/>
        </w:rPr>
        <w:t>nt?”</w:t>
      </w:r>
      <w:r w:rsidRPr="00117762">
        <w:rPr>
          <w:rFonts w:ascii="Garamond" w:hAnsi="Garamond"/>
          <w:sz w:val="20"/>
          <w:szCs w:val="20"/>
          <w:lang w:val="en-US"/>
        </w:rPr>
        <w:t xml:space="preserve">, 2023, p.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F9A"/>
    <w:multiLevelType w:val="hybridMultilevel"/>
    <w:tmpl w:val="703C32E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D0585D"/>
    <w:multiLevelType w:val="multilevel"/>
    <w:tmpl w:val="74BCED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47003"/>
    <w:multiLevelType w:val="hybridMultilevel"/>
    <w:tmpl w:val="90E407B8"/>
    <w:lvl w:ilvl="0" w:tplc="487C0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991852"/>
    <w:multiLevelType w:val="hybridMultilevel"/>
    <w:tmpl w:val="49328DC6"/>
    <w:lvl w:ilvl="0" w:tplc="52AC1A9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F1D0D21"/>
    <w:multiLevelType w:val="hybridMultilevel"/>
    <w:tmpl w:val="A2FAF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394F63"/>
    <w:multiLevelType w:val="hybridMultilevel"/>
    <w:tmpl w:val="412807E8"/>
    <w:lvl w:ilvl="0" w:tplc="C08C42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861BA0"/>
    <w:multiLevelType w:val="hybridMultilevel"/>
    <w:tmpl w:val="84DA17F6"/>
    <w:lvl w:ilvl="0" w:tplc="00DE8F72">
      <w:start w:val="2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697633">
    <w:abstractNumId w:val="6"/>
  </w:num>
  <w:num w:numId="2" w16cid:durableId="1239053125">
    <w:abstractNumId w:val="1"/>
  </w:num>
  <w:num w:numId="3" w16cid:durableId="1268385452">
    <w:abstractNumId w:val="2"/>
  </w:num>
  <w:num w:numId="4" w16cid:durableId="1164007191">
    <w:abstractNumId w:val="5"/>
  </w:num>
  <w:num w:numId="5" w16cid:durableId="173424458">
    <w:abstractNumId w:val="0"/>
  </w:num>
  <w:num w:numId="6" w16cid:durableId="396706698">
    <w:abstractNumId w:val="4"/>
  </w:num>
  <w:num w:numId="7" w16cid:durableId="1680765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0"/>
    <w:rsid w:val="00003997"/>
    <w:rsid w:val="00015FC1"/>
    <w:rsid w:val="000428F9"/>
    <w:rsid w:val="00055545"/>
    <w:rsid w:val="000B5724"/>
    <w:rsid w:val="000C09DD"/>
    <w:rsid w:val="000E6756"/>
    <w:rsid w:val="00117762"/>
    <w:rsid w:val="0012000E"/>
    <w:rsid w:val="00122DD0"/>
    <w:rsid w:val="001333F0"/>
    <w:rsid w:val="00187831"/>
    <w:rsid w:val="00190796"/>
    <w:rsid w:val="00193B96"/>
    <w:rsid w:val="001A64DC"/>
    <w:rsid w:val="001B73F5"/>
    <w:rsid w:val="001E1957"/>
    <w:rsid w:val="001F34DB"/>
    <w:rsid w:val="002144EA"/>
    <w:rsid w:val="00226754"/>
    <w:rsid w:val="0022752F"/>
    <w:rsid w:val="00237096"/>
    <w:rsid w:val="00270A41"/>
    <w:rsid w:val="002B5ADF"/>
    <w:rsid w:val="002C229F"/>
    <w:rsid w:val="002E1152"/>
    <w:rsid w:val="002E2432"/>
    <w:rsid w:val="002E26CF"/>
    <w:rsid w:val="002F2ABD"/>
    <w:rsid w:val="00311FD4"/>
    <w:rsid w:val="00317D26"/>
    <w:rsid w:val="00342B79"/>
    <w:rsid w:val="003433E8"/>
    <w:rsid w:val="0034513A"/>
    <w:rsid w:val="003463C2"/>
    <w:rsid w:val="003772E3"/>
    <w:rsid w:val="003A4E89"/>
    <w:rsid w:val="003D33D8"/>
    <w:rsid w:val="003E74F3"/>
    <w:rsid w:val="003F197D"/>
    <w:rsid w:val="00442566"/>
    <w:rsid w:val="00443651"/>
    <w:rsid w:val="00470FCE"/>
    <w:rsid w:val="00473CA2"/>
    <w:rsid w:val="00477061"/>
    <w:rsid w:val="004F05C8"/>
    <w:rsid w:val="00500B51"/>
    <w:rsid w:val="0050311D"/>
    <w:rsid w:val="0051726E"/>
    <w:rsid w:val="00527E4F"/>
    <w:rsid w:val="00546473"/>
    <w:rsid w:val="00577CFF"/>
    <w:rsid w:val="005B754C"/>
    <w:rsid w:val="00612265"/>
    <w:rsid w:val="0063681B"/>
    <w:rsid w:val="00650361"/>
    <w:rsid w:val="006A3839"/>
    <w:rsid w:val="006C3F4E"/>
    <w:rsid w:val="006D5B7A"/>
    <w:rsid w:val="006E5054"/>
    <w:rsid w:val="00724FDE"/>
    <w:rsid w:val="00757DA0"/>
    <w:rsid w:val="00762425"/>
    <w:rsid w:val="00786425"/>
    <w:rsid w:val="007A17BC"/>
    <w:rsid w:val="007A2A3A"/>
    <w:rsid w:val="007A2ECE"/>
    <w:rsid w:val="007A76C4"/>
    <w:rsid w:val="007B5F70"/>
    <w:rsid w:val="007B7E57"/>
    <w:rsid w:val="007C3FE8"/>
    <w:rsid w:val="007E542E"/>
    <w:rsid w:val="00825D14"/>
    <w:rsid w:val="00836A7B"/>
    <w:rsid w:val="0087348A"/>
    <w:rsid w:val="008C0EBD"/>
    <w:rsid w:val="008D49E0"/>
    <w:rsid w:val="008F3B7C"/>
    <w:rsid w:val="008F6924"/>
    <w:rsid w:val="008F74F6"/>
    <w:rsid w:val="009817A7"/>
    <w:rsid w:val="00983DBD"/>
    <w:rsid w:val="00994F29"/>
    <w:rsid w:val="009C5DA5"/>
    <w:rsid w:val="009D43B5"/>
    <w:rsid w:val="00A120FE"/>
    <w:rsid w:val="00A30714"/>
    <w:rsid w:val="00A35C0E"/>
    <w:rsid w:val="00AA0F9B"/>
    <w:rsid w:val="00AA22A1"/>
    <w:rsid w:val="00AC0620"/>
    <w:rsid w:val="00AE0389"/>
    <w:rsid w:val="00AF4629"/>
    <w:rsid w:val="00B16755"/>
    <w:rsid w:val="00B52750"/>
    <w:rsid w:val="00BA3F8C"/>
    <w:rsid w:val="00BB03EE"/>
    <w:rsid w:val="00BD22A8"/>
    <w:rsid w:val="00C07130"/>
    <w:rsid w:val="00C2595F"/>
    <w:rsid w:val="00C74EA8"/>
    <w:rsid w:val="00CB23CC"/>
    <w:rsid w:val="00CB5427"/>
    <w:rsid w:val="00CD6562"/>
    <w:rsid w:val="00D14E7F"/>
    <w:rsid w:val="00D2261B"/>
    <w:rsid w:val="00D26A25"/>
    <w:rsid w:val="00D45777"/>
    <w:rsid w:val="00D4683D"/>
    <w:rsid w:val="00D47632"/>
    <w:rsid w:val="00D6776A"/>
    <w:rsid w:val="00DB1F84"/>
    <w:rsid w:val="00DC1D85"/>
    <w:rsid w:val="00E16107"/>
    <w:rsid w:val="00E21712"/>
    <w:rsid w:val="00E37E35"/>
    <w:rsid w:val="00E64C0B"/>
    <w:rsid w:val="00EB049B"/>
    <w:rsid w:val="00EE1F8E"/>
    <w:rsid w:val="00F10DCC"/>
    <w:rsid w:val="00F64F3A"/>
    <w:rsid w:val="00F70C90"/>
    <w:rsid w:val="00F90F0A"/>
    <w:rsid w:val="00F923B2"/>
    <w:rsid w:val="00FA6FFB"/>
    <w:rsid w:val="00FC19AB"/>
    <w:rsid w:val="00FD5778"/>
    <w:rsid w:val="00FE7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97A887"/>
  <w15:chartTrackingRefBased/>
  <w15:docId w15:val="{4E70CDD5-5CEF-664D-BFB6-92F7F4C0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712"/>
    <w:pPr>
      <w:ind w:left="720"/>
      <w:contextualSpacing/>
    </w:pPr>
  </w:style>
  <w:style w:type="character" w:styleId="Lienhypertexte">
    <w:name w:val="Hyperlink"/>
    <w:basedOn w:val="Policepardfaut"/>
    <w:uiPriority w:val="99"/>
    <w:unhideWhenUsed/>
    <w:rsid w:val="001B73F5"/>
    <w:rPr>
      <w:color w:val="0563C1" w:themeColor="hyperlink"/>
      <w:u w:val="single"/>
    </w:rPr>
  </w:style>
  <w:style w:type="character" w:styleId="Mentionnonrsolue">
    <w:name w:val="Unresolved Mention"/>
    <w:basedOn w:val="Policepardfaut"/>
    <w:uiPriority w:val="99"/>
    <w:semiHidden/>
    <w:unhideWhenUsed/>
    <w:rsid w:val="001B73F5"/>
    <w:rPr>
      <w:color w:val="605E5C"/>
      <w:shd w:val="clear" w:color="auto" w:fill="E1DFDD"/>
    </w:rPr>
  </w:style>
  <w:style w:type="paragraph" w:styleId="Notedebasdepage">
    <w:name w:val="footnote text"/>
    <w:basedOn w:val="Normal"/>
    <w:link w:val="NotedebasdepageCar"/>
    <w:uiPriority w:val="99"/>
    <w:semiHidden/>
    <w:unhideWhenUsed/>
    <w:rsid w:val="00A30714"/>
    <w:rPr>
      <w:sz w:val="20"/>
      <w:szCs w:val="20"/>
    </w:rPr>
  </w:style>
  <w:style w:type="character" w:customStyle="1" w:styleId="NotedebasdepageCar">
    <w:name w:val="Note de bas de page Car"/>
    <w:basedOn w:val="Policepardfaut"/>
    <w:link w:val="Notedebasdepage"/>
    <w:uiPriority w:val="99"/>
    <w:semiHidden/>
    <w:rsid w:val="00A30714"/>
    <w:rPr>
      <w:sz w:val="20"/>
      <w:szCs w:val="20"/>
    </w:rPr>
  </w:style>
  <w:style w:type="character" w:styleId="Appelnotedebasdep">
    <w:name w:val="footnote reference"/>
    <w:basedOn w:val="Policepardfaut"/>
    <w:uiPriority w:val="99"/>
    <w:semiHidden/>
    <w:unhideWhenUsed/>
    <w:rsid w:val="00A30714"/>
    <w:rPr>
      <w:vertAlign w:val="superscript"/>
    </w:rPr>
  </w:style>
  <w:style w:type="paragraph" w:styleId="NormalWeb">
    <w:name w:val="Normal (Web)"/>
    <w:basedOn w:val="Normal"/>
    <w:uiPriority w:val="99"/>
    <w:unhideWhenUsed/>
    <w:rsid w:val="009D43B5"/>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2E26CF"/>
    <w:pPr>
      <w:tabs>
        <w:tab w:val="center" w:pos="4536"/>
        <w:tab w:val="right" w:pos="9072"/>
      </w:tabs>
    </w:pPr>
  </w:style>
  <w:style w:type="character" w:customStyle="1" w:styleId="PieddepageCar">
    <w:name w:val="Pied de page Car"/>
    <w:basedOn w:val="Policepardfaut"/>
    <w:link w:val="Pieddepage"/>
    <w:uiPriority w:val="99"/>
    <w:rsid w:val="002E26CF"/>
  </w:style>
  <w:style w:type="character" w:styleId="Numrodepage">
    <w:name w:val="page number"/>
    <w:basedOn w:val="Policepardfaut"/>
    <w:uiPriority w:val="99"/>
    <w:semiHidden/>
    <w:unhideWhenUsed/>
    <w:rsid w:val="002E26CF"/>
  </w:style>
  <w:style w:type="character" w:styleId="Lienhypertextesuivivisit">
    <w:name w:val="FollowedHyperlink"/>
    <w:basedOn w:val="Policepardfaut"/>
    <w:uiPriority w:val="99"/>
    <w:semiHidden/>
    <w:unhideWhenUsed/>
    <w:rsid w:val="00E64C0B"/>
    <w:rPr>
      <w:color w:val="954F72" w:themeColor="followedHyperlink"/>
      <w:u w:val="single"/>
    </w:rPr>
  </w:style>
  <w:style w:type="paragraph" w:styleId="En-tte">
    <w:name w:val="header"/>
    <w:basedOn w:val="Normal"/>
    <w:link w:val="En-tteCar"/>
    <w:uiPriority w:val="99"/>
    <w:unhideWhenUsed/>
    <w:rsid w:val="00D4683D"/>
    <w:pPr>
      <w:tabs>
        <w:tab w:val="center" w:pos="4536"/>
        <w:tab w:val="right" w:pos="9072"/>
      </w:tabs>
    </w:pPr>
  </w:style>
  <w:style w:type="character" w:customStyle="1" w:styleId="En-tteCar">
    <w:name w:val="En-tête Car"/>
    <w:basedOn w:val="Policepardfaut"/>
    <w:link w:val="En-tte"/>
    <w:uiPriority w:val="99"/>
    <w:rsid w:val="00D46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5759">
      <w:bodyDiv w:val="1"/>
      <w:marLeft w:val="0"/>
      <w:marRight w:val="0"/>
      <w:marTop w:val="0"/>
      <w:marBottom w:val="0"/>
      <w:divBdr>
        <w:top w:val="none" w:sz="0" w:space="0" w:color="auto"/>
        <w:left w:val="none" w:sz="0" w:space="0" w:color="auto"/>
        <w:bottom w:val="none" w:sz="0" w:space="0" w:color="auto"/>
        <w:right w:val="none" w:sz="0" w:space="0" w:color="auto"/>
      </w:divBdr>
      <w:divsChild>
        <w:div w:id="1800999137">
          <w:marLeft w:val="0"/>
          <w:marRight w:val="0"/>
          <w:marTop w:val="0"/>
          <w:marBottom w:val="0"/>
          <w:divBdr>
            <w:top w:val="none" w:sz="0" w:space="0" w:color="auto"/>
            <w:left w:val="none" w:sz="0" w:space="0" w:color="auto"/>
            <w:bottom w:val="none" w:sz="0" w:space="0" w:color="auto"/>
            <w:right w:val="none" w:sz="0" w:space="0" w:color="auto"/>
          </w:divBdr>
          <w:divsChild>
            <w:div w:id="972172277">
              <w:marLeft w:val="0"/>
              <w:marRight w:val="0"/>
              <w:marTop w:val="0"/>
              <w:marBottom w:val="0"/>
              <w:divBdr>
                <w:top w:val="none" w:sz="0" w:space="0" w:color="auto"/>
                <w:left w:val="none" w:sz="0" w:space="0" w:color="auto"/>
                <w:bottom w:val="none" w:sz="0" w:space="0" w:color="auto"/>
                <w:right w:val="none" w:sz="0" w:space="0" w:color="auto"/>
              </w:divBdr>
              <w:divsChild>
                <w:div w:id="3773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1363">
      <w:bodyDiv w:val="1"/>
      <w:marLeft w:val="0"/>
      <w:marRight w:val="0"/>
      <w:marTop w:val="0"/>
      <w:marBottom w:val="0"/>
      <w:divBdr>
        <w:top w:val="none" w:sz="0" w:space="0" w:color="auto"/>
        <w:left w:val="none" w:sz="0" w:space="0" w:color="auto"/>
        <w:bottom w:val="none" w:sz="0" w:space="0" w:color="auto"/>
        <w:right w:val="none" w:sz="0" w:space="0" w:color="auto"/>
      </w:divBdr>
    </w:div>
    <w:div w:id="326978479">
      <w:bodyDiv w:val="1"/>
      <w:marLeft w:val="0"/>
      <w:marRight w:val="0"/>
      <w:marTop w:val="0"/>
      <w:marBottom w:val="0"/>
      <w:divBdr>
        <w:top w:val="none" w:sz="0" w:space="0" w:color="auto"/>
        <w:left w:val="none" w:sz="0" w:space="0" w:color="auto"/>
        <w:bottom w:val="none" w:sz="0" w:space="0" w:color="auto"/>
        <w:right w:val="none" w:sz="0" w:space="0" w:color="auto"/>
      </w:divBdr>
    </w:div>
    <w:div w:id="355154799">
      <w:bodyDiv w:val="1"/>
      <w:marLeft w:val="0"/>
      <w:marRight w:val="0"/>
      <w:marTop w:val="0"/>
      <w:marBottom w:val="0"/>
      <w:divBdr>
        <w:top w:val="none" w:sz="0" w:space="0" w:color="auto"/>
        <w:left w:val="none" w:sz="0" w:space="0" w:color="auto"/>
        <w:bottom w:val="none" w:sz="0" w:space="0" w:color="auto"/>
        <w:right w:val="none" w:sz="0" w:space="0" w:color="auto"/>
      </w:divBdr>
      <w:divsChild>
        <w:div w:id="752549892">
          <w:marLeft w:val="0"/>
          <w:marRight w:val="0"/>
          <w:marTop w:val="0"/>
          <w:marBottom w:val="0"/>
          <w:divBdr>
            <w:top w:val="none" w:sz="0" w:space="0" w:color="auto"/>
            <w:left w:val="none" w:sz="0" w:space="0" w:color="auto"/>
            <w:bottom w:val="none" w:sz="0" w:space="0" w:color="auto"/>
            <w:right w:val="none" w:sz="0" w:space="0" w:color="auto"/>
          </w:divBdr>
          <w:divsChild>
            <w:div w:id="1125658255">
              <w:marLeft w:val="0"/>
              <w:marRight w:val="0"/>
              <w:marTop w:val="0"/>
              <w:marBottom w:val="0"/>
              <w:divBdr>
                <w:top w:val="none" w:sz="0" w:space="0" w:color="auto"/>
                <w:left w:val="none" w:sz="0" w:space="0" w:color="auto"/>
                <w:bottom w:val="none" w:sz="0" w:space="0" w:color="auto"/>
                <w:right w:val="none" w:sz="0" w:space="0" w:color="auto"/>
              </w:divBdr>
              <w:divsChild>
                <w:div w:id="5728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9402">
      <w:bodyDiv w:val="1"/>
      <w:marLeft w:val="0"/>
      <w:marRight w:val="0"/>
      <w:marTop w:val="0"/>
      <w:marBottom w:val="0"/>
      <w:divBdr>
        <w:top w:val="none" w:sz="0" w:space="0" w:color="auto"/>
        <w:left w:val="none" w:sz="0" w:space="0" w:color="auto"/>
        <w:bottom w:val="none" w:sz="0" w:space="0" w:color="auto"/>
        <w:right w:val="none" w:sz="0" w:space="0" w:color="auto"/>
      </w:divBdr>
      <w:divsChild>
        <w:div w:id="844369665">
          <w:marLeft w:val="0"/>
          <w:marRight w:val="0"/>
          <w:marTop w:val="0"/>
          <w:marBottom w:val="0"/>
          <w:divBdr>
            <w:top w:val="none" w:sz="0" w:space="0" w:color="auto"/>
            <w:left w:val="none" w:sz="0" w:space="0" w:color="auto"/>
            <w:bottom w:val="none" w:sz="0" w:space="0" w:color="auto"/>
            <w:right w:val="none" w:sz="0" w:space="0" w:color="auto"/>
          </w:divBdr>
          <w:divsChild>
            <w:div w:id="2097940295">
              <w:marLeft w:val="0"/>
              <w:marRight w:val="0"/>
              <w:marTop w:val="0"/>
              <w:marBottom w:val="0"/>
              <w:divBdr>
                <w:top w:val="none" w:sz="0" w:space="0" w:color="auto"/>
                <w:left w:val="none" w:sz="0" w:space="0" w:color="auto"/>
                <w:bottom w:val="none" w:sz="0" w:space="0" w:color="auto"/>
                <w:right w:val="none" w:sz="0" w:space="0" w:color="auto"/>
              </w:divBdr>
              <w:divsChild>
                <w:div w:id="9710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3720">
      <w:bodyDiv w:val="1"/>
      <w:marLeft w:val="0"/>
      <w:marRight w:val="0"/>
      <w:marTop w:val="0"/>
      <w:marBottom w:val="0"/>
      <w:divBdr>
        <w:top w:val="none" w:sz="0" w:space="0" w:color="auto"/>
        <w:left w:val="none" w:sz="0" w:space="0" w:color="auto"/>
        <w:bottom w:val="none" w:sz="0" w:space="0" w:color="auto"/>
        <w:right w:val="none" w:sz="0" w:space="0" w:color="auto"/>
      </w:divBdr>
    </w:div>
    <w:div w:id="602230208">
      <w:bodyDiv w:val="1"/>
      <w:marLeft w:val="0"/>
      <w:marRight w:val="0"/>
      <w:marTop w:val="0"/>
      <w:marBottom w:val="0"/>
      <w:divBdr>
        <w:top w:val="none" w:sz="0" w:space="0" w:color="auto"/>
        <w:left w:val="none" w:sz="0" w:space="0" w:color="auto"/>
        <w:bottom w:val="none" w:sz="0" w:space="0" w:color="auto"/>
        <w:right w:val="none" w:sz="0" w:space="0" w:color="auto"/>
      </w:divBdr>
    </w:div>
    <w:div w:id="655886112">
      <w:bodyDiv w:val="1"/>
      <w:marLeft w:val="0"/>
      <w:marRight w:val="0"/>
      <w:marTop w:val="0"/>
      <w:marBottom w:val="0"/>
      <w:divBdr>
        <w:top w:val="none" w:sz="0" w:space="0" w:color="auto"/>
        <w:left w:val="none" w:sz="0" w:space="0" w:color="auto"/>
        <w:bottom w:val="none" w:sz="0" w:space="0" w:color="auto"/>
        <w:right w:val="none" w:sz="0" w:space="0" w:color="auto"/>
      </w:divBdr>
    </w:div>
    <w:div w:id="90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08916853">
          <w:marLeft w:val="0"/>
          <w:marRight w:val="0"/>
          <w:marTop w:val="0"/>
          <w:marBottom w:val="0"/>
          <w:divBdr>
            <w:top w:val="single" w:sz="2" w:space="0" w:color="E3E3E3"/>
            <w:left w:val="single" w:sz="2" w:space="0" w:color="E3E3E3"/>
            <w:bottom w:val="single" w:sz="2" w:space="0" w:color="E3E3E3"/>
            <w:right w:val="single" w:sz="2" w:space="0" w:color="E3E3E3"/>
          </w:divBdr>
          <w:divsChild>
            <w:div w:id="1867328381">
              <w:marLeft w:val="0"/>
              <w:marRight w:val="0"/>
              <w:marTop w:val="0"/>
              <w:marBottom w:val="0"/>
              <w:divBdr>
                <w:top w:val="single" w:sz="2" w:space="0" w:color="E3E3E3"/>
                <w:left w:val="single" w:sz="2" w:space="0" w:color="E3E3E3"/>
                <w:bottom w:val="single" w:sz="2" w:space="0" w:color="E3E3E3"/>
                <w:right w:val="single" w:sz="2" w:space="0" w:color="E3E3E3"/>
              </w:divBdr>
              <w:divsChild>
                <w:div w:id="214438749">
                  <w:marLeft w:val="0"/>
                  <w:marRight w:val="0"/>
                  <w:marTop w:val="0"/>
                  <w:marBottom w:val="0"/>
                  <w:divBdr>
                    <w:top w:val="single" w:sz="2" w:space="0" w:color="E3E3E3"/>
                    <w:left w:val="single" w:sz="2" w:space="0" w:color="E3E3E3"/>
                    <w:bottom w:val="single" w:sz="2" w:space="0" w:color="E3E3E3"/>
                    <w:right w:val="single" w:sz="2" w:space="0" w:color="E3E3E3"/>
                  </w:divBdr>
                  <w:divsChild>
                    <w:div w:id="1297369937">
                      <w:marLeft w:val="0"/>
                      <w:marRight w:val="0"/>
                      <w:marTop w:val="0"/>
                      <w:marBottom w:val="0"/>
                      <w:divBdr>
                        <w:top w:val="single" w:sz="2" w:space="0" w:color="E3E3E3"/>
                        <w:left w:val="single" w:sz="2" w:space="0" w:color="E3E3E3"/>
                        <w:bottom w:val="single" w:sz="2" w:space="0" w:color="E3E3E3"/>
                        <w:right w:val="single" w:sz="2" w:space="0" w:color="E3E3E3"/>
                      </w:divBdr>
                      <w:divsChild>
                        <w:div w:id="1394543919">
                          <w:marLeft w:val="0"/>
                          <w:marRight w:val="0"/>
                          <w:marTop w:val="0"/>
                          <w:marBottom w:val="0"/>
                          <w:divBdr>
                            <w:top w:val="single" w:sz="2" w:space="0" w:color="E3E3E3"/>
                            <w:left w:val="single" w:sz="2" w:space="0" w:color="E3E3E3"/>
                            <w:bottom w:val="single" w:sz="2" w:space="0" w:color="E3E3E3"/>
                            <w:right w:val="single" w:sz="2" w:space="0" w:color="E3E3E3"/>
                          </w:divBdr>
                          <w:divsChild>
                            <w:div w:id="2123104875">
                              <w:marLeft w:val="0"/>
                              <w:marRight w:val="0"/>
                              <w:marTop w:val="100"/>
                              <w:marBottom w:val="100"/>
                              <w:divBdr>
                                <w:top w:val="single" w:sz="2" w:space="0" w:color="E3E3E3"/>
                                <w:left w:val="single" w:sz="2" w:space="0" w:color="E3E3E3"/>
                                <w:bottom w:val="single" w:sz="2" w:space="0" w:color="E3E3E3"/>
                                <w:right w:val="single" w:sz="2" w:space="0" w:color="E3E3E3"/>
                              </w:divBdr>
                              <w:divsChild>
                                <w:div w:id="1312129023">
                                  <w:marLeft w:val="0"/>
                                  <w:marRight w:val="0"/>
                                  <w:marTop w:val="0"/>
                                  <w:marBottom w:val="0"/>
                                  <w:divBdr>
                                    <w:top w:val="single" w:sz="2" w:space="0" w:color="E3E3E3"/>
                                    <w:left w:val="single" w:sz="2" w:space="0" w:color="E3E3E3"/>
                                    <w:bottom w:val="single" w:sz="2" w:space="0" w:color="E3E3E3"/>
                                    <w:right w:val="single" w:sz="2" w:space="0" w:color="E3E3E3"/>
                                  </w:divBdr>
                                  <w:divsChild>
                                    <w:div w:id="208419943">
                                      <w:marLeft w:val="0"/>
                                      <w:marRight w:val="0"/>
                                      <w:marTop w:val="0"/>
                                      <w:marBottom w:val="0"/>
                                      <w:divBdr>
                                        <w:top w:val="single" w:sz="2" w:space="0" w:color="E3E3E3"/>
                                        <w:left w:val="single" w:sz="2" w:space="0" w:color="E3E3E3"/>
                                        <w:bottom w:val="single" w:sz="2" w:space="0" w:color="E3E3E3"/>
                                        <w:right w:val="single" w:sz="2" w:space="0" w:color="E3E3E3"/>
                                      </w:divBdr>
                                      <w:divsChild>
                                        <w:div w:id="2080712537">
                                          <w:marLeft w:val="0"/>
                                          <w:marRight w:val="0"/>
                                          <w:marTop w:val="0"/>
                                          <w:marBottom w:val="0"/>
                                          <w:divBdr>
                                            <w:top w:val="single" w:sz="2" w:space="0" w:color="E3E3E3"/>
                                            <w:left w:val="single" w:sz="2" w:space="0" w:color="E3E3E3"/>
                                            <w:bottom w:val="single" w:sz="2" w:space="0" w:color="E3E3E3"/>
                                            <w:right w:val="single" w:sz="2" w:space="0" w:color="E3E3E3"/>
                                          </w:divBdr>
                                          <w:divsChild>
                                            <w:div w:id="837042924">
                                              <w:marLeft w:val="0"/>
                                              <w:marRight w:val="0"/>
                                              <w:marTop w:val="0"/>
                                              <w:marBottom w:val="0"/>
                                              <w:divBdr>
                                                <w:top w:val="single" w:sz="2" w:space="0" w:color="E3E3E3"/>
                                                <w:left w:val="single" w:sz="2" w:space="0" w:color="E3E3E3"/>
                                                <w:bottom w:val="single" w:sz="2" w:space="0" w:color="E3E3E3"/>
                                                <w:right w:val="single" w:sz="2" w:space="0" w:color="E3E3E3"/>
                                              </w:divBdr>
                                              <w:divsChild>
                                                <w:div w:id="925847499">
                                                  <w:marLeft w:val="0"/>
                                                  <w:marRight w:val="0"/>
                                                  <w:marTop w:val="0"/>
                                                  <w:marBottom w:val="0"/>
                                                  <w:divBdr>
                                                    <w:top w:val="single" w:sz="2" w:space="0" w:color="E3E3E3"/>
                                                    <w:left w:val="single" w:sz="2" w:space="0" w:color="E3E3E3"/>
                                                    <w:bottom w:val="single" w:sz="2" w:space="0" w:color="E3E3E3"/>
                                                    <w:right w:val="single" w:sz="2" w:space="0" w:color="E3E3E3"/>
                                                  </w:divBdr>
                                                  <w:divsChild>
                                                    <w:div w:id="960913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742782">
          <w:marLeft w:val="0"/>
          <w:marRight w:val="0"/>
          <w:marTop w:val="0"/>
          <w:marBottom w:val="0"/>
          <w:divBdr>
            <w:top w:val="none" w:sz="0" w:space="0" w:color="auto"/>
            <w:left w:val="none" w:sz="0" w:space="0" w:color="auto"/>
            <w:bottom w:val="none" w:sz="0" w:space="0" w:color="auto"/>
            <w:right w:val="none" w:sz="0" w:space="0" w:color="auto"/>
          </w:divBdr>
        </w:div>
      </w:divsChild>
    </w:div>
    <w:div w:id="1005788725">
      <w:bodyDiv w:val="1"/>
      <w:marLeft w:val="0"/>
      <w:marRight w:val="0"/>
      <w:marTop w:val="0"/>
      <w:marBottom w:val="0"/>
      <w:divBdr>
        <w:top w:val="none" w:sz="0" w:space="0" w:color="auto"/>
        <w:left w:val="none" w:sz="0" w:space="0" w:color="auto"/>
        <w:bottom w:val="none" w:sz="0" w:space="0" w:color="auto"/>
        <w:right w:val="none" w:sz="0" w:space="0" w:color="auto"/>
      </w:divBdr>
      <w:divsChild>
        <w:div w:id="524444594">
          <w:marLeft w:val="0"/>
          <w:marRight w:val="0"/>
          <w:marTop w:val="0"/>
          <w:marBottom w:val="0"/>
          <w:divBdr>
            <w:top w:val="single" w:sz="2" w:space="0" w:color="E3E3E3"/>
            <w:left w:val="single" w:sz="2" w:space="0" w:color="E3E3E3"/>
            <w:bottom w:val="single" w:sz="2" w:space="0" w:color="E3E3E3"/>
            <w:right w:val="single" w:sz="2" w:space="0" w:color="E3E3E3"/>
          </w:divBdr>
          <w:divsChild>
            <w:div w:id="2083062491">
              <w:marLeft w:val="0"/>
              <w:marRight w:val="0"/>
              <w:marTop w:val="0"/>
              <w:marBottom w:val="0"/>
              <w:divBdr>
                <w:top w:val="single" w:sz="2" w:space="0" w:color="E3E3E3"/>
                <w:left w:val="single" w:sz="2" w:space="0" w:color="E3E3E3"/>
                <w:bottom w:val="single" w:sz="2" w:space="0" w:color="E3E3E3"/>
                <w:right w:val="single" w:sz="2" w:space="0" w:color="E3E3E3"/>
              </w:divBdr>
              <w:divsChild>
                <w:div w:id="559557174">
                  <w:marLeft w:val="0"/>
                  <w:marRight w:val="0"/>
                  <w:marTop w:val="0"/>
                  <w:marBottom w:val="0"/>
                  <w:divBdr>
                    <w:top w:val="single" w:sz="2" w:space="0" w:color="E3E3E3"/>
                    <w:left w:val="single" w:sz="2" w:space="0" w:color="E3E3E3"/>
                    <w:bottom w:val="single" w:sz="2" w:space="0" w:color="E3E3E3"/>
                    <w:right w:val="single" w:sz="2" w:space="0" w:color="E3E3E3"/>
                  </w:divBdr>
                  <w:divsChild>
                    <w:div w:id="986206638">
                      <w:marLeft w:val="0"/>
                      <w:marRight w:val="0"/>
                      <w:marTop w:val="0"/>
                      <w:marBottom w:val="0"/>
                      <w:divBdr>
                        <w:top w:val="single" w:sz="2" w:space="0" w:color="E3E3E3"/>
                        <w:left w:val="single" w:sz="2" w:space="0" w:color="E3E3E3"/>
                        <w:bottom w:val="single" w:sz="2" w:space="0" w:color="E3E3E3"/>
                        <w:right w:val="single" w:sz="2" w:space="0" w:color="E3E3E3"/>
                      </w:divBdr>
                      <w:divsChild>
                        <w:div w:id="1154493952">
                          <w:marLeft w:val="0"/>
                          <w:marRight w:val="0"/>
                          <w:marTop w:val="0"/>
                          <w:marBottom w:val="0"/>
                          <w:divBdr>
                            <w:top w:val="single" w:sz="2" w:space="0" w:color="E3E3E3"/>
                            <w:left w:val="single" w:sz="2" w:space="0" w:color="E3E3E3"/>
                            <w:bottom w:val="single" w:sz="2" w:space="0" w:color="E3E3E3"/>
                            <w:right w:val="single" w:sz="2" w:space="0" w:color="E3E3E3"/>
                          </w:divBdr>
                          <w:divsChild>
                            <w:div w:id="938568296">
                              <w:marLeft w:val="0"/>
                              <w:marRight w:val="0"/>
                              <w:marTop w:val="100"/>
                              <w:marBottom w:val="100"/>
                              <w:divBdr>
                                <w:top w:val="single" w:sz="2" w:space="0" w:color="E3E3E3"/>
                                <w:left w:val="single" w:sz="2" w:space="0" w:color="E3E3E3"/>
                                <w:bottom w:val="single" w:sz="2" w:space="0" w:color="E3E3E3"/>
                                <w:right w:val="single" w:sz="2" w:space="0" w:color="E3E3E3"/>
                              </w:divBdr>
                              <w:divsChild>
                                <w:div w:id="1326012670">
                                  <w:marLeft w:val="0"/>
                                  <w:marRight w:val="0"/>
                                  <w:marTop w:val="0"/>
                                  <w:marBottom w:val="0"/>
                                  <w:divBdr>
                                    <w:top w:val="single" w:sz="2" w:space="0" w:color="E3E3E3"/>
                                    <w:left w:val="single" w:sz="2" w:space="0" w:color="E3E3E3"/>
                                    <w:bottom w:val="single" w:sz="2" w:space="0" w:color="E3E3E3"/>
                                    <w:right w:val="single" w:sz="2" w:space="0" w:color="E3E3E3"/>
                                  </w:divBdr>
                                  <w:divsChild>
                                    <w:div w:id="503671614">
                                      <w:marLeft w:val="0"/>
                                      <w:marRight w:val="0"/>
                                      <w:marTop w:val="0"/>
                                      <w:marBottom w:val="0"/>
                                      <w:divBdr>
                                        <w:top w:val="single" w:sz="2" w:space="0" w:color="E3E3E3"/>
                                        <w:left w:val="single" w:sz="2" w:space="0" w:color="E3E3E3"/>
                                        <w:bottom w:val="single" w:sz="2" w:space="0" w:color="E3E3E3"/>
                                        <w:right w:val="single" w:sz="2" w:space="0" w:color="E3E3E3"/>
                                      </w:divBdr>
                                      <w:divsChild>
                                        <w:div w:id="185871931">
                                          <w:marLeft w:val="0"/>
                                          <w:marRight w:val="0"/>
                                          <w:marTop w:val="0"/>
                                          <w:marBottom w:val="0"/>
                                          <w:divBdr>
                                            <w:top w:val="single" w:sz="2" w:space="0" w:color="E3E3E3"/>
                                            <w:left w:val="single" w:sz="2" w:space="0" w:color="E3E3E3"/>
                                            <w:bottom w:val="single" w:sz="2" w:space="0" w:color="E3E3E3"/>
                                            <w:right w:val="single" w:sz="2" w:space="0" w:color="E3E3E3"/>
                                          </w:divBdr>
                                          <w:divsChild>
                                            <w:div w:id="995915948">
                                              <w:marLeft w:val="0"/>
                                              <w:marRight w:val="0"/>
                                              <w:marTop w:val="0"/>
                                              <w:marBottom w:val="0"/>
                                              <w:divBdr>
                                                <w:top w:val="single" w:sz="2" w:space="0" w:color="E3E3E3"/>
                                                <w:left w:val="single" w:sz="2" w:space="0" w:color="E3E3E3"/>
                                                <w:bottom w:val="single" w:sz="2" w:space="0" w:color="E3E3E3"/>
                                                <w:right w:val="single" w:sz="2" w:space="0" w:color="E3E3E3"/>
                                              </w:divBdr>
                                              <w:divsChild>
                                                <w:div w:id="2038310996">
                                                  <w:marLeft w:val="0"/>
                                                  <w:marRight w:val="0"/>
                                                  <w:marTop w:val="0"/>
                                                  <w:marBottom w:val="0"/>
                                                  <w:divBdr>
                                                    <w:top w:val="single" w:sz="2" w:space="0" w:color="E3E3E3"/>
                                                    <w:left w:val="single" w:sz="2" w:space="0" w:color="E3E3E3"/>
                                                    <w:bottom w:val="single" w:sz="2" w:space="0" w:color="E3E3E3"/>
                                                    <w:right w:val="single" w:sz="2" w:space="0" w:color="E3E3E3"/>
                                                  </w:divBdr>
                                                  <w:divsChild>
                                                    <w:div w:id="886844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2358018">
          <w:marLeft w:val="0"/>
          <w:marRight w:val="0"/>
          <w:marTop w:val="0"/>
          <w:marBottom w:val="0"/>
          <w:divBdr>
            <w:top w:val="none" w:sz="0" w:space="0" w:color="auto"/>
            <w:left w:val="none" w:sz="0" w:space="0" w:color="auto"/>
            <w:bottom w:val="none" w:sz="0" w:space="0" w:color="auto"/>
            <w:right w:val="none" w:sz="0" w:space="0" w:color="auto"/>
          </w:divBdr>
        </w:div>
      </w:divsChild>
    </w:div>
    <w:div w:id="1071271234">
      <w:bodyDiv w:val="1"/>
      <w:marLeft w:val="0"/>
      <w:marRight w:val="0"/>
      <w:marTop w:val="0"/>
      <w:marBottom w:val="0"/>
      <w:divBdr>
        <w:top w:val="none" w:sz="0" w:space="0" w:color="auto"/>
        <w:left w:val="none" w:sz="0" w:space="0" w:color="auto"/>
        <w:bottom w:val="none" w:sz="0" w:space="0" w:color="auto"/>
        <w:right w:val="none" w:sz="0" w:space="0" w:color="auto"/>
      </w:divBdr>
    </w:div>
    <w:div w:id="1312365648">
      <w:bodyDiv w:val="1"/>
      <w:marLeft w:val="0"/>
      <w:marRight w:val="0"/>
      <w:marTop w:val="0"/>
      <w:marBottom w:val="0"/>
      <w:divBdr>
        <w:top w:val="none" w:sz="0" w:space="0" w:color="auto"/>
        <w:left w:val="none" w:sz="0" w:space="0" w:color="auto"/>
        <w:bottom w:val="none" w:sz="0" w:space="0" w:color="auto"/>
        <w:right w:val="none" w:sz="0" w:space="0" w:color="auto"/>
      </w:divBdr>
      <w:divsChild>
        <w:div w:id="897713958">
          <w:marLeft w:val="0"/>
          <w:marRight w:val="0"/>
          <w:marTop w:val="0"/>
          <w:marBottom w:val="0"/>
          <w:divBdr>
            <w:top w:val="none" w:sz="0" w:space="0" w:color="auto"/>
            <w:left w:val="none" w:sz="0" w:space="0" w:color="auto"/>
            <w:bottom w:val="none" w:sz="0" w:space="0" w:color="auto"/>
            <w:right w:val="none" w:sz="0" w:space="0" w:color="auto"/>
          </w:divBdr>
          <w:divsChild>
            <w:div w:id="591209125">
              <w:marLeft w:val="0"/>
              <w:marRight w:val="0"/>
              <w:marTop w:val="0"/>
              <w:marBottom w:val="0"/>
              <w:divBdr>
                <w:top w:val="none" w:sz="0" w:space="0" w:color="auto"/>
                <w:left w:val="none" w:sz="0" w:space="0" w:color="auto"/>
                <w:bottom w:val="none" w:sz="0" w:space="0" w:color="auto"/>
                <w:right w:val="none" w:sz="0" w:space="0" w:color="auto"/>
              </w:divBdr>
              <w:divsChild>
                <w:div w:id="181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1157">
      <w:bodyDiv w:val="1"/>
      <w:marLeft w:val="0"/>
      <w:marRight w:val="0"/>
      <w:marTop w:val="0"/>
      <w:marBottom w:val="0"/>
      <w:divBdr>
        <w:top w:val="none" w:sz="0" w:space="0" w:color="auto"/>
        <w:left w:val="none" w:sz="0" w:space="0" w:color="auto"/>
        <w:bottom w:val="none" w:sz="0" w:space="0" w:color="auto"/>
        <w:right w:val="none" w:sz="0" w:space="0" w:color="auto"/>
      </w:divBdr>
      <w:divsChild>
        <w:div w:id="1083407731">
          <w:marLeft w:val="0"/>
          <w:marRight w:val="0"/>
          <w:marTop w:val="0"/>
          <w:marBottom w:val="0"/>
          <w:divBdr>
            <w:top w:val="none" w:sz="0" w:space="0" w:color="auto"/>
            <w:left w:val="none" w:sz="0" w:space="0" w:color="auto"/>
            <w:bottom w:val="none" w:sz="0" w:space="0" w:color="auto"/>
            <w:right w:val="none" w:sz="0" w:space="0" w:color="auto"/>
          </w:divBdr>
          <w:divsChild>
            <w:div w:id="1963414299">
              <w:marLeft w:val="0"/>
              <w:marRight w:val="0"/>
              <w:marTop w:val="0"/>
              <w:marBottom w:val="0"/>
              <w:divBdr>
                <w:top w:val="none" w:sz="0" w:space="0" w:color="auto"/>
                <w:left w:val="none" w:sz="0" w:space="0" w:color="auto"/>
                <w:bottom w:val="none" w:sz="0" w:space="0" w:color="auto"/>
                <w:right w:val="none" w:sz="0" w:space="0" w:color="auto"/>
              </w:divBdr>
              <w:divsChild>
                <w:div w:id="16589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4693">
      <w:bodyDiv w:val="1"/>
      <w:marLeft w:val="0"/>
      <w:marRight w:val="0"/>
      <w:marTop w:val="0"/>
      <w:marBottom w:val="0"/>
      <w:divBdr>
        <w:top w:val="none" w:sz="0" w:space="0" w:color="auto"/>
        <w:left w:val="none" w:sz="0" w:space="0" w:color="auto"/>
        <w:bottom w:val="none" w:sz="0" w:space="0" w:color="auto"/>
        <w:right w:val="none" w:sz="0" w:space="0" w:color="auto"/>
      </w:divBdr>
      <w:divsChild>
        <w:div w:id="1084104642">
          <w:marLeft w:val="0"/>
          <w:marRight w:val="0"/>
          <w:marTop w:val="0"/>
          <w:marBottom w:val="0"/>
          <w:divBdr>
            <w:top w:val="none" w:sz="0" w:space="0" w:color="auto"/>
            <w:left w:val="none" w:sz="0" w:space="0" w:color="auto"/>
            <w:bottom w:val="none" w:sz="0" w:space="0" w:color="auto"/>
            <w:right w:val="none" w:sz="0" w:space="0" w:color="auto"/>
          </w:divBdr>
          <w:divsChild>
            <w:div w:id="1165439428">
              <w:marLeft w:val="0"/>
              <w:marRight w:val="0"/>
              <w:marTop w:val="0"/>
              <w:marBottom w:val="0"/>
              <w:divBdr>
                <w:top w:val="none" w:sz="0" w:space="0" w:color="auto"/>
                <w:left w:val="none" w:sz="0" w:space="0" w:color="auto"/>
                <w:bottom w:val="none" w:sz="0" w:space="0" w:color="auto"/>
                <w:right w:val="none" w:sz="0" w:space="0" w:color="auto"/>
              </w:divBdr>
              <w:divsChild>
                <w:div w:id="116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7299">
      <w:bodyDiv w:val="1"/>
      <w:marLeft w:val="0"/>
      <w:marRight w:val="0"/>
      <w:marTop w:val="0"/>
      <w:marBottom w:val="0"/>
      <w:divBdr>
        <w:top w:val="none" w:sz="0" w:space="0" w:color="auto"/>
        <w:left w:val="none" w:sz="0" w:space="0" w:color="auto"/>
        <w:bottom w:val="none" w:sz="0" w:space="0" w:color="auto"/>
        <w:right w:val="none" w:sz="0" w:space="0" w:color="auto"/>
      </w:divBdr>
    </w:div>
    <w:div w:id="1793595395">
      <w:bodyDiv w:val="1"/>
      <w:marLeft w:val="0"/>
      <w:marRight w:val="0"/>
      <w:marTop w:val="0"/>
      <w:marBottom w:val="0"/>
      <w:divBdr>
        <w:top w:val="none" w:sz="0" w:space="0" w:color="auto"/>
        <w:left w:val="none" w:sz="0" w:space="0" w:color="auto"/>
        <w:bottom w:val="none" w:sz="0" w:space="0" w:color="auto"/>
        <w:right w:val="none" w:sz="0" w:space="0" w:color="auto"/>
      </w:divBdr>
    </w:div>
    <w:div w:id="1866864929">
      <w:bodyDiv w:val="1"/>
      <w:marLeft w:val="0"/>
      <w:marRight w:val="0"/>
      <w:marTop w:val="0"/>
      <w:marBottom w:val="0"/>
      <w:divBdr>
        <w:top w:val="none" w:sz="0" w:space="0" w:color="auto"/>
        <w:left w:val="none" w:sz="0" w:space="0" w:color="auto"/>
        <w:bottom w:val="none" w:sz="0" w:space="0" w:color="auto"/>
        <w:right w:val="none" w:sz="0" w:space="0" w:color="auto"/>
      </w:divBdr>
    </w:div>
    <w:div w:id="1957758656">
      <w:bodyDiv w:val="1"/>
      <w:marLeft w:val="0"/>
      <w:marRight w:val="0"/>
      <w:marTop w:val="0"/>
      <w:marBottom w:val="0"/>
      <w:divBdr>
        <w:top w:val="none" w:sz="0" w:space="0" w:color="auto"/>
        <w:left w:val="none" w:sz="0" w:space="0" w:color="auto"/>
        <w:bottom w:val="none" w:sz="0" w:space="0" w:color="auto"/>
        <w:right w:val="none" w:sz="0" w:space="0" w:color="auto"/>
      </w:divBdr>
      <w:divsChild>
        <w:div w:id="2078437397">
          <w:marLeft w:val="0"/>
          <w:marRight w:val="0"/>
          <w:marTop w:val="0"/>
          <w:marBottom w:val="0"/>
          <w:divBdr>
            <w:top w:val="none" w:sz="0" w:space="0" w:color="auto"/>
            <w:left w:val="none" w:sz="0" w:space="0" w:color="auto"/>
            <w:bottom w:val="none" w:sz="0" w:space="0" w:color="auto"/>
            <w:right w:val="none" w:sz="0" w:space="0" w:color="auto"/>
          </w:divBdr>
          <w:divsChild>
            <w:div w:id="1114054188">
              <w:marLeft w:val="0"/>
              <w:marRight w:val="0"/>
              <w:marTop w:val="0"/>
              <w:marBottom w:val="0"/>
              <w:divBdr>
                <w:top w:val="none" w:sz="0" w:space="0" w:color="auto"/>
                <w:left w:val="none" w:sz="0" w:space="0" w:color="auto"/>
                <w:bottom w:val="none" w:sz="0" w:space="0" w:color="auto"/>
                <w:right w:val="none" w:sz="0" w:space="0" w:color="auto"/>
              </w:divBdr>
              <w:divsChild>
                <w:div w:id="17012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egifrance.gouv.fr/loda/id/JORFTEXT00002162558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gouvernement.fr/upload/media/organization/0001/01/sites_default_files_contenu_piece-jointe_2020_06_methodologie_suivie_par_le_civen_-_22_juin_2020.pdf" TargetMode="External"/><Relationship Id="rId2" Type="http://schemas.openxmlformats.org/officeDocument/2006/relationships/hyperlink" Target="https://www.gouvernement.fr/upload/media/organization/0001/01/sites_default_files_contenu_piece-jointe_2020_06_methodologie_suivie_par_le_civen_-_22_juin_2020.pdf" TargetMode="External"/><Relationship Id="rId1" Type="http://schemas.openxmlformats.org/officeDocument/2006/relationships/hyperlink" Target="https://presse.inserm.fr/en/consequences-sur-la-sante-des-essais-nucleaires-en-polynesie-francaise/671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Baïna Ubushieva</Contributor>
  </documentManagement>
</p:properties>
</file>

<file path=customXml/itemProps1.xml><?xml version="1.0" encoding="utf-8"?>
<ds:datastoreItem xmlns:ds="http://schemas.openxmlformats.org/officeDocument/2006/customXml" ds:itemID="{535B1933-C561-4B01-955F-366F10B6880A}"/>
</file>

<file path=customXml/itemProps2.xml><?xml version="1.0" encoding="utf-8"?>
<ds:datastoreItem xmlns:ds="http://schemas.openxmlformats.org/officeDocument/2006/customXml" ds:itemID="{D1D000D3-D669-4AE1-B6F4-9A4303326607}"/>
</file>

<file path=customXml/itemProps3.xml><?xml version="1.0" encoding="utf-8"?>
<ds:datastoreItem xmlns:ds="http://schemas.openxmlformats.org/officeDocument/2006/customXml" ds:itemID="{0F2DAC48-50E8-4D1A-A388-FB8F977FB934}"/>
</file>

<file path=docProps/app.xml><?xml version="1.0" encoding="utf-8"?>
<Properties xmlns="http://schemas.openxmlformats.org/officeDocument/2006/extended-properties" xmlns:vt="http://schemas.openxmlformats.org/officeDocument/2006/docPropsVTypes">
  <Template>Normal.dotm</Template>
  <TotalTime>16</TotalTime>
  <Pages>7</Pages>
  <Words>2824</Words>
  <Characters>15536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Baïna Ubushieva</dc:creator>
  <cp:keywords/>
  <dc:description/>
  <cp:lastModifiedBy>Baïna Ubushieva</cp:lastModifiedBy>
  <cp:revision>6</cp:revision>
  <dcterms:created xsi:type="dcterms:W3CDTF">2024-04-02T23:24:00Z</dcterms:created>
  <dcterms:modified xsi:type="dcterms:W3CDTF">2024-04-02T23:49:00Z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