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47D0D6" w14:textId="102DC884" w:rsidR="00430894" w:rsidRPr="002E0757" w:rsidRDefault="00430894" w:rsidP="002E0757">
      <w:pPr>
        <w:ind w:left="1440"/>
        <w:jc w:val="both"/>
        <w:rPr>
          <w:rFonts w:ascii="Garamond" w:hAnsi="Garamond"/>
          <w:sz w:val="22"/>
          <w:szCs w:val="22"/>
          <w:lang w:val="en-AU"/>
        </w:rPr>
      </w:pPr>
      <w:r w:rsidRPr="002E0757">
        <w:rPr>
          <w:rFonts w:ascii="Garamond" w:hAnsi="Garamond"/>
          <w:b/>
          <w:bCs/>
          <w:sz w:val="22"/>
          <w:szCs w:val="22"/>
          <w:lang w:val="en-AU"/>
        </w:rPr>
        <w:tab/>
      </w:r>
      <w:r w:rsidRPr="002E0757">
        <w:rPr>
          <w:rFonts w:ascii="Garamond" w:hAnsi="Garamond"/>
          <w:b/>
          <w:bCs/>
          <w:sz w:val="22"/>
          <w:szCs w:val="22"/>
          <w:lang w:val="en-AU"/>
        </w:rPr>
        <w:tab/>
      </w:r>
      <w:r w:rsidRPr="002E0757">
        <w:rPr>
          <w:rFonts w:ascii="Garamond" w:hAnsi="Garamond"/>
          <w:b/>
          <w:bCs/>
          <w:sz w:val="22"/>
          <w:szCs w:val="22"/>
          <w:lang w:val="en-AU"/>
        </w:rPr>
        <w:tab/>
      </w:r>
      <w:r w:rsidRPr="002E0757">
        <w:rPr>
          <w:rFonts w:ascii="Garamond" w:hAnsi="Garamond"/>
          <w:b/>
          <w:bCs/>
          <w:sz w:val="22"/>
          <w:szCs w:val="22"/>
          <w:lang w:val="en-AU"/>
        </w:rPr>
        <w:tab/>
      </w:r>
      <w:r w:rsidRPr="002E0757">
        <w:rPr>
          <w:rFonts w:ascii="Garamond" w:hAnsi="Garamond"/>
          <w:b/>
          <w:bCs/>
          <w:sz w:val="22"/>
          <w:szCs w:val="22"/>
          <w:lang w:val="en-AU"/>
        </w:rPr>
        <w:tab/>
      </w:r>
      <w:r w:rsidRPr="002E0757">
        <w:rPr>
          <w:rFonts w:ascii="Garamond" w:hAnsi="Garamond"/>
          <w:b/>
          <w:bCs/>
          <w:sz w:val="22"/>
          <w:szCs w:val="22"/>
          <w:lang w:val="en-AU"/>
        </w:rPr>
        <w:tab/>
      </w:r>
      <w:r w:rsidRPr="002E0757">
        <w:rPr>
          <w:rFonts w:ascii="Garamond" w:hAnsi="Garamond"/>
          <w:b/>
          <w:bCs/>
          <w:sz w:val="22"/>
          <w:szCs w:val="22"/>
          <w:lang w:val="en-AU"/>
        </w:rPr>
        <w:tab/>
      </w:r>
      <w:r w:rsidRPr="002E0757">
        <w:rPr>
          <w:rFonts w:ascii="Garamond" w:hAnsi="Garamond"/>
          <w:b/>
          <w:bCs/>
          <w:sz w:val="22"/>
          <w:szCs w:val="22"/>
          <w:lang w:val="en-AU"/>
        </w:rPr>
        <w:tab/>
      </w:r>
      <w:r w:rsidRPr="002E0757">
        <w:rPr>
          <w:rFonts w:ascii="Garamond" w:hAnsi="Garamond"/>
          <w:b/>
          <w:bCs/>
          <w:sz w:val="22"/>
          <w:szCs w:val="22"/>
          <w:lang w:val="en-AU"/>
        </w:rPr>
        <w:tab/>
      </w:r>
      <w:r w:rsidRPr="002E0757">
        <w:rPr>
          <w:rFonts w:ascii="Garamond" w:hAnsi="Garamond"/>
          <w:sz w:val="22"/>
          <w:szCs w:val="22"/>
          <w:lang w:val="en-AU"/>
        </w:rPr>
        <w:t>November 2022</w:t>
      </w:r>
    </w:p>
    <w:p w14:paraId="3657269D" w14:textId="77777777" w:rsidR="00430894" w:rsidRPr="002E0757" w:rsidRDefault="00430894" w:rsidP="000D5DB0">
      <w:pPr>
        <w:jc w:val="both"/>
        <w:rPr>
          <w:rFonts w:ascii="Garamond" w:hAnsi="Garamond"/>
          <w:b/>
          <w:bCs/>
          <w:sz w:val="22"/>
          <w:szCs w:val="22"/>
          <w:lang w:val="en-AU"/>
        </w:rPr>
      </w:pPr>
    </w:p>
    <w:p w14:paraId="27D0F068" w14:textId="43F5EAE0" w:rsidR="002E0757" w:rsidRDefault="0031323A" w:rsidP="002E0757">
      <w:pPr>
        <w:jc w:val="center"/>
        <w:rPr>
          <w:rFonts w:ascii="Garamond" w:hAnsi="Garamond"/>
          <w:b/>
          <w:bCs/>
          <w:sz w:val="22"/>
          <w:szCs w:val="22"/>
          <w:lang w:val="en-AU"/>
        </w:rPr>
      </w:pPr>
      <w:r>
        <w:rPr>
          <w:rFonts w:ascii="Garamond" w:hAnsi="Garamond"/>
          <w:b/>
          <w:bCs/>
          <w:sz w:val="22"/>
          <w:szCs w:val="22"/>
          <w:lang w:val="en-AU"/>
        </w:rPr>
        <w:t>Response to Call for Inputs</w:t>
      </w:r>
      <w:r w:rsidR="002E0757" w:rsidRPr="002E0757">
        <w:rPr>
          <w:rFonts w:ascii="Garamond" w:hAnsi="Garamond"/>
          <w:b/>
          <w:bCs/>
          <w:sz w:val="22"/>
          <w:szCs w:val="22"/>
          <w:lang w:val="en-AU"/>
        </w:rPr>
        <w:t xml:space="preserve"> from the </w:t>
      </w:r>
      <w:r w:rsidR="002E0757" w:rsidRPr="00430894">
        <w:rPr>
          <w:rFonts w:ascii="Garamond" w:hAnsi="Garamond"/>
          <w:b/>
          <w:bCs/>
          <w:sz w:val="22"/>
          <w:szCs w:val="22"/>
          <w:lang w:val="en-AU"/>
        </w:rPr>
        <w:t xml:space="preserve">Special Rapporteur on the promotion and protect of human rights in the context of climate </w:t>
      </w:r>
      <w:r w:rsidR="002E0757" w:rsidRPr="002E0757">
        <w:rPr>
          <w:rFonts w:ascii="Garamond" w:hAnsi="Garamond"/>
          <w:b/>
          <w:bCs/>
          <w:sz w:val="22"/>
          <w:szCs w:val="22"/>
          <w:lang w:val="en-AU"/>
        </w:rPr>
        <w:t xml:space="preserve">change: </w:t>
      </w:r>
    </w:p>
    <w:p w14:paraId="391612C7" w14:textId="2A742EF9" w:rsidR="00430894" w:rsidRDefault="00430894" w:rsidP="002E0757">
      <w:pPr>
        <w:jc w:val="center"/>
        <w:rPr>
          <w:rFonts w:ascii="Garamond" w:hAnsi="Garamond"/>
          <w:b/>
          <w:bCs/>
          <w:sz w:val="22"/>
          <w:szCs w:val="22"/>
          <w:lang w:val="en-AU"/>
        </w:rPr>
      </w:pPr>
      <w:r w:rsidRPr="002E0757">
        <w:rPr>
          <w:rFonts w:ascii="Garamond" w:hAnsi="Garamond"/>
          <w:b/>
          <w:bCs/>
          <w:sz w:val="22"/>
          <w:szCs w:val="22"/>
          <w:lang w:val="en-AU"/>
        </w:rPr>
        <w:t>“</w:t>
      </w:r>
      <w:r w:rsidRPr="002E0757">
        <w:rPr>
          <w:rFonts w:ascii="Garamond" w:hAnsi="Garamond"/>
          <w:b/>
          <w:bCs/>
          <w:sz w:val="22"/>
          <w:szCs w:val="22"/>
        </w:rPr>
        <w:t>Addressing the human rights implications of climate change displacement including legal protection of people displaced across international borders</w:t>
      </w:r>
      <w:r w:rsidRPr="002E0757">
        <w:rPr>
          <w:rFonts w:ascii="Garamond" w:hAnsi="Garamond"/>
          <w:b/>
          <w:bCs/>
          <w:sz w:val="22"/>
          <w:szCs w:val="22"/>
          <w:lang w:val="en-AU"/>
        </w:rPr>
        <w:t>”</w:t>
      </w:r>
    </w:p>
    <w:p w14:paraId="716F3858" w14:textId="73FAF5E0" w:rsidR="0031323A" w:rsidRPr="002E0757" w:rsidRDefault="0031323A" w:rsidP="0031323A">
      <w:pPr>
        <w:rPr>
          <w:rFonts w:ascii="Garamond" w:hAnsi="Garamond"/>
          <w:b/>
          <w:bCs/>
          <w:sz w:val="22"/>
          <w:szCs w:val="22"/>
        </w:rPr>
      </w:pPr>
    </w:p>
    <w:p w14:paraId="32C3104F" w14:textId="020C920C" w:rsidR="00430894" w:rsidRPr="002E0757" w:rsidRDefault="00430894" w:rsidP="000D5DB0">
      <w:pPr>
        <w:rPr>
          <w:rFonts w:ascii="Garamond" w:hAnsi="Garamond"/>
          <w:sz w:val="22"/>
          <w:szCs w:val="22"/>
          <w:lang w:val="en-AU"/>
        </w:rPr>
      </w:pPr>
    </w:p>
    <w:p w14:paraId="1CA031B7" w14:textId="59303944" w:rsidR="002E0757" w:rsidRDefault="002E0757" w:rsidP="002E0757">
      <w:pPr>
        <w:jc w:val="both"/>
        <w:rPr>
          <w:rFonts w:ascii="Garamond" w:eastAsia="Garamond" w:hAnsi="Garamond" w:cs="Garamond"/>
          <w:sz w:val="22"/>
          <w:szCs w:val="22"/>
        </w:rPr>
      </w:pPr>
      <w:r>
        <w:rPr>
          <w:rFonts w:ascii="Garamond" w:hAnsi="Garamond"/>
          <w:b/>
          <w:bCs/>
          <w:sz w:val="22"/>
          <w:szCs w:val="22"/>
        </w:rPr>
        <w:t xml:space="preserve">About. </w:t>
      </w:r>
      <w:hyperlink r:id="rId8">
        <w:r w:rsidRPr="002E0757">
          <w:rPr>
            <w:rFonts w:ascii="Garamond" w:eastAsia="Garamond" w:hAnsi="Garamond" w:cs="Garamond"/>
            <w:color w:val="1155CC"/>
            <w:sz w:val="22"/>
            <w:szCs w:val="22"/>
            <w:u w:val="single"/>
          </w:rPr>
          <w:t>Woodwell Climate Research Center</w:t>
        </w:r>
      </w:hyperlink>
      <w:r w:rsidRPr="002E0757">
        <w:rPr>
          <w:rFonts w:ascii="Garamond" w:eastAsia="Garamond" w:hAnsi="Garamond" w:cs="Garamond"/>
          <w:sz w:val="22"/>
          <w:szCs w:val="22"/>
        </w:rPr>
        <w:t xml:space="preserve"> is a non-profit organization based in Falmouth, Massachusetts that comprises research scientists and policy experts who work with partners worldwide to understand the impacts of and to address climate change on a global scale. Woodwell scientists helped to launch the United Nations Framework Convention on Climate Change in 1992 and shared the Nobel Prize awarded to the Intergovernmental Panel on Climate Change (IPCC) in 2007. The organization continues to have global impact, bringing together cutting-edge science and translating scientific advances into climate policy solutions.</w:t>
      </w:r>
    </w:p>
    <w:p w14:paraId="2A11CB4F" w14:textId="77777777" w:rsidR="002E0757" w:rsidRPr="002E0757" w:rsidRDefault="002E0757" w:rsidP="002E0757">
      <w:pPr>
        <w:jc w:val="both"/>
        <w:rPr>
          <w:rFonts w:ascii="Garamond" w:eastAsia="Garamond" w:hAnsi="Garamond" w:cs="Garamond"/>
          <w:sz w:val="22"/>
          <w:szCs w:val="22"/>
        </w:rPr>
      </w:pPr>
    </w:p>
    <w:p w14:paraId="6092B6F5" w14:textId="4F95D810" w:rsidR="002E0757" w:rsidRDefault="002E0757" w:rsidP="002E0757">
      <w:pPr>
        <w:spacing w:line="259" w:lineRule="auto"/>
        <w:jc w:val="both"/>
        <w:rPr>
          <w:rFonts w:ascii="Garamond" w:eastAsia="Garamond" w:hAnsi="Garamond" w:cs="Garamond"/>
          <w:sz w:val="22"/>
          <w:szCs w:val="22"/>
        </w:rPr>
      </w:pPr>
      <w:r w:rsidRPr="002E0757">
        <w:rPr>
          <w:rFonts w:ascii="Garamond" w:eastAsia="Garamond" w:hAnsi="Garamond" w:cs="Garamond"/>
          <w:sz w:val="22"/>
          <w:szCs w:val="22"/>
        </w:rPr>
        <w:t xml:space="preserve">Woodwell’s Arctic program examines the impacts of climate change in this region, and </w:t>
      </w:r>
      <w:r>
        <w:rPr>
          <w:rFonts w:ascii="Garamond" w:eastAsia="Garamond" w:hAnsi="Garamond" w:cs="Garamond"/>
          <w:sz w:val="22"/>
          <w:szCs w:val="22"/>
        </w:rPr>
        <w:t xml:space="preserve">recognizes that, </w:t>
      </w:r>
      <w:r w:rsidRPr="002E0757">
        <w:rPr>
          <w:rFonts w:ascii="Garamond" w:eastAsia="Garamond" w:hAnsi="Garamond" w:cs="Garamond"/>
          <w:sz w:val="22"/>
          <w:szCs w:val="22"/>
        </w:rPr>
        <w:t xml:space="preserve">like the Arctic itself, our impact transcends geopolitical borders. </w:t>
      </w:r>
      <w:r>
        <w:rPr>
          <w:rFonts w:ascii="Garamond" w:eastAsia="Garamond" w:hAnsi="Garamond" w:cs="Garamond"/>
          <w:sz w:val="22"/>
          <w:szCs w:val="22"/>
        </w:rPr>
        <w:t xml:space="preserve">Woodwell’s </w:t>
      </w:r>
      <w:r w:rsidRPr="002E0757">
        <w:rPr>
          <w:rFonts w:ascii="Garamond" w:eastAsia="Garamond" w:hAnsi="Garamond" w:cs="Garamond"/>
          <w:sz w:val="22"/>
          <w:szCs w:val="22"/>
        </w:rPr>
        <w:t>research, conducted through on-the-ground observations, satellite remote sensing, and computational modeling, is enabling us to measure and monitor changes</w:t>
      </w:r>
      <w:r>
        <w:rPr>
          <w:rFonts w:ascii="Garamond" w:eastAsia="Garamond" w:hAnsi="Garamond" w:cs="Garamond"/>
          <w:sz w:val="22"/>
          <w:szCs w:val="22"/>
        </w:rPr>
        <w:t xml:space="preserve"> </w:t>
      </w:r>
      <w:r w:rsidRPr="002E0757">
        <w:rPr>
          <w:rFonts w:ascii="Garamond" w:eastAsia="Garamond" w:hAnsi="Garamond" w:cs="Garamond"/>
          <w:sz w:val="22"/>
          <w:szCs w:val="22"/>
        </w:rPr>
        <w:t>across tundra and boreal landscapes</w:t>
      </w:r>
      <w:r>
        <w:rPr>
          <w:rFonts w:ascii="Garamond" w:eastAsia="Garamond" w:hAnsi="Garamond" w:cs="Garamond"/>
          <w:sz w:val="22"/>
          <w:szCs w:val="22"/>
        </w:rPr>
        <w:t xml:space="preserve">. </w:t>
      </w:r>
      <w:r w:rsidRPr="002E0757">
        <w:rPr>
          <w:rFonts w:ascii="Garamond" w:eastAsia="Garamond" w:hAnsi="Garamond" w:cs="Garamond"/>
          <w:sz w:val="22"/>
          <w:szCs w:val="22"/>
        </w:rPr>
        <w:t xml:space="preserve">The cascading effects of these changes pose immediate threats to Alaskan communities, ecosystems, and infrastructure, but they also present severe risks to the long-term health, stability, and safety of our planet. </w:t>
      </w:r>
    </w:p>
    <w:p w14:paraId="48286318" w14:textId="7ABA64F6" w:rsidR="002E0757" w:rsidRDefault="002E0757" w:rsidP="002E0757">
      <w:pPr>
        <w:spacing w:line="259" w:lineRule="auto"/>
        <w:jc w:val="both"/>
        <w:rPr>
          <w:rFonts w:ascii="Garamond" w:eastAsia="Garamond" w:hAnsi="Garamond" w:cs="Garamond"/>
          <w:sz w:val="22"/>
          <w:szCs w:val="22"/>
        </w:rPr>
      </w:pPr>
    </w:p>
    <w:p w14:paraId="6C66B11C" w14:textId="5D58863C" w:rsidR="002E0757" w:rsidRDefault="002E0757" w:rsidP="002E0757">
      <w:pPr>
        <w:spacing w:line="259" w:lineRule="auto"/>
        <w:jc w:val="both"/>
        <w:rPr>
          <w:rFonts w:ascii="Garamond" w:eastAsia="Garamond" w:hAnsi="Garamond" w:cs="Garamond"/>
          <w:sz w:val="22"/>
          <w:szCs w:val="22"/>
        </w:rPr>
      </w:pPr>
      <w:r>
        <w:rPr>
          <w:rFonts w:ascii="Garamond" w:eastAsia="Garamond" w:hAnsi="Garamond" w:cs="Garamond"/>
          <w:sz w:val="22"/>
          <w:szCs w:val="22"/>
        </w:rPr>
        <w:t xml:space="preserve">In April 2022, Woodwell launched </w:t>
      </w:r>
      <w:hyperlink r:id="rId9">
        <w:r>
          <w:rPr>
            <w:rFonts w:ascii="Garamond" w:eastAsia="Garamond" w:hAnsi="Garamond" w:cs="Garamond"/>
            <w:color w:val="1155CC"/>
            <w:sz w:val="22"/>
            <w:szCs w:val="22"/>
            <w:u w:val="single"/>
          </w:rPr>
          <w:t>Permafrost Pathways</w:t>
        </w:r>
      </w:hyperlink>
      <w:r>
        <w:rPr>
          <w:rFonts w:ascii="Garamond" w:eastAsia="Garamond" w:hAnsi="Garamond" w:cs="Garamond"/>
          <w:sz w:val="22"/>
          <w:szCs w:val="22"/>
        </w:rPr>
        <w:t xml:space="preserve">, a new initiative funded through the Audacious Project. With partners at the </w:t>
      </w:r>
      <w:hyperlink r:id="rId10">
        <w:r>
          <w:rPr>
            <w:rFonts w:ascii="Garamond" w:eastAsia="Garamond" w:hAnsi="Garamond" w:cs="Garamond"/>
            <w:color w:val="1155CC"/>
            <w:sz w:val="22"/>
            <w:szCs w:val="22"/>
            <w:u w:val="single"/>
          </w:rPr>
          <w:t>Arctic Initiative</w:t>
        </w:r>
      </w:hyperlink>
      <w:r>
        <w:rPr>
          <w:rFonts w:ascii="Garamond" w:eastAsia="Garamond" w:hAnsi="Garamond" w:cs="Garamond"/>
          <w:sz w:val="22"/>
          <w:szCs w:val="22"/>
        </w:rPr>
        <w:t xml:space="preserve"> at Harvard Kennedy School, the  </w:t>
      </w:r>
      <w:hyperlink r:id="rId11">
        <w:r>
          <w:rPr>
            <w:rFonts w:ascii="Garamond" w:eastAsia="Garamond" w:hAnsi="Garamond" w:cs="Garamond"/>
            <w:color w:val="1155CC"/>
            <w:sz w:val="22"/>
            <w:szCs w:val="22"/>
            <w:u w:val="single"/>
          </w:rPr>
          <w:t>Alaska Institute for Justice</w:t>
        </w:r>
      </w:hyperlink>
      <w:r>
        <w:rPr>
          <w:rFonts w:ascii="Garamond" w:eastAsia="Garamond" w:hAnsi="Garamond" w:cs="Garamond"/>
          <w:sz w:val="22"/>
          <w:szCs w:val="22"/>
        </w:rPr>
        <w:t xml:space="preserve">, and </w:t>
      </w:r>
      <w:hyperlink r:id="rId12" w:history="1">
        <w:r w:rsidRPr="002E0757">
          <w:rPr>
            <w:rStyle w:val="Hyperlink"/>
            <w:rFonts w:ascii="Garamond" w:eastAsia="Garamond" w:hAnsi="Garamond" w:cs="Garamond"/>
            <w:sz w:val="22"/>
            <w:szCs w:val="22"/>
          </w:rPr>
          <w:t>Alaska Native Science Commission</w:t>
        </w:r>
      </w:hyperlink>
      <w:r>
        <w:rPr>
          <w:rFonts w:ascii="Garamond" w:eastAsia="Garamond" w:hAnsi="Garamond" w:cs="Garamond"/>
          <w:sz w:val="22"/>
          <w:szCs w:val="22"/>
        </w:rPr>
        <w:t>, Permafrost Pathways amplifies efforts to work with Arctic communities, scientists, and experts to collect the best data on Arctic carbon emissions</w:t>
      </w:r>
      <w:r w:rsidR="0031323A">
        <w:rPr>
          <w:rFonts w:ascii="Garamond" w:eastAsia="Garamond" w:hAnsi="Garamond" w:cs="Garamond"/>
          <w:sz w:val="22"/>
          <w:szCs w:val="22"/>
        </w:rPr>
        <w:t xml:space="preserve"> from permafrost thaw</w:t>
      </w:r>
      <w:r>
        <w:rPr>
          <w:rFonts w:ascii="Garamond" w:eastAsia="Garamond" w:hAnsi="Garamond" w:cs="Garamond"/>
          <w:sz w:val="22"/>
          <w:szCs w:val="22"/>
        </w:rPr>
        <w:t>, contextualize this information within global emissions budgets, and transform this science into actionable policy recommendations.</w:t>
      </w:r>
    </w:p>
    <w:p w14:paraId="61F667FB" w14:textId="44FFF761" w:rsidR="0031323A" w:rsidRDefault="0031323A" w:rsidP="002E0757">
      <w:pPr>
        <w:spacing w:line="259" w:lineRule="auto"/>
        <w:jc w:val="both"/>
        <w:rPr>
          <w:rFonts w:ascii="Garamond" w:eastAsia="Garamond" w:hAnsi="Garamond" w:cs="Garamond"/>
          <w:sz w:val="22"/>
          <w:szCs w:val="22"/>
        </w:rPr>
      </w:pPr>
    </w:p>
    <w:p w14:paraId="41ABE0F3" w14:textId="51D9278F" w:rsidR="0031323A" w:rsidRPr="002E0757" w:rsidRDefault="0031323A" w:rsidP="0031323A">
      <w:pPr>
        <w:jc w:val="both"/>
        <w:rPr>
          <w:rFonts w:ascii="Garamond" w:hAnsi="Garamond"/>
          <w:bCs/>
          <w:i/>
          <w:iCs/>
          <w:sz w:val="22"/>
          <w:szCs w:val="22"/>
          <w:lang w:val="en-AU"/>
        </w:rPr>
      </w:pPr>
      <w:r>
        <w:rPr>
          <w:rFonts w:ascii="Garamond" w:eastAsia="Garamond" w:hAnsi="Garamond" w:cs="Garamond"/>
          <w:b/>
          <w:bCs/>
          <w:sz w:val="22"/>
          <w:szCs w:val="22"/>
        </w:rPr>
        <w:t>Responses to select questions.</w:t>
      </w:r>
      <w:r w:rsidRPr="0031323A">
        <w:rPr>
          <w:rFonts w:ascii="Garamond" w:hAnsi="Garamond"/>
          <w:bCs/>
          <w:sz w:val="22"/>
          <w:szCs w:val="22"/>
          <w:lang w:val="en-AU"/>
        </w:rPr>
        <w:t xml:space="preserve"> The following responses to select questions are intended to inform the </w:t>
      </w:r>
      <w:bookmarkStart w:id="0" w:name="_Hlk104307307"/>
      <w:r w:rsidRPr="0031323A">
        <w:rPr>
          <w:rFonts w:ascii="Garamond" w:hAnsi="Garamond"/>
          <w:bCs/>
          <w:sz w:val="22"/>
          <w:szCs w:val="22"/>
          <w:lang w:val="en-AU"/>
        </w:rPr>
        <w:t>Special Rapporteur on the promotion and protection of human rights in the context of climate change</w:t>
      </w:r>
      <w:bookmarkEnd w:id="0"/>
      <w:r w:rsidRPr="0031323A">
        <w:rPr>
          <w:rFonts w:ascii="Garamond" w:hAnsi="Garamond"/>
          <w:bCs/>
          <w:sz w:val="22"/>
          <w:szCs w:val="22"/>
          <w:lang w:val="en-AU"/>
        </w:rPr>
        <w:t xml:space="preserve">’s report on </w:t>
      </w:r>
      <w:r w:rsidRPr="0031323A">
        <w:rPr>
          <w:rFonts w:ascii="Garamond" w:hAnsi="Garamond"/>
          <w:sz w:val="22"/>
          <w:szCs w:val="22"/>
        </w:rPr>
        <w:t>addressing the human rights implications of climate change displacement including legal protection of people displaced across international borders</w:t>
      </w:r>
      <w:r w:rsidRPr="0031323A">
        <w:rPr>
          <w:rFonts w:ascii="Garamond" w:hAnsi="Garamond"/>
          <w:b/>
          <w:bCs/>
          <w:sz w:val="22"/>
          <w:szCs w:val="22"/>
          <w:lang w:val="en-AU"/>
        </w:rPr>
        <w:t xml:space="preserve"> </w:t>
      </w:r>
      <w:r w:rsidRPr="0031323A">
        <w:rPr>
          <w:rFonts w:ascii="Garamond" w:hAnsi="Garamond"/>
          <w:bCs/>
          <w:sz w:val="22"/>
          <w:szCs w:val="22"/>
          <w:lang w:val="en-AU"/>
        </w:rPr>
        <w:t>to be presented to the 53rd Session of the HRC in 2023.</w:t>
      </w:r>
    </w:p>
    <w:p w14:paraId="2AC20CFF" w14:textId="79E1901B" w:rsidR="0031323A" w:rsidRPr="0031323A" w:rsidRDefault="0031323A" w:rsidP="002E0757">
      <w:pPr>
        <w:spacing w:line="259" w:lineRule="auto"/>
        <w:jc w:val="both"/>
        <w:rPr>
          <w:rFonts w:ascii="Garamond" w:eastAsia="Garamond" w:hAnsi="Garamond" w:cs="Garamond"/>
          <w:b/>
          <w:bCs/>
          <w:sz w:val="22"/>
          <w:szCs w:val="22"/>
        </w:rPr>
      </w:pPr>
    </w:p>
    <w:p w14:paraId="3663971E" w14:textId="3D5F36D1" w:rsidR="00430894" w:rsidRPr="0031323A" w:rsidRDefault="002E0757" w:rsidP="000D5DB0">
      <w:pPr>
        <w:rPr>
          <w:rFonts w:ascii="Garamond" w:hAnsi="Garamond"/>
          <w:b/>
          <w:bCs/>
          <w:i/>
          <w:iCs/>
          <w:sz w:val="22"/>
          <w:szCs w:val="22"/>
        </w:rPr>
      </w:pPr>
      <w:r w:rsidRPr="0031323A">
        <w:rPr>
          <w:rFonts w:ascii="Garamond" w:hAnsi="Garamond"/>
          <w:b/>
          <w:bCs/>
          <w:i/>
          <w:iCs/>
          <w:sz w:val="22"/>
          <w:szCs w:val="22"/>
        </w:rPr>
        <w:t xml:space="preserve">Q1. </w:t>
      </w:r>
      <w:r w:rsidR="00430894" w:rsidRPr="0031323A">
        <w:rPr>
          <w:rFonts w:ascii="Garamond" w:hAnsi="Garamond"/>
          <w:b/>
          <w:bCs/>
          <w:i/>
          <w:iCs/>
          <w:sz w:val="22"/>
          <w:szCs w:val="22"/>
        </w:rPr>
        <w:t xml:space="preserve">What experiences and examples are you aware of, of individuals or communities, displaced by climate change? </w:t>
      </w:r>
    </w:p>
    <w:p w14:paraId="19AE85DC" w14:textId="77777777" w:rsidR="00FF6A1D" w:rsidRPr="002E0757" w:rsidRDefault="00FF6A1D" w:rsidP="000D5DB0">
      <w:pPr>
        <w:jc w:val="both"/>
        <w:rPr>
          <w:rFonts w:ascii="Garamond" w:eastAsia="Garamond" w:hAnsi="Garamond" w:cs="Garamond"/>
          <w:sz w:val="22"/>
          <w:szCs w:val="22"/>
        </w:rPr>
      </w:pPr>
    </w:p>
    <w:p w14:paraId="30758564" w14:textId="3DCC6C22" w:rsidR="00FF6A1D" w:rsidRPr="002E0757" w:rsidRDefault="00FF6A1D" w:rsidP="000D5DB0">
      <w:pPr>
        <w:jc w:val="both"/>
        <w:rPr>
          <w:rFonts w:ascii="Garamond" w:eastAsia="Garamond" w:hAnsi="Garamond" w:cs="Garamond"/>
          <w:sz w:val="22"/>
          <w:szCs w:val="22"/>
        </w:rPr>
      </w:pPr>
      <w:r w:rsidRPr="002E0757">
        <w:rPr>
          <w:rFonts w:ascii="Garamond" w:eastAsia="Garamond" w:hAnsi="Garamond" w:cs="Garamond"/>
          <w:sz w:val="22"/>
          <w:szCs w:val="22"/>
        </w:rPr>
        <w:t xml:space="preserve">Arctic communities—often overlooked in the greater discussion on climate adaptation and mitigation—are among the most vulnerable to climate-forced displacement. The Arctic is home to nearly four million inhabitants, roughly ten percent of whom are Indigenous to the </w:t>
      </w:r>
      <w:hyperlink r:id="rId13" w:history="1">
        <w:r w:rsidRPr="002E0757">
          <w:rPr>
            <w:rStyle w:val="Hyperlink"/>
            <w:rFonts w:ascii="Garamond" w:eastAsia="Garamond" w:hAnsi="Garamond" w:cs="Garamond"/>
            <w:sz w:val="22"/>
            <w:szCs w:val="22"/>
          </w:rPr>
          <w:t>Circumpolar North</w:t>
        </w:r>
      </w:hyperlink>
      <w:r w:rsidRPr="002E0757">
        <w:rPr>
          <w:rFonts w:ascii="Garamond" w:eastAsia="Garamond" w:hAnsi="Garamond" w:cs="Garamond"/>
          <w:sz w:val="22"/>
          <w:szCs w:val="22"/>
        </w:rPr>
        <w:t>.</w:t>
      </w:r>
      <w:r w:rsidR="000D5DB0" w:rsidRPr="002E0757">
        <w:rPr>
          <w:rFonts w:ascii="Garamond" w:eastAsia="Garamond" w:hAnsi="Garamond" w:cs="Garamond"/>
          <w:sz w:val="22"/>
          <w:szCs w:val="22"/>
        </w:rPr>
        <w:t xml:space="preserve"> </w:t>
      </w:r>
      <w:r w:rsidRPr="002E0757">
        <w:rPr>
          <w:rFonts w:ascii="Garamond" w:eastAsia="Garamond" w:hAnsi="Garamond" w:cs="Garamond"/>
          <w:sz w:val="22"/>
          <w:szCs w:val="22"/>
        </w:rPr>
        <w:t>Yet a rapidly changing climate is permanently altering the Arctic landscape</w:t>
      </w:r>
      <w:r w:rsidRPr="002E0757">
        <w:rPr>
          <w:rStyle w:val="FootnoteReference"/>
          <w:rFonts w:ascii="Garamond" w:eastAsia="Garamond" w:hAnsi="Garamond" w:cs="Garamond"/>
          <w:sz w:val="22"/>
          <w:szCs w:val="22"/>
        </w:rPr>
        <w:footnoteReference w:id="1"/>
      </w:r>
      <w:r w:rsidRPr="002E0757">
        <w:rPr>
          <w:rFonts w:ascii="Garamond" w:eastAsia="Garamond" w:hAnsi="Garamond" w:cs="Garamond"/>
          <w:sz w:val="22"/>
          <w:szCs w:val="22"/>
        </w:rPr>
        <w:t xml:space="preserve"> and creating insurmountable threats to survival.  For many of these Arctic </w:t>
      </w:r>
      <w:r w:rsidR="00255450" w:rsidRPr="002E0757">
        <w:rPr>
          <w:rFonts w:ascii="Garamond" w:eastAsia="Garamond" w:hAnsi="Garamond" w:cs="Garamond"/>
          <w:sz w:val="22"/>
          <w:szCs w:val="22"/>
        </w:rPr>
        <w:t>communities</w:t>
      </w:r>
      <w:r w:rsidRPr="002E0757">
        <w:rPr>
          <w:rFonts w:ascii="Garamond" w:eastAsia="Garamond" w:hAnsi="Garamond" w:cs="Garamond"/>
          <w:sz w:val="22"/>
          <w:szCs w:val="22"/>
        </w:rPr>
        <w:t xml:space="preserve">—particularly in the United States—protection-in-place measures, and efforts to </w:t>
      </w:r>
      <w:r w:rsidRPr="002E0757">
        <w:rPr>
          <w:rFonts w:ascii="Garamond" w:eastAsia="Garamond" w:hAnsi="Garamond" w:cs="Garamond"/>
          <w:sz w:val="22"/>
          <w:szCs w:val="22"/>
        </w:rPr>
        <w:lastRenderedPageBreak/>
        <w:t xml:space="preserve">invest in resilience and adaptation are simply insufficient to overcome the threats of </w:t>
      </w:r>
      <w:r w:rsidR="00255450" w:rsidRPr="002E0757">
        <w:rPr>
          <w:rFonts w:ascii="Garamond" w:eastAsia="Garamond" w:hAnsi="Garamond" w:cs="Garamond"/>
          <w:sz w:val="22"/>
          <w:szCs w:val="22"/>
        </w:rPr>
        <w:t>climate change in their current locations</w:t>
      </w:r>
      <w:r w:rsidRPr="002E0757">
        <w:rPr>
          <w:rFonts w:ascii="Garamond" w:eastAsia="Garamond" w:hAnsi="Garamond" w:cs="Garamond"/>
          <w:sz w:val="22"/>
          <w:szCs w:val="22"/>
        </w:rPr>
        <w:t xml:space="preserve">. As a result, over the past few decades, there has emerged an apparent need for urgent community-led relocation. </w:t>
      </w:r>
    </w:p>
    <w:p w14:paraId="1C28FF4F" w14:textId="77777777" w:rsidR="00FF6A1D" w:rsidRPr="002E0757" w:rsidRDefault="00FF6A1D" w:rsidP="000D5DB0">
      <w:pPr>
        <w:jc w:val="both"/>
        <w:rPr>
          <w:rFonts w:ascii="Garamond" w:eastAsia="Garamond" w:hAnsi="Garamond" w:cs="Garamond"/>
          <w:sz w:val="22"/>
          <w:szCs w:val="22"/>
        </w:rPr>
      </w:pPr>
    </w:p>
    <w:p w14:paraId="73007581" w14:textId="428EBE65" w:rsidR="00FF6A1D" w:rsidRPr="002E0757" w:rsidRDefault="00FF6A1D" w:rsidP="000D5DB0">
      <w:pPr>
        <w:jc w:val="both"/>
        <w:rPr>
          <w:rFonts w:ascii="Garamond" w:eastAsia="Garamond" w:hAnsi="Garamond" w:cs="Garamond"/>
          <w:sz w:val="22"/>
          <w:szCs w:val="22"/>
        </w:rPr>
      </w:pPr>
      <w:r w:rsidRPr="002E0757">
        <w:rPr>
          <w:rFonts w:ascii="Garamond" w:eastAsia="Garamond" w:hAnsi="Garamond" w:cs="Garamond"/>
          <w:sz w:val="22"/>
          <w:szCs w:val="22"/>
        </w:rPr>
        <w:t xml:space="preserve">One of the most documented cases is that of </w:t>
      </w:r>
      <w:hyperlink r:id="rId14" w:history="1">
        <w:r w:rsidRPr="002E0757">
          <w:rPr>
            <w:rStyle w:val="Hyperlink"/>
            <w:rFonts w:ascii="Garamond" w:eastAsia="Garamond" w:hAnsi="Garamond" w:cs="Garamond"/>
            <w:sz w:val="22"/>
            <w:szCs w:val="22"/>
          </w:rPr>
          <w:t>Newtok, Alaska</w:t>
        </w:r>
      </w:hyperlink>
      <w:r w:rsidRPr="002E0757">
        <w:rPr>
          <w:rFonts w:ascii="Garamond" w:eastAsia="Garamond" w:hAnsi="Garamond" w:cs="Garamond"/>
          <w:sz w:val="22"/>
          <w:szCs w:val="22"/>
        </w:rPr>
        <w:t xml:space="preserve">, a Yupik village near the Bering Sea. Twenty years ago, residents of Newtok, </w:t>
      </w:r>
      <w:hyperlink r:id="rId15" w:history="1">
        <w:r w:rsidRPr="002E0757">
          <w:rPr>
            <w:rStyle w:val="Hyperlink"/>
            <w:rFonts w:ascii="Garamond" w:eastAsia="Garamond" w:hAnsi="Garamond" w:cs="Garamond"/>
            <w:sz w:val="22"/>
            <w:szCs w:val="22"/>
          </w:rPr>
          <w:t>decided to relocate</w:t>
        </w:r>
      </w:hyperlink>
      <w:r w:rsidRPr="002E0757">
        <w:rPr>
          <w:rFonts w:ascii="Garamond" w:eastAsia="Garamond" w:hAnsi="Garamond" w:cs="Garamond"/>
          <w:sz w:val="22"/>
          <w:szCs w:val="22"/>
        </w:rPr>
        <w:t xml:space="preserve"> to higher ground in </w:t>
      </w:r>
      <w:hyperlink r:id="rId16" w:history="1">
        <w:r w:rsidRPr="002E0757">
          <w:rPr>
            <w:rStyle w:val="Hyperlink"/>
            <w:rFonts w:ascii="Garamond" w:eastAsia="Garamond" w:hAnsi="Garamond" w:cs="Garamond"/>
            <w:sz w:val="22"/>
            <w:szCs w:val="22"/>
          </w:rPr>
          <w:t>Mertarvik</w:t>
        </w:r>
      </w:hyperlink>
      <w:r w:rsidRPr="002E0757">
        <w:rPr>
          <w:rFonts w:ascii="Garamond" w:eastAsia="Garamond" w:hAnsi="Garamond" w:cs="Garamond"/>
          <w:sz w:val="22"/>
          <w:szCs w:val="22"/>
        </w:rPr>
        <w:t xml:space="preserve">; due to major </w:t>
      </w:r>
      <w:hyperlink r:id="rId17" w:history="1">
        <w:r w:rsidRPr="002E0757">
          <w:rPr>
            <w:rStyle w:val="Hyperlink"/>
            <w:rFonts w:ascii="Garamond" w:eastAsia="Garamond" w:hAnsi="Garamond" w:cs="Garamond"/>
            <w:sz w:val="22"/>
            <w:szCs w:val="22"/>
          </w:rPr>
          <w:t>political and funding barriers</w:t>
        </w:r>
      </w:hyperlink>
      <w:r w:rsidRPr="002E0757">
        <w:rPr>
          <w:rFonts w:ascii="Garamond" w:eastAsia="Garamond" w:hAnsi="Garamond" w:cs="Garamond"/>
          <w:sz w:val="22"/>
          <w:szCs w:val="22"/>
        </w:rPr>
        <w:t>, however, only about 70 people have successfully relocated at the time of writing.</w:t>
      </w:r>
      <w:r w:rsidR="000D5DB0" w:rsidRPr="002E0757">
        <w:rPr>
          <w:rFonts w:ascii="Garamond" w:eastAsia="Garamond" w:hAnsi="Garamond" w:cs="Garamond"/>
          <w:sz w:val="22"/>
          <w:szCs w:val="22"/>
        </w:rPr>
        <w:t xml:space="preserve">  </w:t>
      </w:r>
      <w:r w:rsidRPr="002E0757">
        <w:rPr>
          <w:rFonts w:ascii="Garamond" w:eastAsia="Garamond" w:hAnsi="Garamond" w:cs="Garamond"/>
          <w:sz w:val="22"/>
          <w:szCs w:val="22"/>
        </w:rPr>
        <w:t xml:space="preserve">But Newtok is not unique: </w:t>
      </w:r>
      <w:hyperlink r:id="rId18" w:history="1">
        <w:r w:rsidRPr="002E0757">
          <w:rPr>
            <w:rStyle w:val="Hyperlink"/>
            <w:rFonts w:ascii="Garamond" w:eastAsia="Garamond" w:hAnsi="Garamond" w:cs="Garamond"/>
            <w:sz w:val="22"/>
            <w:szCs w:val="22"/>
          </w:rPr>
          <w:t>Kivalina</w:t>
        </w:r>
      </w:hyperlink>
      <w:r w:rsidRPr="002E0757">
        <w:rPr>
          <w:rFonts w:ascii="Garamond" w:eastAsia="Garamond" w:hAnsi="Garamond" w:cs="Garamond"/>
          <w:sz w:val="22"/>
          <w:szCs w:val="22"/>
        </w:rPr>
        <w:t xml:space="preserve">, an Inupiat village of about four hundred and fifty people located north of the Arctic Circle, has also gained </w:t>
      </w:r>
      <w:hyperlink r:id="rId19" w:history="1">
        <w:r w:rsidRPr="002E0757">
          <w:rPr>
            <w:rStyle w:val="Hyperlink"/>
            <w:rFonts w:ascii="Garamond" w:eastAsia="Garamond" w:hAnsi="Garamond" w:cs="Garamond"/>
            <w:sz w:val="22"/>
            <w:szCs w:val="22"/>
          </w:rPr>
          <w:t>recent media attention</w:t>
        </w:r>
      </w:hyperlink>
      <w:r w:rsidR="000D5DB0" w:rsidRPr="002E0757">
        <w:rPr>
          <w:rFonts w:ascii="Garamond" w:eastAsia="Garamond" w:hAnsi="Garamond" w:cs="Garamond"/>
          <w:sz w:val="22"/>
          <w:szCs w:val="22"/>
        </w:rPr>
        <w:t xml:space="preserve"> </w:t>
      </w:r>
      <w:r w:rsidRPr="002E0757">
        <w:rPr>
          <w:rFonts w:ascii="Garamond" w:eastAsia="Garamond" w:hAnsi="Garamond" w:cs="Garamond"/>
          <w:sz w:val="22"/>
          <w:szCs w:val="22"/>
        </w:rPr>
        <w:t>for its low-lying location and repeated inundation from stormwaters which threatens the continued survival of residents should they remain in their current location. As in Newtok, those living in Kivalina have been implementing short-term adaptation solutions to avoid climate-forced displacement as they await the requisite support and funding for community-led relocation.</w:t>
      </w:r>
    </w:p>
    <w:p w14:paraId="3D03B319" w14:textId="51FA883E" w:rsidR="00FF6A1D" w:rsidRPr="002E0757" w:rsidRDefault="00FF6A1D" w:rsidP="000D5DB0">
      <w:pPr>
        <w:jc w:val="both"/>
        <w:rPr>
          <w:rFonts w:ascii="Garamond" w:eastAsia="Garamond" w:hAnsi="Garamond" w:cs="Garamond"/>
          <w:sz w:val="22"/>
          <w:szCs w:val="22"/>
        </w:rPr>
      </w:pPr>
    </w:p>
    <w:p w14:paraId="6ED885FE" w14:textId="17AFB7B1" w:rsidR="00FF6A1D" w:rsidRPr="002E0757" w:rsidRDefault="00FF6A1D" w:rsidP="000D5DB0">
      <w:pPr>
        <w:jc w:val="both"/>
        <w:rPr>
          <w:rFonts w:ascii="Garamond" w:eastAsia="Garamond" w:hAnsi="Garamond" w:cs="Garamond"/>
          <w:color w:val="222222"/>
          <w:sz w:val="22"/>
          <w:szCs w:val="22"/>
        </w:rPr>
      </w:pPr>
      <w:r w:rsidRPr="002E0757">
        <w:rPr>
          <w:rFonts w:ascii="Garamond" w:eastAsia="Garamond" w:hAnsi="Garamond" w:cs="Garamond"/>
          <w:sz w:val="22"/>
          <w:szCs w:val="22"/>
        </w:rPr>
        <w:t xml:space="preserve">The United States government has been well-aware of these threats to Kivalina and Newtok—in 2003, the U.S. Government Accountability Office (GAO) (an agency of the legislative branch that provides auditing, evaluative, and investigative services for US Congress) reviewed </w:t>
      </w:r>
      <w:hyperlink r:id="rId20" w:history="1">
        <w:r w:rsidRPr="002E0757">
          <w:rPr>
            <w:rStyle w:val="Hyperlink"/>
            <w:rFonts w:ascii="Garamond" w:eastAsia="Garamond" w:hAnsi="Garamond" w:cs="Garamond"/>
            <w:sz w:val="22"/>
            <w:szCs w:val="22"/>
          </w:rPr>
          <w:t>nine Alaskan villages</w:t>
        </w:r>
      </w:hyperlink>
      <w:r w:rsidRPr="002E0757">
        <w:rPr>
          <w:rFonts w:ascii="Garamond" w:eastAsia="Garamond" w:hAnsi="Garamond" w:cs="Garamond"/>
          <w:sz w:val="22"/>
          <w:szCs w:val="22"/>
        </w:rPr>
        <w:t xml:space="preserve"> and identified both villages as among those in “imminent danger” and in need of government assistance to facilitate relocation. But more than a decade after identifying</w:t>
      </w:r>
      <w:r w:rsidRPr="002E0757">
        <w:rPr>
          <w:rFonts w:ascii="Garamond" w:eastAsia="Garamond" w:hAnsi="Garamond" w:cs="Garamond"/>
          <w:color w:val="222222"/>
          <w:sz w:val="22"/>
          <w:szCs w:val="22"/>
          <w:highlight w:val="white"/>
        </w:rPr>
        <w:t xml:space="preserve"> </w:t>
      </w:r>
      <w:hyperlink r:id="rId21" w:history="1">
        <w:r w:rsidRPr="002E0757">
          <w:rPr>
            <w:rStyle w:val="Hyperlink"/>
            <w:rFonts w:ascii="Garamond" w:eastAsia="Garamond" w:hAnsi="Garamond" w:cs="Garamond"/>
            <w:sz w:val="22"/>
            <w:szCs w:val="22"/>
            <w:highlight w:val="white"/>
          </w:rPr>
          <w:t>31 Alaskan villages</w:t>
        </w:r>
      </w:hyperlink>
      <w:r w:rsidRPr="002E0757">
        <w:rPr>
          <w:rFonts w:ascii="Garamond" w:eastAsia="Garamond" w:hAnsi="Garamond" w:cs="Garamond"/>
          <w:color w:val="222222"/>
          <w:sz w:val="22"/>
          <w:szCs w:val="22"/>
          <w:highlight w:val="white"/>
        </w:rPr>
        <w:t xml:space="preserve"> </w:t>
      </w:r>
      <w:r w:rsidRPr="002E0757">
        <w:rPr>
          <w:rFonts w:ascii="Garamond" w:eastAsia="Garamond" w:hAnsi="Garamond" w:cs="Garamond"/>
          <w:color w:val="222222"/>
          <w:sz w:val="22"/>
          <w:szCs w:val="22"/>
        </w:rPr>
        <w:t>facing destruction due to erosion, flooding, and thawing permafrost,</w:t>
      </w:r>
      <w:r w:rsidR="000D5DB0" w:rsidRPr="002E0757">
        <w:rPr>
          <w:rFonts w:ascii="Garamond" w:eastAsia="Garamond" w:hAnsi="Garamond" w:cs="Garamond"/>
          <w:color w:val="222222"/>
          <w:sz w:val="22"/>
          <w:szCs w:val="22"/>
        </w:rPr>
        <w:t xml:space="preserve"> </w:t>
      </w:r>
      <w:r w:rsidRPr="002E0757">
        <w:rPr>
          <w:rFonts w:ascii="Garamond" w:eastAsia="Garamond" w:hAnsi="Garamond" w:cs="Garamond"/>
          <w:color w:val="222222"/>
          <w:sz w:val="22"/>
          <w:szCs w:val="22"/>
        </w:rPr>
        <w:t xml:space="preserve">the GAO released a </w:t>
      </w:r>
      <w:hyperlink r:id="rId22" w:history="1">
        <w:r w:rsidRPr="002E0757">
          <w:rPr>
            <w:rStyle w:val="Hyperlink"/>
            <w:rFonts w:ascii="Garamond" w:eastAsia="Garamond" w:hAnsi="Garamond" w:cs="Garamond"/>
            <w:sz w:val="22"/>
            <w:szCs w:val="22"/>
          </w:rPr>
          <w:t>new report in 2022</w:t>
        </w:r>
      </w:hyperlink>
      <w:r w:rsidRPr="002E0757">
        <w:rPr>
          <w:rFonts w:ascii="Garamond" w:eastAsia="Garamond" w:hAnsi="Garamond" w:cs="Garamond"/>
          <w:color w:val="222222"/>
          <w:sz w:val="22"/>
          <w:szCs w:val="22"/>
        </w:rPr>
        <w:t xml:space="preserve"> concluding that 73 of 200+ Alaska Native villages face such threats </w:t>
      </w:r>
      <w:r w:rsidR="0031323A">
        <w:rPr>
          <w:rFonts w:ascii="Garamond" w:eastAsia="Garamond" w:hAnsi="Garamond" w:cs="Garamond"/>
          <w:color w:val="222222"/>
          <w:sz w:val="22"/>
          <w:szCs w:val="22"/>
        </w:rPr>
        <w:t>(and</w:t>
      </w:r>
      <w:r w:rsidRPr="002E0757">
        <w:rPr>
          <w:rFonts w:ascii="Garamond" w:eastAsia="Garamond" w:hAnsi="Garamond" w:cs="Garamond"/>
          <w:color w:val="222222"/>
          <w:sz w:val="22"/>
          <w:szCs w:val="22"/>
        </w:rPr>
        <w:t xml:space="preserve"> therefore may need to consider relocation in the coming years</w:t>
      </w:r>
      <w:r w:rsidR="0031323A">
        <w:rPr>
          <w:rFonts w:ascii="Garamond" w:eastAsia="Garamond" w:hAnsi="Garamond" w:cs="Garamond"/>
          <w:color w:val="222222"/>
          <w:sz w:val="22"/>
          <w:szCs w:val="22"/>
        </w:rPr>
        <w:t>)</w:t>
      </w:r>
      <w:r w:rsidRPr="002E0757">
        <w:rPr>
          <w:rFonts w:ascii="Garamond" w:eastAsia="Garamond" w:hAnsi="Garamond" w:cs="Garamond"/>
          <w:color w:val="222222"/>
          <w:sz w:val="22"/>
          <w:szCs w:val="22"/>
        </w:rPr>
        <w:t xml:space="preserve">. </w:t>
      </w:r>
    </w:p>
    <w:p w14:paraId="2A778286" w14:textId="04927CE6" w:rsidR="00FF6A1D" w:rsidRPr="002E0757" w:rsidRDefault="00FF6A1D" w:rsidP="000D5DB0">
      <w:pPr>
        <w:jc w:val="both"/>
        <w:rPr>
          <w:rFonts w:ascii="Garamond" w:eastAsia="Garamond" w:hAnsi="Garamond" w:cs="Garamond"/>
          <w:color w:val="222222"/>
          <w:sz w:val="22"/>
          <w:szCs w:val="22"/>
        </w:rPr>
      </w:pPr>
    </w:p>
    <w:p w14:paraId="1FC7EC3B" w14:textId="4C295EE8" w:rsidR="00FF6A1D" w:rsidRPr="002E0757" w:rsidRDefault="00FF6A1D" w:rsidP="000D5DB0">
      <w:pPr>
        <w:jc w:val="both"/>
        <w:rPr>
          <w:rFonts w:ascii="Garamond" w:eastAsia="Garamond" w:hAnsi="Garamond" w:cs="Garamond"/>
          <w:sz w:val="22"/>
          <w:szCs w:val="22"/>
          <w:u w:val="single"/>
        </w:rPr>
      </w:pPr>
      <w:r w:rsidRPr="002E0757">
        <w:rPr>
          <w:rFonts w:ascii="Garamond" w:eastAsia="Garamond" w:hAnsi="Garamond" w:cs="Garamond"/>
          <w:sz w:val="22"/>
          <w:szCs w:val="22"/>
          <w:u w:val="single"/>
        </w:rPr>
        <w:t xml:space="preserve">Permafrost thaw as </w:t>
      </w:r>
      <w:proofErr w:type="gramStart"/>
      <w:r w:rsidRPr="002E0757">
        <w:rPr>
          <w:rFonts w:ascii="Garamond" w:eastAsia="Garamond" w:hAnsi="Garamond" w:cs="Garamond"/>
          <w:sz w:val="22"/>
          <w:szCs w:val="22"/>
          <w:u w:val="single"/>
        </w:rPr>
        <w:t>an</w:t>
      </w:r>
      <w:proofErr w:type="gramEnd"/>
      <w:r w:rsidRPr="002E0757">
        <w:rPr>
          <w:rFonts w:ascii="Garamond" w:eastAsia="Garamond" w:hAnsi="Garamond" w:cs="Garamond"/>
          <w:sz w:val="22"/>
          <w:szCs w:val="22"/>
          <w:u w:val="single"/>
        </w:rPr>
        <w:t xml:space="preserve"> </w:t>
      </w:r>
      <w:r w:rsidR="0031323A">
        <w:rPr>
          <w:rFonts w:ascii="Garamond" w:eastAsia="Garamond" w:hAnsi="Garamond" w:cs="Garamond"/>
          <w:sz w:val="22"/>
          <w:szCs w:val="22"/>
          <w:u w:val="single"/>
        </w:rPr>
        <w:t>key</w:t>
      </w:r>
      <w:r w:rsidRPr="002E0757">
        <w:rPr>
          <w:rFonts w:ascii="Garamond" w:eastAsia="Garamond" w:hAnsi="Garamond" w:cs="Garamond"/>
          <w:sz w:val="22"/>
          <w:szCs w:val="22"/>
          <w:u w:val="single"/>
        </w:rPr>
        <w:t xml:space="preserve"> driver of </w:t>
      </w:r>
      <w:r w:rsidR="0031323A">
        <w:rPr>
          <w:rFonts w:ascii="Garamond" w:eastAsia="Garamond" w:hAnsi="Garamond" w:cs="Garamond"/>
          <w:sz w:val="22"/>
          <w:szCs w:val="22"/>
          <w:u w:val="single"/>
        </w:rPr>
        <w:t xml:space="preserve">climate-forced displacement and </w:t>
      </w:r>
      <w:r w:rsidRPr="002E0757">
        <w:rPr>
          <w:rFonts w:ascii="Garamond" w:eastAsia="Garamond" w:hAnsi="Garamond" w:cs="Garamond"/>
          <w:sz w:val="22"/>
          <w:szCs w:val="22"/>
          <w:u w:val="single"/>
        </w:rPr>
        <w:t>community relocation</w:t>
      </w:r>
    </w:p>
    <w:p w14:paraId="02CE3383" w14:textId="4069394C" w:rsidR="00FF6A1D" w:rsidRPr="002E0757" w:rsidRDefault="00FF6A1D" w:rsidP="000D5DB0">
      <w:pPr>
        <w:jc w:val="both"/>
        <w:rPr>
          <w:rFonts w:ascii="Garamond" w:eastAsia="Garamond" w:hAnsi="Garamond" w:cs="Garamond"/>
          <w:color w:val="222222"/>
          <w:sz w:val="22"/>
          <w:szCs w:val="22"/>
        </w:rPr>
      </w:pPr>
    </w:p>
    <w:p w14:paraId="2ED7AFF6" w14:textId="2730DEC7" w:rsidR="00FF6A1D" w:rsidRPr="002E0757" w:rsidRDefault="00FF6A1D" w:rsidP="000D5DB0">
      <w:pPr>
        <w:jc w:val="both"/>
        <w:rPr>
          <w:rFonts w:ascii="Garamond" w:eastAsia="Garamond" w:hAnsi="Garamond" w:cs="Garamond"/>
          <w:color w:val="222222"/>
          <w:sz w:val="22"/>
          <w:szCs w:val="22"/>
        </w:rPr>
      </w:pPr>
      <w:r w:rsidRPr="002E0757">
        <w:rPr>
          <w:rFonts w:ascii="Garamond" w:eastAsia="Garamond" w:hAnsi="Garamond" w:cs="Garamond"/>
          <w:color w:val="222222"/>
          <w:sz w:val="22"/>
          <w:szCs w:val="22"/>
        </w:rPr>
        <w:t>This alarming assessment</w:t>
      </w:r>
      <w:r w:rsidR="0031323A">
        <w:rPr>
          <w:rFonts w:ascii="Garamond" w:eastAsia="Garamond" w:hAnsi="Garamond" w:cs="Garamond"/>
          <w:color w:val="222222"/>
          <w:sz w:val="22"/>
          <w:szCs w:val="22"/>
        </w:rPr>
        <w:t xml:space="preserve"> from the GAO</w:t>
      </w:r>
      <w:r w:rsidRPr="002E0757">
        <w:rPr>
          <w:rFonts w:ascii="Garamond" w:eastAsia="Garamond" w:hAnsi="Garamond" w:cs="Garamond"/>
          <w:color w:val="222222"/>
          <w:sz w:val="22"/>
          <w:szCs w:val="22"/>
        </w:rPr>
        <w:t xml:space="preserve"> reflects the increased understanding of how permafrost thaw is destabilizing the built environment across the Arctic. Permafrost, </w:t>
      </w:r>
      <w:r w:rsidRPr="002E0757">
        <w:rPr>
          <w:rFonts w:ascii="Garamond" w:eastAsia="Garamond" w:hAnsi="Garamond" w:cs="Garamond"/>
          <w:i/>
          <w:iCs/>
          <w:color w:val="222222"/>
          <w:sz w:val="22"/>
          <w:szCs w:val="22"/>
        </w:rPr>
        <w:t>i.e.</w:t>
      </w:r>
      <w:r w:rsidRPr="002E0757">
        <w:rPr>
          <w:rFonts w:ascii="Garamond" w:eastAsia="Garamond" w:hAnsi="Garamond" w:cs="Garamond"/>
          <w:color w:val="222222"/>
          <w:sz w:val="22"/>
          <w:szCs w:val="22"/>
        </w:rPr>
        <w:t xml:space="preserve">, ground that has been continually frozen for at least two consecutive years and often for thousands of years, extends across the boreal and tundra biomes and in mountain regions across the globe, underlying roughly </w:t>
      </w:r>
      <w:hyperlink r:id="rId23" w:history="1">
        <w:r w:rsidRPr="002E0757">
          <w:rPr>
            <w:rStyle w:val="Hyperlink"/>
            <w:rFonts w:ascii="Garamond" w:eastAsia="Garamond" w:hAnsi="Garamond" w:cs="Garamond"/>
            <w:sz w:val="22"/>
            <w:szCs w:val="22"/>
          </w:rPr>
          <w:t>15% of the exposed land surface</w:t>
        </w:r>
      </w:hyperlink>
      <w:r w:rsidRPr="002E0757">
        <w:rPr>
          <w:rFonts w:ascii="Garamond" w:eastAsia="Garamond" w:hAnsi="Garamond" w:cs="Garamond"/>
          <w:color w:val="222222"/>
          <w:sz w:val="22"/>
          <w:szCs w:val="22"/>
        </w:rPr>
        <w:t xml:space="preserve"> area in the Northern Hemisphere and </w:t>
      </w:r>
      <w:hyperlink r:id="rId24" w:history="1">
        <w:r w:rsidRPr="002E0757">
          <w:rPr>
            <w:rStyle w:val="Hyperlink"/>
            <w:rFonts w:ascii="Garamond" w:eastAsia="Garamond" w:hAnsi="Garamond" w:cs="Garamond"/>
            <w:sz w:val="22"/>
            <w:szCs w:val="22"/>
          </w:rPr>
          <w:t>38% of Alaska’s land area</w:t>
        </w:r>
      </w:hyperlink>
      <w:r w:rsidRPr="002E0757">
        <w:rPr>
          <w:rFonts w:ascii="Garamond" w:eastAsia="Garamond" w:hAnsi="Garamond" w:cs="Garamond"/>
          <w:color w:val="222222"/>
          <w:sz w:val="22"/>
          <w:szCs w:val="22"/>
        </w:rPr>
        <w:t xml:space="preserve"> in the United States</w:t>
      </w:r>
      <w:r w:rsidR="000D5DB0" w:rsidRPr="002E0757">
        <w:rPr>
          <w:rFonts w:ascii="Garamond" w:eastAsia="Garamond" w:hAnsi="Garamond" w:cs="Garamond"/>
          <w:color w:val="222222"/>
          <w:sz w:val="22"/>
          <w:szCs w:val="22"/>
        </w:rPr>
        <w:t xml:space="preserve">. </w:t>
      </w:r>
      <w:r w:rsidRPr="002E0757">
        <w:rPr>
          <w:rFonts w:ascii="Garamond" w:eastAsia="Garamond" w:hAnsi="Garamond" w:cs="Garamond"/>
          <w:color w:val="222222"/>
          <w:sz w:val="22"/>
          <w:szCs w:val="22"/>
        </w:rPr>
        <w:t xml:space="preserve">As global temperatures rise, this once-frozen ground is beginning to thaw, creating an increasingly unstable and dangerous environment. Among the most observable impacts is thaw-induced ground collapse, which can contribute to the destruction of infrastructure, homes, schools, medical facilities, roads, and public utilities that ensure access to electricity, clean water, and other necessities. </w:t>
      </w:r>
    </w:p>
    <w:p w14:paraId="3E9D64DE" w14:textId="77777777" w:rsidR="00FF6A1D" w:rsidRPr="002E0757" w:rsidRDefault="00FF6A1D" w:rsidP="000D5DB0">
      <w:pPr>
        <w:jc w:val="both"/>
        <w:rPr>
          <w:rFonts w:ascii="Garamond" w:eastAsia="Garamond" w:hAnsi="Garamond" w:cs="Garamond"/>
          <w:sz w:val="22"/>
          <w:szCs w:val="22"/>
        </w:rPr>
      </w:pPr>
    </w:p>
    <w:p w14:paraId="08BEEB85" w14:textId="77777777" w:rsidR="0031323A" w:rsidRDefault="00FF6A1D" w:rsidP="000D5DB0">
      <w:pPr>
        <w:jc w:val="both"/>
        <w:rPr>
          <w:rFonts w:ascii="Garamond" w:eastAsia="Garamond" w:hAnsi="Garamond" w:cs="Garamond"/>
          <w:sz w:val="22"/>
          <w:szCs w:val="22"/>
        </w:rPr>
      </w:pPr>
      <w:r w:rsidRPr="002E0757">
        <w:rPr>
          <w:rFonts w:ascii="Garamond" w:eastAsia="Garamond" w:hAnsi="Garamond" w:cs="Garamond"/>
          <w:sz w:val="22"/>
          <w:szCs w:val="22"/>
        </w:rPr>
        <w:t xml:space="preserve">For Alaska Native communities living on the West Coast, including the </w:t>
      </w:r>
      <w:hyperlink r:id="rId25" w:history="1">
        <w:r w:rsidRPr="002E0757">
          <w:rPr>
            <w:rStyle w:val="Hyperlink"/>
            <w:rFonts w:ascii="Garamond" w:eastAsia="Garamond" w:hAnsi="Garamond" w:cs="Garamond"/>
            <w:sz w:val="22"/>
            <w:szCs w:val="22"/>
          </w:rPr>
          <w:t>Native Village of Kwigillingok</w:t>
        </w:r>
      </w:hyperlink>
      <w:r w:rsidRPr="002E0757">
        <w:rPr>
          <w:rFonts w:ascii="Garamond" w:eastAsia="Garamond" w:hAnsi="Garamond" w:cs="Garamond"/>
          <w:sz w:val="22"/>
          <w:szCs w:val="22"/>
        </w:rPr>
        <w:t xml:space="preserve"> and the </w:t>
      </w:r>
      <w:hyperlink r:id="rId26" w:history="1">
        <w:r w:rsidRPr="002E0757">
          <w:rPr>
            <w:rStyle w:val="Hyperlink"/>
            <w:rFonts w:ascii="Garamond" w:eastAsia="Garamond" w:hAnsi="Garamond" w:cs="Garamond"/>
            <w:sz w:val="22"/>
            <w:szCs w:val="22"/>
          </w:rPr>
          <w:t>Native Village of Nunapitchuk</w:t>
        </w:r>
      </w:hyperlink>
      <w:r w:rsidRPr="002E0757">
        <w:rPr>
          <w:rFonts w:ascii="Garamond" w:eastAsia="Garamond" w:hAnsi="Garamond" w:cs="Garamond"/>
          <w:sz w:val="22"/>
          <w:szCs w:val="22"/>
        </w:rPr>
        <w:t xml:space="preserve">, </w:t>
      </w:r>
      <w:hyperlink r:id="rId27" w:history="1">
        <w:r w:rsidRPr="002E0757">
          <w:rPr>
            <w:rStyle w:val="Hyperlink"/>
            <w:rFonts w:ascii="Garamond" w:eastAsia="Garamond" w:hAnsi="Garamond" w:cs="Garamond"/>
            <w:sz w:val="22"/>
            <w:szCs w:val="22"/>
          </w:rPr>
          <w:t>implications of permafrost thaw</w:t>
        </w:r>
      </w:hyperlink>
      <w:r w:rsidRPr="002E0757">
        <w:rPr>
          <w:rFonts w:ascii="Garamond" w:eastAsia="Garamond" w:hAnsi="Garamond" w:cs="Garamond"/>
          <w:sz w:val="22"/>
          <w:szCs w:val="22"/>
        </w:rPr>
        <w:t xml:space="preserve"> and consequential losses are especially heightened. Loss of sea ice along the coastlines is increasing storm impacts, and permafrost thaw is exacerbating coastal and riverine erosion and flooding—prompting the State of Alaska Hazard Mitigation Plan and the statewide environmental threat assessment </w:t>
      </w:r>
      <w:r w:rsidR="0031323A">
        <w:rPr>
          <w:rFonts w:ascii="Garamond" w:eastAsia="Garamond" w:hAnsi="Garamond" w:cs="Garamond"/>
          <w:sz w:val="22"/>
          <w:szCs w:val="22"/>
        </w:rPr>
        <w:t xml:space="preserve">from the Denali Commission (an independent US federal agency) </w:t>
      </w:r>
      <w:r w:rsidRPr="002E0757">
        <w:rPr>
          <w:rFonts w:ascii="Garamond" w:eastAsia="Garamond" w:hAnsi="Garamond" w:cs="Garamond"/>
          <w:sz w:val="22"/>
          <w:szCs w:val="22"/>
        </w:rPr>
        <w:t xml:space="preserve">to include a new type of hazard: usteq (Yup’ik word meaning “surface caves in”), which is a catastrophic form of ground collapse that occurs from the combined effects of thawing permafrost, flooding, and erosion. </w:t>
      </w:r>
    </w:p>
    <w:p w14:paraId="7637078F" w14:textId="77777777" w:rsidR="0031323A" w:rsidRDefault="0031323A" w:rsidP="000D5DB0">
      <w:pPr>
        <w:jc w:val="both"/>
        <w:rPr>
          <w:rFonts w:ascii="Garamond" w:eastAsia="Garamond" w:hAnsi="Garamond" w:cs="Garamond"/>
          <w:sz w:val="22"/>
          <w:szCs w:val="22"/>
        </w:rPr>
      </w:pPr>
    </w:p>
    <w:p w14:paraId="3E3A8BF9" w14:textId="18DF3E0E" w:rsidR="00FF6A1D" w:rsidRPr="002E0757" w:rsidRDefault="0031323A" w:rsidP="000D5DB0">
      <w:pPr>
        <w:jc w:val="both"/>
        <w:rPr>
          <w:rFonts w:ascii="Garamond" w:eastAsia="Garamond" w:hAnsi="Garamond" w:cs="Garamond"/>
          <w:sz w:val="22"/>
          <w:szCs w:val="22"/>
        </w:rPr>
      </w:pPr>
      <w:r>
        <w:rPr>
          <w:rFonts w:ascii="Garamond" w:eastAsia="Garamond" w:hAnsi="Garamond" w:cs="Garamond"/>
          <w:sz w:val="22"/>
          <w:szCs w:val="22"/>
        </w:rPr>
        <w:t xml:space="preserve">Unfortunately, explicit recognition of permafrost thaw and these compounding disasters does not prevent them from occurring; Alaska has continued to face environmental shocks and natural disasters, including </w:t>
      </w:r>
      <w:r w:rsidR="00FF6A1D" w:rsidRPr="002E0757">
        <w:rPr>
          <w:rFonts w:ascii="Garamond" w:eastAsia="Garamond" w:hAnsi="Garamond" w:cs="Garamond"/>
          <w:sz w:val="22"/>
          <w:szCs w:val="22"/>
        </w:rPr>
        <w:t xml:space="preserve">Typhoon Merbok, which inundated western Alaska with storm surges, wind gusts, and inland flooding in September 2022, and prompted the governor to issue a state disaster declaration. The ongoing adaptation challenges provide both anecdotal and empirical evidence of the need for immediate relocation. </w:t>
      </w:r>
    </w:p>
    <w:p w14:paraId="3D7B5EEF" w14:textId="04C54AD0" w:rsidR="00FF6A1D" w:rsidRPr="002E0757" w:rsidRDefault="00FF6A1D" w:rsidP="000D5DB0">
      <w:pPr>
        <w:rPr>
          <w:rFonts w:ascii="Garamond" w:hAnsi="Garamond"/>
          <w:b/>
          <w:bCs/>
          <w:sz w:val="22"/>
          <w:szCs w:val="22"/>
        </w:rPr>
      </w:pPr>
    </w:p>
    <w:p w14:paraId="68355FB1" w14:textId="58BA7A79" w:rsidR="00430894" w:rsidRPr="0031323A" w:rsidRDefault="002E0757" w:rsidP="000D5DB0">
      <w:pPr>
        <w:rPr>
          <w:rFonts w:ascii="Garamond" w:hAnsi="Garamond"/>
          <w:b/>
          <w:bCs/>
          <w:i/>
          <w:iCs/>
          <w:sz w:val="22"/>
          <w:szCs w:val="22"/>
        </w:rPr>
      </w:pPr>
      <w:r w:rsidRPr="0031323A">
        <w:rPr>
          <w:rFonts w:ascii="Garamond" w:hAnsi="Garamond"/>
          <w:b/>
          <w:bCs/>
          <w:i/>
          <w:iCs/>
          <w:sz w:val="22"/>
          <w:szCs w:val="22"/>
        </w:rPr>
        <w:lastRenderedPageBreak/>
        <w:t xml:space="preserve">Q3. </w:t>
      </w:r>
      <w:r w:rsidR="00430894" w:rsidRPr="0031323A">
        <w:rPr>
          <w:rFonts w:ascii="Garamond" w:hAnsi="Garamond"/>
          <w:b/>
          <w:bCs/>
          <w:i/>
          <w:iCs/>
          <w:sz w:val="22"/>
          <w:szCs w:val="22"/>
        </w:rPr>
        <w:t>What legislation, policies and practices are you aware of that are in place to give protection to the rights of individual and communities displaced by climate change</w:t>
      </w:r>
      <w:r w:rsidR="00255450" w:rsidRPr="0031323A">
        <w:rPr>
          <w:rFonts w:ascii="Garamond" w:hAnsi="Garamond"/>
          <w:b/>
          <w:bCs/>
          <w:i/>
          <w:iCs/>
          <w:sz w:val="22"/>
          <w:szCs w:val="22"/>
        </w:rPr>
        <w:t>?</w:t>
      </w:r>
      <w:r w:rsidR="00430894" w:rsidRPr="0031323A">
        <w:rPr>
          <w:rFonts w:ascii="Garamond" w:hAnsi="Garamond"/>
          <w:b/>
          <w:bCs/>
          <w:i/>
          <w:iCs/>
          <w:sz w:val="22"/>
          <w:szCs w:val="22"/>
        </w:rPr>
        <w:t xml:space="preserve"> </w:t>
      </w:r>
    </w:p>
    <w:p w14:paraId="23D1B523" w14:textId="77777777" w:rsidR="00FF6A1D" w:rsidRPr="002E0757" w:rsidRDefault="00FF6A1D" w:rsidP="000D5DB0">
      <w:pPr>
        <w:rPr>
          <w:rFonts w:ascii="Garamond" w:eastAsia="Garamond" w:hAnsi="Garamond" w:cs="Garamond"/>
          <w:sz w:val="22"/>
          <w:szCs w:val="22"/>
        </w:rPr>
      </w:pPr>
    </w:p>
    <w:p w14:paraId="2711B1E2" w14:textId="14C98FDF" w:rsidR="006E7E74" w:rsidRPr="002E0757" w:rsidRDefault="000D5DB0" w:rsidP="000D5DB0">
      <w:pPr>
        <w:jc w:val="both"/>
        <w:rPr>
          <w:rFonts w:ascii="Garamond" w:eastAsia="Garamond" w:hAnsi="Garamond" w:cs="Garamond"/>
          <w:sz w:val="22"/>
          <w:szCs w:val="22"/>
        </w:rPr>
      </w:pPr>
      <w:r w:rsidRPr="002E0757">
        <w:rPr>
          <w:rFonts w:ascii="Garamond" w:eastAsia="Garamond" w:hAnsi="Garamond" w:cs="Garamond"/>
          <w:sz w:val="22"/>
          <w:szCs w:val="22"/>
        </w:rPr>
        <w:t xml:space="preserve">There is no legislation or formal policy that provides protection for Arctic communities that are facing displacement from climate change—instead, it is up to national governments to provide </w:t>
      </w:r>
      <w:r w:rsidRPr="0031323A">
        <w:rPr>
          <w:rFonts w:ascii="Garamond" w:eastAsia="Garamond" w:hAnsi="Garamond" w:cs="Garamond"/>
          <w:i/>
          <w:iCs/>
          <w:sz w:val="22"/>
          <w:szCs w:val="22"/>
        </w:rPr>
        <w:t>ad hoc</w:t>
      </w:r>
      <w:r w:rsidRPr="002E0757">
        <w:rPr>
          <w:rFonts w:ascii="Garamond" w:eastAsia="Garamond" w:hAnsi="Garamond" w:cs="Garamond"/>
          <w:sz w:val="22"/>
          <w:szCs w:val="22"/>
        </w:rPr>
        <w:t xml:space="preserve"> support</w:t>
      </w:r>
      <w:r w:rsidR="0031323A">
        <w:rPr>
          <w:rFonts w:ascii="Garamond" w:eastAsia="Garamond" w:hAnsi="Garamond" w:cs="Garamond"/>
          <w:sz w:val="22"/>
          <w:szCs w:val="22"/>
        </w:rPr>
        <w:t>.</w:t>
      </w:r>
    </w:p>
    <w:p w14:paraId="359C8675" w14:textId="77777777" w:rsidR="006E7E74" w:rsidRPr="002E0757" w:rsidRDefault="006E7E74" w:rsidP="000D5DB0">
      <w:pPr>
        <w:jc w:val="both"/>
        <w:rPr>
          <w:rFonts w:ascii="Garamond" w:eastAsia="Garamond" w:hAnsi="Garamond" w:cs="Garamond"/>
          <w:sz w:val="22"/>
          <w:szCs w:val="22"/>
        </w:rPr>
      </w:pPr>
    </w:p>
    <w:p w14:paraId="0D5BD180" w14:textId="13A11324" w:rsidR="000D5DB0" w:rsidRPr="002E0757" w:rsidRDefault="000D5DB0" w:rsidP="000D5DB0">
      <w:pPr>
        <w:jc w:val="both"/>
        <w:rPr>
          <w:rFonts w:ascii="Garamond" w:eastAsia="Garamond" w:hAnsi="Garamond" w:cs="Garamond"/>
          <w:sz w:val="22"/>
          <w:szCs w:val="22"/>
        </w:rPr>
      </w:pPr>
      <w:r w:rsidRPr="002E0757">
        <w:rPr>
          <w:rFonts w:ascii="Garamond" w:eastAsia="Garamond" w:hAnsi="Garamond" w:cs="Garamond"/>
          <w:sz w:val="22"/>
          <w:szCs w:val="22"/>
        </w:rPr>
        <w:t xml:space="preserve">In the United States, such assistance further depends upon availability of funds and a set of criteria that has not yet been standardized </w:t>
      </w:r>
      <w:r w:rsidR="0031323A">
        <w:rPr>
          <w:rFonts w:ascii="Garamond" w:eastAsia="Garamond" w:hAnsi="Garamond" w:cs="Garamond"/>
          <w:sz w:val="22"/>
          <w:szCs w:val="22"/>
        </w:rPr>
        <w:t>n</w:t>
      </w:r>
      <w:r w:rsidRPr="002E0757">
        <w:rPr>
          <w:rFonts w:ascii="Garamond" w:eastAsia="Garamond" w:hAnsi="Garamond" w:cs="Garamond"/>
          <w:sz w:val="22"/>
          <w:szCs w:val="22"/>
        </w:rPr>
        <w:t>or legally defined. Nevertheless, the US has developed v</w:t>
      </w:r>
      <w:r w:rsidRPr="002E0757">
        <w:rPr>
          <w:rFonts w:ascii="Garamond" w:eastAsia="Garamond" w:hAnsi="Garamond" w:cs="Garamond"/>
          <w:color w:val="222222"/>
          <w:sz w:val="22"/>
          <w:szCs w:val="22"/>
        </w:rPr>
        <w:t xml:space="preserve">arious programs and funding mechanisms that may be leveraged to </w:t>
      </w:r>
      <w:r w:rsidR="006E7E74" w:rsidRPr="002E0757">
        <w:rPr>
          <w:rFonts w:ascii="Garamond" w:eastAsia="Garamond" w:hAnsi="Garamond" w:cs="Garamond"/>
          <w:color w:val="222222"/>
          <w:sz w:val="22"/>
          <w:szCs w:val="22"/>
        </w:rPr>
        <w:t>finance</w:t>
      </w:r>
      <w:r w:rsidRPr="002E0757">
        <w:rPr>
          <w:rFonts w:ascii="Garamond" w:eastAsia="Garamond" w:hAnsi="Garamond" w:cs="Garamond"/>
          <w:color w:val="222222"/>
          <w:sz w:val="22"/>
          <w:szCs w:val="22"/>
        </w:rPr>
        <w:t xml:space="preserve"> protection-in-place (and more recently, for relocation) as </w:t>
      </w:r>
      <w:r w:rsidR="006E7E74" w:rsidRPr="002E0757">
        <w:rPr>
          <w:rFonts w:ascii="Garamond" w:eastAsia="Garamond" w:hAnsi="Garamond" w:cs="Garamond"/>
          <w:color w:val="222222"/>
          <w:sz w:val="22"/>
          <w:szCs w:val="22"/>
        </w:rPr>
        <w:t>described below: (</w:t>
      </w:r>
      <w:r w:rsidRPr="002E0757">
        <w:rPr>
          <w:rFonts w:ascii="Garamond" w:eastAsia="Garamond" w:hAnsi="Garamond" w:cs="Garamond"/>
          <w:color w:val="222222"/>
          <w:sz w:val="22"/>
          <w:szCs w:val="22"/>
        </w:rPr>
        <w:t>Note that such assistance is likely insufficient and inaccessible for every community facing climate-forced displacement</w:t>
      </w:r>
      <w:r w:rsidR="006E7E74" w:rsidRPr="002E0757">
        <w:rPr>
          <w:rFonts w:ascii="Garamond" w:eastAsia="Garamond" w:hAnsi="Garamond" w:cs="Garamond"/>
          <w:color w:val="222222"/>
          <w:sz w:val="22"/>
          <w:szCs w:val="22"/>
        </w:rPr>
        <w:t xml:space="preserve"> and do not extend legal protections to these communities.)</w:t>
      </w:r>
    </w:p>
    <w:p w14:paraId="6EA1BF69" w14:textId="4E3900DA" w:rsidR="000D5DB0" w:rsidRPr="002E0757" w:rsidRDefault="000D5DB0" w:rsidP="000D5DB0">
      <w:pPr>
        <w:jc w:val="both"/>
        <w:rPr>
          <w:rFonts w:ascii="Garamond" w:eastAsia="Garamond" w:hAnsi="Garamond" w:cs="Garamond"/>
          <w:color w:val="222222"/>
          <w:sz w:val="22"/>
          <w:szCs w:val="22"/>
        </w:rPr>
      </w:pPr>
    </w:p>
    <w:p w14:paraId="27583DB2" w14:textId="1ACD25E7" w:rsidR="006E7E74" w:rsidRPr="002E0757" w:rsidRDefault="000D5DB0" w:rsidP="006E7E74">
      <w:pPr>
        <w:pStyle w:val="ListParagraph"/>
        <w:numPr>
          <w:ilvl w:val="0"/>
          <w:numId w:val="23"/>
        </w:numPr>
        <w:shd w:val="clear" w:color="auto" w:fill="FFFFFF"/>
        <w:ind w:left="0" w:firstLine="360"/>
        <w:jc w:val="both"/>
        <w:rPr>
          <w:rFonts w:ascii="Garamond" w:hAnsi="Garamond"/>
          <w:color w:val="222222"/>
          <w:sz w:val="22"/>
          <w:szCs w:val="22"/>
        </w:rPr>
      </w:pPr>
      <w:r w:rsidRPr="002E0757">
        <w:rPr>
          <w:rFonts w:ascii="Garamond" w:hAnsi="Garamond"/>
          <w:color w:val="222222"/>
          <w:sz w:val="22"/>
          <w:szCs w:val="22"/>
        </w:rPr>
        <w:t>The </w:t>
      </w:r>
      <w:hyperlink r:id="rId28" w:tgtFrame="_blank" w:history="1">
        <w:r w:rsidRPr="002E0757">
          <w:rPr>
            <w:rStyle w:val="Hyperlink"/>
            <w:rFonts w:ascii="Garamond" w:hAnsi="Garamond"/>
            <w:sz w:val="22"/>
            <w:szCs w:val="22"/>
          </w:rPr>
          <w:t>Bipartisan Infrastructure Law</w:t>
        </w:r>
      </w:hyperlink>
      <w:r w:rsidRPr="002E0757">
        <w:rPr>
          <w:rFonts w:ascii="Garamond" w:hAnsi="Garamond"/>
          <w:color w:val="222222"/>
          <w:sz w:val="22"/>
          <w:szCs w:val="22"/>
        </w:rPr>
        <w:t> </w:t>
      </w:r>
      <w:r w:rsidR="0031323A">
        <w:rPr>
          <w:rFonts w:ascii="Garamond" w:hAnsi="Garamond"/>
          <w:color w:val="222222"/>
          <w:sz w:val="22"/>
          <w:szCs w:val="22"/>
        </w:rPr>
        <w:t>adopted in 2021</w:t>
      </w:r>
      <w:r w:rsidR="006E7E74" w:rsidRPr="002E0757">
        <w:rPr>
          <w:rFonts w:ascii="Garamond" w:hAnsi="Garamond"/>
          <w:color w:val="222222"/>
          <w:sz w:val="22"/>
          <w:szCs w:val="22"/>
        </w:rPr>
        <w:t xml:space="preserve"> </w:t>
      </w:r>
      <w:r w:rsidRPr="002E0757">
        <w:rPr>
          <w:rFonts w:ascii="Garamond" w:hAnsi="Garamond"/>
          <w:color w:val="222222"/>
          <w:sz w:val="22"/>
          <w:szCs w:val="22"/>
        </w:rPr>
        <w:t xml:space="preserve">provides a total of </w:t>
      </w:r>
      <w:r w:rsidR="006E7E74" w:rsidRPr="002E0757">
        <w:rPr>
          <w:rFonts w:ascii="Garamond" w:hAnsi="Garamond"/>
          <w:color w:val="222222"/>
          <w:sz w:val="22"/>
          <w:szCs w:val="22"/>
        </w:rPr>
        <w:t xml:space="preserve">US </w:t>
      </w:r>
      <w:r w:rsidRPr="002E0757">
        <w:rPr>
          <w:rFonts w:ascii="Garamond" w:hAnsi="Garamond"/>
          <w:color w:val="222222"/>
          <w:sz w:val="22"/>
          <w:szCs w:val="22"/>
        </w:rPr>
        <w:t xml:space="preserve">$466 million to the </w:t>
      </w:r>
      <w:r w:rsidR="006E7E74" w:rsidRPr="002E0757">
        <w:rPr>
          <w:rFonts w:ascii="Garamond" w:hAnsi="Garamond"/>
          <w:color w:val="222222"/>
          <w:sz w:val="22"/>
          <w:szCs w:val="22"/>
        </w:rPr>
        <w:t>Department of the Interior’s</w:t>
      </w:r>
      <w:r w:rsidR="006E7E74" w:rsidRPr="002E0757">
        <w:rPr>
          <w:rStyle w:val="FootnoteReference"/>
          <w:rFonts w:ascii="Garamond" w:hAnsi="Garamond"/>
          <w:color w:val="222222"/>
          <w:sz w:val="22"/>
          <w:szCs w:val="22"/>
        </w:rPr>
        <w:footnoteReference w:id="2"/>
      </w:r>
      <w:r w:rsidR="006E7E74" w:rsidRPr="002E0757">
        <w:rPr>
          <w:rFonts w:ascii="Garamond" w:hAnsi="Garamond"/>
          <w:color w:val="222222"/>
          <w:sz w:val="22"/>
          <w:szCs w:val="22"/>
        </w:rPr>
        <w:t xml:space="preserve"> </w:t>
      </w:r>
      <w:r w:rsidRPr="002E0757">
        <w:rPr>
          <w:rFonts w:ascii="Garamond" w:hAnsi="Garamond"/>
          <w:color w:val="222222"/>
          <w:sz w:val="22"/>
          <w:szCs w:val="22"/>
        </w:rPr>
        <w:t>B</w:t>
      </w:r>
      <w:r w:rsidR="006E7E74" w:rsidRPr="002E0757">
        <w:rPr>
          <w:rFonts w:ascii="Garamond" w:hAnsi="Garamond"/>
          <w:color w:val="222222"/>
          <w:sz w:val="22"/>
          <w:szCs w:val="22"/>
        </w:rPr>
        <w:t xml:space="preserve">ureau of </w:t>
      </w:r>
      <w:r w:rsidRPr="002E0757">
        <w:rPr>
          <w:rFonts w:ascii="Garamond" w:hAnsi="Garamond"/>
          <w:color w:val="222222"/>
          <w:sz w:val="22"/>
          <w:szCs w:val="22"/>
        </w:rPr>
        <w:t>I</w:t>
      </w:r>
      <w:r w:rsidR="006E7E74" w:rsidRPr="002E0757">
        <w:rPr>
          <w:rFonts w:ascii="Garamond" w:hAnsi="Garamond"/>
          <w:color w:val="222222"/>
          <w:sz w:val="22"/>
          <w:szCs w:val="22"/>
        </w:rPr>
        <w:t xml:space="preserve">ndian Affairs </w:t>
      </w:r>
      <w:r w:rsidRPr="002E0757">
        <w:rPr>
          <w:rFonts w:ascii="Garamond" w:hAnsi="Garamond"/>
          <w:color w:val="222222"/>
          <w:sz w:val="22"/>
          <w:szCs w:val="22"/>
        </w:rPr>
        <w:t xml:space="preserve">over five years, including </w:t>
      </w:r>
      <w:r w:rsidR="006E7E74" w:rsidRPr="002E0757">
        <w:rPr>
          <w:rFonts w:ascii="Garamond" w:hAnsi="Garamond"/>
          <w:color w:val="222222"/>
          <w:sz w:val="22"/>
          <w:szCs w:val="22"/>
        </w:rPr>
        <w:t>US</w:t>
      </w:r>
      <w:r w:rsidRPr="002E0757">
        <w:rPr>
          <w:rFonts w:ascii="Garamond" w:hAnsi="Garamond"/>
          <w:color w:val="222222"/>
          <w:sz w:val="22"/>
          <w:szCs w:val="22"/>
        </w:rPr>
        <w:t>$216 million for climate resilience programs.</w:t>
      </w:r>
      <w:r w:rsidR="006E7E74" w:rsidRPr="002E0757">
        <w:rPr>
          <w:rStyle w:val="FootnoteReference"/>
          <w:rFonts w:ascii="Garamond" w:hAnsi="Garamond"/>
          <w:color w:val="222222"/>
          <w:sz w:val="22"/>
          <w:szCs w:val="22"/>
        </w:rPr>
        <w:footnoteReference w:id="3"/>
      </w:r>
      <w:r w:rsidRPr="002E0757">
        <w:rPr>
          <w:rFonts w:ascii="Garamond" w:hAnsi="Garamond"/>
          <w:color w:val="222222"/>
          <w:sz w:val="22"/>
          <w:szCs w:val="22"/>
        </w:rPr>
        <w:t xml:space="preserve"> Of that funding, </w:t>
      </w:r>
      <w:r w:rsidR="006E7E74" w:rsidRPr="002E0757">
        <w:rPr>
          <w:rFonts w:ascii="Garamond" w:hAnsi="Garamond"/>
          <w:color w:val="222222"/>
          <w:sz w:val="22"/>
          <w:szCs w:val="22"/>
        </w:rPr>
        <w:t>US</w:t>
      </w:r>
      <w:r w:rsidRPr="002E0757">
        <w:rPr>
          <w:rFonts w:ascii="Garamond" w:hAnsi="Garamond"/>
          <w:color w:val="222222"/>
          <w:sz w:val="22"/>
          <w:szCs w:val="22"/>
        </w:rPr>
        <w:t>$130 million is provided for community relocation</w:t>
      </w:r>
      <w:r w:rsidR="006E7E74" w:rsidRPr="002E0757">
        <w:rPr>
          <w:rFonts w:ascii="Garamond" w:hAnsi="Garamond"/>
          <w:color w:val="222222"/>
          <w:sz w:val="22"/>
          <w:szCs w:val="22"/>
        </w:rPr>
        <w:t xml:space="preserve">. At least 11 tribes applied for this funding, and in November 2022, </w:t>
      </w:r>
      <w:hyperlink r:id="rId29" w:history="1">
        <w:r w:rsidR="006E7E74" w:rsidRPr="0031323A">
          <w:rPr>
            <w:rStyle w:val="Hyperlink"/>
            <w:rFonts w:ascii="Garamond" w:hAnsi="Garamond"/>
            <w:sz w:val="22"/>
            <w:szCs w:val="22"/>
          </w:rPr>
          <w:t>it was revealed that</w:t>
        </w:r>
      </w:hyperlink>
      <w:r w:rsidR="006E7E74" w:rsidRPr="002E0757">
        <w:rPr>
          <w:rFonts w:ascii="Garamond" w:hAnsi="Garamond"/>
          <w:color w:val="222222"/>
          <w:sz w:val="22"/>
          <w:szCs w:val="22"/>
        </w:rPr>
        <w:t xml:space="preserve"> three tribes in Alaska--Nunapitchuk, Akiak, and Chefornak—would receive funds from this historic program. While this program demonstrates a shift of the US government away from “protection to place” towards “managed retreat” —the monetary awards themselves are likely insufficient to cover full community relocation. </w:t>
      </w:r>
    </w:p>
    <w:p w14:paraId="4570C66D" w14:textId="77777777" w:rsidR="006E7E74" w:rsidRPr="002E0757" w:rsidRDefault="006E7E74" w:rsidP="006E7E74">
      <w:pPr>
        <w:shd w:val="clear" w:color="auto" w:fill="FFFFFF"/>
        <w:jc w:val="both"/>
        <w:rPr>
          <w:rFonts w:ascii="Garamond" w:hAnsi="Garamond"/>
          <w:color w:val="222222"/>
          <w:sz w:val="22"/>
          <w:szCs w:val="22"/>
        </w:rPr>
      </w:pPr>
    </w:p>
    <w:p w14:paraId="332498B4" w14:textId="3AAA9877" w:rsidR="006E7E74" w:rsidRPr="002E0757" w:rsidRDefault="006E7E74" w:rsidP="006E7E74">
      <w:pPr>
        <w:pStyle w:val="ListParagraph"/>
        <w:numPr>
          <w:ilvl w:val="0"/>
          <w:numId w:val="20"/>
        </w:numPr>
        <w:ind w:left="0" w:firstLine="360"/>
        <w:jc w:val="both"/>
        <w:rPr>
          <w:rFonts w:ascii="Garamond" w:eastAsia="Garamond" w:hAnsi="Garamond" w:cs="Garamond"/>
          <w:color w:val="222222"/>
          <w:sz w:val="22"/>
          <w:szCs w:val="22"/>
        </w:rPr>
      </w:pPr>
      <w:r w:rsidRPr="002E0757">
        <w:rPr>
          <w:rFonts w:ascii="Garamond" w:hAnsi="Garamond"/>
          <w:color w:val="222222"/>
          <w:sz w:val="22"/>
          <w:szCs w:val="22"/>
        </w:rPr>
        <w:t xml:space="preserve">The Bipartisan Infrastructure Law (2021) also dedicated USD$4.28 billion to </w:t>
      </w:r>
      <w:r w:rsidRPr="002E0757">
        <w:rPr>
          <w:rFonts w:ascii="Garamond" w:eastAsia="Garamond" w:hAnsi="Garamond" w:cs="Garamond"/>
          <w:color w:val="222222"/>
          <w:sz w:val="22"/>
          <w:szCs w:val="22"/>
        </w:rPr>
        <w:t xml:space="preserve">USDA, of which USD$633 million will be invested to reduce impacts of climate change on rural communities. The </w:t>
      </w:r>
      <w:hyperlink r:id="rId30" w:history="1">
        <w:r w:rsidRPr="0031323A">
          <w:rPr>
            <w:rStyle w:val="Hyperlink"/>
            <w:rFonts w:ascii="Garamond" w:eastAsia="Garamond" w:hAnsi="Garamond" w:cs="Garamond"/>
            <w:sz w:val="22"/>
            <w:szCs w:val="22"/>
          </w:rPr>
          <w:t>Inflation Reduction Act</w:t>
        </w:r>
      </w:hyperlink>
      <w:r w:rsidRPr="002E0757">
        <w:rPr>
          <w:rFonts w:ascii="Garamond" w:eastAsia="Garamond" w:hAnsi="Garamond" w:cs="Garamond"/>
          <w:color w:val="222222"/>
          <w:sz w:val="22"/>
          <w:szCs w:val="22"/>
        </w:rPr>
        <w:t xml:space="preserve">  (IRA) directly appropriates an additional USD$46 billion to USDA, of which $121 million will be invested in critical infrastructure to combat climate change across rural US. The </w:t>
      </w:r>
      <w:r w:rsidRPr="002E0757">
        <w:rPr>
          <w:rFonts w:ascii="Garamond" w:eastAsia="Garamond" w:hAnsi="Garamond" w:cs="Garamond"/>
          <w:i/>
          <w:iCs/>
          <w:color w:val="222222"/>
          <w:sz w:val="22"/>
          <w:szCs w:val="22"/>
        </w:rPr>
        <w:t xml:space="preserve">Community Facilities Disaster Grants </w:t>
      </w:r>
      <w:r w:rsidRPr="002E0757">
        <w:rPr>
          <w:rFonts w:ascii="Garamond" w:eastAsia="Garamond" w:hAnsi="Garamond" w:cs="Garamond"/>
          <w:color w:val="222222"/>
          <w:sz w:val="22"/>
          <w:szCs w:val="22"/>
        </w:rPr>
        <w:t xml:space="preserve">is one of the key recipient programs under both laws. These investments are intended to help state and local government entities, nonprofit organizations, and federally recognized Tribes construct, renovate, or purchase and install equipment for essential community facilities for public use. NRCS has been involved in previous efforts to relocate Alaska communities including </w:t>
      </w:r>
      <w:hyperlink r:id="rId31" w:history="1">
        <w:r w:rsidRPr="002E0757">
          <w:rPr>
            <w:rStyle w:val="Hyperlink"/>
            <w:rFonts w:ascii="Garamond" w:eastAsia="Garamond" w:hAnsi="Garamond" w:cs="Garamond"/>
            <w:sz w:val="22"/>
            <w:szCs w:val="22"/>
          </w:rPr>
          <w:t>Shishmaref</w:t>
        </w:r>
      </w:hyperlink>
      <w:r w:rsidRPr="002E0757">
        <w:rPr>
          <w:rFonts w:ascii="Garamond" w:eastAsia="Garamond" w:hAnsi="Garamond" w:cs="Garamond"/>
          <w:color w:val="222222"/>
          <w:sz w:val="22"/>
          <w:szCs w:val="22"/>
        </w:rPr>
        <w:t xml:space="preserve"> and </w:t>
      </w:r>
      <w:hyperlink r:id="rId32" w:history="1">
        <w:r w:rsidRPr="002E0757">
          <w:rPr>
            <w:rStyle w:val="Hyperlink"/>
            <w:rFonts w:ascii="Garamond" w:eastAsia="Garamond" w:hAnsi="Garamond" w:cs="Garamond"/>
            <w:sz w:val="22"/>
            <w:szCs w:val="22"/>
          </w:rPr>
          <w:t>Husilia</w:t>
        </w:r>
      </w:hyperlink>
      <w:r w:rsidRPr="002E0757">
        <w:rPr>
          <w:rFonts w:ascii="Garamond" w:eastAsia="Garamond" w:hAnsi="Garamond" w:cs="Garamond"/>
          <w:color w:val="222222"/>
          <w:sz w:val="22"/>
          <w:szCs w:val="22"/>
        </w:rPr>
        <w:t xml:space="preserve">. In March 2022, USDA announced that it would fund relocation of buildings and infrastructure for 6 Alaska communities: Kotlik, Alakanuk, Kwigillingok, Golovin, Tuntutuliak, and Tununak. </w:t>
      </w:r>
    </w:p>
    <w:p w14:paraId="15FA00A6" w14:textId="77777777" w:rsidR="006E7E74" w:rsidRPr="002E0757" w:rsidRDefault="006E7E74" w:rsidP="006E7E74">
      <w:pPr>
        <w:pStyle w:val="ListParagraph"/>
        <w:ind w:left="360"/>
        <w:jc w:val="both"/>
        <w:rPr>
          <w:rFonts w:ascii="Garamond" w:eastAsia="Garamond" w:hAnsi="Garamond" w:cs="Garamond"/>
          <w:color w:val="222222"/>
          <w:sz w:val="22"/>
          <w:szCs w:val="22"/>
        </w:rPr>
      </w:pPr>
    </w:p>
    <w:p w14:paraId="7C6D0D62" w14:textId="63347877" w:rsidR="000D5DB0" w:rsidRPr="002E0757" w:rsidRDefault="006E7E74" w:rsidP="006E7E74">
      <w:pPr>
        <w:pStyle w:val="ListParagraph"/>
        <w:numPr>
          <w:ilvl w:val="0"/>
          <w:numId w:val="20"/>
        </w:numPr>
        <w:ind w:left="0" w:firstLine="360"/>
        <w:jc w:val="both"/>
        <w:rPr>
          <w:rFonts w:ascii="Garamond" w:eastAsia="Garamond" w:hAnsi="Garamond" w:cs="Garamond"/>
          <w:color w:val="222222"/>
          <w:sz w:val="22"/>
          <w:szCs w:val="22"/>
        </w:rPr>
      </w:pPr>
      <w:r w:rsidRPr="002E0757">
        <w:rPr>
          <w:rFonts w:ascii="Garamond" w:eastAsia="Garamond" w:hAnsi="Garamond" w:cs="Garamond"/>
          <w:color w:val="222222"/>
          <w:sz w:val="22"/>
          <w:szCs w:val="22"/>
        </w:rPr>
        <w:t>The</w:t>
      </w:r>
      <w:r w:rsidR="000D5DB0" w:rsidRPr="002E0757">
        <w:rPr>
          <w:rFonts w:ascii="Garamond" w:eastAsia="Garamond" w:hAnsi="Garamond" w:cs="Garamond"/>
          <w:color w:val="222222"/>
          <w:sz w:val="22"/>
          <w:szCs w:val="22"/>
        </w:rPr>
        <w:t xml:space="preserve"> United States Army Corps of Engineers</w:t>
      </w:r>
      <w:r w:rsidRPr="002E0757">
        <w:rPr>
          <w:rFonts w:ascii="Garamond" w:eastAsia="Garamond" w:hAnsi="Garamond" w:cs="Garamond"/>
          <w:color w:val="222222"/>
          <w:sz w:val="22"/>
          <w:szCs w:val="22"/>
        </w:rPr>
        <w:t xml:space="preserve"> also provides technical assistance to communities that have experienced infrastructural destruction due to climate change. As the</w:t>
      </w:r>
      <w:r w:rsidR="000D5DB0" w:rsidRPr="002E0757">
        <w:rPr>
          <w:rFonts w:ascii="Garamond" w:eastAsia="Garamond" w:hAnsi="Garamond" w:cs="Garamond"/>
          <w:color w:val="222222"/>
          <w:sz w:val="22"/>
          <w:szCs w:val="22"/>
        </w:rPr>
        <w:t xml:space="preserve"> United States’ first environmental engineering body</w:t>
      </w:r>
      <w:r w:rsidRPr="002E0757">
        <w:rPr>
          <w:rFonts w:ascii="Garamond" w:eastAsia="Garamond" w:hAnsi="Garamond" w:cs="Garamond"/>
          <w:color w:val="222222"/>
          <w:sz w:val="22"/>
          <w:szCs w:val="22"/>
        </w:rPr>
        <w:t xml:space="preserve">, the Army Corps provides </w:t>
      </w:r>
      <w:r w:rsidR="000D5DB0" w:rsidRPr="002E0757">
        <w:rPr>
          <w:rFonts w:ascii="Garamond" w:eastAsia="Garamond" w:hAnsi="Garamond" w:cs="Garamond"/>
          <w:color w:val="222222"/>
          <w:sz w:val="22"/>
          <w:szCs w:val="22"/>
        </w:rPr>
        <w:t>on the ground ecosystem restoration, waterway  protection, and resource management services. The agency delivers personnel and resource support in the form of disaster response and recovery, generally due to flooding and hurricanes. Under the National Response Framework (NRF) and the</w:t>
      </w:r>
      <w:r w:rsidRPr="002E0757">
        <w:rPr>
          <w:rFonts w:ascii="Garamond" w:eastAsia="Garamond" w:hAnsi="Garamond" w:cs="Garamond"/>
          <w:color w:val="000000"/>
          <w:sz w:val="22"/>
          <w:szCs w:val="22"/>
          <w:highlight w:val="white"/>
        </w:rPr>
        <w:t>1988 Robert T. Stafford Disaster Relief and Emergency Assistance Act (“Stafford Act”)</w:t>
      </w:r>
      <w:r w:rsidR="000D5DB0" w:rsidRPr="002E0757">
        <w:rPr>
          <w:rFonts w:ascii="Garamond" w:eastAsia="Garamond" w:hAnsi="Garamond" w:cs="Garamond"/>
          <w:color w:val="222222"/>
          <w:sz w:val="22"/>
          <w:szCs w:val="22"/>
        </w:rPr>
        <w:t xml:space="preserve">, USACE </w:t>
      </w:r>
      <w:r w:rsidR="000D5DB0" w:rsidRPr="002E0757">
        <w:rPr>
          <w:rFonts w:ascii="Garamond" w:eastAsia="Garamond" w:hAnsi="Garamond" w:cs="Garamond"/>
          <w:color w:val="222222"/>
          <w:sz w:val="22"/>
          <w:szCs w:val="22"/>
        </w:rPr>
        <w:lastRenderedPageBreak/>
        <w:t>works under FEMA as a to support state and local governments in the aftermath of a disaster. USACE also has its own authority to directly respond to State and Local needs related to flooding or coastal emergencies</w:t>
      </w:r>
      <w:r w:rsidRPr="002E0757">
        <w:rPr>
          <w:rFonts w:ascii="Garamond" w:eastAsia="Garamond" w:hAnsi="Garamond" w:cs="Garamond"/>
          <w:color w:val="222222"/>
          <w:sz w:val="22"/>
          <w:szCs w:val="22"/>
        </w:rPr>
        <w:t>.</w:t>
      </w:r>
    </w:p>
    <w:p w14:paraId="13EC09A4" w14:textId="613A9BF0" w:rsidR="000D5DB0" w:rsidRPr="002E0757" w:rsidRDefault="000D5DB0" w:rsidP="000D5DB0">
      <w:pPr>
        <w:jc w:val="both"/>
        <w:rPr>
          <w:rFonts w:ascii="Garamond" w:eastAsia="Garamond" w:hAnsi="Garamond" w:cs="Garamond"/>
          <w:color w:val="222222"/>
          <w:sz w:val="22"/>
          <w:szCs w:val="22"/>
        </w:rPr>
      </w:pPr>
    </w:p>
    <w:p w14:paraId="4B82148D" w14:textId="2FAEC0BA" w:rsidR="006E7E74" w:rsidRPr="002E0757" w:rsidRDefault="006E7E74" w:rsidP="006E7E74">
      <w:pPr>
        <w:pStyle w:val="ListParagraph"/>
        <w:numPr>
          <w:ilvl w:val="0"/>
          <w:numId w:val="24"/>
        </w:numPr>
        <w:ind w:left="0" w:firstLine="360"/>
        <w:jc w:val="both"/>
        <w:rPr>
          <w:rFonts w:ascii="Garamond" w:eastAsia="Garamond" w:hAnsi="Garamond" w:cs="Garamond"/>
          <w:b/>
          <w:bCs/>
          <w:i/>
          <w:iCs/>
          <w:color w:val="222222"/>
          <w:sz w:val="22"/>
          <w:szCs w:val="22"/>
        </w:rPr>
      </w:pPr>
      <w:r w:rsidRPr="002E0757">
        <w:rPr>
          <w:rFonts w:ascii="Garamond" w:eastAsia="Garamond" w:hAnsi="Garamond" w:cs="Garamond"/>
          <w:color w:val="222222"/>
          <w:sz w:val="22"/>
          <w:szCs w:val="22"/>
        </w:rPr>
        <w:t>Additional funding support may be available through the Dept. of Housing and Urban Development</w:t>
      </w:r>
      <w:r w:rsidRPr="002E0757">
        <w:rPr>
          <w:rFonts w:ascii="Garamond" w:hAnsi="Garamond"/>
          <w:color w:val="222222"/>
          <w:sz w:val="22"/>
          <w:szCs w:val="22"/>
        </w:rPr>
        <w:t xml:space="preserve">. The </w:t>
      </w:r>
      <w:r w:rsidRPr="002E0757">
        <w:rPr>
          <w:rFonts w:ascii="Garamond" w:eastAsia="Garamond" w:hAnsi="Garamond" w:cs="Garamond"/>
          <w:color w:val="222222"/>
          <w:sz w:val="22"/>
          <w:szCs w:val="22"/>
        </w:rPr>
        <w:t xml:space="preserve">Indian Community Development Block Grant (ICDBG) program, for example,  provides eligible grantees with grants to develop viable American Indian and Alaska Native communities, including decent housing, a suitable living environment, and economic opportunities, primarily for low- and moderate- income persons. The program provides funding for housing, community facilities, and economic development. The Secretary of HUD may set aside up to </w:t>
      </w:r>
      <w:r w:rsidR="00D06DE8">
        <w:rPr>
          <w:rFonts w:ascii="Garamond" w:eastAsia="Garamond" w:hAnsi="Garamond" w:cs="Garamond"/>
          <w:color w:val="222222"/>
          <w:sz w:val="22"/>
          <w:szCs w:val="22"/>
        </w:rPr>
        <w:t>US</w:t>
      </w:r>
      <w:r w:rsidRPr="002E0757">
        <w:rPr>
          <w:rFonts w:ascii="Garamond" w:eastAsia="Garamond" w:hAnsi="Garamond" w:cs="Garamond"/>
          <w:color w:val="222222"/>
          <w:sz w:val="22"/>
          <w:szCs w:val="22"/>
        </w:rPr>
        <w:t xml:space="preserve">$4 million of each year’s allocation for a noncompetitive, first come-first served, funding of grants to eliminate or alleviate risks that pose an imminent threat to public health or safety of tribal residents (known as Imminent Threat grants). </w:t>
      </w:r>
    </w:p>
    <w:p w14:paraId="6F46C4C1" w14:textId="77777777" w:rsidR="000D5DB0" w:rsidRPr="002E0757" w:rsidRDefault="000D5DB0" w:rsidP="000D5DB0">
      <w:pPr>
        <w:jc w:val="both"/>
        <w:rPr>
          <w:rFonts w:ascii="Garamond" w:hAnsi="Garamond"/>
          <w:sz w:val="22"/>
          <w:szCs w:val="22"/>
        </w:rPr>
      </w:pPr>
    </w:p>
    <w:p w14:paraId="6C82188A" w14:textId="4EC6C3E6" w:rsidR="00430894" w:rsidRPr="0031323A" w:rsidRDefault="002E0757" w:rsidP="000D5DB0">
      <w:pPr>
        <w:jc w:val="both"/>
        <w:rPr>
          <w:rFonts w:ascii="Garamond" w:hAnsi="Garamond"/>
          <w:b/>
          <w:bCs/>
          <w:i/>
          <w:iCs/>
          <w:sz w:val="22"/>
          <w:szCs w:val="22"/>
        </w:rPr>
      </w:pPr>
      <w:r w:rsidRPr="0031323A">
        <w:rPr>
          <w:rFonts w:ascii="Garamond" w:hAnsi="Garamond"/>
          <w:b/>
          <w:bCs/>
          <w:i/>
          <w:iCs/>
          <w:sz w:val="22"/>
          <w:szCs w:val="22"/>
        </w:rPr>
        <w:t xml:space="preserve">Q5.  </w:t>
      </w:r>
      <w:r w:rsidR="00430894" w:rsidRPr="0031323A">
        <w:rPr>
          <w:rFonts w:ascii="Garamond" w:hAnsi="Garamond"/>
          <w:b/>
          <w:bCs/>
          <w:i/>
          <w:iCs/>
          <w:sz w:val="22"/>
          <w:szCs w:val="22"/>
        </w:rPr>
        <w:t xml:space="preserve">What international, </w:t>
      </w:r>
      <w:proofErr w:type="gramStart"/>
      <w:r w:rsidR="00430894" w:rsidRPr="0031323A">
        <w:rPr>
          <w:rFonts w:ascii="Garamond" w:hAnsi="Garamond"/>
          <w:b/>
          <w:bCs/>
          <w:i/>
          <w:iCs/>
          <w:sz w:val="22"/>
          <w:szCs w:val="22"/>
        </w:rPr>
        <w:t>regional</w:t>
      </w:r>
      <w:proofErr w:type="gramEnd"/>
      <w:r w:rsidR="00430894" w:rsidRPr="0031323A">
        <w:rPr>
          <w:rFonts w:ascii="Garamond" w:hAnsi="Garamond"/>
          <w:b/>
          <w:bCs/>
          <w:i/>
          <w:iCs/>
          <w:sz w:val="22"/>
          <w:szCs w:val="22"/>
        </w:rPr>
        <w:t xml:space="preserve"> and national policies and legal approaches are necessary to protect people and communities displaced by climate change</w:t>
      </w:r>
      <w:r w:rsidR="00255450" w:rsidRPr="0031323A">
        <w:rPr>
          <w:rFonts w:ascii="Garamond" w:hAnsi="Garamond"/>
          <w:b/>
          <w:bCs/>
          <w:i/>
          <w:iCs/>
          <w:sz w:val="22"/>
          <w:szCs w:val="22"/>
        </w:rPr>
        <w:t>.</w:t>
      </w:r>
    </w:p>
    <w:p w14:paraId="303AF7C2" w14:textId="24AE0313" w:rsidR="00255450" w:rsidRPr="002E0757" w:rsidRDefault="00255450" w:rsidP="006E7E74">
      <w:pPr>
        <w:rPr>
          <w:rFonts w:ascii="Garamond" w:hAnsi="Garamond"/>
          <w:b/>
          <w:bCs/>
          <w:sz w:val="22"/>
          <w:szCs w:val="22"/>
        </w:rPr>
      </w:pPr>
    </w:p>
    <w:p w14:paraId="52F5E6D5" w14:textId="7D8A5492" w:rsidR="006E7E74" w:rsidRPr="002E0757" w:rsidRDefault="002E0757" w:rsidP="002E0757">
      <w:pPr>
        <w:jc w:val="both"/>
        <w:rPr>
          <w:rFonts w:ascii="Garamond" w:hAnsi="Garamond"/>
          <w:sz w:val="22"/>
          <w:szCs w:val="22"/>
        </w:rPr>
      </w:pPr>
      <w:r w:rsidRPr="002E0757">
        <w:rPr>
          <w:rFonts w:ascii="Garamond" w:hAnsi="Garamond"/>
          <w:sz w:val="22"/>
          <w:szCs w:val="22"/>
        </w:rPr>
        <w:t>The</w:t>
      </w:r>
      <w:r w:rsidR="006E7E74" w:rsidRPr="002E0757">
        <w:rPr>
          <w:rFonts w:ascii="Garamond" w:hAnsi="Garamond"/>
          <w:sz w:val="22"/>
          <w:szCs w:val="22"/>
        </w:rPr>
        <w:t xml:space="preserve"> recent availability of new funds specifically designed to support community relocation in the United States may be leveraged to support </w:t>
      </w:r>
      <w:r w:rsidR="0031323A">
        <w:rPr>
          <w:rFonts w:ascii="Garamond" w:hAnsi="Garamond"/>
          <w:sz w:val="22"/>
          <w:szCs w:val="22"/>
        </w:rPr>
        <w:t xml:space="preserve">Alaska </w:t>
      </w:r>
      <w:r w:rsidR="006E7E74" w:rsidRPr="002E0757">
        <w:rPr>
          <w:rFonts w:ascii="Garamond" w:hAnsi="Garamond"/>
          <w:sz w:val="22"/>
          <w:szCs w:val="22"/>
        </w:rPr>
        <w:t>communities displaced by climate change</w:t>
      </w:r>
      <w:r w:rsidRPr="002E0757">
        <w:rPr>
          <w:rFonts w:ascii="Garamond" w:hAnsi="Garamond"/>
          <w:sz w:val="22"/>
          <w:szCs w:val="22"/>
        </w:rPr>
        <w:t xml:space="preserve">. However, </w:t>
      </w:r>
      <w:r w:rsidR="006E7E74" w:rsidRPr="002E0757">
        <w:rPr>
          <w:rFonts w:ascii="Garamond" w:hAnsi="Garamond"/>
          <w:sz w:val="22"/>
          <w:szCs w:val="22"/>
        </w:rPr>
        <w:t>there is ultimately a need for comprehensive legal protections for Arctic communities seeking relocation as the necessary means of survival. The following two approaches are critical in delivering such protections</w:t>
      </w:r>
      <w:r w:rsidRPr="002E0757">
        <w:rPr>
          <w:rFonts w:ascii="Garamond" w:hAnsi="Garamond"/>
          <w:sz w:val="22"/>
          <w:szCs w:val="22"/>
        </w:rPr>
        <w:t xml:space="preserve"> in Arctic States, especially the United States:</w:t>
      </w:r>
    </w:p>
    <w:p w14:paraId="2A694E8D" w14:textId="6D0526B5" w:rsidR="002E0757" w:rsidRPr="002E0757" w:rsidRDefault="002E0757" w:rsidP="002E0757">
      <w:pPr>
        <w:rPr>
          <w:rFonts w:ascii="Garamond" w:hAnsi="Garamond"/>
          <w:sz w:val="22"/>
          <w:szCs w:val="22"/>
        </w:rPr>
      </w:pPr>
    </w:p>
    <w:p w14:paraId="369C8318" w14:textId="3CA12B3F" w:rsidR="00255450" w:rsidRPr="002E0757" w:rsidRDefault="00FF6A1D" w:rsidP="000D5DB0">
      <w:pPr>
        <w:jc w:val="both"/>
        <w:rPr>
          <w:rFonts w:ascii="Garamond" w:eastAsia="Garamond" w:hAnsi="Garamond" w:cs="Garamond"/>
          <w:sz w:val="22"/>
          <w:szCs w:val="22"/>
        </w:rPr>
      </w:pPr>
      <w:r w:rsidRPr="002E0757">
        <w:rPr>
          <w:rFonts w:ascii="Garamond" w:eastAsia="Garamond" w:hAnsi="Garamond" w:cs="Garamond"/>
          <w:sz w:val="22"/>
          <w:szCs w:val="22"/>
          <w:highlight w:val="white"/>
          <w:u w:val="single"/>
        </w:rPr>
        <w:t>Reformation of national d</w:t>
      </w:r>
      <w:r w:rsidR="00255450" w:rsidRPr="002E0757">
        <w:rPr>
          <w:rFonts w:ascii="Garamond" w:eastAsia="Garamond" w:hAnsi="Garamond" w:cs="Garamond"/>
          <w:sz w:val="22"/>
          <w:szCs w:val="22"/>
          <w:highlight w:val="white"/>
          <w:u w:val="single"/>
        </w:rPr>
        <w:t xml:space="preserve">isaster response </w:t>
      </w:r>
      <w:r w:rsidRPr="002E0757">
        <w:rPr>
          <w:rFonts w:ascii="Garamond" w:eastAsia="Garamond" w:hAnsi="Garamond" w:cs="Garamond"/>
          <w:sz w:val="22"/>
          <w:szCs w:val="22"/>
          <w:highlight w:val="white"/>
          <w:u w:val="single"/>
        </w:rPr>
        <w:t xml:space="preserve">laws, </w:t>
      </w:r>
      <w:proofErr w:type="gramStart"/>
      <w:r w:rsidRPr="002E0757">
        <w:rPr>
          <w:rFonts w:ascii="Garamond" w:eastAsia="Garamond" w:hAnsi="Garamond" w:cs="Garamond"/>
          <w:sz w:val="22"/>
          <w:szCs w:val="22"/>
          <w:highlight w:val="white"/>
          <w:u w:val="single"/>
        </w:rPr>
        <w:t>policies</w:t>
      </w:r>
      <w:proofErr w:type="gramEnd"/>
      <w:r w:rsidRPr="002E0757">
        <w:rPr>
          <w:rFonts w:ascii="Garamond" w:eastAsia="Garamond" w:hAnsi="Garamond" w:cs="Garamond"/>
          <w:sz w:val="22"/>
          <w:szCs w:val="22"/>
          <w:highlight w:val="white"/>
          <w:u w:val="single"/>
        </w:rPr>
        <w:t xml:space="preserve"> and programs to account for </w:t>
      </w:r>
      <w:r w:rsidR="00255450" w:rsidRPr="002E0757">
        <w:rPr>
          <w:rFonts w:ascii="Garamond" w:eastAsia="Garamond" w:hAnsi="Garamond" w:cs="Garamond"/>
          <w:sz w:val="22"/>
          <w:szCs w:val="22"/>
          <w:highlight w:val="white"/>
          <w:u w:val="single"/>
        </w:rPr>
        <w:t xml:space="preserve">slow-onset climate </w:t>
      </w:r>
      <w:r w:rsidRPr="002E0757">
        <w:rPr>
          <w:rFonts w:ascii="Garamond" w:eastAsia="Garamond" w:hAnsi="Garamond" w:cs="Garamond"/>
          <w:sz w:val="22"/>
          <w:szCs w:val="22"/>
          <w:highlight w:val="white"/>
          <w:u w:val="single"/>
        </w:rPr>
        <w:t>change</w:t>
      </w:r>
      <w:r w:rsidRPr="002E0757">
        <w:rPr>
          <w:rFonts w:ascii="Garamond" w:eastAsia="Garamond" w:hAnsi="Garamond" w:cs="Garamond"/>
          <w:sz w:val="22"/>
          <w:szCs w:val="22"/>
          <w:highlight w:val="white"/>
        </w:rPr>
        <w:t xml:space="preserve">. </w:t>
      </w:r>
      <w:r w:rsidR="00255450" w:rsidRPr="002E0757">
        <w:rPr>
          <w:rFonts w:ascii="Garamond" w:eastAsia="Garamond" w:hAnsi="Garamond" w:cs="Garamond"/>
          <w:sz w:val="22"/>
          <w:szCs w:val="22"/>
          <w:highlight w:val="white"/>
        </w:rPr>
        <w:t xml:space="preserve">National </w:t>
      </w:r>
      <w:r w:rsidR="00255450" w:rsidRPr="002E0757">
        <w:rPr>
          <w:rFonts w:ascii="Garamond" w:eastAsia="Garamond" w:hAnsi="Garamond" w:cs="Garamond"/>
          <w:color w:val="000000"/>
          <w:sz w:val="22"/>
          <w:szCs w:val="22"/>
          <w:highlight w:val="white"/>
        </w:rPr>
        <w:t xml:space="preserve">emergency response and disaster relief programs in the United States, including those under the 1988 Robert T. Stafford Disaster Relief and Emergency Assistance Act (“Stafford Act”), </w:t>
      </w:r>
      <w:r w:rsidR="00255450" w:rsidRPr="002E0757">
        <w:rPr>
          <w:rFonts w:ascii="Garamond" w:eastAsia="Garamond" w:hAnsi="Garamond" w:cs="Garamond"/>
          <w:sz w:val="22"/>
          <w:szCs w:val="22"/>
          <w:highlight w:val="white"/>
        </w:rPr>
        <w:t>often do not consider slow-onset impacts of permafrost thaw, and s</w:t>
      </w:r>
      <w:r w:rsidR="00255450" w:rsidRPr="002E0757">
        <w:rPr>
          <w:rFonts w:ascii="Garamond" w:eastAsia="Garamond" w:hAnsi="Garamond" w:cs="Garamond"/>
          <w:color w:val="000000"/>
          <w:sz w:val="22"/>
          <w:szCs w:val="22"/>
          <w:highlight w:val="white"/>
        </w:rPr>
        <w:t>tate</w:t>
      </w:r>
      <w:r w:rsidR="00255450" w:rsidRPr="002E0757">
        <w:rPr>
          <w:rFonts w:ascii="Garamond" w:eastAsia="Garamond" w:hAnsi="Garamond" w:cs="Garamond"/>
          <w:sz w:val="22"/>
          <w:szCs w:val="22"/>
          <w:highlight w:val="white"/>
        </w:rPr>
        <w:t xml:space="preserve">, </w:t>
      </w:r>
      <w:r w:rsidR="00255450" w:rsidRPr="002E0757">
        <w:rPr>
          <w:rFonts w:ascii="Garamond" w:eastAsia="Garamond" w:hAnsi="Garamond" w:cs="Garamond"/>
          <w:color w:val="000000"/>
          <w:sz w:val="22"/>
          <w:szCs w:val="22"/>
          <w:highlight w:val="white"/>
        </w:rPr>
        <w:t>local</w:t>
      </w:r>
      <w:r w:rsidR="00255450" w:rsidRPr="002E0757">
        <w:rPr>
          <w:rFonts w:ascii="Garamond" w:eastAsia="Garamond" w:hAnsi="Garamond" w:cs="Garamond"/>
          <w:sz w:val="22"/>
          <w:szCs w:val="22"/>
          <w:highlight w:val="white"/>
        </w:rPr>
        <w:t xml:space="preserve">, and tribal </w:t>
      </w:r>
      <w:r w:rsidR="00255450" w:rsidRPr="002E0757">
        <w:rPr>
          <w:rFonts w:ascii="Garamond" w:eastAsia="Garamond" w:hAnsi="Garamond" w:cs="Garamond"/>
          <w:color w:val="000000"/>
          <w:sz w:val="22"/>
          <w:szCs w:val="22"/>
          <w:highlight w:val="white"/>
        </w:rPr>
        <w:t xml:space="preserve">governments are simply not equipped to </w:t>
      </w:r>
      <w:r w:rsidR="00255450" w:rsidRPr="002E0757">
        <w:rPr>
          <w:rFonts w:ascii="Garamond" w:eastAsia="Garamond" w:hAnsi="Garamond" w:cs="Garamond"/>
          <w:sz w:val="22"/>
          <w:szCs w:val="22"/>
          <w:highlight w:val="white"/>
        </w:rPr>
        <w:t>the hazards of permafrost thaw</w:t>
      </w:r>
      <w:r w:rsidR="00255450" w:rsidRPr="002E0757">
        <w:rPr>
          <w:rFonts w:ascii="Garamond" w:eastAsia="Garamond" w:hAnsi="Garamond" w:cs="Garamond"/>
          <w:color w:val="000000"/>
          <w:sz w:val="22"/>
          <w:szCs w:val="22"/>
          <w:highlight w:val="white"/>
        </w:rPr>
        <w:t xml:space="preserve"> without federal support</w:t>
      </w:r>
      <w:r w:rsidR="006E7E74" w:rsidRPr="002E0757">
        <w:rPr>
          <w:rFonts w:ascii="Garamond" w:eastAsia="Garamond" w:hAnsi="Garamond" w:cs="Garamond"/>
          <w:sz w:val="22"/>
          <w:szCs w:val="22"/>
        </w:rPr>
        <w:t xml:space="preserve">. </w:t>
      </w:r>
      <w:r w:rsidR="002E0757" w:rsidRPr="002E0757">
        <w:rPr>
          <w:rFonts w:ascii="Garamond" w:eastAsia="Garamond" w:hAnsi="Garamond" w:cs="Garamond"/>
          <w:sz w:val="22"/>
          <w:szCs w:val="22"/>
        </w:rPr>
        <w:t xml:space="preserve">The US government has </w:t>
      </w:r>
      <w:hyperlink r:id="rId33" w:history="1">
        <w:r w:rsidR="002E0757" w:rsidRPr="002E0757">
          <w:rPr>
            <w:rStyle w:val="Hyperlink"/>
            <w:rFonts w:ascii="Garamond" w:eastAsia="Garamond" w:hAnsi="Garamond" w:cs="Garamond"/>
            <w:sz w:val="22"/>
            <w:szCs w:val="22"/>
          </w:rPr>
          <w:t>recognized the limitations</w:t>
        </w:r>
      </w:hyperlink>
      <w:r w:rsidR="002E0757" w:rsidRPr="002E0757">
        <w:rPr>
          <w:rFonts w:ascii="Garamond" w:eastAsia="Garamond" w:hAnsi="Garamond" w:cs="Garamond"/>
          <w:sz w:val="22"/>
          <w:szCs w:val="22"/>
        </w:rPr>
        <w:t xml:space="preserve"> of its national laws and policies in adequately responding to slow-onset disasters, and such limitations have been apparent in the context of Alaska relocation efforts (</w:t>
      </w:r>
      <w:hyperlink r:id="rId34" w:anchor=":~:text=President%20Barack%20Obama%20has%20turned,Newtok%20for%20a%20disaster%20declaration.&amp;text=Newtok%20applied%20for%20relief%20based,the%20village%20within%20three%20years." w:history="1">
        <w:r w:rsidR="0031323A">
          <w:rPr>
            <w:rStyle w:val="Hyperlink"/>
            <w:rFonts w:ascii="Garamond" w:eastAsia="Garamond" w:hAnsi="Garamond" w:cs="Garamond"/>
            <w:sz w:val="22"/>
            <w:szCs w:val="22"/>
          </w:rPr>
          <w:t>as evidenced by</w:t>
        </w:r>
      </w:hyperlink>
      <w:r w:rsidR="002E0757" w:rsidRPr="002E0757">
        <w:rPr>
          <w:rFonts w:ascii="Garamond" w:eastAsia="Garamond" w:hAnsi="Garamond" w:cs="Garamond"/>
          <w:sz w:val="22"/>
          <w:szCs w:val="22"/>
        </w:rPr>
        <w:t xml:space="preserve"> President Obama’s denial of Newtok’s request for a disaster declaration in response to compounding and slow-onset climate change processes). </w:t>
      </w:r>
    </w:p>
    <w:p w14:paraId="0CBB37F3" w14:textId="77777777" w:rsidR="00255450" w:rsidRPr="002E0757" w:rsidRDefault="00255450" w:rsidP="000D5DB0">
      <w:pPr>
        <w:jc w:val="both"/>
        <w:rPr>
          <w:rFonts w:ascii="Garamond" w:eastAsia="Garamond" w:hAnsi="Garamond" w:cs="Garamond"/>
          <w:sz w:val="22"/>
          <w:szCs w:val="22"/>
        </w:rPr>
      </w:pPr>
    </w:p>
    <w:p w14:paraId="52885721" w14:textId="0E04D81F" w:rsidR="000D5DB0" w:rsidRPr="0031323A" w:rsidRDefault="00FF6A1D" w:rsidP="000D5DB0">
      <w:pPr>
        <w:jc w:val="both"/>
        <w:rPr>
          <w:rFonts w:ascii="Garamond" w:eastAsia="Garamond" w:hAnsi="Garamond" w:cs="Garamond"/>
          <w:sz w:val="22"/>
          <w:szCs w:val="22"/>
          <w:u w:val="single"/>
        </w:rPr>
      </w:pPr>
      <w:r w:rsidRPr="002E0757">
        <w:rPr>
          <w:rFonts w:ascii="Garamond" w:eastAsia="Garamond" w:hAnsi="Garamond" w:cs="Garamond"/>
          <w:sz w:val="22"/>
          <w:szCs w:val="22"/>
          <w:u w:val="single"/>
        </w:rPr>
        <w:t>Development of n</w:t>
      </w:r>
      <w:r w:rsidR="00255450" w:rsidRPr="002E0757">
        <w:rPr>
          <w:rFonts w:ascii="Garamond" w:eastAsia="Garamond" w:hAnsi="Garamond" w:cs="Garamond"/>
          <w:sz w:val="22"/>
          <w:szCs w:val="22"/>
          <w:u w:val="single"/>
        </w:rPr>
        <w:t>ational relocation governance frameworks</w:t>
      </w:r>
      <w:r w:rsidRPr="002E0757">
        <w:rPr>
          <w:rFonts w:ascii="Garamond" w:eastAsia="Garamond" w:hAnsi="Garamond" w:cs="Garamond"/>
          <w:sz w:val="22"/>
          <w:szCs w:val="22"/>
          <w:u w:val="single"/>
        </w:rPr>
        <w:t xml:space="preserve"> to support community-led climate migration.</w:t>
      </w:r>
      <w:r w:rsidR="00255450" w:rsidRPr="002E0757">
        <w:rPr>
          <w:rFonts w:ascii="Garamond" w:eastAsia="Garamond" w:hAnsi="Garamond" w:cs="Garamond"/>
          <w:sz w:val="22"/>
          <w:szCs w:val="22"/>
          <w:u w:val="single"/>
        </w:rPr>
        <w:t xml:space="preserve"> </w:t>
      </w:r>
      <w:r w:rsidR="006E7E74" w:rsidRPr="002E0757">
        <w:rPr>
          <w:rFonts w:ascii="Garamond" w:eastAsia="Garamond" w:hAnsi="Garamond" w:cs="Garamond"/>
          <w:sz w:val="22"/>
          <w:szCs w:val="22"/>
        </w:rPr>
        <w:t xml:space="preserve">Arctic </w:t>
      </w:r>
      <w:r w:rsidR="000D5DB0" w:rsidRPr="002E0757">
        <w:rPr>
          <w:rFonts w:ascii="Garamond" w:eastAsia="Garamond" w:hAnsi="Garamond" w:cs="Garamond"/>
          <w:color w:val="222222"/>
          <w:sz w:val="22"/>
          <w:szCs w:val="22"/>
        </w:rPr>
        <w:t xml:space="preserve">communities </w:t>
      </w:r>
      <w:r w:rsidR="006E7E74" w:rsidRPr="002E0757">
        <w:rPr>
          <w:rFonts w:ascii="Garamond" w:eastAsia="Garamond" w:hAnsi="Garamond" w:cs="Garamond"/>
          <w:color w:val="222222"/>
          <w:sz w:val="22"/>
          <w:szCs w:val="22"/>
        </w:rPr>
        <w:t xml:space="preserve">that have made the difficult decision to leave behind homes and relocate are nevertheless </w:t>
      </w:r>
      <w:r w:rsidR="000D5DB0" w:rsidRPr="002E0757">
        <w:rPr>
          <w:rFonts w:ascii="Garamond" w:eastAsia="Garamond" w:hAnsi="Garamond" w:cs="Garamond"/>
          <w:color w:val="222222"/>
          <w:sz w:val="22"/>
          <w:szCs w:val="22"/>
        </w:rPr>
        <w:t>facing insurmountable obstacles</w:t>
      </w:r>
      <w:r w:rsidR="006E7E74" w:rsidRPr="002E0757">
        <w:rPr>
          <w:rFonts w:ascii="Garamond" w:eastAsia="Garamond" w:hAnsi="Garamond" w:cs="Garamond"/>
          <w:color w:val="222222"/>
          <w:sz w:val="22"/>
          <w:szCs w:val="22"/>
        </w:rPr>
        <w:t xml:space="preserve"> in </w:t>
      </w:r>
      <w:proofErr w:type="gramStart"/>
      <w:r w:rsidR="006E7E74" w:rsidRPr="002E0757">
        <w:rPr>
          <w:rFonts w:ascii="Garamond" w:eastAsia="Garamond" w:hAnsi="Garamond" w:cs="Garamond"/>
          <w:color w:val="222222"/>
          <w:sz w:val="22"/>
          <w:szCs w:val="22"/>
        </w:rPr>
        <w:t>actually implementing</w:t>
      </w:r>
      <w:proofErr w:type="gramEnd"/>
      <w:r w:rsidR="006E7E74" w:rsidRPr="002E0757">
        <w:rPr>
          <w:rFonts w:ascii="Garamond" w:eastAsia="Garamond" w:hAnsi="Garamond" w:cs="Garamond"/>
          <w:color w:val="222222"/>
          <w:sz w:val="22"/>
          <w:szCs w:val="22"/>
        </w:rPr>
        <w:t xml:space="preserve"> this process. Evidence suggests that</w:t>
      </w:r>
      <w:r w:rsidR="000D5DB0" w:rsidRPr="002E0757">
        <w:rPr>
          <w:rFonts w:ascii="Garamond" w:eastAsia="Garamond" w:hAnsi="Garamond" w:cs="Garamond"/>
          <w:color w:val="222222"/>
          <w:sz w:val="22"/>
          <w:szCs w:val="22"/>
        </w:rPr>
        <w:t xml:space="preserve"> a lack of governance framework, dedicated funding, and government support to facilitate relocation efforts</w:t>
      </w:r>
      <w:r w:rsidR="006E7E74" w:rsidRPr="002E0757">
        <w:rPr>
          <w:rFonts w:ascii="Garamond" w:eastAsia="Garamond" w:hAnsi="Garamond" w:cs="Garamond"/>
          <w:color w:val="222222"/>
          <w:sz w:val="22"/>
          <w:szCs w:val="22"/>
        </w:rPr>
        <w:t xml:space="preserve"> are hindering this process.</w:t>
      </w:r>
      <w:r w:rsidR="000D5DB0" w:rsidRPr="002E0757">
        <w:rPr>
          <w:rFonts w:ascii="Garamond" w:eastAsia="Garamond" w:hAnsi="Garamond" w:cs="Garamond"/>
          <w:color w:val="222222"/>
          <w:sz w:val="22"/>
          <w:szCs w:val="22"/>
        </w:rPr>
        <w:t xml:space="preserve"> </w:t>
      </w:r>
      <w:r w:rsidR="006E7E74" w:rsidRPr="002E0757">
        <w:rPr>
          <w:rFonts w:ascii="Garamond" w:eastAsia="Garamond" w:hAnsi="Garamond" w:cs="Garamond"/>
          <w:color w:val="222222"/>
          <w:sz w:val="22"/>
          <w:szCs w:val="22"/>
        </w:rPr>
        <w:t xml:space="preserve">There is a need for a </w:t>
      </w:r>
      <w:hyperlink r:id="rId35" w:history="1">
        <w:r w:rsidR="006E7E74" w:rsidRPr="002E0757">
          <w:rPr>
            <w:rStyle w:val="Hyperlink"/>
            <w:rFonts w:ascii="Garamond" w:eastAsia="Garamond" w:hAnsi="Garamond" w:cs="Garamond"/>
            <w:sz w:val="22"/>
            <w:szCs w:val="22"/>
          </w:rPr>
          <w:t>national governance framework that ultimately supports the rights, resilience, and relocation</w:t>
        </w:r>
      </w:hyperlink>
      <w:r w:rsidR="006E7E74" w:rsidRPr="002E0757">
        <w:rPr>
          <w:rFonts w:ascii="Garamond" w:eastAsia="Garamond" w:hAnsi="Garamond" w:cs="Garamond"/>
          <w:color w:val="222222"/>
          <w:sz w:val="22"/>
          <w:szCs w:val="22"/>
        </w:rPr>
        <w:t xml:space="preserve"> of Arctic communities and others that are displaced due to climate change. </w:t>
      </w:r>
      <w:r w:rsidR="002E0757">
        <w:rPr>
          <w:rFonts w:ascii="Garamond" w:eastAsia="Garamond" w:hAnsi="Garamond" w:cs="Garamond"/>
          <w:color w:val="222222"/>
          <w:sz w:val="22"/>
          <w:szCs w:val="22"/>
        </w:rPr>
        <w:t xml:space="preserve">Such framework would also help to create policy coherence and reconcile issues around land access and ownership, and enjoyment of other fundamental rights including water, food, health, self-determination, and decent employment. </w:t>
      </w:r>
    </w:p>
    <w:p w14:paraId="5ABA1816" w14:textId="12C4A97B" w:rsidR="00255450" w:rsidRPr="002E0757" w:rsidRDefault="00255450" w:rsidP="000D5DB0">
      <w:pPr>
        <w:rPr>
          <w:rFonts w:ascii="Garamond" w:hAnsi="Garamond"/>
          <w:b/>
          <w:bCs/>
          <w:sz w:val="22"/>
          <w:szCs w:val="22"/>
        </w:rPr>
      </w:pPr>
    </w:p>
    <w:p w14:paraId="631069FA" w14:textId="7777C86C" w:rsidR="002E0757" w:rsidRPr="0031323A" w:rsidRDefault="002E0757" w:rsidP="002E0757">
      <w:pPr>
        <w:rPr>
          <w:rFonts w:ascii="Garamond" w:hAnsi="Garamond"/>
          <w:b/>
          <w:bCs/>
          <w:i/>
          <w:iCs/>
          <w:sz w:val="22"/>
          <w:szCs w:val="22"/>
        </w:rPr>
      </w:pPr>
      <w:r w:rsidRPr="0031323A">
        <w:rPr>
          <w:rFonts w:ascii="Garamond" w:hAnsi="Garamond"/>
          <w:b/>
          <w:bCs/>
          <w:i/>
          <w:iCs/>
          <w:sz w:val="22"/>
          <w:szCs w:val="22"/>
        </w:rPr>
        <w:t>Q6. Please provide separate considerations for people or communities internally displaced and those displaced across international borders</w:t>
      </w:r>
    </w:p>
    <w:p w14:paraId="1DA695C6" w14:textId="4A6D464D" w:rsidR="002E0757" w:rsidRDefault="002E0757" w:rsidP="000D5DB0">
      <w:pPr>
        <w:rPr>
          <w:rFonts w:ascii="Garamond" w:hAnsi="Garamond"/>
          <w:b/>
          <w:bCs/>
          <w:sz w:val="22"/>
          <w:szCs w:val="22"/>
        </w:rPr>
      </w:pPr>
    </w:p>
    <w:p w14:paraId="669BBC99" w14:textId="3AA8DD0B" w:rsidR="002E0757" w:rsidRDefault="002E0757" w:rsidP="002E0757">
      <w:pPr>
        <w:jc w:val="both"/>
        <w:rPr>
          <w:rFonts w:ascii="Garamond" w:eastAsia="Garamond" w:hAnsi="Garamond" w:cs="Garamond"/>
          <w:sz w:val="22"/>
          <w:szCs w:val="22"/>
          <w:highlight w:val="white"/>
        </w:rPr>
      </w:pPr>
      <w:r>
        <w:rPr>
          <w:rFonts w:ascii="Garamond" w:eastAsia="Garamond" w:hAnsi="Garamond" w:cs="Garamond"/>
          <w:sz w:val="22"/>
          <w:szCs w:val="22"/>
          <w:highlight w:val="white"/>
        </w:rPr>
        <w:t xml:space="preserve">Woodwell recalls </w:t>
      </w:r>
      <w:r w:rsidRPr="002E0757">
        <w:rPr>
          <w:rFonts w:ascii="Garamond" w:eastAsia="Garamond" w:hAnsi="Garamond" w:cs="Garamond"/>
          <w:sz w:val="22"/>
          <w:szCs w:val="22"/>
          <w:highlight w:val="white"/>
        </w:rPr>
        <w:t xml:space="preserve">the previous </w:t>
      </w:r>
      <w:hyperlink r:id="rId36" w:history="1">
        <w:r w:rsidRPr="002E0757">
          <w:rPr>
            <w:rStyle w:val="Hyperlink"/>
            <w:rFonts w:ascii="Garamond" w:eastAsia="Garamond" w:hAnsi="Garamond" w:cs="Garamond"/>
            <w:sz w:val="22"/>
            <w:szCs w:val="22"/>
            <w:highlight w:val="white"/>
          </w:rPr>
          <w:t>report of the Special Rapporteur of human rights of internally displaced persons</w:t>
        </w:r>
      </w:hyperlink>
      <w:r w:rsidRPr="002E0757">
        <w:rPr>
          <w:rFonts w:ascii="Garamond" w:eastAsia="Garamond" w:hAnsi="Garamond" w:cs="Garamond"/>
          <w:sz w:val="22"/>
          <w:szCs w:val="22"/>
          <w:highlight w:val="white"/>
        </w:rPr>
        <w:t xml:space="preserve"> on the internal displacement in the context of the slow-onset adverse effects of climate change</w:t>
      </w:r>
      <w:r>
        <w:rPr>
          <w:rFonts w:ascii="Garamond" w:eastAsia="Garamond" w:hAnsi="Garamond" w:cs="Garamond"/>
          <w:sz w:val="22"/>
          <w:szCs w:val="22"/>
          <w:highlight w:val="white"/>
        </w:rPr>
        <w:t xml:space="preserve">, </w:t>
      </w:r>
      <w:r w:rsidR="0031323A">
        <w:rPr>
          <w:rFonts w:ascii="Garamond" w:eastAsia="Garamond" w:hAnsi="Garamond" w:cs="Garamond"/>
          <w:sz w:val="22"/>
          <w:szCs w:val="22"/>
          <w:highlight w:val="white"/>
        </w:rPr>
        <w:t xml:space="preserve">and </w:t>
      </w:r>
      <w:r>
        <w:rPr>
          <w:rFonts w:ascii="Garamond" w:eastAsia="Garamond" w:hAnsi="Garamond" w:cs="Garamond"/>
          <w:sz w:val="22"/>
          <w:szCs w:val="22"/>
          <w:highlight w:val="white"/>
        </w:rPr>
        <w:t xml:space="preserve">which incorporated information from the </w:t>
      </w:r>
      <w:hyperlink r:id="rId37" w:history="1">
        <w:r w:rsidRPr="002E0757">
          <w:rPr>
            <w:rStyle w:val="Hyperlink"/>
            <w:rFonts w:ascii="Garamond" w:eastAsia="Garamond" w:hAnsi="Garamond" w:cs="Garamond"/>
            <w:sz w:val="22"/>
            <w:szCs w:val="22"/>
            <w:highlight w:val="white"/>
          </w:rPr>
          <w:t>comprehensive submission from the Alaska Institute of Justice</w:t>
        </w:r>
      </w:hyperlink>
      <w:r>
        <w:rPr>
          <w:rFonts w:ascii="Garamond" w:eastAsia="Garamond" w:hAnsi="Garamond" w:cs="Garamond"/>
          <w:sz w:val="22"/>
          <w:szCs w:val="22"/>
          <w:highlight w:val="white"/>
        </w:rPr>
        <w:t xml:space="preserve"> on the internal displacement of Alaska communities.</w:t>
      </w:r>
    </w:p>
    <w:p w14:paraId="5D2EC72C" w14:textId="77777777" w:rsidR="002E0757" w:rsidRPr="002E0757" w:rsidRDefault="002E0757" w:rsidP="000D5DB0">
      <w:pPr>
        <w:rPr>
          <w:rFonts w:ascii="Garamond" w:hAnsi="Garamond"/>
          <w:b/>
          <w:bCs/>
          <w:sz w:val="22"/>
          <w:szCs w:val="22"/>
        </w:rPr>
      </w:pPr>
    </w:p>
    <w:p w14:paraId="15E2137A" w14:textId="758CB076" w:rsidR="00430894" w:rsidRPr="0031323A" w:rsidRDefault="002E0757" w:rsidP="000D5DB0">
      <w:pPr>
        <w:rPr>
          <w:rFonts w:ascii="Garamond" w:hAnsi="Garamond"/>
          <w:b/>
          <w:bCs/>
          <w:i/>
          <w:iCs/>
          <w:sz w:val="22"/>
          <w:szCs w:val="22"/>
        </w:rPr>
      </w:pPr>
      <w:r w:rsidRPr="0031323A">
        <w:rPr>
          <w:rFonts w:ascii="Garamond" w:hAnsi="Garamond"/>
          <w:b/>
          <w:bCs/>
          <w:i/>
          <w:iCs/>
          <w:sz w:val="22"/>
          <w:szCs w:val="22"/>
        </w:rPr>
        <w:t xml:space="preserve">Q8. </w:t>
      </w:r>
      <w:r w:rsidR="00430894" w:rsidRPr="0031323A">
        <w:rPr>
          <w:rFonts w:ascii="Garamond" w:hAnsi="Garamond"/>
          <w:b/>
          <w:bCs/>
          <w:i/>
          <w:iCs/>
          <w:sz w:val="22"/>
          <w:szCs w:val="22"/>
        </w:rPr>
        <w:t xml:space="preserve">Should separate and </w:t>
      </w:r>
      <w:proofErr w:type="gramStart"/>
      <w:r w:rsidR="00430894" w:rsidRPr="0031323A">
        <w:rPr>
          <w:rFonts w:ascii="Garamond" w:hAnsi="Garamond"/>
          <w:b/>
          <w:bCs/>
          <w:i/>
          <w:iCs/>
          <w:sz w:val="22"/>
          <w:szCs w:val="22"/>
        </w:rPr>
        <w:t>particular considerations</w:t>
      </w:r>
      <w:proofErr w:type="gramEnd"/>
      <w:r w:rsidR="00430894" w:rsidRPr="0031323A">
        <w:rPr>
          <w:rFonts w:ascii="Garamond" w:hAnsi="Garamond"/>
          <w:b/>
          <w:bCs/>
          <w:i/>
          <w:iCs/>
          <w:sz w:val="22"/>
          <w:szCs w:val="22"/>
        </w:rPr>
        <w:t xml:space="preserve"> be given to indigenous peoples with respect to climate change displacement? What are these </w:t>
      </w:r>
      <w:proofErr w:type="gramStart"/>
      <w:r w:rsidR="00430894" w:rsidRPr="0031323A">
        <w:rPr>
          <w:rFonts w:ascii="Garamond" w:hAnsi="Garamond"/>
          <w:b/>
          <w:bCs/>
          <w:i/>
          <w:iCs/>
          <w:sz w:val="22"/>
          <w:szCs w:val="22"/>
        </w:rPr>
        <w:t>particular considerations</w:t>
      </w:r>
      <w:proofErr w:type="gramEnd"/>
      <w:r w:rsidR="00430894" w:rsidRPr="0031323A">
        <w:rPr>
          <w:rFonts w:ascii="Garamond" w:hAnsi="Garamond"/>
          <w:b/>
          <w:bCs/>
          <w:i/>
          <w:iCs/>
          <w:sz w:val="22"/>
          <w:szCs w:val="22"/>
        </w:rPr>
        <w:t>?</w:t>
      </w:r>
    </w:p>
    <w:p w14:paraId="5FCBDBBA" w14:textId="77777777" w:rsidR="00430894" w:rsidRPr="00430894" w:rsidRDefault="00430894" w:rsidP="000D5DB0">
      <w:pPr>
        <w:ind w:left="720"/>
        <w:rPr>
          <w:rFonts w:ascii="Garamond" w:hAnsi="Garamond"/>
          <w:b/>
          <w:bCs/>
          <w:sz w:val="22"/>
          <w:szCs w:val="22"/>
        </w:rPr>
      </w:pPr>
    </w:p>
    <w:p w14:paraId="74982A45" w14:textId="30AB06B4" w:rsidR="002E0757" w:rsidRDefault="00D06DE8" w:rsidP="002E0757">
      <w:pPr>
        <w:jc w:val="both"/>
        <w:rPr>
          <w:rFonts w:ascii="Garamond" w:eastAsia="Garamond" w:hAnsi="Garamond" w:cs="Garamond"/>
          <w:sz w:val="22"/>
          <w:szCs w:val="22"/>
        </w:rPr>
      </w:pPr>
      <w:proofErr w:type="gramStart"/>
      <w:r w:rsidRPr="002E0757">
        <w:rPr>
          <w:rFonts w:ascii="Garamond" w:eastAsia="Garamond" w:hAnsi="Garamond" w:cs="Garamond"/>
          <w:sz w:val="22"/>
          <w:szCs w:val="22"/>
        </w:rPr>
        <w:t>Absolutely</w:t>
      </w:r>
      <w:r w:rsidR="0031323A">
        <w:rPr>
          <w:rFonts w:ascii="Garamond" w:eastAsia="Garamond" w:hAnsi="Garamond" w:cs="Garamond"/>
          <w:sz w:val="22"/>
          <w:szCs w:val="22"/>
        </w:rPr>
        <w:t>;</w:t>
      </w:r>
      <w:proofErr w:type="gramEnd"/>
      <w:r w:rsidR="00255450" w:rsidRPr="002E0757">
        <w:rPr>
          <w:rFonts w:ascii="Garamond" w:eastAsia="Garamond" w:hAnsi="Garamond" w:cs="Garamond"/>
          <w:sz w:val="22"/>
          <w:szCs w:val="22"/>
        </w:rPr>
        <w:t xml:space="preserve"> Indigenous communities are </w:t>
      </w:r>
      <w:r w:rsidR="002E0757" w:rsidRPr="002E0757">
        <w:rPr>
          <w:rFonts w:ascii="Garamond" w:eastAsia="Garamond" w:hAnsi="Garamond" w:cs="Garamond"/>
          <w:sz w:val="22"/>
          <w:szCs w:val="22"/>
        </w:rPr>
        <w:t xml:space="preserve">necessarily </w:t>
      </w:r>
      <w:r w:rsidR="00255450" w:rsidRPr="002E0757">
        <w:rPr>
          <w:rFonts w:ascii="Garamond" w:eastAsia="Garamond" w:hAnsi="Garamond" w:cs="Garamond"/>
          <w:sz w:val="22"/>
          <w:szCs w:val="22"/>
        </w:rPr>
        <w:t xml:space="preserve">afforded special protections under international human rights law and </w:t>
      </w:r>
      <w:r w:rsidR="002E0757" w:rsidRPr="002E0757">
        <w:rPr>
          <w:rFonts w:ascii="Garamond" w:eastAsia="Garamond" w:hAnsi="Garamond" w:cs="Garamond"/>
          <w:sz w:val="22"/>
          <w:szCs w:val="22"/>
        </w:rPr>
        <w:t xml:space="preserve">such rights must be at the forefront of responses to climate-forced displacement—including internal displacement that is occurring within </w:t>
      </w:r>
      <w:r w:rsidR="002E0757">
        <w:rPr>
          <w:rFonts w:ascii="Garamond" w:eastAsia="Garamond" w:hAnsi="Garamond" w:cs="Garamond"/>
          <w:sz w:val="22"/>
          <w:szCs w:val="22"/>
        </w:rPr>
        <w:t xml:space="preserve">the Arctic region of the United States. Considerations should include those pertaining to uncompensated loss and damage from climate-forced displacement, including both economic and non-economic. </w:t>
      </w:r>
      <w:r w:rsidR="002E0757" w:rsidRPr="002E0757">
        <w:rPr>
          <w:rFonts w:ascii="Garamond" w:eastAsia="Garamond" w:hAnsi="Garamond" w:cs="Garamond"/>
          <w:sz w:val="22"/>
          <w:szCs w:val="22"/>
        </w:rPr>
        <w:t>International climate negotiations</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have shown a dedicated commitment to address this</w:t>
      </w:r>
      <w:r w:rsidR="002E0757">
        <w:rPr>
          <w:rFonts w:ascii="Garamond" w:eastAsia="Garamond" w:hAnsi="Garamond" w:cs="Garamond"/>
          <w:sz w:val="22"/>
          <w:szCs w:val="22"/>
        </w:rPr>
        <w:t xml:space="preserve"> loss and damage from slow-onset events, such as permafrost thaw, but discussions often focus on</w:t>
      </w:r>
      <w:r w:rsidR="002E0757" w:rsidRPr="002E0757">
        <w:rPr>
          <w:rFonts w:ascii="Garamond" w:eastAsia="Garamond" w:hAnsi="Garamond" w:cs="Garamond"/>
          <w:sz w:val="22"/>
          <w:szCs w:val="22"/>
        </w:rPr>
        <w:t xml:space="preserve"> developing countries that</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are particularly vulnerable to the adverse effects</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of climate change. The parallels between the loss</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and damage experienced in developing countries,</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especially Small Island Developing States, and the loss</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and damage experienced in the Arctic are striking.</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Yet, Indigenous Peoples living within national borders</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of developed Arctic States are not readily included</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within the W</w:t>
      </w:r>
      <w:r w:rsidR="002E0757">
        <w:rPr>
          <w:rFonts w:ascii="Garamond" w:eastAsia="Garamond" w:hAnsi="Garamond" w:cs="Garamond"/>
          <w:sz w:val="22"/>
          <w:szCs w:val="22"/>
        </w:rPr>
        <w:t>arsaw International Mechanism’s</w:t>
      </w:r>
      <w:r w:rsidR="002E0757" w:rsidRPr="002E0757">
        <w:rPr>
          <w:rFonts w:ascii="Garamond" w:eastAsia="Garamond" w:hAnsi="Garamond" w:cs="Garamond"/>
          <w:sz w:val="22"/>
          <w:szCs w:val="22"/>
        </w:rPr>
        <w:t xml:space="preserve"> mandate or visible in loss and damage</w:t>
      </w:r>
      <w:r w:rsidR="002E0757">
        <w:rPr>
          <w:rFonts w:ascii="Garamond" w:eastAsia="Garamond" w:hAnsi="Garamond" w:cs="Garamond"/>
          <w:sz w:val="22"/>
          <w:szCs w:val="22"/>
        </w:rPr>
        <w:t xml:space="preserve"> </w:t>
      </w:r>
      <w:r w:rsidR="002E0757" w:rsidRPr="002E0757">
        <w:rPr>
          <w:rFonts w:ascii="Garamond" w:eastAsia="Garamond" w:hAnsi="Garamond" w:cs="Garamond"/>
          <w:sz w:val="22"/>
          <w:szCs w:val="22"/>
        </w:rPr>
        <w:t>dialogues.</w:t>
      </w:r>
      <w:r w:rsidR="002E0757">
        <w:rPr>
          <w:rFonts w:ascii="Garamond" w:eastAsia="Garamond" w:hAnsi="Garamond" w:cs="Garamond"/>
          <w:sz w:val="22"/>
          <w:szCs w:val="22"/>
        </w:rPr>
        <w:t xml:space="preserve"> </w:t>
      </w:r>
    </w:p>
    <w:p w14:paraId="30E3345C" w14:textId="77777777" w:rsidR="002E0757" w:rsidRPr="002E0757" w:rsidRDefault="002E0757" w:rsidP="000D5DB0">
      <w:pPr>
        <w:jc w:val="both"/>
        <w:rPr>
          <w:rFonts w:ascii="Garamond" w:eastAsia="Garamond" w:hAnsi="Garamond" w:cs="Garamond"/>
          <w:sz w:val="22"/>
          <w:szCs w:val="22"/>
        </w:rPr>
      </w:pPr>
    </w:p>
    <w:p w14:paraId="05549551" w14:textId="6202CABE" w:rsidR="002E0757" w:rsidRDefault="002E0757" w:rsidP="000D5DB0">
      <w:pPr>
        <w:jc w:val="both"/>
        <w:rPr>
          <w:rFonts w:ascii="Garamond" w:eastAsia="Garamond" w:hAnsi="Garamond" w:cs="Garamond"/>
          <w:sz w:val="22"/>
          <w:szCs w:val="22"/>
        </w:rPr>
      </w:pPr>
      <w:r>
        <w:rPr>
          <w:rFonts w:ascii="Garamond" w:eastAsia="Garamond" w:hAnsi="Garamond" w:cs="Garamond"/>
          <w:sz w:val="22"/>
          <w:szCs w:val="22"/>
        </w:rPr>
        <w:t xml:space="preserve">Human rights, particularly the right to self-determination, and human rights principles, such as participation and transparency are also required to ensure that Indigenous peoples are involved in the decision-making process that informs community relocation—such as site selection. Indigenous peoples must be afforded access and land rights to ensure continuation of traditional hunting and fishing practices – consistent with the right to food— and to ensure uninterrupted access to burial grounds and other sites of cultural significance. </w:t>
      </w:r>
    </w:p>
    <w:p w14:paraId="207DF57F" w14:textId="1B3FCF1F" w:rsidR="002E0757" w:rsidRDefault="002E0757" w:rsidP="000D5DB0">
      <w:pPr>
        <w:jc w:val="both"/>
        <w:rPr>
          <w:rFonts w:ascii="Garamond" w:eastAsia="Garamond" w:hAnsi="Garamond" w:cs="Garamond"/>
          <w:sz w:val="22"/>
          <w:szCs w:val="22"/>
        </w:rPr>
      </w:pPr>
    </w:p>
    <w:p w14:paraId="15E92058" w14:textId="5F2E3610" w:rsidR="00255450" w:rsidRPr="002E0757" w:rsidRDefault="002E0757" w:rsidP="000D5DB0">
      <w:pPr>
        <w:jc w:val="both"/>
        <w:rPr>
          <w:rFonts w:ascii="Garamond" w:eastAsia="Garamond" w:hAnsi="Garamond" w:cs="Garamond"/>
          <w:sz w:val="22"/>
          <w:szCs w:val="22"/>
        </w:rPr>
      </w:pPr>
      <w:r>
        <w:rPr>
          <w:rFonts w:ascii="Garamond" w:eastAsia="Garamond" w:hAnsi="Garamond" w:cs="Garamond"/>
          <w:sz w:val="22"/>
          <w:szCs w:val="22"/>
        </w:rPr>
        <w:t xml:space="preserve">Better understanding climate forced displacement must also center on Indigenous knowledge and the co-production of knowledge. </w:t>
      </w:r>
      <w:r w:rsidR="00255450" w:rsidRPr="002E0757">
        <w:rPr>
          <w:rFonts w:ascii="Garamond" w:eastAsia="Garamond" w:hAnsi="Garamond" w:cs="Garamond"/>
          <w:sz w:val="22"/>
          <w:szCs w:val="22"/>
        </w:rPr>
        <w:t>Alaska Native villages</w:t>
      </w:r>
      <w:r>
        <w:rPr>
          <w:rFonts w:ascii="Garamond" w:eastAsia="Garamond" w:hAnsi="Garamond" w:cs="Garamond"/>
          <w:sz w:val="22"/>
          <w:szCs w:val="22"/>
        </w:rPr>
        <w:t xml:space="preserve">, for example, </w:t>
      </w:r>
      <w:r w:rsidR="00255450" w:rsidRPr="002E0757">
        <w:rPr>
          <w:rFonts w:ascii="Garamond" w:eastAsia="Garamond" w:hAnsi="Garamond" w:cs="Garamond"/>
          <w:sz w:val="22"/>
          <w:szCs w:val="22"/>
        </w:rPr>
        <w:t>are increasingly receiving training to monitor permafrost thaw and support climate adaptation planning in a manner that respects the human rights of impacted communities</w:t>
      </w:r>
      <w:r w:rsidR="0031323A">
        <w:rPr>
          <w:rFonts w:ascii="Garamond" w:eastAsia="Garamond" w:hAnsi="Garamond" w:cs="Garamond"/>
          <w:sz w:val="22"/>
          <w:szCs w:val="22"/>
        </w:rPr>
        <w:t>.</w:t>
      </w:r>
    </w:p>
    <w:p w14:paraId="596D7CB0" w14:textId="58555FED" w:rsidR="006E7E74" w:rsidRPr="002E0757" w:rsidRDefault="006E7E74" w:rsidP="000D5DB0">
      <w:pPr>
        <w:jc w:val="both"/>
        <w:rPr>
          <w:rFonts w:ascii="Garamond" w:eastAsia="Garamond" w:hAnsi="Garamond" w:cs="Garamond"/>
          <w:sz w:val="22"/>
          <w:szCs w:val="22"/>
        </w:rPr>
      </w:pPr>
    </w:p>
    <w:p w14:paraId="62F44EAC" w14:textId="10DF4FBD" w:rsidR="006E7E74" w:rsidRPr="002E0757" w:rsidRDefault="006E7E74" w:rsidP="000D5DB0">
      <w:pPr>
        <w:jc w:val="both"/>
        <w:rPr>
          <w:rFonts w:ascii="Garamond" w:eastAsia="Garamond" w:hAnsi="Garamond" w:cs="Garamond"/>
          <w:sz w:val="22"/>
          <w:szCs w:val="22"/>
        </w:rPr>
      </w:pPr>
      <w:r w:rsidRPr="002E0757">
        <w:rPr>
          <w:rFonts w:ascii="Garamond" w:eastAsia="Garamond" w:hAnsi="Garamond" w:cs="Garamond"/>
          <w:sz w:val="22"/>
          <w:szCs w:val="22"/>
        </w:rPr>
        <w:br/>
      </w:r>
    </w:p>
    <w:p w14:paraId="792306A5" w14:textId="4FC2D6AF" w:rsidR="00430894" w:rsidRPr="002E0757" w:rsidRDefault="00430894" w:rsidP="000D5DB0">
      <w:pPr>
        <w:rPr>
          <w:rFonts w:ascii="Garamond" w:hAnsi="Garamond"/>
          <w:b/>
          <w:bCs/>
          <w:sz w:val="22"/>
          <w:szCs w:val="22"/>
          <w:lang w:val="en-AU"/>
        </w:rPr>
      </w:pPr>
    </w:p>
    <w:p w14:paraId="00B2E366" w14:textId="77777777" w:rsidR="00430894" w:rsidRPr="002E0757" w:rsidRDefault="00430894" w:rsidP="000D5DB0">
      <w:pPr>
        <w:rPr>
          <w:rFonts w:ascii="Garamond" w:hAnsi="Garamond"/>
          <w:b/>
          <w:bCs/>
          <w:sz w:val="22"/>
          <w:szCs w:val="22"/>
          <w:lang w:val="en-AU"/>
        </w:rPr>
      </w:pPr>
    </w:p>
    <w:p w14:paraId="46A55CB8" w14:textId="1593FCAC" w:rsidR="00E21D90" w:rsidRPr="002E0757" w:rsidRDefault="00E21D90" w:rsidP="000D5DB0">
      <w:pPr>
        <w:ind w:left="880" w:hanging="440"/>
        <w:rPr>
          <w:rFonts w:ascii="Garamond" w:hAnsi="Garamond"/>
          <w:sz w:val="22"/>
          <w:szCs w:val="22"/>
        </w:rPr>
      </w:pPr>
    </w:p>
    <w:sectPr w:rsidR="00E21D90" w:rsidRPr="002E0757">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A929" w14:textId="77777777" w:rsidR="00B624E2" w:rsidRDefault="00B624E2">
      <w:r>
        <w:separator/>
      </w:r>
    </w:p>
  </w:endnote>
  <w:endnote w:type="continuationSeparator" w:id="0">
    <w:p w14:paraId="6CC93846" w14:textId="77777777" w:rsidR="00B624E2" w:rsidRDefault="00B6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0552288"/>
      <w:docPartObj>
        <w:docPartGallery w:val="Page Numbers (Bottom of Page)"/>
        <w:docPartUnique/>
      </w:docPartObj>
    </w:sdtPr>
    <w:sdtContent>
      <w:p w14:paraId="41F459AA" w14:textId="3B6A045A" w:rsidR="006C7562" w:rsidRDefault="006C7562" w:rsidP="00E053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D010A" w14:textId="77777777" w:rsidR="00DD77BC" w:rsidRDefault="00DD77BC" w:rsidP="006C75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247908"/>
      <w:docPartObj>
        <w:docPartGallery w:val="Page Numbers (Bottom of Page)"/>
        <w:docPartUnique/>
      </w:docPartObj>
    </w:sdtPr>
    <w:sdtContent>
      <w:p w14:paraId="791638A8" w14:textId="3E1EE11A" w:rsidR="006C7562" w:rsidRDefault="006C7562" w:rsidP="00E053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3EA8F7" w14:textId="77777777" w:rsidR="00DD77BC" w:rsidRDefault="00DD77BC" w:rsidP="006C75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74FD" w14:textId="77777777" w:rsidR="00A15B39" w:rsidRDefault="00A15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F3BF" w14:textId="77777777" w:rsidR="00B624E2" w:rsidRDefault="00B624E2">
      <w:r>
        <w:separator/>
      </w:r>
    </w:p>
  </w:footnote>
  <w:footnote w:type="continuationSeparator" w:id="0">
    <w:p w14:paraId="72868511" w14:textId="77777777" w:rsidR="00B624E2" w:rsidRDefault="00B624E2">
      <w:r>
        <w:continuationSeparator/>
      </w:r>
    </w:p>
  </w:footnote>
  <w:footnote w:id="1">
    <w:p w14:paraId="7E39FED1" w14:textId="542A681D" w:rsidR="00FF6A1D" w:rsidRPr="00FD4262" w:rsidRDefault="00FF6A1D" w:rsidP="00FF6A1D">
      <w:pPr>
        <w:pStyle w:val="FootnoteText"/>
        <w:ind w:right="270"/>
        <w:jc w:val="both"/>
        <w:rPr>
          <w:rFonts w:ascii="Garamond" w:hAnsi="Garamond"/>
        </w:rPr>
      </w:pPr>
      <w:r w:rsidRPr="00FD4262">
        <w:rPr>
          <w:rStyle w:val="FootnoteReference"/>
          <w:rFonts w:ascii="Garamond" w:hAnsi="Garamond"/>
        </w:rPr>
        <w:footnoteRef/>
      </w:r>
      <w:r w:rsidRPr="00FD4262">
        <w:rPr>
          <w:rFonts w:ascii="Garamond" w:hAnsi="Garamond"/>
        </w:rPr>
        <w:t xml:space="preserve"> </w:t>
      </w:r>
      <w:r w:rsidRPr="00FD4262">
        <w:rPr>
          <w:rFonts w:ascii="Garamond" w:eastAsia="Garamond" w:hAnsi="Garamond"/>
        </w:rPr>
        <w:t>The latest data confirm that the Arctic has warmed three to four times greater than the global average temperature increase of 1.1°C above pre-industrial levels, a trend that is projected to continue in the coming years. These rising temperatures are exacerbating a host of climate hazards, including wildfires across Arctic tundra and boreal forests, sea ice melt, coastal erosion, altered abundance and distributions of key Arctic species, and notably, permafrost thaw—which may render much of the Arctic uninhabitable</w:t>
      </w:r>
      <w:r w:rsidR="000D5DB0" w:rsidRPr="00FD4262">
        <w:rPr>
          <w:rFonts w:ascii="Garamond" w:eastAsia="Garamond" w:hAnsi="Garamond"/>
        </w:rPr>
        <w:t>.</w:t>
      </w:r>
      <w:r w:rsidRPr="00FD4262">
        <w:rPr>
          <w:rFonts w:ascii="Garamond" w:eastAsia="Garamond" w:hAnsi="Garamond"/>
        </w:rPr>
        <w:t xml:space="preserve"> </w:t>
      </w:r>
    </w:p>
  </w:footnote>
  <w:footnote w:id="2">
    <w:p w14:paraId="0F751EFF" w14:textId="6571B6DF" w:rsidR="006E7E74" w:rsidRPr="00FD4262" w:rsidRDefault="006E7E74">
      <w:pPr>
        <w:pStyle w:val="FootnoteText"/>
        <w:rPr>
          <w:rFonts w:ascii="Garamond" w:hAnsi="Garamond"/>
        </w:rPr>
      </w:pPr>
      <w:r w:rsidRPr="00FD4262">
        <w:rPr>
          <w:rStyle w:val="FootnoteReference"/>
          <w:rFonts w:ascii="Garamond" w:hAnsi="Garamond"/>
        </w:rPr>
        <w:footnoteRef/>
      </w:r>
      <w:r w:rsidRPr="00FD4262">
        <w:rPr>
          <w:rFonts w:ascii="Garamond" w:hAnsi="Garamond"/>
        </w:rPr>
        <w:t xml:space="preserve"> </w:t>
      </w:r>
      <w:r w:rsidRPr="00FD4262">
        <w:rPr>
          <w:rFonts w:ascii="Garamond" w:hAnsi="Garamond"/>
          <w:color w:val="222222"/>
        </w:rPr>
        <w:t xml:space="preserve">DOI manages public lands and minerals, national parks, wildlife </w:t>
      </w:r>
      <w:r w:rsidR="00D06DE8" w:rsidRPr="00FD4262">
        <w:rPr>
          <w:rFonts w:ascii="Garamond" w:hAnsi="Garamond"/>
          <w:color w:val="222222"/>
        </w:rPr>
        <w:t>refuges</w:t>
      </w:r>
      <w:r w:rsidRPr="00FD4262">
        <w:rPr>
          <w:rFonts w:ascii="Garamond" w:hAnsi="Garamond"/>
          <w:color w:val="222222"/>
        </w:rPr>
        <w:t>, and upholds Federal trust responsibilities to Indian Tribes and Native Alaskans.</w:t>
      </w:r>
    </w:p>
  </w:footnote>
  <w:footnote w:id="3">
    <w:p w14:paraId="66B34555" w14:textId="77777777" w:rsidR="006E7E74" w:rsidRPr="00FD4262" w:rsidRDefault="006E7E74" w:rsidP="006E7E74">
      <w:pPr>
        <w:shd w:val="clear" w:color="auto" w:fill="FFFFFF"/>
        <w:jc w:val="both"/>
        <w:rPr>
          <w:rFonts w:ascii="Garamond" w:hAnsi="Garamond"/>
          <w:color w:val="222222"/>
          <w:sz w:val="20"/>
          <w:szCs w:val="20"/>
        </w:rPr>
      </w:pPr>
      <w:r w:rsidRPr="00FD4262">
        <w:rPr>
          <w:rStyle w:val="FootnoteReference"/>
          <w:rFonts w:ascii="Garamond" w:hAnsi="Garamond"/>
          <w:sz w:val="20"/>
          <w:szCs w:val="20"/>
        </w:rPr>
        <w:footnoteRef/>
      </w:r>
      <w:r w:rsidRPr="00FD4262">
        <w:rPr>
          <w:rFonts w:ascii="Garamond" w:hAnsi="Garamond"/>
          <w:sz w:val="20"/>
          <w:szCs w:val="20"/>
        </w:rPr>
        <w:t xml:space="preserve"> </w:t>
      </w:r>
      <w:r w:rsidRPr="00FD4262">
        <w:rPr>
          <w:rFonts w:ascii="Garamond" w:hAnsi="Garamond"/>
          <w:color w:val="222222"/>
          <w:sz w:val="20"/>
          <w:szCs w:val="20"/>
        </w:rPr>
        <w:t xml:space="preserve">US$86 million is provided for Tribal climate resilience and adaptation projects, and US$43.2 million will be available to spend annually for five years.  On November 3, 2022, DOI also announced a US$45 million* investment in Tribal communities to address the disproportionate impacts of climate change. These </w:t>
      </w:r>
      <w:hyperlink r:id="rId1" w:history="1">
        <w:r w:rsidRPr="00FD4262">
          <w:rPr>
            <w:rStyle w:val="Hyperlink"/>
            <w:rFonts w:ascii="Garamond" w:hAnsi="Garamond"/>
            <w:sz w:val="20"/>
            <w:szCs w:val="20"/>
          </w:rPr>
          <w:t>Tribal Climate Resilience projects</w:t>
        </w:r>
      </w:hyperlink>
      <w:r w:rsidRPr="00FD4262">
        <w:rPr>
          <w:rFonts w:ascii="Garamond" w:hAnsi="Garamond"/>
          <w:color w:val="222222"/>
          <w:sz w:val="20"/>
          <w:szCs w:val="20"/>
        </w:rPr>
        <w:t xml:space="preserve"> will support Tribes and Tribal organizations in adaptation planning, climate implementation actions, ocean and coastal management planning, capacity building, relocation, managed retreat, and protect-in-place planning for climate risks. These 124 awards will support 76 Tribes and 8 Tribal organizations. </w:t>
      </w:r>
      <w:r w:rsidRPr="00FD4262">
        <w:rPr>
          <w:rFonts w:ascii="Garamond" w:hAnsi="Garamond"/>
          <w:i/>
          <w:iCs/>
          <w:color w:val="222222"/>
          <w:sz w:val="20"/>
          <w:szCs w:val="20"/>
        </w:rPr>
        <w:t>*</w:t>
      </w:r>
      <w:r w:rsidRPr="00FD4262">
        <w:rPr>
          <w:rFonts w:ascii="Garamond" w:hAnsi="Garamond"/>
          <w:color w:val="222222"/>
          <w:sz w:val="20"/>
          <w:szCs w:val="20"/>
        </w:rPr>
        <w:t>US$20 million from the Bipartisan Infrastructure Law and $25 million from fiscal year 2022 annual appropriations</w:t>
      </w:r>
    </w:p>
    <w:p w14:paraId="21644DAB" w14:textId="0677AF84" w:rsidR="006E7E74" w:rsidRPr="00FD4262" w:rsidRDefault="006E7E74" w:rsidP="006E7E74">
      <w:pPr>
        <w:shd w:val="clear" w:color="auto" w:fill="FFFFFF"/>
        <w:jc w:val="both"/>
        <w:rPr>
          <w:rFonts w:ascii="Garamond" w:hAnsi="Garamond"/>
          <w:color w:val="222222"/>
          <w:sz w:val="20"/>
          <w:szCs w:val="20"/>
        </w:rPr>
      </w:pPr>
    </w:p>
    <w:p w14:paraId="3039DBF2" w14:textId="20046B52" w:rsidR="006E7E74" w:rsidRPr="00FD4262" w:rsidRDefault="006E7E74">
      <w:pPr>
        <w:pStyle w:val="FootnoteText"/>
        <w:rPr>
          <w:rFonts w:ascii="Garamond" w:hAnsi="Garamon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E184" w14:textId="77777777" w:rsidR="00B909AF" w:rsidRDefault="00B9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F32" w14:textId="4A760554" w:rsidR="00000000" w:rsidRDefault="00C21E5C">
    <w:r>
      <w:rPr>
        <w:noProof/>
      </w:rPr>
      <w:drawing>
        <wp:anchor distT="0" distB="0" distL="114300" distR="114300" simplePos="0" relativeHeight="251658240" behindDoc="0" locked="0" layoutInCell="1" hidden="0" allowOverlap="1" wp14:anchorId="4E973019" wp14:editId="191D1BBB">
          <wp:simplePos x="0" y="0"/>
          <wp:positionH relativeFrom="page">
            <wp:posOffset>457200</wp:posOffset>
          </wp:positionH>
          <wp:positionV relativeFrom="page">
            <wp:posOffset>419100</wp:posOffset>
          </wp:positionV>
          <wp:extent cx="6858000" cy="10287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0" cy="1028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5E98" w14:textId="77777777" w:rsidR="00B909AF" w:rsidRDefault="00B90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DE4"/>
    <w:multiLevelType w:val="hybridMultilevel"/>
    <w:tmpl w:val="EEBE8144"/>
    <w:lvl w:ilvl="0" w:tplc="6DA616F4">
      <w:start w:val="2"/>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C69BA"/>
    <w:multiLevelType w:val="hybridMultilevel"/>
    <w:tmpl w:val="41584A54"/>
    <w:lvl w:ilvl="0" w:tplc="3BEC22FA">
      <w:start w:val="1"/>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08F9"/>
    <w:multiLevelType w:val="hybridMultilevel"/>
    <w:tmpl w:val="723E138A"/>
    <w:lvl w:ilvl="0" w:tplc="99B2CCE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92261"/>
    <w:multiLevelType w:val="hybridMultilevel"/>
    <w:tmpl w:val="87287A4C"/>
    <w:lvl w:ilvl="0" w:tplc="22B28756">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483607"/>
    <w:multiLevelType w:val="hybridMultilevel"/>
    <w:tmpl w:val="EC2C1626"/>
    <w:lvl w:ilvl="0" w:tplc="FCDAE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5BAD"/>
    <w:multiLevelType w:val="hybridMultilevel"/>
    <w:tmpl w:val="FB685F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D04A50"/>
    <w:multiLevelType w:val="hybridMultilevel"/>
    <w:tmpl w:val="82B833F2"/>
    <w:lvl w:ilvl="0" w:tplc="953A382C">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5C86"/>
    <w:multiLevelType w:val="hybridMultilevel"/>
    <w:tmpl w:val="821CDC24"/>
    <w:lvl w:ilvl="0" w:tplc="87DA5D9C">
      <w:start w:val="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11C44"/>
    <w:multiLevelType w:val="hybridMultilevel"/>
    <w:tmpl w:val="BB4616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8A4E61"/>
    <w:multiLevelType w:val="hybridMultilevel"/>
    <w:tmpl w:val="49B89300"/>
    <w:lvl w:ilvl="0" w:tplc="AA807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A2650"/>
    <w:multiLevelType w:val="hybridMultilevel"/>
    <w:tmpl w:val="E4042D7E"/>
    <w:lvl w:ilvl="0" w:tplc="6BF63D3E">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40A63"/>
    <w:multiLevelType w:val="hybridMultilevel"/>
    <w:tmpl w:val="ED36D4E0"/>
    <w:lvl w:ilvl="0" w:tplc="1E2CC4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47A92"/>
    <w:multiLevelType w:val="hybridMultilevel"/>
    <w:tmpl w:val="BB4616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807402"/>
    <w:multiLevelType w:val="hybridMultilevel"/>
    <w:tmpl w:val="83306DC2"/>
    <w:lvl w:ilvl="0" w:tplc="0396D7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D503B"/>
    <w:multiLevelType w:val="hybridMultilevel"/>
    <w:tmpl w:val="BB4616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34B4E"/>
    <w:multiLevelType w:val="hybridMultilevel"/>
    <w:tmpl w:val="C94E5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F24A21"/>
    <w:multiLevelType w:val="hybridMultilevel"/>
    <w:tmpl w:val="C94E5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3F5E26"/>
    <w:multiLevelType w:val="hybridMultilevel"/>
    <w:tmpl w:val="D63E8CFA"/>
    <w:lvl w:ilvl="0" w:tplc="2862925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23AF9"/>
    <w:multiLevelType w:val="hybridMultilevel"/>
    <w:tmpl w:val="7A9C41B4"/>
    <w:lvl w:ilvl="0" w:tplc="07D621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03EC2"/>
    <w:multiLevelType w:val="hybridMultilevel"/>
    <w:tmpl w:val="3CBC5978"/>
    <w:lvl w:ilvl="0" w:tplc="7490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82417"/>
    <w:multiLevelType w:val="hybridMultilevel"/>
    <w:tmpl w:val="BB461660"/>
    <w:lvl w:ilvl="0" w:tplc="CB5C0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E47FC"/>
    <w:multiLevelType w:val="hybridMultilevel"/>
    <w:tmpl w:val="51C68E46"/>
    <w:lvl w:ilvl="0" w:tplc="0D7832F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C7AA7"/>
    <w:multiLevelType w:val="multilevel"/>
    <w:tmpl w:val="575832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394921">
    <w:abstractNumId w:val="4"/>
  </w:num>
  <w:num w:numId="2" w16cid:durableId="2071421490">
    <w:abstractNumId w:val="21"/>
  </w:num>
  <w:num w:numId="3" w16cid:durableId="738602862">
    <w:abstractNumId w:val="16"/>
  </w:num>
  <w:num w:numId="4" w16cid:durableId="205144895">
    <w:abstractNumId w:val="12"/>
  </w:num>
  <w:num w:numId="5" w16cid:durableId="470101857">
    <w:abstractNumId w:val="14"/>
  </w:num>
  <w:num w:numId="6" w16cid:durableId="493837922">
    <w:abstractNumId w:val="8"/>
  </w:num>
  <w:num w:numId="7" w16cid:durableId="590162721">
    <w:abstractNumId w:val="17"/>
  </w:num>
  <w:num w:numId="8" w16cid:durableId="1982736211">
    <w:abstractNumId w:val="6"/>
  </w:num>
  <w:num w:numId="9" w16cid:durableId="1864971854">
    <w:abstractNumId w:val="18"/>
  </w:num>
  <w:num w:numId="10" w16cid:durableId="499738695">
    <w:abstractNumId w:val="23"/>
  </w:num>
  <w:num w:numId="11" w16cid:durableId="249391484">
    <w:abstractNumId w:val="22"/>
  </w:num>
  <w:num w:numId="12" w16cid:durableId="1428578024">
    <w:abstractNumId w:val="15"/>
  </w:num>
  <w:num w:numId="13" w16cid:durableId="908002607">
    <w:abstractNumId w:val="5"/>
  </w:num>
  <w:num w:numId="14" w16cid:durableId="1349715839">
    <w:abstractNumId w:val="2"/>
  </w:num>
  <w:num w:numId="15" w16cid:durableId="1121337571">
    <w:abstractNumId w:val="3"/>
  </w:num>
  <w:num w:numId="16" w16cid:durableId="460850951">
    <w:abstractNumId w:val="7"/>
  </w:num>
  <w:num w:numId="17" w16cid:durableId="776363425">
    <w:abstractNumId w:val="20"/>
  </w:num>
  <w:num w:numId="18" w16cid:durableId="1818297714">
    <w:abstractNumId w:val="11"/>
  </w:num>
  <w:num w:numId="19" w16cid:durableId="1126509804">
    <w:abstractNumId w:val="9"/>
  </w:num>
  <w:num w:numId="20" w16cid:durableId="555556843">
    <w:abstractNumId w:val="0"/>
  </w:num>
  <w:num w:numId="21" w16cid:durableId="1177429831">
    <w:abstractNumId w:val="19"/>
  </w:num>
  <w:num w:numId="22" w16cid:durableId="1641880186">
    <w:abstractNumId w:val="13"/>
  </w:num>
  <w:num w:numId="23" w16cid:durableId="1090158151">
    <w:abstractNumId w:val="10"/>
  </w:num>
  <w:num w:numId="24" w16cid:durableId="649677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90"/>
    <w:rsid w:val="000252F1"/>
    <w:rsid w:val="00025D5D"/>
    <w:rsid w:val="0003767D"/>
    <w:rsid w:val="00057676"/>
    <w:rsid w:val="00067AF1"/>
    <w:rsid w:val="0009169A"/>
    <w:rsid w:val="00095A34"/>
    <w:rsid w:val="000C5193"/>
    <w:rsid w:val="000D57DD"/>
    <w:rsid w:val="000D5DB0"/>
    <w:rsid w:val="000F63D9"/>
    <w:rsid w:val="000F69FE"/>
    <w:rsid w:val="001066BE"/>
    <w:rsid w:val="00144FC9"/>
    <w:rsid w:val="00163630"/>
    <w:rsid w:val="00163D1D"/>
    <w:rsid w:val="001653C0"/>
    <w:rsid w:val="001806E3"/>
    <w:rsid w:val="0019410C"/>
    <w:rsid w:val="001B5DD2"/>
    <w:rsid w:val="001E2F72"/>
    <w:rsid w:val="001F0E6C"/>
    <w:rsid w:val="002009FB"/>
    <w:rsid w:val="00202EA6"/>
    <w:rsid w:val="00205EA3"/>
    <w:rsid w:val="00244316"/>
    <w:rsid w:val="00246023"/>
    <w:rsid w:val="00255450"/>
    <w:rsid w:val="002554AD"/>
    <w:rsid w:val="00266DB2"/>
    <w:rsid w:val="0027055F"/>
    <w:rsid w:val="00272A7D"/>
    <w:rsid w:val="00280F1B"/>
    <w:rsid w:val="00294059"/>
    <w:rsid w:val="002A0C5D"/>
    <w:rsid w:val="002A1D14"/>
    <w:rsid w:val="002A2082"/>
    <w:rsid w:val="002A60C9"/>
    <w:rsid w:val="002A7F11"/>
    <w:rsid w:val="002C2E99"/>
    <w:rsid w:val="002D2DFF"/>
    <w:rsid w:val="002E0757"/>
    <w:rsid w:val="002E7D42"/>
    <w:rsid w:val="0031323A"/>
    <w:rsid w:val="003159D8"/>
    <w:rsid w:val="00327A9B"/>
    <w:rsid w:val="00371D2D"/>
    <w:rsid w:val="003808A5"/>
    <w:rsid w:val="003A3047"/>
    <w:rsid w:val="003F43CE"/>
    <w:rsid w:val="003F4897"/>
    <w:rsid w:val="004129E0"/>
    <w:rsid w:val="00420EAF"/>
    <w:rsid w:val="00423A30"/>
    <w:rsid w:val="00430894"/>
    <w:rsid w:val="00435884"/>
    <w:rsid w:val="00446F71"/>
    <w:rsid w:val="00455C5B"/>
    <w:rsid w:val="00457741"/>
    <w:rsid w:val="00485961"/>
    <w:rsid w:val="004A66B4"/>
    <w:rsid w:val="004B5F91"/>
    <w:rsid w:val="004D4718"/>
    <w:rsid w:val="004F7999"/>
    <w:rsid w:val="0051690E"/>
    <w:rsid w:val="00532B72"/>
    <w:rsid w:val="005343A0"/>
    <w:rsid w:val="00580ABF"/>
    <w:rsid w:val="005830CB"/>
    <w:rsid w:val="005A0FEC"/>
    <w:rsid w:val="005B2105"/>
    <w:rsid w:val="005C0A5A"/>
    <w:rsid w:val="005D24B5"/>
    <w:rsid w:val="005F1FE4"/>
    <w:rsid w:val="005F6072"/>
    <w:rsid w:val="00630B91"/>
    <w:rsid w:val="006353BB"/>
    <w:rsid w:val="00651E65"/>
    <w:rsid w:val="0067042F"/>
    <w:rsid w:val="00685047"/>
    <w:rsid w:val="00694EF0"/>
    <w:rsid w:val="006C7562"/>
    <w:rsid w:val="006E2E53"/>
    <w:rsid w:val="006E39B1"/>
    <w:rsid w:val="006E6A90"/>
    <w:rsid w:val="006E7E1B"/>
    <w:rsid w:val="006E7E74"/>
    <w:rsid w:val="006F6743"/>
    <w:rsid w:val="006F7DF6"/>
    <w:rsid w:val="00711AE9"/>
    <w:rsid w:val="00723B82"/>
    <w:rsid w:val="00773330"/>
    <w:rsid w:val="00780B61"/>
    <w:rsid w:val="00792417"/>
    <w:rsid w:val="007A3ADA"/>
    <w:rsid w:val="007B5D93"/>
    <w:rsid w:val="007C19D5"/>
    <w:rsid w:val="007C5B89"/>
    <w:rsid w:val="007F047D"/>
    <w:rsid w:val="007F0ABE"/>
    <w:rsid w:val="007F3A51"/>
    <w:rsid w:val="008066E7"/>
    <w:rsid w:val="00820670"/>
    <w:rsid w:val="0084319E"/>
    <w:rsid w:val="00853192"/>
    <w:rsid w:val="00853E50"/>
    <w:rsid w:val="00855E4C"/>
    <w:rsid w:val="00860B93"/>
    <w:rsid w:val="00861D36"/>
    <w:rsid w:val="00877212"/>
    <w:rsid w:val="00881422"/>
    <w:rsid w:val="0088325C"/>
    <w:rsid w:val="008A463B"/>
    <w:rsid w:val="008D74C4"/>
    <w:rsid w:val="008F1EF2"/>
    <w:rsid w:val="008F6166"/>
    <w:rsid w:val="0090099E"/>
    <w:rsid w:val="00912249"/>
    <w:rsid w:val="00916E27"/>
    <w:rsid w:val="00917352"/>
    <w:rsid w:val="0094677F"/>
    <w:rsid w:val="00955DE7"/>
    <w:rsid w:val="00967B4F"/>
    <w:rsid w:val="00972E4A"/>
    <w:rsid w:val="009A6BFE"/>
    <w:rsid w:val="009D1AEE"/>
    <w:rsid w:val="00A00493"/>
    <w:rsid w:val="00A11BEC"/>
    <w:rsid w:val="00A15B39"/>
    <w:rsid w:val="00A405FF"/>
    <w:rsid w:val="00A67551"/>
    <w:rsid w:val="00A908ED"/>
    <w:rsid w:val="00AA63D2"/>
    <w:rsid w:val="00AD0BAE"/>
    <w:rsid w:val="00AD4103"/>
    <w:rsid w:val="00AD7115"/>
    <w:rsid w:val="00AF5CFC"/>
    <w:rsid w:val="00B45BBF"/>
    <w:rsid w:val="00B57A83"/>
    <w:rsid w:val="00B624E2"/>
    <w:rsid w:val="00B7354A"/>
    <w:rsid w:val="00B73AEE"/>
    <w:rsid w:val="00B87F55"/>
    <w:rsid w:val="00B909AF"/>
    <w:rsid w:val="00B9661A"/>
    <w:rsid w:val="00BA0BB4"/>
    <w:rsid w:val="00BA2EB5"/>
    <w:rsid w:val="00BA2F18"/>
    <w:rsid w:val="00BA4551"/>
    <w:rsid w:val="00BB4371"/>
    <w:rsid w:val="00BD0A9C"/>
    <w:rsid w:val="00BD44E8"/>
    <w:rsid w:val="00BE3B62"/>
    <w:rsid w:val="00BE77A2"/>
    <w:rsid w:val="00BF6C8D"/>
    <w:rsid w:val="00C16E16"/>
    <w:rsid w:val="00C21E5C"/>
    <w:rsid w:val="00C2252B"/>
    <w:rsid w:val="00C30FBE"/>
    <w:rsid w:val="00C53C0C"/>
    <w:rsid w:val="00C62755"/>
    <w:rsid w:val="00C651B4"/>
    <w:rsid w:val="00C82D98"/>
    <w:rsid w:val="00C87688"/>
    <w:rsid w:val="00C91CBD"/>
    <w:rsid w:val="00C92EE5"/>
    <w:rsid w:val="00CB5B22"/>
    <w:rsid w:val="00CC20D8"/>
    <w:rsid w:val="00CD0F91"/>
    <w:rsid w:val="00CD5EBA"/>
    <w:rsid w:val="00CF2B43"/>
    <w:rsid w:val="00D03B04"/>
    <w:rsid w:val="00D03FC7"/>
    <w:rsid w:val="00D06DE8"/>
    <w:rsid w:val="00D2156A"/>
    <w:rsid w:val="00D224D9"/>
    <w:rsid w:val="00D23C9D"/>
    <w:rsid w:val="00D259BD"/>
    <w:rsid w:val="00D30C8F"/>
    <w:rsid w:val="00D33CA8"/>
    <w:rsid w:val="00D76A32"/>
    <w:rsid w:val="00D81566"/>
    <w:rsid w:val="00D82138"/>
    <w:rsid w:val="00D90F80"/>
    <w:rsid w:val="00D945C6"/>
    <w:rsid w:val="00DB0AC4"/>
    <w:rsid w:val="00DB59D1"/>
    <w:rsid w:val="00DC329C"/>
    <w:rsid w:val="00DD32CD"/>
    <w:rsid w:val="00DD77BC"/>
    <w:rsid w:val="00DD7DDB"/>
    <w:rsid w:val="00DE1369"/>
    <w:rsid w:val="00E13B09"/>
    <w:rsid w:val="00E14E83"/>
    <w:rsid w:val="00E20168"/>
    <w:rsid w:val="00E21D90"/>
    <w:rsid w:val="00E35A25"/>
    <w:rsid w:val="00E43A80"/>
    <w:rsid w:val="00E6244A"/>
    <w:rsid w:val="00E6416F"/>
    <w:rsid w:val="00EC4AE5"/>
    <w:rsid w:val="00ED1008"/>
    <w:rsid w:val="00ED6BF1"/>
    <w:rsid w:val="00EF2F93"/>
    <w:rsid w:val="00EF38B3"/>
    <w:rsid w:val="00F33B9B"/>
    <w:rsid w:val="00F40633"/>
    <w:rsid w:val="00F457FC"/>
    <w:rsid w:val="00F846BC"/>
    <w:rsid w:val="00FA72F0"/>
    <w:rsid w:val="00FC1261"/>
    <w:rsid w:val="00FD4262"/>
    <w:rsid w:val="00FE2266"/>
    <w:rsid w:val="00FF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0E11"/>
  <w15:docId w15:val="{201D31C3-BB75-2744-A0CC-FA290945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1B4"/>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909AF"/>
    <w:pPr>
      <w:tabs>
        <w:tab w:val="center" w:pos="4680"/>
        <w:tab w:val="right" w:pos="9360"/>
      </w:tabs>
    </w:pPr>
  </w:style>
  <w:style w:type="character" w:customStyle="1" w:styleId="HeaderChar">
    <w:name w:val="Header Char"/>
    <w:basedOn w:val="DefaultParagraphFont"/>
    <w:link w:val="Header"/>
    <w:uiPriority w:val="99"/>
    <w:rsid w:val="00B909AF"/>
  </w:style>
  <w:style w:type="paragraph" w:styleId="Footer">
    <w:name w:val="footer"/>
    <w:basedOn w:val="Normal"/>
    <w:link w:val="FooterChar"/>
    <w:uiPriority w:val="99"/>
    <w:unhideWhenUsed/>
    <w:rsid w:val="00B909AF"/>
    <w:pPr>
      <w:tabs>
        <w:tab w:val="center" w:pos="4680"/>
        <w:tab w:val="right" w:pos="9360"/>
      </w:tabs>
    </w:pPr>
  </w:style>
  <w:style w:type="character" w:customStyle="1" w:styleId="FooterChar">
    <w:name w:val="Footer Char"/>
    <w:basedOn w:val="DefaultParagraphFont"/>
    <w:link w:val="Footer"/>
    <w:uiPriority w:val="99"/>
    <w:rsid w:val="00B909AF"/>
  </w:style>
  <w:style w:type="paragraph" w:styleId="ListParagraph">
    <w:name w:val="List Paragraph"/>
    <w:basedOn w:val="Normal"/>
    <w:uiPriority w:val="34"/>
    <w:qFormat/>
    <w:rsid w:val="00711AE9"/>
    <w:pPr>
      <w:ind w:left="720"/>
      <w:contextualSpacing/>
    </w:pPr>
  </w:style>
  <w:style w:type="character" w:styleId="Hyperlink">
    <w:name w:val="Hyperlink"/>
    <w:basedOn w:val="DefaultParagraphFont"/>
    <w:uiPriority w:val="99"/>
    <w:unhideWhenUsed/>
    <w:rsid w:val="00423A30"/>
    <w:rPr>
      <w:color w:val="0000FF" w:themeColor="hyperlink"/>
      <w:u w:val="single"/>
    </w:rPr>
  </w:style>
  <w:style w:type="character" w:styleId="UnresolvedMention">
    <w:name w:val="Unresolved Mention"/>
    <w:basedOn w:val="DefaultParagraphFont"/>
    <w:uiPriority w:val="99"/>
    <w:semiHidden/>
    <w:unhideWhenUsed/>
    <w:rsid w:val="00423A30"/>
    <w:rPr>
      <w:color w:val="605E5C"/>
      <w:shd w:val="clear" w:color="auto" w:fill="E1DFDD"/>
    </w:rPr>
  </w:style>
  <w:style w:type="character" w:styleId="FollowedHyperlink">
    <w:name w:val="FollowedHyperlink"/>
    <w:basedOn w:val="DefaultParagraphFont"/>
    <w:uiPriority w:val="99"/>
    <w:semiHidden/>
    <w:unhideWhenUsed/>
    <w:rsid w:val="00423A30"/>
    <w:rPr>
      <w:color w:val="800080" w:themeColor="followedHyperlink"/>
      <w:u w:val="single"/>
    </w:rPr>
  </w:style>
  <w:style w:type="paragraph" w:styleId="FootnoteText">
    <w:name w:val="footnote text"/>
    <w:basedOn w:val="Normal"/>
    <w:link w:val="FootnoteTextChar"/>
    <w:uiPriority w:val="99"/>
    <w:semiHidden/>
    <w:unhideWhenUsed/>
    <w:rsid w:val="00D23C9D"/>
    <w:rPr>
      <w:sz w:val="20"/>
      <w:szCs w:val="20"/>
    </w:rPr>
  </w:style>
  <w:style w:type="character" w:customStyle="1" w:styleId="FootnoteTextChar">
    <w:name w:val="Footnote Text Char"/>
    <w:basedOn w:val="DefaultParagraphFont"/>
    <w:link w:val="FootnoteText"/>
    <w:uiPriority w:val="99"/>
    <w:semiHidden/>
    <w:rsid w:val="00D23C9D"/>
    <w:rPr>
      <w:sz w:val="20"/>
      <w:szCs w:val="20"/>
    </w:rPr>
  </w:style>
  <w:style w:type="character" w:styleId="FootnoteReference">
    <w:name w:val="footnote reference"/>
    <w:basedOn w:val="DefaultParagraphFont"/>
    <w:uiPriority w:val="99"/>
    <w:semiHidden/>
    <w:unhideWhenUsed/>
    <w:rsid w:val="00D23C9D"/>
    <w:rPr>
      <w:vertAlign w:val="superscript"/>
    </w:rPr>
  </w:style>
  <w:style w:type="paragraph" w:styleId="EndnoteText">
    <w:name w:val="endnote text"/>
    <w:basedOn w:val="Normal"/>
    <w:link w:val="EndnoteTextChar"/>
    <w:uiPriority w:val="99"/>
    <w:semiHidden/>
    <w:unhideWhenUsed/>
    <w:rsid w:val="00D23C9D"/>
    <w:rPr>
      <w:sz w:val="20"/>
      <w:szCs w:val="20"/>
    </w:rPr>
  </w:style>
  <w:style w:type="character" w:customStyle="1" w:styleId="EndnoteTextChar">
    <w:name w:val="Endnote Text Char"/>
    <w:basedOn w:val="DefaultParagraphFont"/>
    <w:link w:val="EndnoteText"/>
    <w:uiPriority w:val="99"/>
    <w:semiHidden/>
    <w:rsid w:val="00D23C9D"/>
    <w:rPr>
      <w:sz w:val="20"/>
      <w:szCs w:val="20"/>
    </w:rPr>
  </w:style>
  <w:style w:type="character" w:styleId="EndnoteReference">
    <w:name w:val="endnote reference"/>
    <w:basedOn w:val="DefaultParagraphFont"/>
    <w:uiPriority w:val="99"/>
    <w:semiHidden/>
    <w:unhideWhenUsed/>
    <w:rsid w:val="00D23C9D"/>
    <w:rPr>
      <w:vertAlign w:val="superscript"/>
    </w:rPr>
  </w:style>
  <w:style w:type="paragraph" w:styleId="NormalWeb">
    <w:name w:val="Normal (Web)"/>
    <w:basedOn w:val="Normal"/>
    <w:uiPriority w:val="99"/>
    <w:unhideWhenUsed/>
    <w:rsid w:val="002A7F11"/>
    <w:pPr>
      <w:spacing w:before="100" w:beforeAutospacing="1" w:after="100" w:afterAutospacing="1"/>
    </w:pPr>
  </w:style>
  <w:style w:type="character" w:styleId="PageNumber">
    <w:name w:val="page number"/>
    <w:basedOn w:val="DefaultParagraphFont"/>
    <w:uiPriority w:val="99"/>
    <w:semiHidden/>
    <w:unhideWhenUsed/>
    <w:rsid w:val="006C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0333">
      <w:bodyDiv w:val="1"/>
      <w:marLeft w:val="0"/>
      <w:marRight w:val="0"/>
      <w:marTop w:val="0"/>
      <w:marBottom w:val="0"/>
      <w:divBdr>
        <w:top w:val="none" w:sz="0" w:space="0" w:color="auto"/>
        <w:left w:val="none" w:sz="0" w:space="0" w:color="auto"/>
        <w:bottom w:val="none" w:sz="0" w:space="0" w:color="auto"/>
        <w:right w:val="none" w:sz="0" w:space="0" w:color="auto"/>
      </w:divBdr>
    </w:div>
    <w:div w:id="61225248">
      <w:bodyDiv w:val="1"/>
      <w:marLeft w:val="0"/>
      <w:marRight w:val="0"/>
      <w:marTop w:val="0"/>
      <w:marBottom w:val="0"/>
      <w:divBdr>
        <w:top w:val="none" w:sz="0" w:space="0" w:color="auto"/>
        <w:left w:val="none" w:sz="0" w:space="0" w:color="auto"/>
        <w:bottom w:val="none" w:sz="0" w:space="0" w:color="auto"/>
        <w:right w:val="none" w:sz="0" w:space="0" w:color="auto"/>
      </w:divBdr>
    </w:div>
    <w:div w:id="134225146">
      <w:bodyDiv w:val="1"/>
      <w:marLeft w:val="0"/>
      <w:marRight w:val="0"/>
      <w:marTop w:val="0"/>
      <w:marBottom w:val="0"/>
      <w:divBdr>
        <w:top w:val="none" w:sz="0" w:space="0" w:color="auto"/>
        <w:left w:val="none" w:sz="0" w:space="0" w:color="auto"/>
        <w:bottom w:val="none" w:sz="0" w:space="0" w:color="auto"/>
        <w:right w:val="none" w:sz="0" w:space="0" w:color="auto"/>
      </w:divBdr>
    </w:div>
    <w:div w:id="305934622">
      <w:bodyDiv w:val="1"/>
      <w:marLeft w:val="0"/>
      <w:marRight w:val="0"/>
      <w:marTop w:val="0"/>
      <w:marBottom w:val="0"/>
      <w:divBdr>
        <w:top w:val="none" w:sz="0" w:space="0" w:color="auto"/>
        <w:left w:val="none" w:sz="0" w:space="0" w:color="auto"/>
        <w:bottom w:val="none" w:sz="0" w:space="0" w:color="auto"/>
        <w:right w:val="none" w:sz="0" w:space="0" w:color="auto"/>
      </w:divBdr>
    </w:div>
    <w:div w:id="382562106">
      <w:bodyDiv w:val="1"/>
      <w:marLeft w:val="0"/>
      <w:marRight w:val="0"/>
      <w:marTop w:val="0"/>
      <w:marBottom w:val="0"/>
      <w:divBdr>
        <w:top w:val="none" w:sz="0" w:space="0" w:color="auto"/>
        <w:left w:val="none" w:sz="0" w:space="0" w:color="auto"/>
        <w:bottom w:val="none" w:sz="0" w:space="0" w:color="auto"/>
        <w:right w:val="none" w:sz="0" w:space="0" w:color="auto"/>
      </w:divBdr>
    </w:div>
    <w:div w:id="395206005">
      <w:bodyDiv w:val="1"/>
      <w:marLeft w:val="0"/>
      <w:marRight w:val="0"/>
      <w:marTop w:val="0"/>
      <w:marBottom w:val="0"/>
      <w:divBdr>
        <w:top w:val="none" w:sz="0" w:space="0" w:color="auto"/>
        <w:left w:val="none" w:sz="0" w:space="0" w:color="auto"/>
        <w:bottom w:val="none" w:sz="0" w:space="0" w:color="auto"/>
        <w:right w:val="none" w:sz="0" w:space="0" w:color="auto"/>
      </w:divBdr>
    </w:div>
    <w:div w:id="397677558">
      <w:bodyDiv w:val="1"/>
      <w:marLeft w:val="0"/>
      <w:marRight w:val="0"/>
      <w:marTop w:val="0"/>
      <w:marBottom w:val="0"/>
      <w:divBdr>
        <w:top w:val="none" w:sz="0" w:space="0" w:color="auto"/>
        <w:left w:val="none" w:sz="0" w:space="0" w:color="auto"/>
        <w:bottom w:val="none" w:sz="0" w:space="0" w:color="auto"/>
        <w:right w:val="none" w:sz="0" w:space="0" w:color="auto"/>
      </w:divBdr>
    </w:div>
    <w:div w:id="461002823">
      <w:bodyDiv w:val="1"/>
      <w:marLeft w:val="0"/>
      <w:marRight w:val="0"/>
      <w:marTop w:val="0"/>
      <w:marBottom w:val="0"/>
      <w:divBdr>
        <w:top w:val="none" w:sz="0" w:space="0" w:color="auto"/>
        <w:left w:val="none" w:sz="0" w:space="0" w:color="auto"/>
        <w:bottom w:val="none" w:sz="0" w:space="0" w:color="auto"/>
        <w:right w:val="none" w:sz="0" w:space="0" w:color="auto"/>
      </w:divBdr>
    </w:div>
    <w:div w:id="569114920">
      <w:bodyDiv w:val="1"/>
      <w:marLeft w:val="0"/>
      <w:marRight w:val="0"/>
      <w:marTop w:val="0"/>
      <w:marBottom w:val="0"/>
      <w:divBdr>
        <w:top w:val="none" w:sz="0" w:space="0" w:color="auto"/>
        <w:left w:val="none" w:sz="0" w:space="0" w:color="auto"/>
        <w:bottom w:val="none" w:sz="0" w:space="0" w:color="auto"/>
        <w:right w:val="none" w:sz="0" w:space="0" w:color="auto"/>
      </w:divBdr>
    </w:div>
    <w:div w:id="620259209">
      <w:bodyDiv w:val="1"/>
      <w:marLeft w:val="0"/>
      <w:marRight w:val="0"/>
      <w:marTop w:val="0"/>
      <w:marBottom w:val="0"/>
      <w:divBdr>
        <w:top w:val="none" w:sz="0" w:space="0" w:color="auto"/>
        <w:left w:val="none" w:sz="0" w:space="0" w:color="auto"/>
        <w:bottom w:val="none" w:sz="0" w:space="0" w:color="auto"/>
        <w:right w:val="none" w:sz="0" w:space="0" w:color="auto"/>
      </w:divBdr>
    </w:div>
    <w:div w:id="670107202">
      <w:bodyDiv w:val="1"/>
      <w:marLeft w:val="0"/>
      <w:marRight w:val="0"/>
      <w:marTop w:val="0"/>
      <w:marBottom w:val="0"/>
      <w:divBdr>
        <w:top w:val="none" w:sz="0" w:space="0" w:color="auto"/>
        <w:left w:val="none" w:sz="0" w:space="0" w:color="auto"/>
        <w:bottom w:val="none" w:sz="0" w:space="0" w:color="auto"/>
        <w:right w:val="none" w:sz="0" w:space="0" w:color="auto"/>
      </w:divBdr>
    </w:div>
    <w:div w:id="686103588">
      <w:bodyDiv w:val="1"/>
      <w:marLeft w:val="0"/>
      <w:marRight w:val="0"/>
      <w:marTop w:val="0"/>
      <w:marBottom w:val="0"/>
      <w:divBdr>
        <w:top w:val="none" w:sz="0" w:space="0" w:color="auto"/>
        <w:left w:val="none" w:sz="0" w:space="0" w:color="auto"/>
        <w:bottom w:val="none" w:sz="0" w:space="0" w:color="auto"/>
        <w:right w:val="none" w:sz="0" w:space="0" w:color="auto"/>
      </w:divBdr>
    </w:div>
    <w:div w:id="772212186">
      <w:bodyDiv w:val="1"/>
      <w:marLeft w:val="0"/>
      <w:marRight w:val="0"/>
      <w:marTop w:val="0"/>
      <w:marBottom w:val="0"/>
      <w:divBdr>
        <w:top w:val="none" w:sz="0" w:space="0" w:color="auto"/>
        <w:left w:val="none" w:sz="0" w:space="0" w:color="auto"/>
        <w:bottom w:val="none" w:sz="0" w:space="0" w:color="auto"/>
        <w:right w:val="none" w:sz="0" w:space="0" w:color="auto"/>
      </w:divBdr>
    </w:div>
    <w:div w:id="904528816">
      <w:bodyDiv w:val="1"/>
      <w:marLeft w:val="0"/>
      <w:marRight w:val="0"/>
      <w:marTop w:val="0"/>
      <w:marBottom w:val="0"/>
      <w:divBdr>
        <w:top w:val="none" w:sz="0" w:space="0" w:color="auto"/>
        <w:left w:val="none" w:sz="0" w:space="0" w:color="auto"/>
        <w:bottom w:val="none" w:sz="0" w:space="0" w:color="auto"/>
        <w:right w:val="none" w:sz="0" w:space="0" w:color="auto"/>
      </w:divBdr>
    </w:div>
    <w:div w:id="917206499">
      <w:bodyDiv w:val="1"/>
      <w:marLeft w:val="0"/>
      <w:marRight w:val="0"/>
      <w:marTop w:val="0"/>
      <w:marBottom w:val="0"/>
      <w:divBdr>
        <w:top w:val="none" w:sz="0" w:space="0" w:color="auto"/>
        <w:left w:val="none" w:sz="0" w:space="0" w:color="auto"/>
        <w:bottom w:val="none" w:sz="0" w:space="0" w:color="auto"/>
        <w:right w:val="none" w:sz="0" w:space="0" w:color="auto"/>
      </w:divBdr>
    </w:div>
    <w:div w:id="966935900">
      <w:bodyDiv w:val="1"/>
      <w:marLeft w:val="0"/>
      <w:marRight w:val="0"/>
      <w:marTop w:val="0"/>
      <w:marBottom w:val="0"/>
      <w:divBdr>
        <w:top w:val="none" w:sz="0" w:space="0" w:color="auto"/>
        <w:left w:val="none" w:sz="0" w:space="0" w:color="auto"/>
        <w:bottom w:val="none" w:sz="0" w:space="0" w:color="auto"/>
        <w:right w:val="none" w:sz="0" w:space="0" w:color="auto"/>
      </w:divBdr>
    </w:div>
    <w:div w:id="1030180186">
      <w:bodyDiv w:val="1"/>
      <w:marLeft w:val="0"/>
      <w:marRight w:val="0"/>
      <w:marTop w:val="0"/>
      <w:marBottom w:val="0"/>
      <w:divBdr>
        <w:top w:val="none" w:sz="0" w:space="0" w:color="auto"/>
        <w:left w:val="none" w:sz="0" w:space="0" w:color="auto"/>
        <w:bottom w:val="none" w:sz="0" w:space="0" w:color="auto"/>
        <w:right w:val="none" w:sz="0" w:space="0" w:color="auto"/>
      </w:divBdr>
    </w:div>
    <w:div w:id="1050493916">
      <w:bodyDiv w:val="1"/>
      <w:marLeft w:val="0"/>
      <w:marRight w:val="0"/>
      <w:marTop w:val="0"/>
      <w:marBottom w:val="0"/>
      <w:divBdr>
        <w:top w:val="none" w:sz="0" w:space="0" w:color="auto"/>
        <w:left w:val="none" w:sz="0" w:space="0" w:color="auto"/>
        <w:bottom w:val="none" w:sz="0" w:space="0" w:color="auto"/>
        <w:right w:val="none" w:sz="0" w:space="0" w:color="auto"/>
      </w:divBdr>
    </w:div>
    <w:div w:id="1182821886">
      <w:bodyDiv w:val="1"/>
      <w:marLeft w:val="0"/>
      <w:marRight w:val="0"/>
      <w:marTop w:val="0"/>
      <w:marBottom w:val="0"/>
      <w:divBdr>
        <w:top w:val="none" w:sz="0" w:space="0" w:color="auto"/>
        <w:left w:val="none" w:sz="0" w:space="0" w:color="auto"/>
        <w:bottom w:val="none" w:sz="0" w:space="0" w:color="auto"/>
        <w:right w:val="none" w:sz="0" w:space="0" w:color="auto"/>
      </w:divBdr>
    </w:div>
    <w:div w:id="1184132200">
      <w:bodyDiv w:val="1"/>
      <w:marLeft w:val="0"/>
      <w:marRight w:val="0"/>
      <w:marTop w:val="0"/>
      <w:marBottom w:val="0"/>
      <w:divBdr>
        <w:top w:val="none" w:sz="0" w:space="0" w:color="auto"/>
        <w:left w:val="none" w:sz="0" w:space="0" w:color="auto"/>
        <w:bottom w:val="none" w:sz="0" w:space="0" w:color="auto"/>
        <w:right w:val="none" w:sz="0" w:space="0" w:color="auto"/>
      </w:divBdr>
    </w:div>
    <w:div w:id="1189291192">
      <w:bodyDiv w:val="1"/>
      <w:marLeft w:val="0"/>
      <w:marRight w:val="0"/>
      <w:marTop w:val="0"/>
      <w:marBottom w:val="0"/>
      <w:divBdr>
        <w:top w:val="none" w:sz="0" w:space="0" w:color="auto"/>
        <w:left w:val="none" w:sz="0" w:space="0" w:color="auto"/>
        <w:bottom w:val="none" w:sz="0" w:space="0" w:color="auto"/>
        <w:right w:val="none" w:sz="0" w:space="0" w:color="auto"/>
      </w:divBdr>
    </w:div>
    <w:div w:id="1351684389">
      <w:bodyDiv w:val="1"/>
      <w:marLeft w:val="0"/>
      <w:marRight w:val="0"/>
      <w:marTop w:val="0"/>
      <w:marBottom w:val="0"/>
      <w:divBdr>
        <w:top w:val="none" w:sz="0" w:space="0" w:color="auto"/>
        <w:left w:val="none" w:sz="0" w:space="0" w:color="auto"/>
        <w:bottom w:val="none" w:sz="0" w:space="0" w:color="auto"/>
        <w:right w:val="none" w:sz="0" w:space="0" w:color="auto"/>
      </w:divBdr>
    </w:div>
    <w:div w:id="1375304302">
      <w:bodyDiv w:val="1"/>
      <w:marLeft w:val="0"/>
      <w:marRight w:val="0"/>
      <w:marTop w:val="0"/>
      <w:marBottom w:val="0"/>
      <w:divBdr>
        <w:top w:val="none" w:sz="0" w:space="0" w:color="auto"/>
        <w:left w:val="none" w:sz="0" w:space="0" w:color="auto"/>
        <w:bottom w:val="none" w:sz="0" w:space="0" w:color="auto"/>
        <w:right w:val="none" w:sz="0" w:space="0" w:color="auto"/>
      </w:divBdr>
    </w:div>
    <w:div w:id="1403021194">
      <w:bodyDiv w:val="1"/>
      <w:marLeft w:val="0"/>
      <w:marRight w:val="0"/>
      <w:marTop w:val="0"/>
      <w:marBottom w:val="0"/>
      <w:divBdr>
        <w:top w:val="none" w:sz="0" w:space="0" w:color="auto"/>
        <w:left w:val="none" w:sz="0" w:space="0" w:color="auto"/>
        <w:bottom w:val="none" w:sz="0" w:space="0" w:color="auto"/>
        <w:right w:val="none" w:sz="0" w:space="0" w:color="auto"/>
      </w:divBdr>
    </w:div>
    <w:div w:id="1446077596">
      <w:bodyDiv w:val="1"/>
      <w:marLeft w:val="0"/>
      <w:marRight w:val="0"/>
      <w:marTop w:val="0"/>
      <w:marBottom w:val="0"/>
      <w:divBdr>
        <w:top w:val="none" w:sz="0" w:space="0" w:color="auto"/>
        <w:left w:val="none" w:sz="0" w:space="0" w:color="auto"/>
        <w:bottom w:val="none" w:sz="0" w:space="0" w:color="auto"/>
        <w:right w:val="none" w:sz="0" w:space="0" w:color="auto"/>
      </w:divBdr>
    </w:div>
    <w:div w:id="1496922891">
      <w:bodyDiv w:val="1"/>
      <w:marLeft w:val="0"/>
      <w:marRight w:val="0"/>
      <w:marTop w:val="0"/>
      <w:marBottom w:val="0"/>
      <w:divBdr>
        <w:top w:val="none" w:sz="0" w:space="0" w:color="auto"/>
        <w:left w:val="none" w:sz="0" w:space="0" w:color="auto"/>
        <w:bottom w:val="none" w:sz="0" w:space="0" w:color="auto"/>
        <w:right w:val="none" w:sz="0" w:space="0" w:color="auto"/>
      </w:divBdr>
    </w:div>
    <w:div w:id="1596748449">
      <w:bodyDiv w:val="1"/>
      <w:marLeft w:val="0"/>
      <w:marRight w:val="0"/>
      <w:marTop w:val="0"/>
      <w:marBottom w:val="0"/>
      <w:divBdr>
        <w:top w:val="none" w:sz="0" w:space="0" w:color="auto"/>
        <w:left w:val="none" w:sz="0" w:space="0" w:color="auto"/>
        <w:bottom w:val="none" w:sz="0" w:space="0" w:color="auto"/>
        <w:right w:val="none" w:sz="0" w:space="0" w:color="auto"/>
      </w:divBdr>
    </w:div>
    <w:div w:id="1601445582">
      <w:bodyDiv w:val="1"/>
      <w:marLeft w:val="0"/>
      <w:marRight w:val="0"/>
      <w:marTop w:val="0"/>
      <w:marBottom w:val="0"/>
      <w:divBdr>
        <w:top w:val="none" w:sz="0" w:space="0" w:color="auto"/>
        <w:left w:val="none" w:sz="0" w:space="0" w:color="auto"/>
        <w:bottom w:val="none" w:sz="0" w:space="0" w:color="auto"/>
        <w:right w:val="none" w:sz="0" w:space="0" w:color="auto"/>
      </w:divBdr>
    </w:div>
    <w:div w:id="1617517819">
      <w:bodyDiv w:val="1"/>
      <w:marLeft w:val="0"/>
      <w:marRight w:val="0"/>
      <w:marTop w:val="0"/>
      <w:marBottom w:val="0"/>
      <w:divBdr>
        <w:top w:val="none" w:sz="0" w:space="0" w:color="auto"/>
        <w:left w:val="none" w:sz="0" w:space="0" w:color="auto"/>
        <w:bottom w:val="none" w:sz="0" w:space="0" w:color="auto"/>
        <w:right w:val="none" w:sz="0" w:space="0" w:color="auto"/>
      </w:divBdr>
    </w:div>
    <w:div w:id="1618753099">
      <w:bodyDiv w:val="1"/>
      <w:marLeft w:val="0"/>
      <w:marRight w:val="0"/>
      <w:marTop w:val="0"/>
      <w:marBottom w:val="0"/>
      <w:divBdr>
        <w:top w:val="none" w:sz="0" w:space="0" w:color="auto"/>
        <w:left w:val="none" w:sz="0" w:space="0" w:color="auto"/>
        <w:bottom w:val="none" w:sz="0" w:space="0" w:color="auto"/>
        <w:right w:val="none" w:sz="0" w:space="0" w:color="auto"/>
      </w:divBdr>
    </w:div>
    <w:div w:id="1644113930">
      <w:bodyDiv w:val="1"/>
      <w:marLeft w:val="0"/>
      <w:marRight w:val="0"/>
      <w:marTop w:val="0"/>
      <w:marBottom w:val="0"/>
      <w:divBdr>
        <w:top w:val="none" w:sz="0" w:space="0" w:color="auto"/>
        <w:left w:val="none" w:sz="0" w:space="0" w:color="auto"/>
        <w:bottom w:val="none" w:sz="0" w:space="0" w:color="auto"/>
        <w:right w:val="none" w:sz="0" w:space="0" w:color="auto"/>
      </w:divBdr>
    </w:div>
    <w:div w:id="1710952076">
      <w:bodyDiv w:val="1"/>
      <w:marLeft w:val="0"/>
      <w:marRight w:val="0"/>
      <w:marTop w:val="0"/>
      <w:marBottom w:val="0"/>
      <w:divBdr>
        <w:top w:val="none" w:sz="0" w:space="0" w:color="auto"/>
        <w:left w:val="none" w:sz="0" w:space="0" w:color="auto"/>
        <w:bottom w:val="none" w:sz="0" w:space="0" w:color="auto"/>
        <w:right w:val="none" w:sz="0" w:space="0" w:color="auto"/>
      </w:divBdr>
    </w:div>
    <w:div w:id="1751124123">
      <w:bodyDiv w:val="1"/>
      <w:marLeft w:val="0"/>
      <w:marRight w:val="0"/>
      <w:marTop w:val="0"/>
      <w:marBottom w:val="0"/>
      <w:divBdr>
        <w:top w:val="none" w:sz="0" w:space="0" w:color="auto"/>
        <w:left w:val="none" w:sz="0" w:space="0" w:color="auto"/>
        <w:bottom w:val="none" w:sz="0" w:space="0" w:color="auto"/>
        <w:right w:val="none" w:sz="0" w:space="0" w:color="auto"/>
      </w:divBdr>
    </w:div>
    <w:div w:id="1905334607">
      <w:bodyDiv w:val="1"/>
      <w:marLeft w:val="0"/>
      <w:marRight w:val="0"/>
      <w:marTop w:val="0"/>
      <w:marBottom w:val="0"/>
      <w:divBdr>
        <w:top w:val="none" w:sz="0" w:space="0" w:color="auto"/>
        <w:left w:val="none" w:sz="0" w:space="0" w:color="auto"/>
        <w:bottom w:val="none" w:sz="0" w:space="0" w:color="auto"/>
        <w:right w:val="none" w:sz="0" w:space="0" w:color="auto"/>
      </w:divBdr>
    </w:div>
    <w:div w:id="1993218648">
      <w:bodyDiv w:val="1"/>
      <w:marLeft w:val="0"/>
      <w:marRight w:val="0"/>
      <w:marTop w:val="0"/>
      <w:marBottom w:val="0"/>
      <w:divBdr>
        <w:top w:val="none" w:sz="0" w:space="0" w:color="auto"/>
        <w:left w:val="none" w:sz="0" w:space="0" w:color="auto"/>
        <w:bottom w:val="none" w:sz="0" w:space="0" w:color="auto"/>
        <w:right w:val="none" w:sz="0" w:space="0" w:color="auto"/>
      </w:divBdr>
    </w:div>
    <w:div w:id="1998224591">
      <w:bodyDiv w:val="1"/>
      <w:marLeft w:val="0"/>
      <w:marRight w:val="0"/>
      <w:marTop w:val="0"/>
      <w:marBottom w:val="0"/>
      <w:divBdr>
        <w:top w:val="none" w:sz="0" w:space="0" w:color="auto"/>
        <w:left w:val="none" w:sz="0" w:space="0" w:color="auto"/>
        <w:bottom w:val="none" w:sz="0" w:space="0" w:color="auto"/>
        <w:right w:val="none" w:sz="0" w:space="0" w:color="auto"/>
      </w:divBdr>
    </w:div>
    <w:div w:id="2047214547">
      <w:bodyDiv w:val="1"/>
      <w:marLeft w:val="0"/>
      <w:marRight w:val="0"/>
      <w:marTop w:val="0"/>
      <w:marBottom w:val="0"/>
      <w:divBdr>
        <w:top w:val="none" w:sz="0" w:space="0" w:color="auto"/>
        <w:left w:val="none" w:sz="0" w:space="0" w:color="auto"/>
        <w:bottom w:val="none" w:sz="0" w:space="0" w:color="auto"/>
        <w:right w:val="none" w:sz="0" w:space="0" w:color="auto"/>
      </w:divBdr>
    </w:div>
    <w:div w:id="213381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rctic-council.org/explore/topics/arctic-peoples/" TargetMode="External"/><Relationship Id="rId18" Type="http://schemas.openxmlformats.org/officeDocument/2006/relationships/hyperlink" Target="https://toolkit.climate.gov/case-studies/relocating-kivalina" TargetMode="External"/><Relationship Id="rId26" Type="http://schemas.openxmlformats.org/officeDocument/2006/relationships/hyperlink" Target="https://www.nytimes.com/2022/11/04/climate/native-americans-relocate-climate-change.html" TargetMode="External"/><Relationship Id="rId39" Type="http://schemas.openxmlformats.org/officeDocument/2006/relationships/header" Target="header2.xml"/><Relationship Id="rId21" Type="http://schemas.openxmlformats.org/officeDocument/2006/relationships/hyperlink" Target="https://www.gao.gov/products/gao-09-551" TargetMode="External"/><Relationship Id="rId34" Type="http://schemas.openxmlformats.org/officeDocument/2006/relationships/hyperlink" Target="https://www.ktoo.org/2017/01/18/obama-denies-newtoks-request-disaster-declaration/"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gress.gov/116/meeting/house/108887/witnesses/HHRG-116-II24-Wstate-JordanJ-20190212-SD001.pdf" TargetMode="External"/><Relationship Id="rId29" Type="http://schemas.openxmlformats.org/officeDocument/2006/relationships/hyperlink" Target="https://www.nytimes.com/2022/11/04/climate/native-americans-relocate-climate-chan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ijp.org/" TargetMode="External"/><Relationship Id="rId24" Type="http://schemas.openxmlformats.org/officeDocument/2006/relationships/hyperlink" Target="https://www.scientificamerican.com/article/here-s-how-much-of-alaska-s-permafrost-could-melt/" TargetMode="External"/><Relationship Id="rId32" Type="http://schemas.openxmlformats.org/officeDocument/2006/relationships/hyperlink" Target="https://www.nrcs.usda.gov/sites/default/files/2022-10/Huslia%20EWP%20Success%20Story%20Dec2021.pdf" TargetMode="External"/><Relationship Id="rId37" Type="http://schemas.openxmlformats.org/officeDocument/2006/relationships/hyperlink" Target="https://www.ohchr.org/sites/default/files/Documents/Issues/IDPs/NGOs-and-other-organizations/alaska-institute-justice-idp-cli.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locatenewtok.org/" TargetMode="External"/><Relationship Id="rId23" Type="http://schemas.openxmlformats.org/officeDocument/2006/relationships/hyperlink" Target="https://agupubs.onlinelibrary.wiley.com/doi/full/10.1029/2021JF006123" TargetMode="External"/><Relationship Id="rId28" Type="http://schemas.openxmlformats.org/officeDocument/2006/relationships/hyperlink" Target="https://www.doi.gov/priorities/investing-americas-infrastructure/tribal-investments" TargetMode="External"/><Relationship Id="rId36" Type="http://schemas.openxmlformats.org/officeDocument/2006/relationships/hyperlink" Target="https://daccess-ods.un.org/tmp/1965606.06360435.html" TargetMode="External"/><Relationship Id="rId10" Type="http://schemas.openxmlformats.org/officeDocument/2006/relationships/hyperlink" Target="https://www.belfercenter.org/project/arctic-initiative" TargetMode="External"/><Relationship Id="rId19" Type="http://schemas.openxmlformats.org/officeDocument/2006/relationships/hyperlink" Target="https://www.newyorker.com/magazine/2022/11/28/an-alaskan-town-is-losing-ground-and-a-way-of-life" TargetMode="External"/><Relationship Id="rId31" Type="http://schemas.openxmlformats.org/officeDocument/2006/relationships/hyperlink" Target="https://www.commerce.alaska.gov/web/portals/4/pub/shishmaref_relocation_site_reconnaissance_nrc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mafrost.woodwellclimate.org/" TargetMode="External"/><Relationship Id="rId14" Type="http://schemas.openxmlformats.org/officeDocument/2006/relationships/hyperlink" Target="https://www.nationalgeographic.com/science/article/climate-change-finally-caught-up-to-this-alaska-village" TargetMode="External"/><Relationship Id="rId22" Type="http://schemas.openxmlformats.org/officeDocument/2006/relationships/hyperlink" Target="https://www.gao.gov/assets/gao-22-104241.pdf" TargetMode="External"/><Relationship Id="rId27" Type="http://schemas.openxmlformats.org/officeDocument/2006/relationships/hyperlink" Target="https://www.cnn.com/2022/11/12/world/permafrost-climate-change-explainer-scn" TargetMode="External"/><Relationship Id="rId30" Type="http://schemas.openxmlformats.org/officeDocument/2006/relationships/hyperlink" Target="https://www.whitehouse.gov/omb/briefing-room/2022/08/23/new-omb-analysis-the-inflation-reduction-act-will-significantly-cut-the-social-costs-of-climate-change/" TargetMode="External"/><Relationship Id="rId35" Type="http://schemas.openxmlformats.org/officeDocument/2006/relationships/hyperlink" Target="https://socialchangenyu.com/wp-content/uploads/2021/04/Robin-Bronen_RLSC-The-Harbinger_45.pdf" TargetMode="External"/><Relationship Id="rId43" Type="http://schemas.openxmlformats.org/officeDocument/2006/relationships/footer" Target="footer3.xml"/><Relationship Id="rId8" Type="http://schemas.openxmlformats.org/officeDocument/2006/relationships/hyperlink" Target="https://www.woodwellclimate.org/" TargetMode="External"/><Relationship Id="rId3" Type="http://schemas.openxmlformats.org/officeDocument/2006/relationships/styles" Target="styles.xml"/><Relationship Id="rId12" Type="http://schemas.openxmlformats.org/officeDocument/2006/relationships/hyperlink" Target="http://www.nativescience.org/about/cochran.htm" TargetMode="External"/><Relationship Id="rId17" Type="http://schemas.openxmlformats.org/officeDocument/2006/relationships/hyperlink" Target="https://www.ktoo.org/2017/01/18/obama-denies-newtoks-request-disaster-declaration/" TargetMode="External"/><Relationship Id="rId25" Type="http://schemas.openxmlformats.org/officeDocument/2006/relationships/hyperlink" Target="https://www.newamerica.org/future-land-housing/blog/entire-alaskan-communities-are-sinking-into-the-oceanand-many-cant-move-inland/" TargetMode="External"/><Relationship Id="rId33" Type="http://schemas.openxmlformats.org/officeDocument/2006/relationships/hyperlink" Target="https://crsreports.congress.gov/product/pdf/IN/IN11696" TargetMode="External"/><Relationship Id="rId38" Type="http://schemas.openxmlformats.org/officeDocument/2006/relationships/header" Target="header1.xml"/><Relationship Id="rId20" Type="http://schemas.openxmlformats.org/officeDocument/2006/relationships/hyperlink" Target="https://www.gao.gov/products/gao-04-142"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ia.gov/sites/default/files/dup/inline-files/award_summary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0718-FF95-A04C-8A61-130280B5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Shapiro</cp:lastModifiedBy>
  <cp:revision>3</cp:revision>
  <dcterms:created xsi:type="dcterms:W3CDTF">2022-11-25T20:13:00Z</dcterms:created>
  <dcterms:modified xsi:type="dcterms:W3CDTF">2022-11-25T20:23:00Z</dcterms:modified>
</cp:coreProperties>
</file>