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7333" w14:textId="684521A3" w:rsidR="004E56E4" w:rsidRPr="004D1852" w:rsidRDefault="004E56E4" w:rsidP="004D1852">
      <w:pPr>
        <w:jc w:val="center"/>
        <w:rPr>
          <w:rFonts w:ascii="Times New Roman" w:hAnsi="Times New Roman" w:cs="Times New Roman"/>
          <w:b/>
          <w:bCs/>
          <w:sz w:val="26"/>
          <w:szCs w:val="26"/>
        </w:rPr>
      </w:pPr>
      <w:r w:rsidRPr="004D1852">
        <w:rPr>
          <w:rFonts w:ascii="Times New Roman" w:hAnsi="Times New Roman" w:cs="Times New Roman"/>
          <w:b/>
          <w:bCs/>
          <w:sz w:val="26"/>
          <w:szCs w:val="26"/>
        </w:rPr>
        <w:t xml:space="preserve">Submission </w:t>
      </w:r>
      <w:r w:rsidR="00B16F02" w:rsidRPr="004D1852">
        <w:rPr>
          <w:rFonts w:ascii="Times New Roman" w:hAnsi="Times New Roman" w:cs="Times New Roman"/>
          <w:b/>
          <w:bCs/>
          <w:sz w:val="26"/>
          <w:szCs w:val="26"/>
        </w:rPr>
        <w:t xml:space="preserve">to the UN Special Rapporteur </w:t>
      </w:r>
      <w:r w:rsidR="00B16F02" w:rsidRPr="004D1852">
        <w:rPr>
          <w:rFonts w:asciiTheme="majorBidi" w:hAnsiTheme="majorBidi" w:cstheme="majorBidi"/>
          <w:b/>
          <w:bCs/>
          <w:sz w:val="26"/>
          <w:szCs w:val="26"/>
          <w:lang w:val="en-AU"/>
        </w:rPr>
        <w:t>on the promotion and protect</w:t>
      </w:r>
      <w:r w:rsidR="00B547A1" w:rsidRPr="004D1852">
        <w:rPr>
          <w:rFonts w:asciiTheme="majorBidi" w:hAnsiTheme="majorBidi" w:cstheme="majorBidi"/>
          <w:b/>
          <w:bCs/>
          <w:sz w:val="26"/>
          <w:szCs w:val="26"/>
          <w:lang w:val="en-AU"/>
        </w:rPr>
        <w:t>ion</w:t>
      </w:r>
      <w:r w:rsidR="00B16F02" w:rsidRPr="004D1852">
        <w:rPr>
          <w:rFonts w:asciiTheme="majorBidi" w:hAnsiTheme="majorBidi" w:cstheme="majorBidi"/>
          <w:b/>
          <w:bCs/>
          <w:sz w:val="26"/>
          <w:szCs w:val="26"/>
          <w:lang w:val="en-AU"/>
        </w:rPr>
        <w:t xml:space="preserve"> of human rights in the context of climate change</w:t>
      </w:r>
      <w:r w:rsidR="00B16F02" w:rsidRPr="004D1852">
        <w:rPr>
          <w:rFonts w:ascii="Times New Roman" w:hAnsi="Times New Roman" w:cs="Times New Roman"/>
          <w:b/>
          <w:bCs/>
          <w:sz w:val="26"/>
          <w:szCs w:val="26"/>
        </w:rPr>
        <w:t xml:space="preserve"> </w:t>
      </w:r>
      <w:r w:rsidRPr="004D1852">
        <w:rPr>
          <w:rFonts w:ascii="Times New Roman" w:hAnsi="Times New Roman" w:cs="Times New Roman"/>
          <w:b/>
          <w:bCs/>
          <w:sz w:val="26"/>
          <w:szCs w:val="26"/>
        </w:rPr>
        <w:t>in response to the call for inputs on “Addressing the human rights implications of climate change displacement including legal protection of people displaced across international borders</w:t>
      </w:r>
      <w:r w:rsidRPr="004D1852">
        <w:rPr>
          <w:rFonts w:ascii="Times New Roman" w:hAnsi="Times New Roman" w:cs="Times New Roman"/>
          <w:b/>
          <w:bCs/>
          <w:sz w:val="26"/>
          <w:szCs w:val="26"/>
          <w:lang w:val="en-AU"/>
        </w:rPr>
        <w:t>”</w:t>
      </w:r>
    </w:p>
    <w:p w14:paraId="425CB0B4" w14:textId="77777777" w:rsidR="00C55521" w:rsidRPr="004D1852" w:rsidRDefault="00C55521">
      <w:pPr>
        <w:rPr>
          <w:rFonts w:ascii="Times New Roman" w:hAnsi="Times New Roman" w:cs="Times New Roman"/>
        </w:rPr>
      </w:pPr>
    </w:p>
    <w:p w14:paraId="54588BF6" w14:textId="77777777" w:rsidR="00680BD3" w:rsidRPr="004D1852" w:rsidRDefault="004E56E4" w:rsidP="004D1852">
      <w:pPr>
        <w:jc w:val="both"/>
        <w:rPr>
          <w:rFonts w:ascii="Times New Roman" w:hAnsi="Times New Roman" w:cs="Times New Roman"/>
        </w:rPr>
      </w:pPr>
      <w:r w:rsidRPr="004D1852">
        <w:rPr>
          <w:rFonts w:ascii="Times New Roman" w:hAnsi="Times New Roman" w:cs="Times New Roman"/>
        </w:rPr>
        <w:t>Dr Lauren Nishimura</w:t>
      </w:r>
    </w:p>
    <w:p w14:paraId="212AFDF1" w14:textId="2D957BFB" w:rsidR="00535034" w:rsidRPr="004D1852" w:rsidRDefault="004E56E4" w:rsidP="004D1852">
      <w:pPr>
        <w:jc w:val="both"/>
        <w:rPr>
          <w:rFonts w:ascii="Times New Roman" w:hAnsi="Times New Roman" w:cs="Times New Roman"/>
        </w:rPr>
      </w:pPr>
      <w:r w:rsidRPr="004D1852">
        <w:rPr>
          <w:rFonts w:ascii="Times New Roman" w:hAnsi="Times New Roman" w:cs="Times New Roman"/>
        </w:rPr>
        <w:t>McKenzie Fellow</w:t>
      </w:r>
      <w:r w:rsidR="00B9506C" w:rsidRPr="004D1852">
        <w:rPr>
          <w:rFonts w:ascii="Times New Roman" w:hAnsi="Times New Roman" w:cs="Times New Roman"/>
        </w:rPr>
        <w:t xml:space="preserve"> </w:t>
      </w:r>
    </w:p>
    <w:p w14:paraId="29CBA86E" w14:textId="452DBCFA" w:rsidR="004E56E4" w:rsidRPr="004D1852" w:rsidRDefault="004E56E4" w:rsidP="004D1852">
      <w:pPr>
        <w:jc w:val="both"/>
        <w:rPr>
          <w:rFonts w:ascii="Times New Roman" w:hAnsi="Times New Roman" w:cs="Times New Roman"/>
        </w:rPr>
      </w:pPr>
      <w:r w:rsidRPr="004D1852">
        <w:rPr>
          <w:rFonts w:ascii="Times New Roman" w:hAnsi="Times New Roman" w:cs="Times New Roman"/>
        </w:rPr>
        <w:t xml:space="preserve">Melbourne Law School, University of </w:t>
      </w:r>
      <w:r w:rsidR="00B9506C" w:rsidRPr="004D1852">
        <w:rPr>
          <w:rFonts w:ascii="Times New Roman" w:hAnsi="Times New Roman" w:cs="Times New Roman"/>
        </w:rPr>
        <w:t>Melbourne</w:t>
      </w:r>
    </w:p>
    <w:p w14:paraId="06B79013" w14:textId="73CEF515" w:rsidR="00E87275" w:rsidRPr="004D1852" w:rsidRDefault="00E87275">
      <w:pPr>
        <w:rPr>
          <w:rFonts w:ascii="Times New Roman" w:hAnsi="Times New Roman" w:cs="Times New Roman"/>
        </w:rPr>
      </w:pPr>
    </w:p>
    <w:p w14:paraId="659D1466" w14:textId="77777777" w:rsidR="00C55521" w:rsidRPr="004D1852" w:rsidRDefault="00C55521">
      <w:pPr>
        <w:rPr>
          <w:rFonts w:ascii="Times New Roman" w:hAnsi="Times New Roman" w:cs="Times New Roman"/>
        </w:rPr>
      </w:pPr>
    </w:p>
    <w:p w14:paraId="0C5623FB" w14:textId="0727D85B" w:rsidR="00E87275" w:rsidRPr="004D1852" w:rsidRDefault="00E87275">
      <w:pPr>
        <w:rPr>
          <w:rFonts w:ascii="Times New Roman" w:hAnsi="Times New Roman" w:cs="Times New Roman"/>
        </w:rPr>
      </w:pPr>
      <w:r w:rsidRPr="004D1852">
        <w:rPr>
          <w:rFonts w:ascii="Times New Roman" w:hAnsi="Times New Roman" w:cs="Times New Roman"/>
        </w:rPr>
        <w:t>The following submission focuses on question 7</w:t>
      </w:r>
      <w:r w:rsidR="00F84560" w:rsidRPr="004D1852">
        <w:rPr>
          <w:rFonts w:ascii="Times New Roman" w:hAnsi="Times New Roman" w:cs="Times New Roman"/>
        </w:rPr>
        <w:t xml:space="preserve"> of the Special Rapporteur’s call for inputs:</w:t>
      </w:r>
    </w:p>
    <w:p w14:paraId="4EE286E0" w14:textId="6A73833A" w:rsidR="004E56E4" w:rsidRPr="004D1852" w:rsidRDefault="004E56E4">
      <w:pPr>
        <w:rPr>
          <w:rFonts w:ascii="Times New Roman" w:hAnsi="Times New Roman" w:cs="Times New Roman"/>
        </w:rPr>
      </w:pPr>
    </w:p>
    <w:p w14:paraId="635D1790" w14:textId="77777777" w:rsidR="0092594A" w:rsidRPr="004D1852" w:rsidRDefault="0092594A" w:rsidP="00A84B49">
      <w:pPr>
        <w:pStyle w:val="ListParagraph"/>
        <w:numPr>
          <w:ilvl w:val="0"/>
          <w:numId w:val="3"/>
        </w:numPr>
        <w:spacing w:after="240"/>
        <w:ind w:left="360"/>
        <w:jc w:val="both"/>
        <w:rPr>
          <w:rFonts w:ascii="Times New Roman" w:hAnsi="Times New Roman" w:cs="Times New Roman"/>
          <w:i/>
          <w:iCs/>
        </w:rPr>
      </w:pPr>
      <w:r w:rsidRPr="004D1852">
        <w:rPr>
          <w:rFonts w:ascii="Times New Roman" w:hAnsi="Times New Roman" w:cs="Times New Roman"/>
          <w:i/>
          <w:iCs/>
        </w:rPr>
        <w:t>What do you understand by the concept of “climate change refugee”? Do you think that the UN Refugee Convention should include a separate category for climate change refugees? How do you think this would work? What other legal options may be possible?</w:t>
      </w:r>
    </w:p>
    <w:p w14:paraId="77979D38" w14:textId="755193F4" w:rsidR="007113DC" w:rsidRPr="004D1852" w:rsidRDefault="0092594A" w:rsidP="004D1852">
      <w:pPr>
        <w:jc w:val="both"/>
        <w:rPr>
          <w:rFonts w:ascii="Times New Roman" w:hAnsi="Times New Roman" w:cs="Times New Roman"/>
        </w:rPr>
      </w:pPr>
      <w:r w:rsidRPr="004D1852">
        <w:rPr>
          <w:rFonts w:ascii="Times New Roman" w:hAnsi="Times New Roman" w:cs="Times New Roman"/>
        </w:rPr>
        <w:t xml:space="preserve">There is currently no international legal </w:t>
      </w:r>
      <w:r w:rsidR="007113DC" w:rsidRPr="004D1852">
        <w:rPr>
          <w:rFonts w:ascii="Times New Roman" w:hAnsi="Times New Roman" w:cs="Times New Roman"/>
        </w:rPr>
        <w:t>agreement</w:t>
      </w:r>
      <w:r w:rsidR="007113DC" w:rsidRPr="004D1852">
        <w:rPr>
          <w:rFonts w:ascii="Times New Roman" w:hAnsi="Times New Roman" w:cs="Times New Roman"/>
        </w:rPr>
        <w:t xml:space="preserve"> </w:t>
      </w:r>
      <w:r w:rsidRPr="004D1852">
        <w:rPr>
          <w:rFonts w:ascii="Times New Roman" w:hAnsi="Times New Roman" w:cs="Times New Roman"/>
        </w:rPr>
        <w:t xml:space="preserve">that </w:t>
      </w:r>
      <w:r w:rsidR="005F443C" w:rsidRPr="004D1852">
        <w:rPr>
          <w:rFonts w:ascii="Times New Roman" w:hAnsi="Times New Roman" w:cs="Times New Roman"/>
        </w:rPr>
        <w:t xml:space="preserve">specifically </w:t>
      </w:r>
      <w:r w:rsidRPr="004D1852">
        <w:rPr>
          <w:rFonts w:ascii="Times New Roman" w:hAnsi="Times New Roman" w:cs="Times New Roman"/>
        </w:rPr>
        <w:t xml:space="preserve">addresses the impacts of climate change and human mobility. </w:t>
      </w:r>
      <w:r w:rsidR="00C664C5" w:rsidRPr="004D1852">
        <w:rPr>
          <w:rFonts w:ascii="Times New Roman" w:hAnsi="Times New Roman" w:cs="Times New Roman"/>
        </w:rPr>
        <w:t xml:space="preserve">There are several areas of international law that apply to the interaction between </w:t>
      </w:r>
      <w:r w:rsidR="005F443C" w:rsidRPr="004D1852">
        <w:rPr>
          <w:rFonts w:ascii="Times New Roman" w:hAnsi="Times New Roman" w:cs="Times New Roman"/>
        </w:rPr>
        <w:t>the two</w:t>
      </w:r>
      <w:r w:rsidR="00C664C5" w:rsidRPr="004D1852">
        <w:rPr>
          <w:rFonts w:ascii="Times New Roman" w:hAnsi="Times New Roman" w:cs="Times New Roman"/>
        </w:rPr>
        <w:t xml:space="preserve"> or that have been raised as potential protection frameworks for people on the move</w:t>
      </w:r>
      <w:r w:rsidR="00000367" w:rsidRPr="004D1852">
        <w:rPr>
          <w:rFonts w:ascii="Times New Roman" w:hAnsi="Times New Roman" w:cs="Times New Roman"/>
        </w:rPr>
        <w:t xml:space="preserve">, including </w:t>
      </w:r>
      <w:r w:rsidR="00C664C5" w:rsidRPr="004D1852">
        <w:rPr>
          <w:rFonts w:ascii="Times New Roman" w:hAnsi="Times New Roman" w:cs="Times New Roman"/>
        </w:rPr>
        <w:t>international refugee law</w:t>
      </w:r>
      <w:r w:rsidR="00000367" w:rsidRPr="004D1852">
        <w:rPr>
          <w:rFonts w:ascii="Times New Roman" w:hAnsi="Times New Roman" w:cs="Times New Roman"/>
        </w:rPr>
        <w:t xml:space="preserve">. </w:t>
      </w:r>
      <w:r w:rsidR="00860D75" w:rsidRPr="004D1852">
        <w:rPr>
          <w:rFonts w:ascii="Times New Roman" w:hAnsi="Times New Roman" w:cs="Times New Roman"/>
        </w:rPr>
        <w:t>The understanding of refugee law and its role in the context of climate change continues to evolve</w:t>
      </w:r>
      <w:r w:rsidR="00860D75" w:rsidRPr="004D1852">
        <w:rPr>
          <w:rFonts w:ascii="Times New Roman" w:hAnsi="Times New Roman" w:cs="Times New Roman"/>
        </w:rPr>
        <w:t>,</w:t>
      </w:r>
      <w:r w:rsidR="00000367" w:rsidRPr="004D1852">
        <w:rPr>
          <w:rFonts w:ascii="Times New Roman" w:hAnsi="Times New Roman" w:cs="Times New Roman"/>
        </w:rPr>
        <w:t xml:space="preserve"> as does recognition of the social and economic forces that contribute to vulnerability and disasters.</w:t>
      </w:r>
      <w:r w:rsidR="00000367" w:rsidRPr="004D1852">
        <w:rPr>
          <w:rStyle w:val="FootnoteReference"/>
          <w:rFonts w:ascii="Times New Roman" w:hAnsi="Times New Roman" w:cs="Times New Roman"/>
        </w:rPr>
        <w:footnoteReference w:id="1"/>
      </w:r>
      <w:r w:rsidR="00000367" w:rsidRPr="004D1852">
        <w:rPr>
          <w:rFonts w:ascii="Times New Roman" w:hAnsi="Times New Roman" w:cs="Times New Roman"/>
        </w:rPr>
        <w:t xml:space="preserve"> </w:t>
      </w:r>
      <w:r w:rsidR="00C664C5" w:rsidRPr="004D1852">
        <w:rPr>
          <w:rFonts w:ascii="Times New Roman" w:hAnsi="Times New Roman" w:cs="Times New Roman"/>
        </w:rPr>
        <w:t xml:space="preserve">Others will likely discuss </w:t>
      </w:r>
      <w:r w:rsidR="00000367" w:rsidRPr="004D1852">
        <w:rPr>
          <w:rFonts w:ascii="Times New Roman" w:hAnsi="Times New Roman" w:cs="Times New Roman"/>
        </w:rPr>
        <w:t>the limitations of</w:t>
      </w:r>
      <w:r w:rsidR="00C664C5" w:rsidRPr="004D1852">
        <w:rPr>
          <w:rFonts w:ascii="Times New Roman" w:hAnsi="Times New Roman" w:cs="Times New Roman"/>
        </w:rPr>
        <w:t xml:space="preserve"> </w:t>
      </w:r>
      <w:r w:rsidR="002862B4">
        <w:rPr>
          <w:rFonts w:ascii="Times New Roman" w:hAnsi="Times New Roman" w:cs="Times New Roman"/>
        </w:rPr>
        <w:t xml:space="preserve">the UN </w:t>
      </w:r>
      <w:r w:rsidR="00C664C5" w:rsidRPr="004D1852">
        <w:rPr>
          <w:rFonts w:ascii="Times New Roman" w:hAnsi="Times New Roman" w:cs="Times New Roman"/>
        </w:rPr>
        <w:t xml:space="preserve">Refugee Convention </w:t>
      </w:r>
      <w:r w:rsidR="00000367" w:rsidRPr="004D1852">
        <w:rPr>
          <w:rFonts w:ascii="Times New Roman" w:hAnsi="Times New Roman" w:cs="Times New Roman"/>
        </w:rPr>
        <w:t xml:space="preserve">and </w:t>
      </w:r>
      <w:r w:rsidR="005F443C" w:rsidRPr="004D1852">
        <w:rPr>
          <w:rFonts w:ascii="Times New Roman" w:hAnsi="Times New Roman" w:cs="Times New Roman"/>
        </w:rPr>
        <w:t>circumstances where a person could qualify for refugee protection</w:t>
      </w:r>
      <w:r w:rsidR="00686A27" w:rsidRPr="004D1852">
        <w:rPr>
          <w:rFonts w:ascii="Times New Roman" w:hAnsi="Times New Roman" w:cs="Times New Roman"/>
        </w:rPr>
        <w:t xml:space="preserve">. </w:t>
      </w:r>
      <w:r w:rsidR="00610C03" w:rsidRPr="004D1852">
        <w:rPr>
          <w:rFonts w:ascii="Times New Roman" w:hAnsi="Times New Roman" w:cs="Times New Roman"/>
        </w:rPr>
        <w:t xml:space="preserve">The </w:t>
      </w:r>
      <w:r w:rsidR="00000367" w:rsidRPr="004D1852">
        <w:rPr>
          <w:rFonts w:ascii="Times New Roman" w:hAnsi="Times New Roman" w:cs="Times New Roman"/>
        </w:rPr>
        <w:t xml:space="preserve">aim </w:t>
      </w:r>
      <w:r w:rsidR="00610C03" w:rsidRPr="004D1852">
        <w:rPr>
          <w:rFonts w:ascii="Times New Roman" w:hAnsi="Times New Roman" w:cs="Times New Roman"/>
        </w:rPr>
        <w:t xml:space="preserve">of this input, however, is to offer </w:t>
      </w:r>
      <w:r w:rsidR="0014494B" w:rsidRPr="004D1852">
        <w:rPr>
          <w:rFonts w:ascii="Times New Roman" w:hAnsi="Times New Roman" w:cs="Times New Roman"/>
        </w:rPr>
        <w:t>an</w:t>
      </w:r>
      <w:r w:rsidR="00610C03" w:rsidRPr="004D1852">
        <w:rPr>
          <w:rFonts w:ascii="Times New Roman" w:hAnsi="Times New Roman" w:cs="Times New Roman"/>
        </w:rPr>
        <w:t>other legal option</w:t>
      </w:r>
      <w:r w:rsidR="0014494B" w:rsidRPr="004D1852">
        <w:rPr>
          <w:rFonts w:ascii="Times New Roman" w:hAnsi="Times New Roman" w:cs="Times New Roman"/>
        </w:rPr>
        <w:t xml:space="preserve">, one that </w:t>
      </w:r>
      <w:r w:rsidR="004C7AA7" w:rsidRPr="004D1852">
        <w:rPr>
          <w:rFonts w:ascii="Times New Roman" w:hAnsi="Times New Roman" w:cs="Times New Roman"/>
        </w:rPr>
        <w:t xml:space="preserve">both </w:t>
      </w:r>
      <w:r w:rsidR="0014494B" w:rsidRPr="004D1852">
        <w:rPr>
          <w:rFonts w:ascii="Times New Roman" w:hAnsi="Times New Roman" w:cs="Times New Roman"/>
        </w:rPr>
        <w:t xml:space="preserve">enables </w:t>
      </w:r>
      <w:r w:rsidR="006A1187" w:rsidRPr="004D1852">
        <w:rPr>
          <w:rFonts w:ascii="Times New Roman" w:hAnsi="Times New Roman" w:cs="Times New Roman"/>
        </w:rPr>
        <w:t xml:space="preserve">proactive, </w:t>
      </w:r>
      <w:r w:rsidR="0014494B" w:rsidRPr="004D1852">
        <w:rPr>
          <w:rFonts w:ascii="Times New Roman" w:hAnsi="Times New Roman" w:cs="Times New Roman"/>
        </w:rPr>
        <w:t>anticipatory adaptive measures that help prevent displacement and facilitate safe, regular pathways for human mobility</w:t>
      </w:r>
      <w:r w:rsidR="004C7AA7" w:rsidRPr="004D1852">
        <w:rPr>
          <w:rFonts w:ascii="Times New Roman" w:hAnsi="Times New Roman" w:cs="Times New Roman"/>
        </w:rPr>
        <w:t xml:space="preserve"> and that requires </w:t>
      </w:r>
      <w:r w:rsidR="004C7AA7" w:rsidRPr="004D1852">
        <w:rPr>
          <w:rFonts w:ascii="Times New Roman" w:hAnsi="Times New Roman" w:cs="Times New Roman"/>
          <w:color w:val="000000" w:themeColor="text1"/>
          <w:lang w:val="en-GB"/>
        </w:rPr>
        <w:t>timely</w:t>
      </w:r>
      <w:r w:rsidR="00F60E7A" w:rsidRPr="004D1852">
        <w:rPr>
          <w:rFonts w:ascii="Times New Roman" w:hAnsi="Times New Roman" w:cs="Times New Roman"/>
          <w:color w:val="000000" w:themeColor="text1"/>
          <w:lang w:val="en-GB"/>
        </w:rPr>
        <w:t xml:space="preserve">, </w:t>
      </w:r>
      <w:r w:rsidR="004C7AA7" w:rsidRPr="004D1852">
        <w:rPr>
          <w:rFonts w:ascii="Times New Roman" w:hAnsi="Times New Roman" w:cs="Times New Roman"/>
          <w:color w:val="000000" w:themeColor="text1"/>
          <w:lang w:val="en-GB"/>
        </w:rPr>
        <w:t xml:space="preserve">ongoing </w:t>
      </w:r>
      <w:r w:rsidR="004C7AA7" w:rsidRPr="004D1852">
        <w:rPr>
          <w:rFonts w:ascii="Times New Roman" w:hAnsi="Times New Roman" w:cs="Times New Roman"/>
        </w:rPr>
        <w:t>international cooperation and support</w:t>
      </w:r>
      <w:r w:rsidR="0014494B" w:rsidRPr="004D1852">
        <w:rPr>
          <w:rFonts w:ascii="Times New Roman" w:hAnsi="Times New Roman" w:cs="Times New Roman"/>
        </w:rPr>
        <w:t>.</w:t>
      </w:r>
      <w:r w:rsidR="00932DEE" w:rsidRPr="004D1852">
        <w:rPr>
          <w:rFonts w:ascii="Times New Roman" w:hAnsi="Times New Roman" w:cs="Times New Roman"/>
        </w:rPr>
        <w:t xml:space="preserve"> This </w:t>
      </w:r>
      <w:r w:rsidR="005D3479" w:rsidRPr="004D1852">
        <w:rPr>
          <w:rFonts w:ascii="Times New Roman" w:hAnsi="Times New Roman" w:cs="Times New Roman"/>
        </w:rPr>
        <w:t>legal option results from</w:t>
      </w:r>
      <w:r w:rsidR="00932DEE" w:rsidRPr="004D1852">
        <w:rPr>
          <w:rFonts w:ascii="Times New Roman" w:hAnsi="Times New Roman" w:cs="Times New Roman"/>
        </w:rPr>
        <w:t xml:space="preserve"> </w:t>
      </w:r>
      <w:r w:rsidR="005D3479" w:rsidRPr="004D1852">
        <w:rPr>
          <w:rFonts w:ascii="Times New Roman" w:hAnsi="Times New Roman" w:cs="Times New Roman"/>
        </w:rPr>
        <w:t>the integration of</w:t>
      </w:r>
      <w:r w:rsidR="00AB2389" w:rsidRPr="004D1852">
        <w:rPr>
          <w:rFonts w:ascii="Times New Roman" w:hAnsi="Times New Roman" w:cs="Times New Roman"/>
        </w:rPr>
        <w:t xml:space="preserve"> positive duties from human rights law into the interpretation and implementation</w:t>
      </w:r>
      <w:r w:rsidR="004C7AA7" w:rsidRPr="004D1852">
        <w:rPr>
          <w:rFonts w:ascii="Times New Roman" w:hAnsi="Times New Roman" w:cs="Times New Roman"/>
        </w:rPr>
        <w:t xml:space="preserve"> of adaptation obligations</w:t>
      </w:r>
      <w:r w:rsidR="00AB2389" w:rsidRPr="004D1852">
        <w:rPr>
          <w:rFonts w:ascii="Times New Roman" w:hAnsi="Times New Roman" w:cs="Times New Roman"/>
        </w:rPr>
        <w:t xml:space="preserve">. </w:t>
      </w:r>
      <w:r w:rsidR="004C7AA7" w:rsidRPr="004D1852">
        <w:rPr>
          <w:rFonts w:ascii="Times New Roman" w:hAnsi="Times New Roman" w:cs="Times New Roman"/>
        </w:rPr>
        <w:t xml:space="preserve">Doing so concretizes these obligations, which </w:t>
      </w:r>
      <w:r w:rsidR="00076B85" w:rsidRPr="004D1852">
        <w:rPr>
          <w:rFonts w:ascii="Times New Roman" w:hAnsi="Times New Roman" w:cs="Times New Roman"/>
        </w:rPr>
        <w:t>help</w:t>
      </w:r>
      <w:r w:rsidR="00E20A0C" w:rsidRPr="004D1852">
        <w:rPr>
          <w:rFonts w:ascii="Times New Roman" w:hAnsi="Times New Roman" w:cs="Times New Roman"/>
        </w:rPr>
        <w:t>s</w:t>
      </w:r>
      <w:r w:rsidR="00076B85" w:rsidRPr="004D1852">
        <w:rPr>
          <w:rFonts w:ascii="Times New Roman" w:hAnsi="Times New Roman" w:cs="Times New Roman"/>
        </w:rPr>
        <w:t xml:space="preserve"> guide and shape State </w:t>
      </w:r>
      <w:r w:rsidR="00BD1C37" w:rsidRPr="004D1852">
        <w:rPr>
          <w:rFonts w:ascii="Times New Roman" w:hAnsi="Times New Roman" w:cs="Times New Roman"/>
        </w:rPr>
        <w:t>adaptation efforts</w:t>
      </w:r>
      <w:r w:rsidR="00076B85" w:rsidRPr="004D1852">
        <w:rPr>
          <w:rFonts w:ascii="Times New Roman" w:hAnsi="Times New Roman" w:cs="Times New Roman"/>
        </w:rPr>
        <w:t>, and</w:t>
      </w:r>
      <w:r w:rsidR="00DC4C55" w:rsidRPr="004D1852">
        <w:rPr>
          <w:rFonts w:ascii="Times New Roman" w:hAnsi="Times New Roman" w:cs="Times New Roman"/>
        </w:rPr>
        <w:t xml:space="preserve"> can lead to </w:t>
      </w:r>
      <w:r w:rsidR="00076B85" w:rsidRPr="004D1852">
        <w:rPr>
          <w:rFonts w:ascii="Times New Roman" w:hAnsi="Times New Roman" w:cs="Times New Roman"/>
          <w:color w:val="000000" w:themeColor="text1"/>
          <w:kern w:val="1"/>
          <w:lang w:val="en-GB"/>
        </w:rPr>
        <w:t xml:space="preserve">a </w:t>
      </w:r>
      <w:r w:rsidR="00076B85" w:rsidRPr="004D1852">
        <w:rPr>
          <w:rFonts w:ascii="Times New Roman" w:hAnsi="Times New Roman" w:cs="Times New Roman"/>
          <w:color w:val="000000" w:themeColor="text1"/>
          <w:lang w:val="en-GB"/>
        </w:rPr>
        <w:t xml:space="preserve">requirement for States to take anticipatory action to ensure </w:t>
      </w:r>
      <w:r w:rsidR="007646B9" w:rsidRPr="004D1852">
        <w:rPr>
          <w:rFonts w:ascii="Times New Roman" w:hAnsi="Times New Roman" w:cs="Times New Roman"/>
          <w:color w:val="000000" w:themeColor="text1"/>
          <w:lang w:val="en-GB"/>
        </w:rPr>
        <w:t xml:space="preserve">the </w:t>
      </w:r>
      <w:r w:rsidR="00076B85" w:rsidRPr="004D1852">
        <w:rPr>
          <w:rFonts w:ascii="Times New Roman" w:hAnsi="Times New Roman" w:cs="Times New Roman"/>
          <w:color w:val="000000" w:themeColor="text1"/>
          <w:lang w:val="en-GB"/>
        </w:rPr>
        <w:t>enjoyment of rights. In some circumstances, such action will include measures to facilitate migration or relocation as a form of adaptation.</w:t>
      </w:r>
      <w:r w:rsidR="004C7AA7" w:rsidRPr="004D1852">
        <w:rPr>
          <w:rFonts w:ascii="Times New Roman" w:hAnsi="Times New Roman" w:cs="Times New Roman"/>
          <w:color w:val="000000" w:themeColor="text1"/>
          <w:lang w:val="en-GB"/>
        </w:rPr>
        <w:t xml:space="preserve"> </w:t>
      </w:r>
    </w:p>
    <w:p w14:paraId="37551BA0" w14:textId="77777777" w:rsidR="007113DC" w:rsidRPr="004D1852" w:rsidRDefault="007113DC" w:rsidP="004D1852">
      <w:pPr>
        <w:jc w:val="both"/>
        <w:rPr>
          <w:rFonts w:ascii="Times New Roman" w:hAnsi="Times New Roman" w:cs="Times New Roman"/>
          <w:color w:val="000000" w:themeColor="text1"/>
          <w:lang w:val="en-GB"/>
        </w:rPr>
      </w:pPr>
    </w:p>
    <w:p w14:paraId="7E00E159" w14:textId="7DBC54C5" w:rsidR="00076B85" w:rsidRPr="004D1852" w:rsidRDefault="0071033E" w:rsidP="004D1852">
      <w:pPr>
        <w:jc w:val="both"/>
        <w:rPr>
          <w:rFonts w:ascii="Times New Roman" w:hAnsi="Times New Roman" w:cs="Times New Roman"/>
        </w:rPr>
      </w:pPr>
      <w:r w:rsidRPr="004D1852">
        <w:rPr>
          <w:rFonts w:ascii="Times New Roman" w:hAnsi="Times New Roman" w:cs="Times New Roman"/>
          <w:b/>
          <w:bCs/>
          <w:i/>
          <w:iCs/>
          <w:color w:val="000000" w:themeColor="text1"/>
          <w:lang w:val="en-GB"/>
        </w:rPr>
        <w:t>A</w:t>
      </w:r>
      <w:r w:rsidR="00076B85" w:rsidRPr="004D1852">
        <w:rPr>
          <w:rFonts w:ascii="Times New Roman" w:hAnsi="Times New Roman" w:cs="Times New Roman"/>
          <w:b/>
          <w:bCs/>
          <w:i/>
          <w:iCs/>
          <w:color w:val="000000" w:themeColor="text1"/>
          <w:lang w:val="en-GB"/>
        </w:rPr>
        <w:t xml:space="preserve">daptation obligations: </w:t>
      </w:r>
      <w:r w:rsidR="00076B85" w:rsidRPr="004D1852">
        <w:rPr>
          <w:rFonts w:ascii="Times New Roman" w:hAnsi="Times New Roman" w:cs="Times New Roman"/>
          <w:lang w:val="en-GB"/>
        </w:rPr>
        <w:t xml:space="preserve">The </w:t>
      </w:r>
      <w:r w:rsidR="00076B85" w:rsidRPr="004D1852">
        <w:rPr>
          <w:rFonts w:ascii="Times New Roman" w:hAnsi="Times New Roman" w:cs="Times New Roman"/>
        </w:rPr>
        <w:t xml:space="preserve">UN Framework Convention on Climate Change (UNFCCC) and the Paris Agreement contain obligations related to adaptation. There are three types of </w:t>
      </w:r>
      <w:r w:rsidRPr="004D1852">
        <w:rPr>
          <w:rFonts w:ascii="Times New Roman" w:hAnsi="Times New Roman" w:cs="Times New Roman"/>
        </w:rPr>
        <w:t xml:space="preserve">adaptation obligations: </w:t>
      </w:r>
      <w:r w:rsidRPr="004D1852">
        <w:rPr>
          <w:rFonts w:ascii="Times New Roman" w:hAnsi="Times New Roman" w:cs="Times New Roman"/>
          <w:lang w:val="en-GB"/>
        </w:rPr>
        <w:t>obligations to act on adaptation, through planning and implementation; to assist in adaptation, financially and technologically; and to cooperate</w:t>
      </w:r>
      <w:r w:rsidR="00BD1C37" w:rsidRPr="004D1852">
        <w:rPr>
          <w:rFonts w:ascii="Times New Roman" w:hAnsi="Times New Roman" w:cs="Times New Roman"/>
          <w:lang w:val="en-GB"/>
        </w:rPr>
        <w:t>.</w:t>
      </w:r>
      <w:r w:rsidR="00BD1C37" w:rsidRPr="004D1852">
        <w:rPr>
          <w:rStyle w:val="FootnoteReference"/>
          <w:rFonts w:ascii="Times New Roman" w:hAnsi="Times New Roman" w:cs="Times New Roman"/>
          <w:lang w:val="en-GB"/>
        </w:rPr>
        <w:footnoteReference w:id="2"/>
      </w:r>
      <w:r w:rsidR="00BD1C37" w:rsidRPr="004D1852">
        <w:rPr>
          <w:rFonts w:ascii="Times New Roman" w:hAnsi="Times New Roman" w:cs="Times New Roman"/>
          <w:lang w:val="en-GB"/>
        </w:rPr>
        <w:t xml:space="preserve"> These obligations are broad a</w:t>
      </w:r>
      <w:r w:rsidR="0053684C">
        <w:rPr>
          <w:rFonts w:ascii="Times New Roman" w:hAnsi="Times New Roman" w:cs="Times New Roman"/>
          <w:lang w:val="en-GB"/>
        </w:rPr>
        <w:t>nd</w:t>
      </w:r>
      <w:r w:rsidR="00BD1C37" w:rsidRPr="004D1852">
        <w:rPr>
          <w:rFonts w:ascii="Times New Roman" w:hAnsi="Times New Roman" w:cs="Times New Roman"/>
          <w:lang w:val="en-GB"/>
        </w:rPr>
        <w:t xml:space="preserve"> their breadth allows for a range of activities to fall under their ambit</w:t>
      </w:r>
      <w:r w:rsidR="00107D46" w:rsidRPr="004D1852">
        <w:rPr>
          <w:rFonts w:ascii="Times New Roman" w:hAnsi="Times New Roman" w:cs="Times New Roman"/>
          <w:lang w:val="en-GB"/>
        </w:rPr>
        <w:t xml:space="preserve">. They have the potential to be a powerful legal tool </w:t>
      </w:r>
      <w:r w:rsidR="00107D46" w:rsidRPr="004D1852">
        <w:rPr>
          <w:rFonts w:ascii="Times New Roman" w:hAnsi="Times New Roman" w:cs="Times New Roman"/>
          <w:noProof/>
          <w:lang w:val="en-GB"/>
        </w:rPr>
        <w:t xml:space="preserve">because they can shape States’ adaptation efforts (including on mobility), empower people to help shape these efforts, and </w:t>
      </w:r>
      <w:r w:rsidR="00614920" w:rsidRPr="004D1852">
        <w:rPr>
          <w:rFonts w:ascii="Times New Roman" w:hAnsi="Times New Roman" w:cs="Times New Roman"/>
          <w:noProof/>
          <w:lang w:val="en-GB"/>
        </w:rPr>
        <w:t xml:space="preserve">require </w:t>
      </w:r>
      <w:r w:rsidR="00107D46" w:rsidRPr="004D1852">
        <w:rPr>
          <w:rFonts w:ascii="Times New Roman" w:hAnsi="Times New Roman" w:cs="Times New Roman"/>
          <w:noProof/>
          <w:lang w:val="en-GB"/>
        </w:rPr>
        <w:t xml:space="preserve">international support. </w:t>
      </w:r>
      <w:r w:rsidR="00323EED" w:rsidRPr="004D1852">
        <w:rPr>
          <w:rFonts w:ascii="Times New Roman" w:hAnsi="Times New Roman" w:cs="Times New Roman"/>
          <w:noProof/>
          <w:lang w:val="en-GB"/>
        </w:rPr>
        <w:t xml:space="preserve">The UNFCCC and the Paris Agreement </w:t>
      </w:r>
      <w:r w:rsidR="00323EED" w:rsidRPr="004D1852">
        <w:rPr>
          <w:rFonts w:ascii="Times New Roman" w:hAnsi="Times New Roman" w:cs="Times New Roman"/>
        </w:rPr>
        <w:t>are also widely ratified treaties</w:t>
      </w:r>
      <w:r w:rsidR="008331CE" w:rsidRPr="004D1852">
        <w:rPr>
          <w:rFonts w:ascii="Times New Roman" w:hAnsi="Times New Roman" w:cs="Times New Roman"/>
        </w:rPr>
        <w:t>, which means that almost every State is obliged to take action</w:t>
      </w:r>
      <w:r w:rsidR="00186E26" w:rsidRPr="004D1852">
        <w:rPr>
          <w:rFonts w:ascii="Times New Roman" w:hAnsi="Times New Roman" w:cs="Times New Roman"/>
        </w:rPr>
        <w:t>,</w:t>
      </w:r>
      <w:r w:rsidR="008331CE" w:rsidRPr="004D1852">
        <w:rPr>
          <w:rFonts w:ascii="Times New Roman" w:hAnsi="Times New Roman" w:cs="Times New Roman"/>
        </w:rPr>
        <w:t xml:space="preserve"> including on adaptation. </w:t>
      </w:r>
    </w:p>
    <w:p w14:paraId="02D21C15" w14:textId="77777777" w:rsidR="00BD1C37" w:rsidRPr="004D1852" w:rsidRDefault="00BD1C37" w:rsidP="004D1852">
      <w:pPr>
        <w:jc w:val="both"/>
        <w:rPr>
          <w:rFonts w:ascii="Times New Roman" w:hAnsi="Times New Roman" w:cs="Times New Roman"/>
        </w:rPr>
      </w:pPr>
    </w:p>
    <w:p w14:paraId="518BF1C6" w14:textId="1FF4FF85" w:rsidR="00976DF5" w:rsidRPr="004D1852" w:rsidRDefault="00BD1C37" w:rsidP="004D1852">
      <w:pPr>
        <w:jc w:val="both"/>
        <w:rPr>
          <w:rFonts w:ascii="Times New Roman" w:hAnsi="Times New Roman" w:cs="Times New Roman"/>
          <w:color w:val="000000" w:themeColor="text1"/>
          <w:lang w:val="en-GB"/>
        </w:rPr>
      </w:pPr>
      <w:r w:rsidRPr="004D1852">
        <w:rPr>
          <w:rFonts w:ascii="Times New Roman" w:hAnsi="Times New Roman" w:cs="Times New Roman"/>
          <w:b/>
          <w:bCs/>
          <w:i/>
          <w:iCs/>
        </w:rPr>
        <w:lastRenderedPageBreak/>
        <w:t xml:space="preserve">Concretizing adaptation obligations: </w:t>
      </w:r>
      <w:r w:rsidR="00733ACF" w:rsidRPr="004D1852">
        <w:rPr>
          <w:rFonts w:ascii="Times New Roman" w:hAnsi="Times New Roman" w:cs="Times New Roman"/>
          <w:noProof/>
          <w:lang w:val="en-GB"/>
        </w:rPr>
        <w:t xml:space="preserve">Adaptation obligations </w:t>
      </w:r>
      <w:r w:rsidR="00F56A74" w:rsidRPr="004D1852">
        <w:rPr>
          <w:rFonts w:ascii="Times New Roman" w:hAnsi="Times New Roman" w:cs="Times New Roman"/>
          <w:noProof/>
          <w:lang w:val="en-GB"/>
        </w:rPr>
        <w:t>can be c</w:t>
      </w:r>
      <w:r w:rsidR="00244F58" w:rsidRPr="004D1852">
        <w:rPr>
          <w:rFonts w:ascii="Times New Roman" w:hAnsi="Times New Roman" w:cs="Times New Roman"/>
          <w:noProof/>
          <w:lang w:val="en-GB"/>
        </w:rPr>
        <w:t>larified</w:t>
      </w:r>
      <w:r w:rsidR="00F56A74" w:rsidRPr="004D1852">
        <w:rPr>
          <w:rFonts w:ascii="Times New Roman" w:hAnsi="Times New Roman" w:cs="Times New Roman"/>
          <w:noProof/>
          <w:lang w:val="en-GB"/>
        </w:rPr>
        <w:t xml:space="preserve"> by</w:t>
      </w:r>
      <w:r w:rsidR="00733ACF" w:rsidRPr="004D1852">
        <w:rPr>
          <w:rFonts w:ascii="Times New Roman" w:hAnsi="Times New Roman" w:cs="Times New Roman"/>
          <w:noProof/>
          <w:lang w:val="en-GB"/>
        </w:rPr>
        <w:t xml:space="preserve"> integrat</w:t>
      </w:r>
      <w:r w:rsidR="00E93AD7" w:rsidRPr="004D1852">
        <w:rPr>
          <w:rFonts w:ascii="Times New Roman" w:hAnsi="Times New Roman" w:cs="Times New Roman"/>
          <w:noProof/>
          <w:lang w:val="en-GB"/>
        </w:rPr>
        <w:t>ing</w:t>
      </w:r>
      <w:r w:rsidR="00733ACF" w:rsidRPr="004D1852">
        <w:rPr>
          <w:rFonts w:ascii="Times New Roman" w:hAnsi="Times New Roman" w:cs="Times New Roman"/>
          <w:noProof/>
          <w:lang w:val="en-GB"/>
        </w:rPr>
        <w:t xml:space="preserve"> human rights law</w:t>
      </w:r>
      <w:r w:rsidR="00E93AD7" w:rsidRPr="004D1852">
        <w:rPr>
          <w:rFonts w:ascii="Times New Roman" w:hAnsi="Times New Roman" w:cs="Times New Roman"/>
          <w:noProof/>
          <w:lang w:val="en-GB"/>
        </w:rPr>
        <w:t xml:space="preserve"> into their interpretation</w:t>
      </w:r>
      <w:r w:rsidR="00733ACF" w:rsidRPr="004D1852">
        <w:rPr>
          <w:rFonts w:ascii="Times New Roman" w:hAnsi="Times New Roman" w:cs="Times New Roman"/>
          <w:noProof/>
          <w:lang w:val="en-GB"/>
        </w:rPr>
        <w:t>.</w:t>
      </w:r>
      <w:r w:rsidR="006A793D" w:rsidRPr="004D1852">
        <w:rPr>
          <w:rFonts w:ascii="Times New Roman" w:hAnsi="Times New Roman" w:cs="Times New Roman"/>
          <w:noProof/>
          <w:lang w:val="en-GB"/>
        </w:rPr>
        <w:t xml:space="preserve"> </w:t>
      </w:r>
      <w:r w:rsidR="00234891" w:rsidRPr="004D1852">
        <w:rPr>
          <w:rFonts w:ascii="Times New Roman" w:hAnsi="Times New Roman" w:cs="Times New Roman"/>
          <w:noProof/>
          <w:lang w:val="en-GB"/>
        </w:rPr>
        <w:t>Integration</w:t>
      </w:r>
      <w:r w:rsidR="0035565D" w:rsidRPr="004D1852">
        <w:rPr>
          <w:rFonts w:ascii="Times New Roman" w:hAnsi="Times New Roman" w:cs="Times New Roman"/>
          <w:noProof/>
          <w:lang w:val="en-GB"/>
        </w:rPr>
        <w:t xml:space="preserve"> is necessary, both because human rights law is part of the normative environment in which adaptation obligations operate and because it is required by treaty interpretation. </w:t>
      </w:r>
      <w:r w:rsidR="00F56A74" w:rsidRPr="004D1852">
        <w:rPr>
          <w:rFonts w:ascii="Times New Roman" w:hAnsi="Times New Roman" w:cs="Times New Roman"/>
          <w:noProof/>
          <w:lang w:val="en-GB"/>
        </w:rPr>
        <w:t>A</w:t>
      </w:r>
      <w:r w:rsidR="00D24DC6" w:rsidRPr="004D1852">
        <w:rPr>
          <w:rFonts w:ascii="Times New Roman" w:hAnsi="Times New Roman" w:cs="Times New Roman"/>
          <w:color w:val="000000" w:themeColor="text1"/>
          <w:lang w:val="en-GB"/>
        </w:rPr>
        <w:t xml:space="preserve"> treaty must be interpreted in accordance with the ordinary meaning of its terms in their context and in light of its object and purpose. The context includes a treaty’s text, preamble, and annexes. In addition, interpretation must take into account “any relevant rules of international law applicable in the relations between the parties”</w:t>
      </w:r>
      <w:r w:rsidR="00D25ED2" w:rsidRPr="004D1852">
        <w:rPr>
          <w:rFonts w:ascii="Times New Roman" w:hAnsi="Times New Roman" w:cs="Times New Roman"/>
          <w:color w:val="000000" w:themeColor="text1"/>
          <w:lang w:val="en-GB"/>
        </w:rPr>
        <w:t>; this is also known as the principle of systemic integration</w:t>
      </w:r>
      <w:r w:rsidR="00D24DC6" w:rsidRPr="004D1852">
        <w:rPr>
          <w:rFonts w:ascii="Times New Roman" w:hAnsi="Times New Roman" w:cs="Times New Roman"/>
          <w:color w:val="000000" w:themeColor="text1"/>
          <w:lang w:val="en-GB"/>
        </w:rPr>
        <w:t>.</w:t>
      </w:r>
      <w:r w:rsidR="00D24DC6" w:rsidRPr="004D1852">
        <w:rPr>
          <w:rStyle w:val="FootnoteReference"/>
          <w:rFonts w:ascii="Times New Roman" w:hAnsi="Times New Roman" w:cs="Times New Roman"/>
          <w:noProof/>
          <w:lang w:val="en-GB"/>
        </w:rPr>
        <w:footnoteReference w:id="3"/>
      </w:r>
      <w:r w:rsidR="00D25ED2" w:rsidRPr="004D1852">
        <w:rPr>
          <w:rFonts w:ascii="Times New Roman" w:hAnsi="Times New Roman" w:cs="Times New Roman"/>
          <w:color w:val="000000" w:themeColor="text1"/>
          <w:lang w:val="en-GB"/>
        </w:rPr>
        <w:t xml:space="preserve"> Together, these elements of treaty interpretation form the basis</w:t>
      </w:r>
      <w:r w:rsidR="00D25ED2" w:rsidRPr="004D1852">
        <w:rPr>
          <w:rFonts w:ascii="Times New Roman" w:hAnsi="Times New Roman" w:cs="Times New Roman"/>
          <w:noProof/>
          <w:lang w:val="en-GB"/>
        </w:rPr>
        <w:t xml:space="preserve"> f</w:t>
      </w:r>
      <w:r w:rsidR="00D25ED2" w:rsidRPr="004D1852">
        <w:rPr>
          <w:rFonts w:ascii="Times New Roman" w:hAnsi="Times New Roman" w:cs="Times New Roman"/>
          <w:color w:val="000000" w:themeColor="text1"/>
          <w:lang w:val="en-GB"/>
        </w:rPr>
        <w:t xml:space="preserve">or interpreting adaptation obligations in light of human rights law. </w:t>
      </w:r>
    </w:p>
    <w:p w14:paraId="00C70FDA" w14:textId="77777777" w:rsidR="00976DF5" w:rsidRPr="004D1852" w:rsidRDefault="00976DF5" w:rsidP="004D1852">
      <w:pPr>
        <w:jc w:val="both"/>
        <w:rPr>
          <w:rFonts w:ascii="Times New Roman" w:hAnsi="Times New Roman" w:cs="Times New Roman"/>
          <w:color w:val="000000" w:themeColor="text1"/>
          <w:lang w:val="en-GB"/>
        </w:rPr>
      </w:pPr>
    </w:p>
    <w:p w14:paraId="6FB7DD48" w14:textId="3ED6786B" w:rsidR="00976DF5" w:rsidRPr="004D1852" w:rsidRDefault="00F32BD9" w:rsidP="004D1852">
      <w:pPr>
        <w:jc w:val="both"/>
        <w:rPr>
          <w:rFonts w:ascii="Times New Roman" w:hAnsi="Times New Roman" w:cs="Times New Roman"/>
          <w:color w:val="000000" w:themeColor="text1"/>
          <w:lang w:val="en-GB"/>
        </w:rPr>
      </w:pPr>
      <w:r w:rsidRPr="004D1852">
        <w:rPr>
          <w:rFonts w:ascii="Times New Roman" w:hAnsi="Times New Roman" w:cs="Times New Roman"/>
          <w:color w:val="000000" w:themeColor="text1"/>
          <w:lang w:val="en-GB"/>
        </w:rPr>
        <w:t xml:space="preserve">The preamble of the Paris Agreement, for example, is part of the context for interpretive purposes. While not </w:t>
      </w:r>
      <w:r w:rsidR="00B808B2" w:rsidRPr="004D1852">
        <w:rPr>
          <w:rFonts w:ascii="Times New Roman" w:hAnsi="Times New Roman" w:cs="Times New Roman"/>
          <w:color w:val="000000" w:themeColor="text1"/>
          <w:lang w:val="en-GB"/>
        </w:rPr>
        <w:t>in itself creat</w:t>
      </w:r>
      <w:r w:rsidR="005E2D42" w:rsidRPr="004D1852">
        <w:rPr>
          <w:rFonts w:ascii="Times New Roman" w:hAnsi="Times New Roman" w:cs="Times New Roman"/>
          <w:color w:val="000000" w:themeColor="text1"/>
          <w:lang w:val="en-GB"/>
        </w:rPr>
        <w:t>ing</w:t>
      </w:r>
      <w:r w:rsidR="00B808B2" w:rsidRPr="004D1852">
        <w:rPr>
          <w:rFonts w:ascii="Times New Roman" w:hAnsi="Times New Roman" w:cs="Times New Roman"/>
          <w:color w:val="000000" w:themeColor="text1"/>
          <w:lang w:val="en-GB"/>
        </w:rPr>
        <w:t xml:space="preserve"> new legal obligations, as part of the context </w:t>
      </w:r>
      <w:r w:rsidR="005E2D42" w:rsidRPr="004D1852">
        <w:rPr>
          <w:rFonts w:ascii="Times New Roman" w:hAnsi="Times New Roman" w:cs="Times New Roman"/>
          <w:color w:val="000000" w:themeColor="text1"/>
          <w:lang w:val="en-GB"/>
        </w:rPr>
        <w:t>the preamble</w:t>
      </w:r>
      <w:r w:rsidR="00B808B2" w:rsidRPr="004D1852">
        <w:rPr>
          <w:rFonts w:ascii="Times New Roman" w:hAnsi="Times New Roman" w:cs="Times New Roman"/>
          <w:color w:val="000000" w:themeColor="text1"/>
          <w:lang w:val="en-GB"/>
        </w:rPr>
        <w:t xml:space="preserve"> can help add meaning to the treaty’s terms. The preamble recognises that “Parties should, when taking action to address climate change, respect, promote, and consider their respective obligations on human rights,” including the rights of migrants. This recognition reaffirms States’ commitments to take action that incorporates human rights and their existing human rights obligations. </w:t>
      </w:r>
      <w:r w:rsidR="00CC55F2" w:rsidRPr="004D1852">
        <w:rPr>
          <w:rFonts w:ascii="Times New Roman" w:hAnsi="Times New Roman" w:cs="Times New Roman"/>
          <w:color w:val="000000" w:themeColor="text1"/>
          <w:lang w:val="en-GB"/>
        </w:rPr>
        <w:t xml:space="preserve">Other aspects of climate treaties also </w:t>
      </w:r>
      <w:r w:rsidR="00577ECF" w:rsidRPr="004D1852">
        <w:rPr>
          <w:rFonts w:ascii="Times New Roman" w:hAnsi="Times New Roman" w:cs="Times New Roman"/>
          <w:color w:val="000000" w:themeColor="text1"/>
          <w:lang w:val="en-GB"/>
        </w:rPr>
        <w:t>support the integration of human rights.</w:t>
      </w:r>
      <w:r w:rsidR="00E23BCF" w:rsidRPr="004D1852">
        <w:rPr>
          <w:rFonts w:ascii="Times New Roman" w:hAnsi="Times New Roman" w:cs="Times New Roman"/>
          <w:color w:val="000000" w:themeColor="text1"/>
          <w:lang w:val="en-GB"/>
        </w:rPr>
        <w:t xml:space="preserve"> For example, the Paris Agreement aims to enhance the implementation of the UNFCCC, in part </w:t>
      </w:r>
      <w:r w:rsidR="007909A3" w:rsidRPr="004D1852">
        <w:rPr>
          <w:rFonts w:ascii="Times New Roman" w:hAnsi="Times New Roman" w:cs="Times New Roman"/>
          <w:color w:val="000000" w:themeColor="text1"/>
          <w:lang w:val="en-GB"/>
        </w:rPr>
        <w:t xml:space="preserve">by </w:t>
      </w:r>
      <w:r w:rsidR="00E23BCF" w:rsidRPr="004D1852">
        <w:rPr>
          <w:rFonts w:ascii="Times New Roman" w:hAnsi="Times New Roman" w:cs="Times New Roman"/>
          <w:color w:val="000000" w:themeColor="text1"/>
          <w:lang w:val="en-GB"/>
        </w:rPr>
        <w:t>“increasing the ability to adapt” to climate change.</w:t>
      </w:r>
      <w:r w:rsidR="007909A3" w:rsidRPr="004D1852">
        <w:rPr>
          <w:rStyle w:val="FootnoteReference"/>
          <w:rFonts w:ascii="Times New Roman" w:hAnsi="Times New Roman" w:cs="Times New Roman"/>
          <w:color w:val="000000" w:themeColor="text1"/>
          <w:lang w:val="en-GB"/>
        </w:rPr>
        <w:footnoteReference w:id="4"/>
      </w:r>
      <w:r w:rsidR="00E23BCF" w:rsidRPr="004D1852">
        <w:rPr>
          <w:rFonts w:ascii="Times New Roman" w:hAnsi="Times New Roman" w:cs="Times New Roman"/>
          <w:color w:val="000000" w:themeColor="text1"/>
          <w:lang w:val="en-GB"/>
        </w:rPr>
        <w:t xml:space="preserve"> The Paris Agreement’s article on adaptation—Article 7—</w:t>
      </w:r>
      <w:r w:rsidR="006604BC" w:rsidRPr="004D1852">
        <w:rPr>
          <w:rFonts w:ascii="Times New Roman" w:hAnsi="Times New Roman" w:cs="Times New Roman"/>
          <w:color w:val="000000" w:themeColor="text1"/>
          <w:lang w:val="en-GB"/>
        </w:rPr>
        <w:t>sets out Parties’ commitments</w:t>
      </w:r>
      <w:r w:rsidR="0049319B" w:rsidRPr="004D1852">
        <w:rPr>
          <w:rFonts w:ascii="Times New Roman" w:hAnsi="Times New Roman" w:cs="Times New Roman"/>
          <w:color w:val="000000" w:themeColor="text1"/>
          <w:lang w:val="en-GB"/>
        </w:rPr>
        <w:t xml:space="preserve"> </w:t>
      </w:r>
      <w:r w:rsidR="006604BC" w:rsidRPr="004D1852">
        <w:rPr>
          <w:rFonts w:ascii="Times New Roman" w:hAnsi="Times New Roman" w:cs="Times New Roman"/>
          <w:color w:val="000000" w:themeColor="text1"/>
          <w:lang w:val="en-GB"/>
        </w:rPr>
        <w:t>and e</w:t>
      </w:r>
      <w:r w:rsidR="005E7090" w:rsidRPr="004D1852">
        <w:rPr>
          <w:rFonts w:ascii="Times New Roman" w:hAnsi="Times New Roman" w:cs="Times New Roman"/>
          <w:color w:val="000000" w:themeColor="text1"/>
          <w:lang w:val="en-GB"/>
        </w:rPr>
        <w:t>laborates on the</w:t>
      </w:r>
      <w:r w:rsidR="006604BC" w:rsidRPr="004D1852">
        <w:rPr>
          <w:rFonts w:ascii="Times New Roman" w:hAnsi="Times New Roman" w:cs="Times New Roman"/>
          <w:color w:val="000000" w:themeColor="text1"/>
          <w:lang w:val="en-GB"/>
        </w:rPr>
        <w:t xml:space="preserve"> purposes</w:t>
      </w:r>
      <w:r w:rsidR="005E7090" w:rsidRPr="004D1852">
        <w:rPr>
          <w:rFonts w:ascii="Times New Roman" w:hAnsi="Times New Roman" w:cs="Times New Roman"/>
          <w:color w:val="000000" w:themeColor="text1"/>
          <w:lang w:val="en-GB"/>
        </w:rPr>
        <w:t xml:space="preserve"> of adaptation</w:t>
      </w:r>
      <w:r w:rsidR="006604BC" w:rsidRPr="004D1852">
        <w:rPr>
          <w:rFonts w:ascii="Times New Roman" w:hAnsi="Times New Roman" w:cs="Times New Roman"/>
          <w:color w:val="000000" w:themeColor="text1"/>
          <w:lang w:val="en-GB"/>
        </w:rPr>
        <w:t xml:space="preserve">. </w:t>
      </w:r>
      <w:r w:rsidR="005E7090" w:rsidRPr="004D1852">
        <w:rPr>
          <w:rFonts w:ascii="Times New Roman" w:hAnsi="Times New Roman" w:cs="Times New Roman"/>
          <w:color w:val="000000" w:themeColor="text1"/>
          <w:lang w:val="en-GB"/>
        </w:rPr>
        <w:t xml:space="preserve">It explains that adaptation </w:t>
      </w:r>
      <w:r w:rsidR="006604BC" w:rsidRPr="004D1852">
        <w:rPr>
          <w:rFonts w:ascii="Times New Roman" w:hAnsi="Times New Roman" w:cs="Times New Roman"/>
          <w:color w:val="000000" w:themeColor="text1"/>
          <w:lang w:val="en-GB"/>
        </w:rPr>
        <w:t xml:space="preserve">is a key component of responses to “protect people, livelihoods and ecosystems”. </w:t>
      </w:r>
      <w:r w:rsidR="005E7090" w:rsidRPr="004D1852">
        <w:rPr>
          <w:rFonts w:ascii="Times New Roman" w:hAnsi="Times New Roman" w:cs="Times New Roman"/>
          <w:color w:val="000000" w:themeColor="text1"/>
          <w:lang w:val="en-GB"/>
        </w:rPr>
        <w:t>This</w:t>
      </w:r>
      <w:r w:rsidR="006604BC" w:rsidRPr="004D1852">
        <w:rPr>
          <w:rFonts w:ascii="Times New Roman" w:hAnsi="Times New Roman" w:cs="Times New Roman"/>
          <w:color w:val="000000" w:themeColor="text1"/>
          <w:lang w:val="en-GB"/>
        </w:rPr>
        <w:t xml:space="preserve"> aligns adaptation with the protective purposes of human rights law</w:t>
      </w:r>
      <w:r w:rsidR="00210669" w:rsidRPr="004D1852">
        <w:rPr>
          <w:rFonts w:ascii="Times New Roman" w:hAnsi="Times New Roman" w:cs="Times New Roman"/>
          <w:color w:val="000000" w:themeColor="text1"/>
          <w:lang w:val="en-GB"/>
        </w:rPr>
        <w:t xml:space="preserve">, to ensure conditions that allow people to live safely, with dignity and access </w:t>
      </w:r>
      <w:r w:rsidR="0049319B" w:rsidRPr="004D1852">
        <w:rPr>
          <w:rFonts w:ascii="Times New Roman" w:hAnsi="Times New Roman" w:cs="Times New Roman"/>
          <w:color w:val="000000" w:themeColor="text1"/>
          <w:lang w:val="en-GB"/>
        </w:rPr>
        <w:t xml:space="preserve">to </w:t>
      </w:r>
      <w:r w:rsidR="00210669" w:rsidRPr="004D1852">
        <w:rPr>
          <w:rFonts w:ascii="Times New Roman" w:hAnsi="Times New Roman" w:cs="Times New Roman"/>
          <w:color w:val="000000" w:themeColor="text1"/>
          <w:lang w:val="en-GB"/>
        </w:rPr>
        <w:t>livelihoods and basic needs.</w:t>
      </w:r>
      <w:r w:rsidR="00D30817" w:rsidRPr="004D1852">
        <w:rPr>
          <w:rFonts w:ascii="Times New Roman" w:hAnsi="Times New Roman" w:cs="Times New Roman"/>
          <w:color w:val="000000" w:themeColor="text1"/>
          <w:lang w:val="en-GB"/>
        </w:rPr>
        <w:t xml:space="preserve"> </w:t>
      </w:r>
      <w:r w:rsidR="0049319B" w:rsidRPr="004D1852">
        <w:rPr>
          <w:rFonts w:ascii="Times New Roman" w:hAnsi="Times New Roman" w:cs="Times New Roman"/>
          <w:color w:val="000000" w:themeColor="text1"/>
          <w:lang w:val="en-GB"/>
        </w:rPr>
        <w:t xml:space="preserve">These provisions also help establish </w:t>
      </w:r>
      <w:r w:rsidR="00D30817" w:rsidRPr="004D1852">
        <w:rPr>
          <w:rFonts w:ascii="Times New Roman" w:hAnsi="Times New Roman" w:cs="Times New Roman"/>
          <w:color w:val="000000" w:themeColor="text1"/>
          <w:lang w:val="en-GB"/>
        </w:rPr>
        <w:t xml:space="preserve">the </w:t>
      </w:r>
      <w:r w:rsidR="0049319B" w:rsidRPr="004D1852">
        <w:rPr>
          <w:rFonts w:ascii="Times New Roman" w:hAnsi="Times New Roman" w:cs="Times New Roman"/>
          <w:color w:val="000000" w:themeColor="text1"/>
          <w:lang w:val="en-GB"/>
        </w:rPr>
        <w:t xml:space="preserve">general </w:t>
      </w:r>
      <w:r w:rsidR="00D30817" w:rsidRPr="004D1852">
        <w:rPr>
          <w:rFonts w:ascii="Times New Roman" w:hAnsi="Times New Roman" w:cs="Times New Roman"/>
          <w:color w:val="000000" w:themeColor="text1"/>
          <w:lang w:val="en-GB"/>
        </w:rPr>
        <w:t>relevance of human rights to climate action</w:t>
      </w:r>
      <w:r w:rsidR="0049319B" w:rsidRPr="004D1852">
        <w:rPr>
          <w:rFonts w:ascii="Times New Roman" w:hAnsi="Times New Roman" w:cs="Times New Roman"/>
          <w:color w:val="000000" w:themeColor="text1"/>
          <w:lang w:val="en-GB"/>
        </w:rPr>
        <w:t>.</w:t>
      </w:r>
    </w:p>
    <w:p w14:paraId="7BB1111C" w14:textId="77777777" w:rsidR="006604BC" w:rsidRPr="004D1852" w:rsidRDefault="006604BC" w:rsidP="004D1852">
      <w:pPr>
        <w:jc w:val="both"/>
        <w:rPr>
          <w:rFonts w:ascii="Times New Roman" w:hAnsi="Times New Roman" w:cs="Times New Roman"/>
          <w:color w:val="000000" w:themeColor="text1"/>
          <w:lang w:val="en-GB"/>
        </w:rPr>
      </w:pPr>
    </w:p>
    <w:p w14:paraId="0F718099" w14:textId="75542A32" w:rsidR="00F04A35" w:rsidRPr="004D1852" w:rsidRDefault="0087775B" w:rsidP="004D1852">
      <w:pPr>
        <w:jc w:val="both"/>
        <w:rPr>
          <w:rFonts w:ascii="Times New Roman" w:hAnsi="Times New Roman" w:cs="Times New Roman"/>
          <w:i/>
          <w:iCs/>
          <w:color w:val="000000" w:themeColor="text1"/>
          <w:lang w:val="en-GB"/>
        </w:rPr>
      </w:pPr>
      <w:r w:rsidRPr="004D1852">
        <w:rPr>
          <w:rFonts w:ascii="Times New Roman" w:hAnsi="Times New Roman" w:cs="Times New Roman"/>
          <w:color w:val="000000" w:themeColor="text1"/>
          <w:lang w:val="en-GB"/>
        </w:rPr>
        <w:t xml:space="preserve">It is this relevance, in part, </w:t>
      </w:r>
      <w:r w:rsidR="00291BE1" w:rsidRPr="004D1852">
        <w:rPr>
          <w:rFonts w:ascii="Times New Roman" w:hAnsi="Times New Roman" w:cs="Times New Roman"/>
          <w:color w:val="000000" w:themeColor="text1"/>
          <w:lang w:val="en-GB"/>
        </w:rPr>
        <w:t xml:space="preserve">that necessitates the </w:t>
      </w:r>
      <w:r w:rsidR="00827735" w:rsidRPr="004D1852">
        <w:rPr>
          <w:rFonts w:ascii="Times New Roman" w:hAnsi="Times New Roman" w:cs="Times New Roman"/>
          <w:color w:val="000000" w:themeColor="text1"/>
          <w:lang w:val="en-GB"/>
        </w:rPr>
        <w:t xml:space="preserve">systemic integration of human rights </w:t>
      </w:r>
      <w:r w:rsidR="00291BE1" w:rsidRPr="004D1852">
        <w:rPr>
          <w:rFonts w:ascii="Times New Roman" w:hAnsi="Times New Roman" w:cs="Times New Roman"/>
          <w:color w:val="000000" w:themeColor="text1"/>
          <w:lang w:val="en-GB"/>
        </w:rPr>
        <w:t xml:space="preserve">law into the interpretation of adaptation obligations. </w:t>
      </w:r>
      <w:r w:rsidR="00D83F5D" w:rsidRPr="004D1852">
        <w:rPr>
          <w:rFonts w:ascii="Times New Roman" w:hAnsi="Times New Roman" w:cs="Times New Roman"/>
          <w:color w:val="000000" w:themeColor="text1"/>
          <w:lang w:val="en-GB"/>
        </w:rPr>
        <w:t xml:space="preserve">The adverse effects of climate change affect a multitude of human rights. </w:t>
      </w:r>
      <w:r w:rsidR="00827735" w:rsidRPr="004D1852">
        <w:rPr>
          <w:rFonts w:ascii="Times New Roman" w:hAnsi="Times New Roman" w:cs="Times New Roman"/>
          <w:color w:val="000000" w:themeColor="text1"/>
          <w:lang w:val="en-GB"/>
        </w:rPr>
        <w:t xml:space="preserve">However, the risks to people and their rights </w:t>
      </w:r>
      <w:r w:rsidR="00FD044C" w:rsidRPr="004D1852">
        <w:rPr>
          <w:rFonts w:ascii="Times New Roman" w:hAnsi="Times New Roman" w:cs="Times New Roman"/>
          <w:color w:val="000000" w:themeColor="text1"/>
          <w:lang w:val="en-GB"/>
        </w:rPr>
        <w:t>differ</w:t>
      </w:r>
      <w:r w:rsidR="00827735" w:rsidRPr="004D1852">
        <w:rPr>
          <w:rFonts w:ascii="Times New Roman" w:hAnsi="Times New Roman" w:cs="Times New Roman"/>
          <w:color w:val="000000" w:themeColor="text1"/>
          <w:lang w:val="en-GB"/>
        </w:rPr>
        <w:t xml:space="preserve"> across contexts. The impacts of climate change interact with other factors that include socio-economic, cultural, and political conditions</w:t>
      </w:r>
      <w:r w:rsidR="00FD044C" w:rsidRPr="004D1852">
        <w:rPr>
          <w:rFonts w:ascii="Times New Roman" w:hAnsi="Times New Roman" w:cs="Times New Roman"/>
          <w:color w:val="000000" w:themeColor="text1"/>
          <w:lang w:val="en-GB"/>
        </w:rPr>
        <w:t>; environmental risks; and individual and community vulnerabilities and preferences. As a result, the rights most relevant to interpretation will vary</w:t>
      </w:r>
      <w:r w:rsidR="00E214B3" w:rsidRPr="004D1852">
        <w:rPr>
          <w:rFonts w:ascii="Times New Roman" w:hAnsi="Times New Roman" w:cs="Times New Roman"/>
          <w:color w:val="000000" w:themeColor="text1"/>
          <w:lang w:val="en-GB"/>
        </w:rPr>
        <w:t xml:space="preserve">, which </w:t>
      </w:r>
      <w:r w:rsidR="003E7716" w:rsidRPr="004D1852">
        <w:rPr>
          <w:rFonts w:ascii="Times New Roman" w:hAnsi="Times New Roman" w:cs="Times New Roman"/>
          <w:color w:val="000000" w:themeColor="text1"/>
          <w:lang w:val="en-GB"/>
        </w:rPr>
        <w:t>allows for a</w:t>
      </w:r>
      <w:r w:rsidR="00E214B3" w:rsidRPr="004D1852">
        <w:rPr>
          <w:rFonts w:ascii="Times New Roman" w:hAnsi="Times New Roman" w:cs="Times New Roman"/>
          <w:color w:val="000000" w:themeColor="text1"/>
          <w:lang w:val="en-GB"/>
        </w:rPr>
        <w:t xml:space="preserve">daptation measures </w:t>
      </w:r>
      <w:r w:rsidR="003E7716" w:rsidRPr="004D1852">
        <w:rPr>
          <w:rFonts w:ascii="Times New Roman" w:hAnsi="Times New Roman" w:cs="Times New Roman"/>
          <w:color w:val="000000" w:themeColor="text1"/>
          <w:lang w:val="en-GB"/>
        </w:rPr>
        <w:t>to</w:t>
      </w:r>
      <w:r w:rsidR="00E214B3" w:rsidRPr="004D1852">
        <w:rPr>
          <w:rFonts w:ascii="Times New Roman" w:hAnsi="Times New Roman" w:cs="Times New Roman"/>
          <w:color w:val="000000" w:themeColor="text1"/>
          <w:lang w:val="en-GB"/>
        </w:rPr>
        <w:t xml:space="preserve"> be tailored to a given place and time.</w:t>
      </w:r>
      <w:r w:rsidR="00E214B3" w:rsidRPr="004D1852">
        <w:rPr>
          <w:rStyle w:val="FootnoteReference"/>
          <w:rFonts w:ascii="Times New Roman" w:hAnsi="Times New Roman" w:cs="Times New Roman"/>
          <w:color w:val="000000" w:themeColor="text1"/>
          <w:lang w:val="en-GB"/>
        </w:rPr>
        <w:footnoteReference w:id="5"/>
      </w:r>
      <w:r w:rsidR="00E214B3" w:rsidRPr="004D1852">
        <w:rPr>
          <w:rFonts w:ascii="Times New Roman" w:hAnsi="Times New Roman" w:cs="Times New Roman"/>
          <w:color w:val="000000" w:themeColor="text1"/>
          <w:lang w:val="en-GB"/>
        </w:rPr>
        <w:t xml:space="preserve"> </w:t>
      </w:r>
    </w:p>
    <w:p w14:paraId="0248CF6C" w14:textId="77777777" w:rsidR="008877CB" w:rsidRPr="004D1852" w:rsidRDefault="008877CB" w:rsidP="004D1852">
      <w:pPr>
        <w:jc w:val="both"/>
        <w:rPr>
          <w:rFonts w:ascii="Times New Roman" w:hAnsi="Times New Roman" w:cs="Times New Roman"/>
          <w:color w:val="000000" w:themeColor="text1"/>
          <w:lang w:val="en-GB"/>
        </w:rPr>
      </w:pPr>
    </w:p>
    <w:p w14:paraId="3E4A133D" w14:textId="44D67504" w:rsidR="00C54357" w:rsidRPr="004D1852" w:rsidRDefault="008877CB" w:rsidP="004D1852">
      <w:pPr>
        <w:jc w:val="both"/>
        <w:rPr>
          <w:rFonts w:ascii="Times New Roman" w:hAnsi="Times New Roman" w:cs="Times New Roman"/>
          <w:color w:val="000000" w:themeColor="text1"/>
          <w:lang w:val="en-GB"/>
        </w:rPr>
      </w:pPr>
      <w:r w:rsidRPr="004D1852">
        <w:rPr>
          <w:rFonts w:ascii="Times New Roman" w:hAnsi="Times New Roman" w:cs="Times New Roman"/>
          <w:color w:val="000000" w:themeColor="text1"/>
          <w:lang w:val="en-GB"/>
        </w:rPr>
        <w:t xml:space="preserve">The </w:t>
      </w:r>
      <w:r w:rsidR="007E0C89" w:rsidRPr="004D1852">
        <w:rPr>
          <w:rFonts w:ascii="Times New Roman" w:hAnsi="Times New Roman" w:cs="Times New Roman"/>
          <w:color w:val="000000" w:themeColor="text1"/>
          <w:lang w:val="en-GB"/>
        </w:rPr>
        <w:t xml:space="preserve">operative </w:t>
      </w:r>
      <w:r w:rsidRPr="004D1852">
        <w:rPr>
          <w:rFonts w:ascii="Times New Roman" w:hAnsi="Times New Roman" w:cs="Times New Roman"/>
          <w:color w:val="000000" w:themeColor="text1"/>
          <w:lang w:val="en-GB"/>
        </w:rPr>
        <w:t xml:space="preserve">principles </w:t>
      </w:r>
      <w:r w:rsidR="007E0C89" w:rsidRPr="004D1852">
        <w:rPr>
          <w:rFonts w:ascii="Times New Roman" w:hAnsi="Times New Roman" w:cs="Times New Roman"/>
          <w:color w:val="000000" w:themeColor="text1"/>
          <w:lang w:val="en-GB"/>
        </w:rPr>
        <w:t>of climate treaties f</w:t>
      </w:r>
      <w:r w:rsidR="001348FC" w:rsidRPr="004D1852">
        <w:rPr>
          <w:rFonts w:ascii="Times New Roman" w:hAnsi="Times New Roman" w:cs="Times New Roman"/>
          <w:color w:val="000000" w:themeColor="text1"/>
          <w:lang w:val="en-GB"/>
        </w:rPr>
        <w:t xml:space="preserve">urther </w:t>
      </w:r>
      <w:r w:rsidR="00F87619" w:rsidRPr="004D1852">
        <w:rPr>
          <w:rFonts w:ascii="Times New Roman" w:hAnsi="Times New Roman" w:cs="Times New Roman"/>
          <w:color w:val="000000" w:themeColor="text1"/>
          <w:lang w:val="en-GB"/>
        </w:rPr>
        <w:t xml:space="preserve">strengthen arguments for anticipatory action and support based on differentiation. </w:t>
      </w:r>
      <w:r w:rsidR="007E0C89" w:rsidRPr="004D1852">
        <w:rPr>
          <w:rFonts w:ascii="Times New Roman" w:hAnsi="Times New Roman" w:cs="Times New Roman"/>
          <w:color w:val="000000" w:themeColor="text1"/>
          <w:lang w:val="en-GB"/>
        </w:rPr>
        <w:t xml:space="preserve">These </w:t>
      </w:r>
      <w:r w:rsidR="00C54357" w:rsidRPr="004D1852">
        <w:rPr>
          <w:rFonts w:ascii="Times New Roman" w:hAnsi="Times New Roman" w:cs="Times New Roman"/>
          <w:color w:val="000000" w:themeColor="text1"/>
          <w:lang w:val="en-GB"/>
        </w:rPr>
        <w:t xml:space="preserve">principles are both part of the interpretive context </w:t>
      </w:r>
      <w:r w:rsidR="00411E37" w:rsidRPr="004D1852">
        <w:rPr>
          <w:rFonts w:ascii="Times New Roman" w:hAnsi="Times New Roman" w:cs="Times New Roman"/>
          <w:color w:val="000000" w:themeColor="text1"/>
          <w:lang w:val="en-GB"/>
        </w:rPr>
        <w:t xml:space="preserve">and guide </w:t>
      </w:r>
      <w:r w:rsidR="00F87619" w:rsidRPr="004D1852">
        <w:rPr>
          <w:rFonts w:ascii="Times New Roman" w:hAnsi="Times New Roman" w:cs="Times New Roman"/>
          <w:color w:val="000000" w:themeColor="text1"/>
          <w:lang w:val="en-GB"/>
        </w:rPr>
        <w:t xml:space="preserve">interpretation and application </w:t>
      </w:r>
      <w:r w:rsidR="00C54357" w:rsidRPr="004D1852">
        <w:rPr>
          <w:rFonts w:ascii="Times New Roman" w:hAnsi="Times New Roman" w:cs="Times New Roman"/>
          <w:color w:val="000000" w:themeColor="text1"/>
          <w:lang w:val="en-GB"/>
        </w:rPr>
        <w:t xml:space="preserve">of </w:t>
      </w:r>
      <w:r w:rsidR="00411E37" w:rsidRPr="004D1852">
        <w:rPr>
          <w:rFonts w:ascii="Times New Roman" w:hAnsi="Times New Roman" w:cs="Times New Roman"/>
          <w:color w:val="000000" w:themeColor="text1"/>
          <w:lang w:val="en-GB"/>
        </w:rPr>
        <w:t>treaties’ provisions</w:t>
      </w:r>
      <w:r w:rsidR="00BD3740" w:rsidRPr="004D1852">
        <w:rPr>
          <w:rFonts w:ascii="Times New Roman" w:hAnsi="Times New Roman" w:cs="Times New Roman"/>
          <w:color w:val="000000" w:themeColor="text1"/>
          <w:lang w:val="en-GB"/>
        </w:rPr>
        <w:t>;</w:t>
      </w:r>
      <w:r w:rsidR="003545CA" w:rsidRPr="004D1852">
        <w:rPr>
          <w:rStyle w:val="FootnoteReference"/>
          <w:rFonts w:ascii="Times New Roman" w:hAnsi="Times New Roman" w:cs="Times New Roman"/>
        </w:rPr>
        <w:footnoteReference w:id="6"/>
      </w:r>
      <w:r w:rsidR="003545CA" w:rsidRPr="004D1852">
        <w:rPr>
          <w:rFonts w:ascii="Times New Roman" w:hAnsi="Times New Roman" w:cs="Times New Roman"/>
          <w:color w:val="000000" w:themeColor="text1"/>
          <w:lang w:val="en-GB"/>
        </w:rPr>
        <w:t xml:space="preserve"> </w:t>
      </w:r>
      <w:r w:rsidR="00BD3740" w:rsidRPr="004D1852">
        <w:rPr>
          <w:rFonts w:ascii="Times New Roman" w:hAnsi="Times New Roman" w:cs="Times New Roman"/>
          <w:color w:val="000000" w:themeColor="text1"/>
          <w:lang w:val="en-GB"/>
        </w:rPr>
        <w:t xml:space="preserve">they </w:t>
      </w:r>
      <w:r w:rsidR="00356783" w:rsidRPr="004D1852">
        <w:rPr>
          <w:rFonts w:ascii="Times New Roman" w:hAnsi="Times New Roman" w:cs="Times New Roman"/>
          <w:color w:val="000000" w:themeColor="text1"/>
          <w:lang w:val="en-GB"/>
        </w:rPr>
        <w:t xml:space="preserve">include precaution, equity, and common but differentiated responsibilities and respective capabilities (CBDRRC). </w:t>
      </w:r>
      <w:r w:rsidR="00962246" w:rsidRPr="004D1852">
        <w:rPr>
          <w:rFonts w:ascii="Times New Roman" w:hAnsi="Times New Roman" w:cs="Times New Roman"/>
          <w:color w:val="000000" w:themeColor="text1"/>
          <w:lang w:val="en-GB"/>
        </w:rPr>
        <w:t>For example, w</w:t>
      </w:r>
      <w:r w:rsidR="005E5E90" w:rsidRPr="004D1852">
        <w:rPr>
          <w:rFonts w:ascii="Times New Roman" w:hAnsi="Times New Roman" w:cs="Times New Roman"/>
          <w:color w:val="000000" w:themeColor="text1"/>
          <w:lang w:val="en-GB"/>
        </w:rPr>
        <w:t>hen applied alongside the integration of human rights,</w:t>
      </w:r>
      <w:r w:rsidR="00962246" w:rsidRPr="004D1852">
        <w:rPr>
          <w:rFonts w:ascii="Times New Roman" w:hAnsi="Times New Roman" w:cs="Times New Roman"/>
          <w:color w:val="000000" w:themeColor="text1"/>
          <w:lang w:val="en-GB"/>
        </w:rPr>
        <w:t xml:space="preserve"> the precautionary principle reinforces the need to act to address foreseeable risks</w:t>
      </w:r>
      <w:r w:rsidR="00A3653A" w:rsidRPr="004D1852">
        <w:rPr>
          <w:rFonts w:ascii="Times New Roman" w:hAnsi="Times New Roman" w:cs="Times New Roman"/>
          <w:color w:val="000000" w:themeColor="text1"/>
          <w:lang w:val="en-GB"/>
        </w:rPr>
        <w:t xml:space="preserve"> and better ensures </w:t>
      </w:r>
      <w:r w:rsidR="00962246" w:rsidRPr="004D1852">
        <w:rPr>
          <w:rFonts w:ascii="Times New Roman" w:hAnsi="Times New Roman" w:cs="Times New Roman"/>
          <w:color w:val="000000" w:themeColor="text1"/>
          <w:lang w:val="en-GB"/>
        </w:rPr>
        <w:t xml:space="preserve">positive </w:t>
      </w:r>
      <w:r w:rsidR="00962246" w:rsidRPr="004D1852">
        <w:rPr>
          <w:rFonts w:ascii="Times New Roman" w:hAnsi="Times New Roman" w:cs="Times New Roman"/>
          <w:color w:val="000000" w:themeColor="text1"/>
          <w:lang w:val="en-GB"/>
        </w:rPr>
        <w:lastRenderedPageBreak/>
        <w:t xml:space="preserve">duties are called upon to integrate human rights benchmarks and safeguards in planning and anticipatory action, in addition to remedial </w:t>
      </w:r>
      <w:r w:rsidR="00607F9F" w:rsidRPr="004D1852">
        <w:rPr>
          <w:rFonts w:ascii="Times New Roman" w:hAnsi="Times New Roman" w:cs="Times New Roman"/>
          <w:color w:val="000000" w:themeColor="text1"/>
          <w:lang w:val="en-GB"/>
        </w:rPr>
        <w:t>measures</w:t>
      </w:r>
      <w:r w:rsidR="00962246" w:rsidRPr="004D1852">
        <w:rPr>
          <w:rFonts w:ascii="Times New Roman" w:hAnsi="Times New Roman" w:cs="Times New Roman"/>
          <w:color w:val="000000" w:themeColor="text1"/>
          <w:lang w:val="en-GB"/>
        </w:rPr>
        <w:t>.</w:t>
      </w:r>
    </w:p>
    <w:p w14:paraId="7233F9C2" w14:textId="77777777" w:rsidR="008877CB" w:rsidRPr="004D1852" w:rsidRDefault="008877CB" w:rsidP="004D1852">
      <w:pPr>
        <w:jc w:val="both"/>
        <w:rPr>
          <w:rFonts w:ascii="Times New Roman" w:hAnsi="Times New Roman" w:cs="Times New Roman"/>
          <w:color w:val="000000" w:themeColor="text1"/>
          <w:lang w:val="en-GB"/>
        </w:rPr>
      </w:pPr>
    </w:p>
    <w:p w14:paraId="40008037" w14:textId="6F9601D1" w:rsidR="00703D40" w:rsidRPr="004D1852" w:rsidRDefault="008877CB" w:rsidP="004D1852">
      <w:pPr>
        <w:jc w:val="both"/>
        <w:rPr>
          <w:rFonts w:ascii="Times New Roman" w:hAnsi="Times New Roman" w:cs="Times New Roman"/>
          <w:color w:val="000000" w:themeColor="text1"/>
          <w:lang w:val="en-GB"/>
        </w:rPr>
      </w:pPr>
      <w:r w:rsidRPr="004D1852">
        <w:rPr>
          <w:rFonts w:ascii="Times New Roman" w:hAnsi="Times New Roman" w:cs="Times New Roman"/>
          <w:b/>
          <w:bCs/>
          <w:i/>
          <w:iCs/>
          <w:color w:val="000000" w:themeColor="text1"/>
          <w:lang w:val="en-GB"/>
        </w:rPr>
        <w:t>Anticipatory</w:t>
      </w:r>
      <w:r w:rsidR="005D3479" w:rsidRPr="004D1852">
        <w:rPr>
          <w:rFonts w:ascii="Times New Roman" w:hAnsi="Times New Roman" w:cs="Times New Roman"/>
          <w:b/>
          <w:bCs/>
          <w:i/>
          <w:iCs/>
          <w:color w:val="000000" w:themeColor="text1"/>
          <w:lang w:val="en-GB"/>
        </w:rPr>
        <w:t xml:space="preserve"> action and</w:t>
      </w:r>
      <w:r w:rsidR="00C34E52" w:rsidRPr="004D1852">
        <w:rPr>
          <w:rFonts w:ascii="Times New Roman" w:hAnsi="Times New Roman" w:cs="Times New Roman"/>
          <w:b/>
          <w:bCs/>
          <w:i/>
          <w:iCs/>
          <w:color w:val="000000" w:themeColor="text1"/>
          <w:lang w:val="en-GB"/>
        </w:rPr>
        <w:t xml:space="preserve"> </w:t>
      </w:r>
      <w:r w:rsidRPr="004D1852">
        <w:rPr>
          <w:rFonts w:ascii="Times New Roman" w:hAnsi="Times New Roman" w:cs="Times New Roman"/>
          <w:b/>
          <w:bCs/>
          <w:i/>
          <w:iCs/>
          <w:color w:val="000000" w:themeColor="text1"/>
          <w:lang w:val="en-GB"/>
        </w:rPr>
        <w:t xml:space="preserve">adaptive mobility: </w:t>
      </w:r>
      <w:r w:rsidR="00703D40" w:rsidRPr="004D1852">
        <w:rPr>
          <w:rFonts w:ascii="Times New Roman" w:hAnsi="Times New Roman" w:cs="Times New Roman"/>
          <w:color w:val="000000" w:themeColor="text1"/>
          <w:lang w:val="en-GB"/>
        </w:rPr>
        <w:t>While human rights obligations include both negative and positive duties—to act and to refrain from acting—the focus on State action is tied to their positive duties to protect and fulfil human rights.</w:t>
      </w:r>
      <w:r w:rsidR="00703D40" w:rsidRPr="004D1852">
        <w:rPr>
          <w:rStyle w:val="FootnoteReference"/>
          <w:rFonts w:ascii="Times New Roman" w:hAnsi="Times New Roman" w:cs="Times New Roman"/>
          <w:color w:val="000000" w:themeColor="text1"/>
          <w:lang w:val="en-GB"/>
        </w:rPr>
        <w:footnoteReference w:id="7"/>
      </w:r>
      <w:r w:rsidR="00703D40" w:rsidRPr="004D1852">
        <w:rPr>
          <w:rFonts w:ascii="Times New Roman" w:hAnsi="Times New Roman" w:cs="Times New Roman"/>
          <w:color w:val="000000" w:themeColor="text1"/>
          <w:lang w:val="en-GB"/>
        </w:rPr>
        <w:t xml:space="preserve"> When relevant positive duties are integrated into adaptation obligations, they can help provide clarity and content, shaping what must be included in adaptation plans and policies. They also provide guidance on when such action is required: to address the foreseeable threats and risks posed by climate change.</w:t>
      </w:r>
      <w:r w:rsidR="00703D40" w:rsidRPr="004D1852">
        <w:rPr>
          <w:rStyle w:val="FootnoteReference"/>
          <w:rFonts w:ascii="Times New Roman" w:hAnsi="Times New Roman" w:cs="Times New Roman"/>
          <w:color w:val="000000" w:themeColor="text1"/>
          <w:lang w:val="en-GB"/>
        </w:rPr>
        <w:footnoteReference w:id="8"/>
      </w:r>
      <w:r w:rsidR="00703D40" w:rsidRPr="004D1852">
        <w:rPr>
          <w:rFonts w:ascii="Times New Roman" w:hAnsi="Times New Roman" w:cs="Times New Roman"/>
          <w:color w:val="000000" w:themeColor="text1"/>
          <w:lang w:val="en-GB"/>
        </w:rPr>
        <w:t xml:space="preserve"> For human mobility, this means proactive, anticipatory action should be taken </w:t>
      </w:r>
      <w:r w:rsidR="00703D40" w:rsidRPr="004D1852">
        <w:rPr>
          <w:rFonts w:ascii="Times New Roman" w:hAnsi="Times New Roman" w:cs="Times New Roman"/>
          <w:i/>
          <w:iCs/>
          <w:color w:val="000000" w:themeColor="text1"/>
          <w:lang w:val="en-GB"/>
        </w:rPr>
        <w:t>before</w:t>
      </w:r>
      <w:r w:rsidR="00703D40" w:rsidRPr="004D1852">
        <w:rPr>
          <w:rFonts w:ascii="Times New Roman" w:hAnsi="Times New Roman" w:cs="Times New Roman"/>
          <w:color w:val="000000" w:themeColor="text1"/>
          <w:lang w:val="en-GB"/>
        </w:rPr>
        <w:t xml:space="preserve"> people face or experience acute harm and are forced to move. </w:t>
      </w:r>
    </w:p>
    <w:p w14:paraId="417D760E" w14:textId="77777777" w:rsidR="00703D40" w:rsidRPr="004D1852" w:rsidRDefault="00703D40" w:rsidP="004D1852">
      <w:pPr>
        <w:jc w:val="both"/>
        <w:rPr>
          <w:rFonts w:ascii="Times New Roman" w:hAnsi="Times New Roman" w:cs="Times New Roman"/>
          <w:color w:val="000000" w:themeColor="text1"/>
          <w:lang w:val="en-GB"/>
        </w:rPr>
      </w:pPr>
    </w:p>
    <w:p w14:paraId="4F017BB1" w14:textId="75CBD2D1" w:rsidR="000011BA" w:rsidRPr="004D1852" w:rsidRDefault="007F7670" w:rsidP="004D1852">
      <w:pPr>
        <w:jc w:val="both"/>
        <w:rPr>
          <w:rFonts w:ascii="Times New Roman" w:hAnsi="Times New Roman" w:cs="Times New Roman"/>
          <w:color w:val="000000" w:themeColor="text1"/>
          <w:lang w:val="en-GB"/>
        </w:rPr>
      </w:pPr>
      <w:r w:rsidRPr="004D1852">
        <w:rPr>
          <w:rFonts w:ascii="Times New Roman" w:hAnsi="Times New Roman" w:cs="Times New Roman"/>
          <w:color w:val="000000" w:themeColor="text1"/>
          <w:lang w:val="en-GB"/>
        </w:rPr>
        <w:t xml:space="preserve">For example, </w:t>
      </w:r>
      <w:r w:rsidR="00703D40" w:rsidRPr="004D1852">
        <w:rPr>
          <w:rFonts w:ascii="Times New Roman" w:hAnsi="Times New Roman" w:cs="Times New Roman"/>
          <w:color w:val="000000" w:themeColor="text1"/>
          <w:lang w:val="en-GB"/>
        </w:rPr>
        <w:t>w</w:t>
      </w:r>
      <w:r w:rsidRPr="004D1852">
        <w:rPr>
          <w:rFonts w:ascii="Times New Roman" w:hAnsi="Times New Roman" w:cs="Times New Roman"/>
          <w:color w:val="000000" w:themeColor="text1"/>
          <w:lang w:val="en-GB"/>
        </w:rPr>
        <w:t xml:space="preserve">hen the adverse effects of climate change put access to food </w:t>
      </w:r>
      <w:r w:rsidR="00230AD8" w:rsidRPr="004D1852">
        <w:rPr>
          <w:rFonts w:ascii="Times New Roman" w:hAnsi="Times New Roman" w:cs="Times New Roman"/>
          <w:color w:val="000000" w:themeColor="text1"/>
          <w:lang w:val="en-GB"/>
        </w:rPr>
        <w:t xml:space="preserve">or clean water </w:t>
      </w:r>
      <w:r w:rsidRPr="004D1852">
        <w:rPr>
          <w:rFonts w:ascii="Times New Roman" w:hAnsi="Times New Roman" w:cs="Times New Roman"/>
          <w:color w:val="000000" w:themeColor="text1"/>
          <w:lang w:val="en-GB"/>
        </w:rPr>
        <w:t xml:space="preserve">at risk, positive duties to ensure minimum </w:t>
      </w:r>
      <w:r w:rsidR="007F1505" w:rsidRPr="004D1852">
        <w:rPr>
          <w:rFonts w:ascii="Times New Roman" w:hAnsi="Times New Roman" w:cs="Times New Roman"/>
          <w:color w:val="000000" w:themeColor="text1"/>
          <w:lang w:val="en-GB"/>
        </w:rPr>
        <w:t>essential</w:t>
      </w:r>
      <w:r w:rsidRPr="004D1852">
        <w:rPr>
          <w:rFonts w:ascii="Times New Roman" w:hAnsi="Times New Roman" w:cs="Times New Roman"/>
          <w:color w:val="000000" w:themeColor="text1"/>
          <w:lang w:val="en-GB"/>
        </w:rPr>
        <w:t xml:space="preserve"> levels of the </w:t>
      </w:r>
      <w:r w:rsidR="00230AD8" w:rsidRPr="004D1852">
        <w:rPr>
          <w:rFonts w:ascii="Times New Roman" w:hAnsi="Times New Roman" w:cs="Times New Roman"/>
          <w:color w:val="000000" w:themeColor="text1"/>
          <w:lang w:val="en-GB"/>
        </w:rPr>
        <w:t>rights to food or water are relevant.</w:t>
      </w:r>
      <w:r w:rsidR="00703D40" w:rsidRPr="004D1852">
        <w:rPr>
          <w:rStyle w:val="FootnoteReference"/>
          <w:rFonts w:ascii="Times New Roman" w:hAnsi="Times New Roman" w:cs="Times New Roman"/>
        </w:rPr>
        <w:footnoteReference w:id="9"/>
      </w:r>
      <w:r w:rsidR="00230AD8" w:rsidRPr="004D1852">
        <w:rPr>
          <w:rFonts w:ascii="Times New Roman" w:hAnsi="Times New Roman" w:cs="Times New Roman"/>
          <w:color w:val="000000" w:themeColor="text1"/>
          <w:lang w:val="en-GB"/>
        </w:rPr>
        <w:t xml:space="preserve"> </w:t>
      </w:r>
      <w:r w:rsidR="00E06653" w:rsidRPr="004D1852">
        <w:rPr>
          <w:rFonts w:ascii="Times New Roman" w:hAnsi="Times New Roman" w:cs="Times New Roman"/>
          <w:color w:val="000000" w:themeColor="text1"/>
          <w:lang w:val="en-GB"/>
        </w:rPr>
        <w:t>The right to life</w:t>
      </w:r>
      <w:r w:rsidR="009E54AC" w:rsidRPr="004D1852">
        <w:rPr>
          <w:rFonts w:ascii="Times New Roman" w:hAnsi="Times New Roman" w:cs="Times New Roman"/>
          <w:color w:val="000000" w:themeColor="text1"/>
          <w:lang w:val="en-GB"/>
        </w:rPr>
        <w:t xml:space="preserve">, and to enjoy </w:t>
      </w:r>
      <w:r w:rsidR="00E06653" w:rsidRPr="004D1852">
        <w:rPr>
          <w:rFonts w:ascii="Times New Roman" w:hAnsi="Times New Roman" w:cs="Times New Roman"/>
          <w:color w:val="000000" w:themeColor="text1"/>
          <w:lang w:val="en-GB"/>
        </w:rPr>
        <w:t>a life with dignity</w:t>
      </w:r>
      <w:r w:rsidR="009E54AC" w:rsidRPr="004D1852">
        <w:rPr>
          <w:rFonts w:ascii="Times New Roman" w:hAnsi="Times New Roman" w:cs="Times New Roman"/>
          <w:color w:val="000000" w:themeColor="text1"/>
          <w:lang w:val="en-GB"/>
        </w:rPr>
        <w:t>,</w:t>
      </w:r>
      <w:r w:rsidR="00E06653" w:rsidRPr="004D1852">
        <w:rPr>
          <w:rFonts w:ascii="Times New Roman" w:hAnsi="Times New Roman" w:cs="Times New Roman"/>
          <w:color w:val="000000" w:themeColor="text1"/>
          <w:lang w:val="en-GB"/>
        </w:rPr>
        <w:t xml:space="preserve"> may also be relevant</w:t>
      </w:r>
      <w:r w:rsidR="00DD179E" w:rsidRPr="004D1852">
        <w:rPr>
          <w:rFonts w:ascii="Times New Roman" w:hAnsi="Times New Roman" w:cs="Times New Roman"/>
          <w:color w:val="000000" w:themeColor="text1"/>
          <w:lang w:val="en-GB"/>
        </w:rPr>
        <w:t xml:space="preserve">; </w:t>
      </w:r>
      <w:r w:rsidR="00BA63D5" w:rsidRPr="004D1852">
        <w:rPr>
          <w:rFonts w:ascii="Times New Roman" w:hAnsi="Times New Roman" w:cs="Times New Roman"/>
          <w:color w:val="000000" w:themeColor="text1"/>
          <w:lang w:val="en-GB"/>
        </w:rPr>
        <w:t>to protect the right</w:t>
      </w:r>
      <w:r w:rsidR="005F6300" w:rsidRPr="004D1852">
        <w:rPr>
          <w:rFonts w:ascii="Times New Roman" w:hAnsi="Times New Roman" w:cs="Times New Roman"/>
          <w:color w:val="000000" w:themeColor="text1"/>
          <w:lang w:val="en-GB"/>
        </w:rPr>
        <w:t xml:space="preserve"> </w:t>
      </w:r>
      <w:r w:rsidR="00BA63D5" w:rsidRPr="004D1852">
        <w:rPr>
          <w:rFonts w:ascii="Times New Roman" w:hAnsi="Times New Roman" w:cs="Times New Roman"/>
          <w:color w:val="000000" w:themeColor="text1"/>
          <w:lang w:val="en-GB"/>
        </w:rPr>
        <w:t>S</w:t>
      </w:r>
      <w:r w:rsidR="00E06653" w:rsidRPr="004D1852">
        <w:rPr>
          <w:rFonts w:ascii="Times New Roman" w:hAnsi="Times New Roman" w:cs="Times New Roman"/>
          <w:color w:val="000000" w:themeColor="text1"/>
          <w:lang w:val="en-GB"/>
        </w:rPr>
        <w:t xml:space="preserve">tates have duties in certain circumstances to take </w:t>
      </w:r>
      <w:r w:rsidR="00E06653" w:rsidRPr="004D1852">
        <w:rPr>
          <w:rFonts w:ascii="Times New Roman" w:hAnsi="Times New Roman" w:cs="Times New Roman"/>
          <w:color w:val="000000" w:themeColor="text1"/>
          <w:kern w:val="1"/>
          <w:lang w:val="en-GB"/>
        </w:rPr>
        <w:t>“measures designed to ensure access without delay by individuals to essential goods and services such as food, water, shelter, health-care, electricity and sanitation”.</w:t>
      </w:r>
      <w:r w:rsidR="00E06653" w:rsidRPr="004D1852">
        <w:rPr>
          <w:rStyle w:val="FootnoteReference"/>
          <w:rFonts w:ascii="Times New Roman" w:hAnsi="Times New Roman" w:cs="Times New Roman"/>
          <w:color w:val="000000" w:themeColor="text1"/>
          <w:kern w:val="1"/>
          <w:lang w:val="en-GB"/>
        </w:rPr>
        <w:footnoteReference w:id="10"/>
      </w:r>
      <w:r w:rsidR="008A5931" w:rsidRPr="004D1852">
        <w:rPr>
          <w:rFonts w:ascii="Times New Roman" w:hAnsi="Times New Roman" w:cs="Times New Roman"/>
          <w:color w:val="000000" w:themeColor="text1"/>
          <w:lang w:val="en-GB"/>
        </w:rPr>
        <w:t xml:space="preserve"> </w:t>
      </w:r>
      <w:r w:rsidR="00CC0345" w:rsidRPr="004D1852">
        <w:rPr>
          <w:rFonts w:ascii="Times New Roman" w:hAnsi="Times New Roman" w:cs="Times New Roman"/>
          <w:color w:val="000000" w:themeColor="text1"/>
          <w:lang w:val="en-GB"/>
        </w:rPr>
        <w:t>Accordingly, a</w:t>
      </w:r>
      <w:r w:rsidR="00230AD8" w:rsidRPr="004D1852">
        <w:rPr>
          <w:rFonts w:ascii="Times New Roman" w:hAnsi="Times New Roman" w:cs="Times New Roman"/>
          <w:color w:val="000000" w:themeColor="text1"/>
          <w:lang w:val="en-GB"/>
        </w:rPr>
        <w:t xml:space="preserve">n interpretation that </w:t>
      </w:r>
      <w:r w:rsidR="004F7EDF" w:rsidRPr="004D1852">
        <w:rPr>
          <w:rFonts w:ascii="Times New Roman" w:hAnsi="Times New Roman" w:cs="Times New Roman"/>
          <w:color w:val="000000" w:themeColor="text1"/>
          <w:lang w:val="en-GB"/>
        </w:rPr>
        <w:t xml:space="preserve">integrates </w:t>
      </w:r>
      <w:r w:rsidR="00CC0345" w:rsidRPr="004D1852">
        <w:rPr>
          <w:rFonts w:ascii="Times New Roman" w:hAnsi="Times New Roman" w:cs="Times New Roman"/>
          <w:color w:val="000000" w:themeColor="text1"/>
          <w:lang w:val="en-GB"/>
        </w:rPr>
        <w:t xml:space="preserve">these relevant </w:t>
      </w:r>
      <w:r w:rsidR="00230AD8" w:rsidRPr="004D1852">
        <w:rPr>
          <w:rFonts w:ascii="Times New Roman" w:hAnsi="Times New Roman" w:cs="Times New Roman"/>
          <w:color w:val="000000" w:themeColor="text1"/>
          <w:lang w:val="en-GB"/>
        </w:rPr>
        <w:t>human rights</w:t>
      </w:r>
      <w:r w:rsidR="00CC0345" w:rsidRPr="004D1852">
        <w:rPr>
          <w:rFonts w:ascii="Times New Roman" w:hAnsi="Times New Roman" w:cs="Times New Roman"/>
          <w:color w:val="000000" w:themeColor="text1"/>
          <w:lang w:val="en-GB"/>
        </w:rPr>
        <w:t xml:space="preserve"> duties</w:t>
      </w:r>
      <w:r w:rsidR="00230AD8" w:rsidRPr="004D1852">
        <w:rPr>
          <w:rFonts w:ascii="Times New Roman" w:hAnsi="Times New Roman" w:cs="Times New Roman"/>
          <w:color w:val="000000" w:themeColor="text1"/>
          <w:lang w:val="en-GB"/>
        </w:rPr>
        <w:t xml:space="preserve"> </w:t>
      </w:r>
      <w:r w:rsidR="004F7EDF" w:rsidRPr="004D1852">
        <w:rPr>
          <w:rFonts w:ascii="Times New Roman" w:hAnsi="Times New Roman" w:cs="Times New Roman"/>
          <w:color w:val="000000" w:themeColor="text1"/>
          <w:lang w:val="en-GB"/>
        </w:rPr>
        <w:t>requires</w:t>
      </w:r>
      <w:r w:rsidR="00230AD8" w:rsidRPr="004D1852">
        <w:rPr>
          <w:rFonts w:ascii="Times New Roman" w:hAnsi="Times New Roman" w:cs="Times New Roman"/>
          <w:color w:val="000000" w:themeColor="text1"/>
          <w:lang w:val="en-GB"/>
        </w:rPr>
        <w:t xml:space="preserve"> States to undertake adaptation measures to ensure </w:t>
      </w:r>
      <w:r w:rsidR="00BA63D5" w:rsidRPr="004D1852">
        <w:rPr>
          <w:rFonts w:ascii="Times New Roman" w:hAnsi="Times New Roman" w:cs="Times New Roman"/>
          <w:color w:val="000000" w:themeColor="text1"/>
          <w:lang w:val="en-GB"/>
        </w:rPr>
        <w:t xml:space="preserve">essential goods and </w:t>
      </w:r>
      <w:r w:rsidR="00230AD8" w:rsidRPr="004D1852">
        <w:rPr>
          <w:rFonts w:ascii="Times New Roman" w:hAnsi="Times New Roman" w:cs="Times New Roman"/>
          <w:color w:val="000000" w:themeColor="text1"/>
          <w:lang w:val="en-GB"/>
        </w:rPr>
        <w:t>resources</w:t>
      </w:r>
      <w:r w:rsidR="007C2005" w:rsidRPr="004D1852">
        <w:rPr>
          <w:rFonts w:ascii="Times New Roman" w:hAnsi="Times New Roman" w:cs="Times New Roman"/>
          <w:color w:val="000000" w:themeColor="text1"/>
          <w:lang w:val="en-GB"/>
        </w:rPr>
        <w:t xml:space="preserve"> when access to them is foreseeably put at risk</w:t>
      </w:r>
      <w:r w:rsidR="00230AD8" w:rsidRPr="004D1852">
        <w:rPr>
          <w:rFonts w:ascii="Times New Roman" w:hAnsi="Times New Roman" w:cs="Times New Roman"/>
          <w:color w:val="000000" w:themeColor="text1"/>
          <w:lang w:val="en-GB"/>
        </w:rPr>
        <w:t>.</w:t>
      </w:r>
      <w:r w:rsidR="007C2005" w:rsidRPr="004D1852">
        <w:rPr>
          <w:rFonts w:ascii="Times New Roman" w:hAnsi="Times New Roman" w:cs="Times New Roman"/>
          <w:color w:val="000000" w:themeColor="text1"/>
          <w:lang w:val="en-GB"/>
        </w:rPr>
        <w:t xml:space="preserve"> </w:t>
      </w:r>
      <w:r w:rsidR="00224854" w:rsidRPr="004D1852">
        <w:rPr>
          <w:rFonts w:ascii="Times New Roman" w:hAnsi="Times New Roman" w:cs="Times New Roman"/>
          <w:color w:val="000000" w:themeColor="text1"/>
          <w:lang w:val="en-GB"/>
        </w:rPr>
        <w:t xml:space="preserve">This </w:t>
      </w:r>
      <w:r w:rsidR="00535DAF" w:rsidRPr="004D1852">
        <w:rPr>
          <w:rFonts w:ascii="Times New Roman" w:hAnsi="Times New Roman" w:cs="Times New Roman"/>
          <w:color w:val="000000" w:themeColor="text1"/>
          <w:lang w:val="en-GB"/>
        </w:rPr>
        <w:t xml:space="preserve">translates into State duties to take certain proactive and preventive </w:t>
      </w:r>
      <w:r w:rsidR="00DD179E" w:rsidRPr="004D1852">
        <w:rPr>
          <w:rFonts w:ascii="Times New Roman" w:hAnsi="Times New Roman" w:cs="Times New Roman"/>
          <w:color w:val="000000" w:themeColor="text1"/>
          <w:lang w:val="en-GB"/>
        </w:rPr>
        <w:t>actions</w:t>
      </w:r>
      <w:r w:rsidR="004627EF" w:rsidRPr="004D1852">
        <w:rPr>
          <w:rFonts w:ascii="Times New Roman" w:hAnsi="Times New Roman" w:cs="Times New Roman"/>
          <w:color w:val="000000" w:themeColor="text1"/>
          <w:lang w:val="en-GB"/>
        </w:rPr>
        <w:t>, which can</w:t>
      </w:r>
      <w:r w:rsidR="00224854" w:rsidRPr="004D1852">
        <w:rPr>
          <w:rFonts w:ascii="Times New Roman" w:hAnsi="Times New Roman" w:cs="Times New Roman"/>
          <w:color w:val="000000" w:themeColor="text1"/>
          <w:lang w:val="en-GB"/>
        </w:rPr>
        <w:t xml:space="preserve"> result in a range of adaptation measures</w:t>
      </w:r>
      <w:r w:rsidR="004627EF" w:rsidRPr="004D1852">
        <w:rPr>
          <w:rFonts w:ascii="Times New Roman" w:hAnsi="Times New Roman" w:cs="Times New Roman"/>
          <w:color w:val="000000" w:themeColor="text1"/>
          <w:lang w:val="en-GB"/>
        </w:rPr>
        <w:t>. These include</w:t>
      </w:r>
      <w:r w:rsidR="00952EF5" w:rsidRPr="004D1852">
        <w:rPr>
          <w:rFonts w:ascii="Times New Roman" w:hAnsi="Times New Roman" w:cs="Times New Roman"/>
          <w:color w:val="000000" w:themeColor="text1"/>
          <w:lang w:val="en-GB"/>
        </w:rPr>
        <w:t xml:space="preserve"> efforts</w:t>
      </w:r>
      <w:r w:rsidR="00B52911" w:rsidRPr="004D1852">
        <w:rPr>
          <w:rFonts w:ascii="Times New Roman" w:hAnsi="Times New Roman" w:cs="Times New Roman"/>
          <w:color w:val="000000" w:themeColor="text1"/>
          <w:lang w:val="en-GB"/>
        </w:rPr>
        <w:t xml:space="preserve"> </w:t>
      </w:r>
      <w:r w:rsidR="00952EF5" w:rsidRPr="004D1852">
        <w:rPr>
          <w:rFonts w:ascii="Times New Roman" w:hAnsi="Times New Roman" w:cs="Times New Roman"/>
          <w:color w:val="000000" w:themeColor="text1"/>
          <w:lang w:val="en-GB"/>
        </w:rPr>
        <w:t xml:space="preserve">that </w:t>
      </w:r>
      <w:r w:rsidR="004627EF" w:rsidRPr="004D1852">
        <w:rPr>
          <w:rFonts w:ascii="Times New Roman" w:hAnsi="Times New Roman" w:cs="Times New Roman"/>
          <w:color w:val="000000" w:themeColor="text1"/>
          <w:lang w:val="en-GB"/>
        </w:rPr>
        <w:t xml:space="preserve">address vulnerability and </w:t>
      </w:r>
      <w:r w:rsidR="00952EF5" w:rsidRPr="004D1852">
        <w:rPr>
          <w:rFonts w:ascii="Times New Roman" w:hAnsi="Times New Roman" w:cs="Times New Roman"/>
          <w:color w:val="000000" w:themeColor="text1"/>
          <w:lang w:val="en-GB"/>
        </w:rPr>
        <w:t>enable people to stay in place for as lon</w:t>
      </w:r>
      <w:r w:rsidR="00952EF5" w:rsidRPr="00AD4B30">
        <w:rPr>
          <w:rFonts w:ascii="Times New Roman" w:hAnsi="Times New Roman" w:cs="Times New Roman"/>
          <w:color w:val="000000" w:themeColor="text1"/>
          <w:lang w:val="en-GB"/>
        </w:rPr>
        <w:t>g as possible</w:t>
      </w:r>
      <w:r w:rsidR="00AD4B30" w:rsidRPr="00AD4B30">
        <w:rPr>
          <w:rFonts w:ascii="Times New Roman" w:hAnsi="Times New Roman" w:cs="Times New Roman"/>
          <w:color w:val="000000" w:themeColor="text1"/>
          <w:lang w:val="en-GB"/>
        </w:rPr>
        <w:t>—</w:t>
      </w:r>
      <w:r w:rsidR="00CC0345" w:rsidRPr="00AD4B30">
        <w:rPr>
          <w:rFonts w:ascii="Times New Roman" w:hAnsi="Times New Roman" w:cs="Times New Roman"/>
          <w:color w:val="000000" w:themeColor="text1"/>
          <w:lang w:val="en-GB"/>
        </w:rPr>
        <w:t>through</w:t>
      </w:r>
      <w:r w:rsidR="00CC0345" w:rsidRPr="004D1852">
        <w:rPr>
          <w:rFonts w:ascii="Times New Roman" w:hAnsi="Times New Roman" w:cs="Times New Roman"/>
          <w:color w:val="000000" w:themeColor="text1"/>
          <w:lang w:val="en-GB"/>
        </w:rPr>
        <w:t xml:space="preserve"> changes to infrastructure</w:t>
      </w:r>
      <w:r w:rsidR="00066355" w:rsidRPr="004D1852">
        <w:rPr>
          <w:rFonts w:ascii="Times New Roman" w:hAnsi="Times New Roman" w:cs="Times New Roman"/>
          <w:color w:val="000000" w:themeColor="text1"/>
          <w:lang w:val="en-GB"/>
        </w:rPr>
        <w:t xml:space="preserve">, </w:t>
      </w:r>
      <w:r w:rsidR="00CC0345" w:rsidRPr="004D1852">
        <w:rPr>
          <w:rFonts w:ascii="Times New Roman" w:hAnsi="Times New Roman" w:cs="Times New Roman"/>
          <w:color w:val="000000" w:themeColor="text1"/>
          <w:lang w:val="en-GB"/>
        </w:rPr>
        <w:t>policies</w:t>
      </w:r>
      <w:r w:rsidR="00066355" w:rsidRPr="004D1852">
        <w:rPr>
          <w:rFonts w:ascii="Times New Roman" w:hAnsi="Times New Roman" w:cs="Times New Roman"/>
          <w:color w:val="000000" w:themeColor="text1"/>
          <w:lang w:val="en-GB"/>
        </w:rPr>
        <w:t xml:space="preserve">, and the provision of resources. </w:t>
      </w:r>
      <w:r w:rsidR="00952EF5" w:rsidRPr="004D1852">
        <w:rPr>
          <w:rFonts w:ascii="Times New Roman" w:hAnsi="Times New Roman" w:cs="Times New Roman"/>
          <w:color w:val="000000" w:themeColor="text1"/>
          <w:lang w:val="en-GB"/>
        </w:rPr>
        <w:t xml:space="preserve">When these </w:t>
      </w:r>
      <w:r w:rsidR="000011BA" w:rsidRPr="004D1852">
        <w:rPr>
          <w:rFonts w:ascii="Times New Roman" w:hAnsi="Times New Roman" w:cs="Times New Roman"/>
          <w:color w:val="000000" w:themeColor="text1"/>
          <w:lang w:val="en-GB"/>
        </w:rPr>
        <w:t xml:space="preserve">measures </w:t>
      </w:r>
      <w:r w:rsidR="00952EF5" w:rsidRPr="004D1852">
        <w:rPr>
          <w:rFonts w:ascii="Times New Roman" w:hAnsi="Times New Roman" w:cs="Times New Roman"/>
          <w:color w:val="000000" w:themeColor="text1"/>
          <w:lang w:val="en-GB"/>
        </w:rPr>
        <w:t>are no longer sufficient</w:t>
      </w:r>
      <w:r w:rsidR="000011BA" w:rsidRPr="004D1852">
        <w:rPr>
          <w:rFonts w:ascii="Times New Roman" w:hAnsi="Times New Roman" w:cs="Times New Roman"/>
          <w:color w:val="000000" w:themeColor="text1"/>
          <w:lang w:val="en-GB"/>
        </w:rPr>
        <w:t xml:space="preserve">, and resources and rights are not accessible, then people will need to move. How such movement is undertaken—and supported—is critical to the experience of those affected. </w:t>
      </w:r>
    </w:p>
    <w:p w14:paraId="06F304A7" w14:textId="021A2366" w:rsidR="000011BA" w:rsidRPr="004D1852" w:rsidRDefault="000011BA" w:rsidP="004D1852">
      <w:pPr>
        <w:jc w:val="both"/>
        <w:rPr>
          <w:rFonts w:ascii="Times New Roman" w:hAnsi="Times New Roman" w:cs="Times New Roman"/>
          <w:color w:val="000000" w:themeColor="text1"/>
          <w:lang w:val="en-GB"/>
        </w:rPr>
      </w:pPr>
    </w:p>
    <w:p w14:paraId="1DB21401" w14:textId="7E2638AF" w:rsidR="006F4BA7" w:rsidRPr="004D1852" w:rsidRDefault="00066355" w:rsidP="004D1852">
      <w:pPr>
        <w:jc w:val="both"/>
        <w:rPr>
          <w:rFonts w:ascii="Times New Roman" w:hAnsi="Times New Roman" w:cs="Times New Roman"/>
          <w:color w:val="000000" w:themeColor="text1"/>
          <w:lang w:val="en-GB"/>
        </w:rPr>
      </w:pPr>
      <w:r w:rsidRPr="004D1852">
        <w:rPr>
          <w:rFonts w:ascii="Times New Roman" w:hAnsi="Times New Roman" w:cs="Times New Roman"/>
          <w:color w:val="000000" w:themeColor="text1"/>
          <w:lang w:val="en-GB"/>
        </w:rPr>
        <w:t>Adaptive mobility</w:t>
      </w:r>
      <w:r w:rsidR="009F1CF9" w:rsidRPr="004D1852">
        <w:rPr>
          <w:rFonts w:ascii="Times New Roman" w:hAnsi="Times New Roman" w:cs="Times New Roman"/>
          <w:color w:val="000000" w:themeColor="text1"/>
          <w:lang w:val="en-GB"/>
        </w:rPr>
        <w:t xml:space="preserve"> </w:t>
      </w:r>
      <w:r w:rsidR="00BC598C" w:rsidRPr="004D1852">
        <w:rPr>
          <w:rFonts w:ascii="Times New Roman" w:hAnsi="Times New Roman" w:cs="Times New Roman"/>
          <w:color w:val="000000" w:themeColor="text1"/>
          <w:lang w:val="en-GB"/>
        </w:rPr>
        <w:t>is a proactive approach</w:t>
      </w:r>
      <w:r w:rsidR="00B12DF2" w:rsidRPr="004D1852">
        <w:rPr>
          <w:rFonts w:ascii="Times New Roman" w:hAnsi="Times New Roman" w:cs="Times New Roman"/>
          <w:color w:val="000000" w:themeColor="text1"/>
          <w:lang w:val="en-GB"/>
        </w:rPr>
        <w:t xml:space="preserve"> to mobility</w:t>
      </w:r>
      <w:r w:rsidR="009F378B" w:rsidRPr="004D1852">
        <w:rPr>
          <w:rFonts w:ascii="Times New Roman" w:hAnsi="Times New Roman" w:cs="Times New Roman"/>
          <w:color w:val="000000" w:themeColor="text1"/>
          <w:lang w:val="en-GB"/>
        </w:rPr>
        <w:t>, which can help prevent displacement</w:t>
      </w:r>
      <w:r w:rsidR="001F4E18" w:rsidRPr="004D1852">
        <w:rPr>
          <w:rFonts w:ascii="Times New Roman" w:hAnsi="Times New Roman" w:cs="Times New Roman"/>
          <w:color w:val="000000" w:themeColor="text1"/>
          <w:lang w:val="en-GB"/>
        </w:rPr>
        <w:t xml:space="preserve">. </w:t>
      </w:r>
      <w:r w:rsidR="00DA207A" w:rsidRPr="004D1852">
        <w:rPr>
          <w:rFonts w:ascii="Times New Roman" w:hAnsi="Times New Roman" w:cs="Times New Roman"/>
          <w:color w:val="000000" w:themeColor="text1"/>
          <w:lang w:val="en-GB"/>
        </w:rPr>
        <w:t>With a legal basis in adaptation obligations and human rights duties, m</w:t>
      </w:r>
      <w:r w:rsidR="00B12DF2" w:rsidRPr="004D1852">
        <w:rPr>
          <w:rFonts w:ascii="Times New Roman" w:hAnsi="Times New Roman" w:cs="Times New Roman"/>
          <w:color w:val="000000" w:themeColor="text1"/>
          <w:lang w:val="en-GB"/>
        </w:rPr>
        <w:t xml:space="preserve">easures to plan for </w:t>
      </w:r>
      <w:r w:rsidR="001F4E18" w:rsidRPr="004D1852">
        <w:rPr>
          <w:rFonts w:ascii="Times New Roman" w:hAnsi="Times New Roman" w:cs="Times New Roman"/>
          <w:color w:val="000000" w:themeColor="text1"/>
          <w:lang w:val="en-GB"/>
        </w:rPr>
        <w:t xml:space="preserve">and facilitate </w:t>
      </w:r>
      <w:r w:rsidR="00B12DF2" w:rsidRPr="004D1852">
        <w:rPr>
          <w:rFonts w:ascii="Times New Roman" w:hAnsi="Times New Roman" w:cs="Times New Roman"/>
          <w:color w:val="000000" w:themeColor="text1"/>
          <w:lang w:val="en-GB"/>
        </w:rPr>
        <w:t xml:space="preserve">such mobility </w:t>
      </w:r>
      <w:r w:rsidR="00DA207A" w:rsidRPr="004D1852">
        <w:rPr>
          <w:rFonts w:ascii="Times New Roman" w:hAnsi="Times New Roman" w:cs="Times New Roman"/>
          <w:color w:val="000000" w:themeColor="text1"/>
          <w:lang w:val="en-GB"/>
        </w:rPr>
        <w:t>puts</w:t>
      </w:r>
      <w:r w:rsidR="00B12DF2" w:rsidRPr="004D1852">
        <w:rPr>
          <w:rFonts w:ascii="Times New Roman" w:hAnsi="Times New Roman" w:cs="Times New Roman"/>
          <w:color w:val="000000" w:themeColor="text1"/>
          <w:lang w:val="en-GB"/>
        </w:rPr>
        <w:t xml:space="preserve"> people and their rights at the centre of climate action</w:t>
      </w:r>
      <w:r w:rsidR="001F4E18" w:rsidRPr="004D1852">
        <w:rPr>
          <w:rFonts w:ascii="Times New Roman" w:hAnsi="Times New Roman" w:cs="Times New Roman"/>
          <w:color w:val="000000" w:themeColor="text1"/>
          <w:lang w:val="en-GB"/>
        </w:rPr>
        <w:t xml:space="preserve">. </w:t>
      </w:r>
      <w:r w:rsidR="00DA207A" w:rsidRPr="004D1852">
        <w:rPr>
          <w:rFonts w:ascii="Times New Roman" w:hAnsi="Times New Roman" w:cs="Times New Roman"/>
          <w:color w:val="000000" w:themeColor="text1"/>
          <w:lang w:val="en-GB"/>
        </w:rPr>
        <w:t>Doing so enables State adaptation programmes to</w:t>
      </w:r>
      <w:r w:rsidR="001F4E18" w:rsidRPr="004D1852">
        <w:rPr>
          <w:rFonts w:ascii="Times New Roman" w:hAnsi="Times New Roman" w:cs="Times New Roman"/>
          <w:color w:val="000000" w:themeColor="text1"/>
          <w:lang w:val="en-GB"/>
        </w:rPr>
        <w:t xml:space="preserve"> draw on the preventive role </w:t>
      </w:r>
      <w:r w:rsidR="00DA207A" w:rsidRPr="004D1852">
        <w:rPr>
          <w:rFonts w:ascii="Times New Roman" w:hAnsi="Times New Roman" w:cs="Times New Roman"/>
          <w:color w:val="000000" w:themeColor="text1"/>
          <w:lang w:val="en-GB"/>
        </w:rPr>
        <w:t xml:space="preserve">human </w:t>
      </w:r>
      <w:r w:rsidR="001F4E18" w:rsidRPr="004D1852">
        <w:rPr>
          <w:rFonts w:ascii="Times New Roman" w:hAnsi="Times New Roman" w:cs="Times New Roman"/>
          <w:color w:val="000000" w:themeColor="text1"/>
          <w:lang w:val="en-GB"/>
        </w:rPr>
        <w:t xml:space="preserve">rights can play, shifting the focus to the risks posed by climate change and the </w:t>
      </w:r>
      <w:r w:rsidR="007474BA" w:rsidRPr="004D1852">
        <w:rPr>
          <w:rFonts w:ascii="Times New Roman" w:hAnsi="Times New Roman" w:cs="Times New Roman"/>
          <w:color w:val="000000" w:themeColor="text1"/>
          <w:lang w:val="en-GB"/>
        </w:rPr>
        <w:t xml:space="preserve">positive, </w:t>
      </w:r>
      <w:r w:rsidR="001F4E18" w:rsidRPr="004D1852">
        <w:rPr>
          <w:rFonts w:ascii="Times New Roman" w:hAnsi="Times New Roman" w:cs="Times New Roman"/>
          <w:color w:val="000000" w:themeColor="text1"/>
          <w:lang w:val="en-GB"/>
        </w:rPr>
        <w:t>anticipatory action needed to address these risks.</w:t>
      </w:r>
      <w:r w:rsidR="007474BA" w:rsidRPr="004D1852">
        <w:rPr>
          <w:rStyle w:val="FootnoteReference"/>
          <w:rFonts w:ascii="Times New Roman" w:hAnsi="Times New Roman" w:cs="Times New Roman"/>
          <w:color w:val="000000" w:themeColor="text1"/>
          <w:lang w:val="en-GB"/>
        </w:rPr>
        <w:footnoteReference w:id="11"/>
      </w:r>
      <w:r w:rsidR="007474BA" w:rsidRPr="004D1852">
        <w:rPr>
          <w:rFonts w:ascii="Times New Roman" w:hAnsi="Times New Roman" w:cs="Times New Roman"/>
          <w:color w:val="000000" w:themeColor="text1"/>
          <w:lang w:val="en-GB"/>
        </w:rPr>
        <w:t xml:space="preserve"> </w:t>
      </w:r>
      <w:r w:rsidR="00DA207A" w:rsidRPr="004D1852">
        <w:rPr>
          <w:rFonts w:ascii="Times New Roman" w:hAnsi="Times New Roman" w:cs="Times New Roman"/>
          <w:color w:val="000000" w:themeColor="text1"/>
          <w:lang w:val="en-GB"/>
        </w:rPr>
        <w:t xml:space="preserve">This can lead to a variety of concrete measures, including adaptation planning that integrates human rights and human mobility; measures to facilitate adaptive mobility and support migrants; planning for and implementation of rights-based planned relocation; </w:t>
      </w:r>
      <w:r w:rsidR="000E53E1" w:rsidRPr="004D1852">
        <w:rPr>
          <w:rFonts w:ascii="Times New Roman" w:hAnsi="Times New Roman" w:cs="Times New Roman"/>
          <w:color w:val="000000" w:themeColor="text1"/>
          <w:lang w:val="en-GB"/>
        </w:rPr>
        <w:t xml:space="preserve">and the </w:t>
      </w:r>
      <w:r w:rsidR="00DA207A" w:rsidRPr="004D1852">
        <w:rPr>
          <w:rFonts w:ascii="Times New Roman" w:hAnsi="Times New Roman" w:cs="Times New Roman"/>
          <w:color w:val="000000" w:themeColor="text1"/>
          <w:lang w:val="en-GB"/>
        </w:rPr>
        <w:t xml:space="preserve">expansion of pathways for safe migration, free movement, and </w:t>
      </w:r>
      <w:r w:rsidR="00DA207A" w:rsidRPr="004D1852">
        <w:rPr>
          <w:rFonts w:ascii="Times New Roman" w:hAnsi="Times New Roman" w:cs="Times New Roman"/>
          <w:color w:val="000000" w:themeColor="text1"/>
          <w:lang w:val="en-GB"/>
        </w:rPr>
        <w:lastRenderedPageBreak/>
        <w:t>coordination of cross-border mobility.</w:t>
      </w:r>
      <w:r w:rsidR="00DA207A" w:rsidRPr="004D1852">
        <w:rPr>
          <w:rStyle w:val="FootnoteReference"/>
          <w:rFonts w:ascii="Times New Roman" w:hAnsi="Times New Roman" w:cs="Times New Roman"/>
          <w:color w:val="000000" w:themeColor="text1"/>
          <w:lang w:val="en-GB"/>
        </w:rPr>
        <w:footnoteReference w:id="12"/>
      </w:r>
      <w:r w:rsidR="0020356C" w:rsidRPr="004D1852">
        <w:rPr>
          <w:rFonts w:ascii="Times New Roman" w:hAnsi="Times New Roman" w:cs="Times New Roman"/>
          <w:color w:val="000000" w:themeColor="text1"/>
          <w:lang w:val="en-GB"/>
        </w:rPr>
        <w:t xml:space="preserve"> Integration of the duties that flow from procedural rights—access to information and participation—also </w:t>
      </w:r>
      <w:r w:rsidR="00AD4B30">
        <w:rPr>
          <w:rFonts w:ascii="Times New Roman" w:hAnsi="Times New Roman" w:cs="Times New Roman"/>
          <w:color w:val="000000" w:themeColor="text1"/>
          <w:lang w:val="en-GB"/>
        </w:rPr>
        <w:t>requires</w:t>
      </w:r>
      <w:r w:rsidR="0020356C" w:rsidRPr="004D1852">
        <w:rPr>
          <w:rFonts w:ascii="Times New Roman" w:hAnsi="Times New Roman" w:cs="Times New Roman"/>
          <w:color w:val="000000" w:themeColor="text1"/>
          <w:lang w:val="en-GB"/>
        </w:rPr>
        <w:t xml:space="preserve"> that affected persons are provided with information and </w:t>
      </w:r>
      <w:r w:rsidR="00C332B0" w:rsidRPr="004D1852">
        <w:rPr>
          <w:rFonts w:ascii="Times New Roman" w:hAnsi="Times New Roman" w:cs="Times New Roman"/>
          <w:color w:val="000000" w:themeColor="text1"/>
          <w:lang w:val="en-GB"/>
        </w:rPr>
        <w:t>the opportunity to participate meaningfully in decision-making.</w:t>
      </w:r>
    </w:p>
    <w:p w14:paraId="05129B53" w14:textId="77777777" w:rsidR="00B606AB" w:rsidRPr="004D1852" w:rsidRDefault="00B606AB" w:rsidP="004D1852">
      <w:pPr>
        <w:jc w:val="both"/>
        <w:rPr>
          <w:rFonts w:ascii="Times New Roman" w:hAnsi="Times New Roman" w:cs="Times New Roman"/>
          <w:color w:val="000000" w:themeColor="text1"/>
          <w:lang w:val="en-GB"/>
        </w:rPr>
      </w:pPr>
    </w:p>
    <w:p w14:paraId="20A01067" w14:textId="54FF8AE1" w:rsidR="006648B8" w:rsidRPr="004D1852" w:rsidRDefault="00B95EEB" w:rsidP="004D1852">
      <w:pPr>
        <w:jc w:val="both"/>
        <w:rPr>
          <w:rFonts w:ascii="Times New Roman" w:hAnsi="Times New Roman" w:cs="Times New Roman"/>
          <w:color w:val="000000" w:themeColor="text1"/>
          <w:lang w:val="en-GB"/>
        </w:rPr>
      </w:pPr>
      <w:r w:rsidRPr="004D1852">
        <w:rPr>
          <w:rFonts w:ascii="Times New Roman" w:hAnsi="Times New Roman" w:cs="Times New Roman"/>
          <w:b/>
          <w:bCs/>
          <w:i/>
          <w:iCs/>
          <w:color w:val="000000" w:themeColor="text1"/>
          <w:lang w:val="en-GB"/>
        </w:rPr>
        <w:t xml:space="preserve">Assistance </w:t>
      </w:r>
      <w:r w:rsidR="00206E36" w:rsidRPr="004D1852">
        <w:rPr>
          <w:rFonts w:ascii="Times New Roman" w:hAnsi="Times New Roman" w:cs="Times New Roman"/>
          <w:b/>
          <w:bCs/>
          <w:i/>
          <w:iCs/>
          <w:color w:val="000000" w:themeColor="text1"/>
          <w:lang w:val="en-GB"/>
        </w:rPr>
        <w:t xml:space="preserve">and cooperation: </w:t>
      </w:r>
      <w:r w:rsidR="00474300" w:rsidRPr="004D1852">
        <w:rPr>
          <w:rFonts w:ascii="Times New Roman" w:hAnsi="Times New Roman" w:cs="Times New Roman"/>
          <w:bCs/>
          <w:color w:val="000000" w:themeColor="text1"/>
          <w:lang w:val="en-GB"/>
        </w:rPr>
        <w:t xml:space="preserve">Adequate </w:t>
      </w:r>
      <w:r w:rsidRPr="004D1852">
        <w:rPr>
          <w:rFonts w:ascii="Times New Roman" w:hAnsi="Times New Roman" w:cs="Times New Roman"/>
          <w:bCs/>
          <w:color w:val="000000" w:themeColor="text1"/>
          <w:lang w:val="en-GB"/>
        </w:rPr>
        <w:t>support</w:t>
      </w:r>
      <w:r w:rsidRPr="004D1852">
        <w:rPr>
          <w:rFonts w:ascii="Times New Roman" w:hAnsi="Times New Roman" w:cs="Times New Roman"/>
          <w:bCs/>
          <w:color w:val="000000" w:themeColor="text1"/>
          <w:lang w:val="en-GB"/>
        </w:rPr>
        <w:t xml:space="preserve"> </w:t>
      </w:r>
      <w:r w:rsidR="00474300" w:rsidRPr="004D1852">
        <w:rPr>
          <w:rFonts w:ascii="Times New Roman" w:hAnsi="Times New Roman" w:cs="Times New Roman"/>
          <w:bCs/>
          <w:color w:val="000000" w:themeColor="text1"/>
          <w:lang w:val="en-GB"/>
        </w:rPr>
        <w:t xml:space="preserve">and financing </w:t>
      </w:r>
      <w:r w:rsidR="00177A97" w:rsidRPr="004D1852">
        <w:rPr>
          <w:rFonts w:ascii="Times New Roman" w:hAnsi="Times New Roman" w:cs="Times New Roman"/>
          <w:bCs/>
          <w:color w:val="000000" w:themeColor="text1"/>
          <w:lang w:val="en-GB"/>
        </w:rPr>
        <w:t>are</w:t>
      </w:r>
      <w:r w:rsidR="00474300" w:rsidRPr="004D1852">
        <w:rPr>
          <w:rFonts w:ascii="Times New Roman" w:hAnsi="Times New Roman" w:cs="Times New Roman"/>
          <w:bCs/>
          <w:color w:val="000000" w:themeColor="text1"/>
          <w:lang w:val="en-GB"/>
        </w:rPr>
        <w:t xml:space="preserve"> necessary to implement adaptation measures, including those to plan for and facilitate adaptive mobility. </w:t>
      </w:r>
      <w:r w:rsidR="00F227CE" w:rsidRPr="004D1852">
        <w:rPr>
          <w:rFonts w:ascii="Times New Roman" w:hAnsi="Times New Roman" w:cs="Times New Roman"/>
          <w:color w:val="000000" w:themeColor="text1"/>
          <w:lang w:val="en-GB"/>
        </w:rPr>
        <w:t>Cooperation and assistance are</w:t>
      </w:r>
      <w:r w:rsidR="00474300" w:rsidRPr="004D1852">
        <w:rPr>
          <w:rFonts w:ascii="Times New Roman" w:hAnsi="Times New Roman" w:cs="Times New Roman"/>
          <w:color w:val="000000" w:themeColor="text1"/>
          <w:lang w:val="en-GB"/>
        </w:rPr>
        <w:t xml:space="preserve"> key feature</w:t>
      </w:r>
      <w:r w:rsidR="0094540A">
        <w:rPr>
          <w:rFonts w:ascii="Times New Roman" w:hAnsi="Times New Roman" w:cs="Times New Roman"/>
          <w:color w:val="000000" w:themeColor="text1"/>
          <w:lang w:val="en-GB"/>
        </w:rPr>
        <w:t>s</w:t>
      </w:r>
      <w:r w:rsidR="00474300" w:rsidRPr="004D1852">
        <w:rPr>
          <w:rFonts w:ascii="Times New Roman" w:hAnsi="Times New Roman" w:cs="Times New Roman"/>
          <w:color w:val="000000" w:themeColor="text1"/>
          <w:lang w:val="en-GB"/>
        </w:rPr>
        <w:t xml:space="preserve"> of climate </w:t>
      </w:r>
      <w:r w:rsidR="00E327DF" w:rsidRPr="004D1852">
        <w:rPr>
          <w:rFonts w:ascii="Times New Roman" w:hAnsi="Times New Roman" w:cs="Times New Roman"/>
          <w:color w:val="000000" w:themeColor="text1"/>
          <w:lang w:val="en-GB"/>
        </w:rPr>
        <w:t>treaties</w:t>
      </w:r>
      <w:r w:rsidR="00B128F2" w:rsidRPr="004D1852">
        <w:rPr>
          <w:rFonts w:ascii="Times New Roman" w:hAnsi="Times New Roman" w:cs="Times New Roman"/>
          <w:color w:val="000000" w:themeColor="text1"/>
          <w:lang w:val="en-GB"/>
        </w:rPr>
        <w:t>, which include adaptation obligations to cooperate and assist</w:t>
      </w:r>
      <w:r w:rsidR="0014237B" w:rsidRPr="004D1852">
        <w:rPr>
          <w:rFonts w:ascii="Times New Roman" w:hAnsi="Times New Roman" w:cs="Times New Roman"/>
          <w:color w:val="000000" w:themeColor="text1"/>
          <w:lang w:val="en-GB"/>
        </w:rPr>
        <w:t xml:space="preserve">. </w:t>
      </w:r>
      <w:r w:rsidR="00E327DF" w:rsidRPr="004D1852">
        <w:rPr>
          <w:rFonts w:ascii="Times New Roman" w:hAnsi="Times New Roman" w:cs="Times New Roman"/>
          <w:color w:val="000000" w:themeColor="text1"/>
          <w:lang w:val="en-GB"/>
        </w:rPr>
        <w:t>These</w:t>
      </w:r>
      <w:r w:rsidR="00E327DF" w:rsidRPr="004D1852">
        <w:rPr>
          <w:rFonts w:ascii="Times New Roman" w:hAnsi="Times New Roman" w:cs="Times New Roman"/>
          <w:color w:val="000000" w:themeColor="text1"/>
          <w:lang w:val="en-GB"/>
        </w:rPr>
        <w:t xml:space="preserve"> </w:t>
      </w:r>
      <w:r w:rsidR="00F227CE" w:rsidRPr="004D1852">
        <w:rPr>
          <w:rFonts w:ascii="Times New Roman" w:hAnsi="Times New Roman" w:cs="Times New Roman"/>
          <w:color w:val="000000" w:themeColor="text1"/>
          <w:lang w:val="en-GB"/>
        </w:rPr>
        <w:t>treaties</w:t>
      </w:r>
      <w:r w:rsidR="0014237B" w:rsidRPr="004D1852">
        <w:rPr>
          <w:rFonts w:ascii="Times New Roman" w:hAnsi="Times New Roman" w:cs="Times New Roman"/>
          <w:color w:val="000000" w:themeColor="text1"/>
          <w:lang w:val="en-GB"/>
        </w:rPr>
        <w:t xml:space="preserve"> </w:t>
      </w:r>
      <w:r w:rsidR="00127BF8" w:rsidRPr="004D1852">
        <w:rPr>
          <w:rFonts w:ascii="Times New Roman" w:hAnsi="Times New Roman" w:cs="Times New Roman"/>
          <w:color w:val="000000" w:themeColor="text1"/>
          <w:lang w:val="en-GB"/>
        </w:rPr>
        <w:t xml:space="preserve">also </w:t>
      </w:r>
      <w:r w:rsidR="00B128F2" w:rsidRPr="004D1852">
        <w:rPr>
          <w:rFonts w:ascii="Times New Roman" w:hAnsi="Times New Roman" w:cs="Times New Roman"/>
          <w:color w:val="000000" w:themeColor="text1"/>
          <w:lang w:val="en-GB"/>
        </w:rPr>
        <w:t>d</w:t>
      </w:r>
      <w:r w:rsidR="0014237B" w:rsidRPr="004D1852">
        <w:rPr>
          <w:rFonts w:ascii="Times New Roman" w:hAnsi="Times New Roman" w:cs="Times New Roman"/>
          <w:color w:val="000000" w:themeColor="text1"/>
          <w:lang w:val="en-GB"/>
        </w:rPr>
        <w:t>ifferentiate between those who must provide support and those who should be prioritized in assistance</w:t>
      </w:r>
      <w:r w:rsidR="00127BF8" w:rsidRPr="004D1852">
        <w:rPr>
          <w:rFonts w:ascii="Times New Roman" w:hAnsi="Times New Roman" w:cs="Times New Roman"/>
          <w:color w:val="000000" w:themeColor="text1"/>
          <w:lang w:val="en-GB"/>
        </w:rPr>
        <w:t>. For adaptation, developed countries are required to assist developing country Parties in their adaptation efforts.</w:t>
      </w:r>
      <w:bookmarkStart w:id="0" w:name="_Ref80626340"/>
      <w:r w:rsidR="00FB57CB" w:rsidRPr="004D1852">
        <w:rPr>
          <w:rStyle w:val="FootnoteReference"/>
          <w:rFonts w:ascii="Times New Roman" w:hAnsi="Times New Roman" w:cs="Times New Roman"/>
        </w:rPr>
        <w:footnoteReference w:id="13"/>
      </w:r>
      <w:bookmarkEnd w:id="0"/>
      <w:r w:rsidR="00FB57CB" w:rsidRPr="004D1852">
        <w:rPr>
          <w:rFonts w:ascii="Times New Roman" w:hAnsi="Times New Roman" w:cs="Times New Roman"/>
          <w:color w:val="000000" w:themeColor="text1"/>
          <w:kern w:val="1"/>
          <w:u w:color="0000E9"/>
          <w:lang w:val="en-GB"/>
        </w:rPr>
        <w:t xml:space="preserve"> </w:t>
      </w:r>
      <w:r w:rsidR="00127BF8" w:rsidRPr="004D1852">
        <w:rPr>
          <w:rFonts w:ascii="Times New Roman" w:hAnsi="Times New Roman" w:cs="Times New Roman"/>
          <w:color w:val="000000" w:themeColor="text1"/>
          <w:lang w:val="en-GB"/>
        </w:rPr>
        <w:t xml:space="preserve">This is critical, as </w:t>
      </w:r>
      <w:r w:rsidR="005F7EE4" w:rsidRPr="004D1852">
        <w:rPr>
          <w:rFonts w:ascii="Times New Roman" w:hAnsi="Times New Roman" w:cs="Times New Roman"/>
          <w:color w:val="000000" w:themeColor="text1"/>
          <w:lang w:val="en-GB"/>
        </w:rPr>
        <w:t xml:space="preserve">it requires those countries that have contributed to and benefitted most from the causes of climate change to provide support to those most vulnerable </w:t>
      </w:r>
      <w:r w:rsidR="00260FF1" w:rsidRPr="004D1852">
        <w:rPr>
          <w:rFonts w:ascii="Times New Roman" w:hAnsi="Times New Roman" w:cs="Times New Roman"/>
          <w:color w:val="000000" w:themeColor="text1"/>
          <w:lang w:val="en-GB"/>
        </w:rPr>
        <w:t>and who face the brunt of its impacts.</w:t>
      </w:r>
      <w:r w:rsidR="005F7EE4" w:rsidRPr="004D1852">
        <w:rPr>
          <w:rFonts w:ascii="Times New Roman" w:hAnsi="Times New Roman" w:cs="Times New Roman"/>
          <w:color w:val="000000" w:themeColor="text1"/>
          <w:lang w:val="en-GB"/>
        </w:rPr>
        <w:t xml:space="preserve"> As the UNFCCC establishes, </w:t>
      </w:r>
      <w:r w:rsidR="003B72FC" w:rsidRPr="004D1852">
        <w:rPr>
          <w:rFonts w:ascii="Times New Roman" w:hAnsi="Times New Roman" w:cs="Times New Roman"/>
          <w:color w:val="000000" w:themeColor="text1"/>
          <w:lang w:val="en-GB"/>
        </w:rPr>
        <w:t>such</w:t>
      </w:r>
      <w:r w:rsidR="005F7EE4" w:rsidRPr="004D1852">
        <w:rPr>
          <w:rFonts w:ascii="Times New Roman" w:hAnsi="Times New Roman" w:cs="Times New Roman"/>
          <w:color w:val="000000" w:themeColor="text1"/>
          <w:lang w:val="en-GB"/>
        </w:rPr>
        <w:t xml:space="preserve"> support is </w:t>
      </w:r>
      <w:r w:rsidR="00260FF1" w:rsidRPr="004D1852">
        <w:rPr>
          <w:rFonts w:ascii="Times New Roman" w:hAnsi="Times New Roman" w:cs="Times New Roman"/>
          <w:color w:val="000000" w:themeColor="text1"/>
          <w:lang w:val="en-GB"/>
        </w:rPr>
        <w:t xml:space="preserve">central to climate efforts: performance of developing countries’ obligations </w:t>
      </w:r>
      <w:r w:rsidR="00990808" w:rsidRPr="004D1852">
        <w:rPr>
          <w:rFonts w:ascii="Times New Roman" w:hAnsi="Times New Roman" w:cs="Times New Roman"/>
          <w:color w:val="000000" w:themeColor="text1"/>
          <w:lang w:val="en-GB"/>
        </w:rPr>
        <w:t>is</w:t>
      </w:r>
      <w:r w:rsidR="00260FF1" w:rsidRPr="004D1852">
        <w:rPr>
          <w:rFonts w:ascii="Times New Roman" w:hAnsi="Times New Roman" w:cs="Times New Roman"/>
          <w:color w:val="000000" w:themeColor="text1"/>
          <w:lang w:val="en-GB"/>
        </w:rPr>
        <w:t xml:space="preserve"> dependent on “the effective implementation by developed country Parties of their commitments ... related to financial resources and transfer of technology”.</w:t>
      </w:r>
      <w:r w:rsidR="00260FF1" w:rsidRPr="004D1852">
        <w:rPr>
          <w:rFonts w:ascii="Times New Roman" w:hAnsi="Times New Roman" w:cs="Times New Roman"/>
          <w:color w:val="000000" w:themeColor="text1"/>
          <w:vertAlign w:val="superscript"/>
        </w:rPr>
        <w:footnoteReference w:id="14"/>
      </w:r>
      <w:r w:rsidR="00847761" w:rsidRPr="004D1852">
        <w:rPr>
          <w:rFonts w:ascii="Times New Roman" w:hAnsi="Times New Roman" w:cs="Times New Roman"/>
          <w:color w:val="000000" w:themeColor="text1"/>
          <w:lang w:val="en-GB"/>
        </w:rPr>
        <w:t xml:space="preserve"> </w:t>
      </w:r>
      <w:r w:rsidR="006648B8" w:rsidRPr="004D1852">
        <w:rPr>
          <w:rFonts w:ascii="Times New Roman" w:hAnsi="Times New Roman" w:cs="Times New Roman"/>
          <w:color w:val="000000" w:themeColor="text1"/>
          <w:lang w:val="en-GB"/>
        </w:rPr>
        <w:t>It is also consistent with the CBDRRC principle, which places the onus on developed countries to take the lead in combating climate change.</w:t>
      </w:r>
      <w:r w:rsidR="006648B8" w:rsidRPr="004D1852">
        <w:rPr>
          <w:rStyle w:val="FootnoteReference"/>
          <w:rFonts w:ascii="Times New Roman" w:hAnsi="Times New Roman" w:cs="Times New Roman"/>
          <w:color w:val="000000" w:themeColor="text1"/>
          <w:lang w:val="en-GB"/>
        </w:rPr>
        <w:footnoteReference w:id="15"/>
      </w:r>
    </w:p>
    <w:p w14:paraId="7A81B5B4" w14:textId="77777777" w:rsidR="0062341C" w:rsidRPr="004D1852" w:rsidRDefault="0062341C" w:rsidP="004D1852">
      <w:pPr>
        <w:jc w:val="both"/>
        <w:rPr>
          <w:rFonts w:ascii="Times New Roman" w:hAnsi="Times New Roman" w:cs="Times New Roman"/>
          <w:color w:val="000000" w:themeColor="text1"/>
          <w:lang w:val="en-GB"/>
        </w:rPr>
      </w:pPr>
    </w:p>
    <w:p w14:paraId="50A03743" w14:textId="742EDE49" w:rsidR="00127BF8" w:rsidRPr="004D1852" w:rsidRDefault="00E96DFB" w:rsidP="004D1852">
      <w:pPr>
        <w:jc w:val="both"/>
        <w:rPr>
          <w:rFonts w:ascii="Times New Roman" w:hAnsi="Times New Roman" w:cs="Times New Roman"/>
          <w:color w:val="000000" w:themeColor="text1"/>
          <w:lang w:val="en-GB"/>
        </w:rPr>
      </w:pPr>
      <w:r w:rsidRPr="004D1852">
        <w:rPr>
          <w:rFonts w:ascii="Times New Roman" w:hAnsi="Times New Roman" w:cs="Times New Roman"/>
          <w:color w:val="000000" w:themeColor="text1"/>
          <w:lang w:val="en-GB"/>
        </w:rPr>
        <w:t>The Paris Agreement makes clear that support for developing countries in meeting their adaptation obligations must be “continuous and enhanced</w:t>
      </w:r>
      <w:r w:rsidR="00227FA7" w:rsidRPr="004D1852">
        <w:rPr>
          <w:rFonts w:ascii="Times New Roman" w:hAnsi="Times New Roman" w:cs="Times New Roman"/>
          <w:color w:val="000000" w:themeColor="text1"/>
          <w:lang w:val="en-GB"/>
        </w:rPr>
        <w:t>”</w:t>
      </w:r>
      <w:r w:rsidRPr="004D1852">
        <w:rPr>
          <w:rFonts w:ascii="Times New Roman" w:hAnsi="Times New Roman" w:cs="Times New Roman"/>
          <w:color w:val="000000" w:themeColor="text1"/>
          <w:lang w:val="en-GB"/>
        </w:rPr>
        <w:t>.</w:t>
      </w:r>
      <w:r w:rsidR="00847761" w:rsidRPr="004D1852">
        <w:rPr>
          <w:rStyle w:val="FootnoteReference"/>
          <w:rFonts w:ascii="Times New Roman" w:hAnsi="Times New Roman" w:cs="Times New Roman"/>
          <w:color w:val="000000" w:themeColor="text1"/>
          <w:lang w:val="en-GB"/>
        </w:rPr>
        <w:footnoteReference w:id="16"/>
      </w:r>
      <w:r w:rsidRPr="004D1852">
        <w:rPr>
          <w:rFonts w:ascii="Times New Roman" w:hAnsi="Times New Roman" w:cs="Times New Roman"/>
          <w:color w:val="000000" w:themeColor="text1"/>
          <w:lang w:val="en-GB"/>
        </w:rPr>
        <w:t xml:space="preserve"> Financial support, in particular, is required from developed country Parties.</w:t>
      </w:r>
      <w:r w:rsidRPr="004D1852">
        <w:rPr>
          <w:rStyle w:val="FootnoteReference"/>
          <w:rFonts w:ascii="Times New Roman" w:hAnsi="Times New Roman" w:cs="Times New Roman"/>
          <w:color w:val="000000" w:themeColor="text1"/>
          <w:lang w:val="en-GB"/>
        </w:rPr>
        <w:footnoteReference w:id="17"/>
      </w:r>
      <w:r w:rsidR="00847761" w:rsidRPr="004D1852">
        <w:rPr>
          <w:rFonts w:ascii="Times New Roman" w:hAnsi="Times New Roman" w:cs="Times New Roman"/>
          <w:color w:val="000000" w:themeColor="text1"/>
          <w:lang w:val="en-GB"/>
        </w:rPr>
        <w:t xml:space="preserve"> As with obligations to plan for and implement adaptation, human rights duties bolster the case that support for adaptation from developed countries is a legal requirement. </w:t>
      </w:r>
      <w:r w:rsidR="00A10253" w:rsidRPr="004D1852">
        <w:rPr>
          <w:rFonts w:ascii="Times New Roman" w:hAnsi="Times New Roman" w:cs="Times New Roman"/>
          <w:color w:val="000000" w:themeColor="text1"/>
          <w:lang w:val="en-GB"/>
        </w:rPr>
        <w:t xml:space="preserve">For example, assistance and cooperation play an “essential role” in realizing of economic, cultural, and social rights, which “is </w:t>
      </w:r>
      <w:r w:rsidR="00A10253" w:rsidRPr="004D1852">
        <w:rPr>
          <w:rFonts w:ascii="Times New Roman" w:hAnsi="Times New Roman" w:cs="Times New Roman"/>
          <w:iCs/>
          <w:color w:val="000000" w:themeColor="text1"/>
          <w:lang w:val="en-GB"/>
        </w:rPr>
        <w:t>particularly incumbent”</w:t>
      </w:r>
      <w:r w:rsidR="00A10253" w:rsidRPr="004D1852">
        <w:rPr>
          <w:rFonts w:ascii="Times New Roman" w:hAnsi="Times New Roman" w:cs="Times New Roman"/>
          <w:color w:val="000000" w:themeColor="text1"/>
          <w:lang w:val="en-GB"/>
        </w:rPr>
        <w:t xml:space="preserve"> on those States—namely developed countries—that have the ability to assist.</w:t>
      </w:r>
      <w:r w:rsidR="00A10253" w:rsidRPr="004D1852">
        <w:rPr>
          <w:rFonts w:ascii="Times New Roman" w:hAnsi="Times New Roman" w:cs="Times New Roman"/>
          <w:color w:val="000000" w:themeColor="text1"/>
          <w:vertAlign w:val="superscript"/>
        </w:rPr>
        <w:footnoteReference w:id="18"/>
      </w:r>
      <w:r w:rsidR="00085B23" w:rsidRPr="004D1852">
        <w:rPr>
          <w:rFonts w:ascii="Times New Roman" w:hAnsi="Times New Roman" w:cs="Times New Roman"/>
          <w:color w:val="000000" w:themeColor="text1"/>
          <w:lang w:val="en-GB"/>
        </w:rPr>
        <w:t xml:space="preserve"> Thus</w:t>
      </w:r>
      <w:r w:rsidR="003129C4" w:rsidRPr="004D1852">
        <w:rPr>
          <w:rFonts w:ascii="Times New Roman" w:hAnsi="Times New Roman" w:cs="Times New Roman"/>
          <w:color w:val="000000" w:themeColor="text1"/>
          <w:lang w:val="en-GB"/>
        </w:rPr>
        <w:t xml:space="preserve">, when developing countries </w:t>
      </w:r>
      <w:r w:rsidR="008B19F3" w:rsidRPr="004D1852">
        <w:rPr>
          <w:rFonts w:ascii="Times New Roman" w:hAnsi="Times New Roman" w:cs="Times New Roman"/>
          <w:color w:val="000000" w:themeColor="text1"/>
          <w:lang w:val="en-GB"/>
        </w:rPr>
        <w:t>take</w:t>
      </w:r>
      <w:r w:rsidR="003129C4" w:rsidRPr="004D1852">
        <w:rPr>
          <w:rFonts w:ascii="Times New Roman" w:hAnsi="Times New Roman" w:cs="Times New Roman"/>
          <w:color w:val="000000" w:themeColor="text1"/>
          <w:lang w:val="en-GB"/>
        </w:rPr>
        <w:t xml:space="preserve"> adaptive measures to address foreseeable risks and ensure human rights, including by planning for and facilitating mobility, developed countries must </w:t>
      </w:r>
      <w:r w:rsidR="003C6911" w:rsidRPr="004D1852">
        <w:rPr>
          <w:rFonts w:ascii="Times New Roman" w:hAnsi="Times New Roman" w:cs="Times New Roman"/>
          <w:color w:val="000000" w:themeColor="text1"/>
          <w:lang w:val="en-GB"/>
        </w:rPr>
        <w:t>provide support.</w:t>
      </w:r>
      <w:r w:rsidR="003C6911" w:rsidRPr="004D1852">
        <w:rPr>
          <w:rStyle w:val="FootnoteReference"/>
          <w:rFonts w:ascii="Times New Roman" w:hAnsi="Times New Roman" w:cs="Times New Roman"/>
          <w:color w:val="000000" w:themeColor="text1"/>
          <w:lang w:val="en-GB"/>
        </w:rPr>
        <w:footnoteReference w:id="19"/>
      </w:r>
      <w:r w:rsidR="0062341C" w:rsidRPr="004D1852">
        <w:rPr>
          <w:rFonts w:ascii="Times New Roman" w:hAnsi="Times New Roman" w:cs="Times New Roman"/>
          <w:color w:val="000000" w:themeColor="text1"/>
          <w:lang w:val="en-GB"/>
        </w:rPr>
        <w:t xml:space="preserve"> </w:t>
      </w:r>
    </w:p>
    <w:p w14:paraId="36F9F620" w14:textId="77777777" w:rsidR="008877CB" w:rsidRPr="004D1852" w:rsidRDefault="008877CB" w:rsidP="004D1852">
      <w:pPr>
        <w:jc w:val="both"/>
        <w:rPr>
          <w:rFonts w:ascii="Times New Roman" w:hAnsi="Times New Roman" w:cs="Times New Roman"/>
          <w:b/>
          <w:bCs/>
          <w:color w:val="000000" w:themeColor="text1"/>
          <w:lang w:val="en-GB"/>
        </w:rPr>
      </w:pPr>
    </w:p>
    <w:p w14:paraId="5959CA8E" w14:textId="06F0A3F7" w:rsidR="00C3318F" w:rsidRPr="004D1852" w:rsidRDefault="005D3479" w:rsidP="004D1852">
      <w:pPr>
        <w:jc w:val="both"/>
        <w:rPr>
          <w:rFonts w:ascii="Times New Roman" w:hAnsi="Times New Roman" w:cs="Times New Roman"/>
          <w:color w:val="000000" w:themeColor="text1"/>
          <w:lang w:val="en-GB"/>
        </w:rPr>
      </w:pPr>
      <w:r w:rsidRPr="004D1852">
        <w:rPr>
          <w:rFonts w:ascii="Times New Roman" w:hAnsi="Times New Roman" w:cs="Times New Roman"/>
          <w:b/>
          <w:bCs/>
          <w:i/>
          <w:iCs/>
          <w:color w:val="000000" w:themeColor="text1"/>
          <w:lang w:val="en-GB"/>
        </w:rPr>
        <w:t xml:space="preserve">Recent </w:t>
      </w:r>
      <w:r w:rsidR="0092387E" w:rsidRPr="004D1852">
        <w:rPr>
          <w:rFonts w:ascii="Times New Roman" w:hAnsi="Times New Roman" w:cs="Times New Roman"/>
          <w:b/>
          <w:bCs/>
          <w:i/>
          <w:iCs/>
          <w:color w:val="000000" w:themeColor="text1"/>
          <w:lang w:val="en-GB"/>
        </w:rPr>
        <w:t>guidance</w:t>
      </w:r>
      <w:r w:rsidRPr="004D1852">
        <w:rPr>
          <w:rFonts w:ascii="Times New Roman" w:hAnsi="Times New Roman" w:cs="Times New Roman"/>
          <w:b/>
          <w:bCs/>
          <w:i/>
          <w:iCs/>
          <w:color w:val="000000" w:themeColor="text1"/>
          <w:lang w:val="en-GB"/>
        </w:rPr>
        <w:t xml:space="preserve"> from the Human Rights Committee</w:t>
      </w:r>
      <w:r w:rsidR="00471B6C" w:rsidRPr="004D1852">
        <w:rPr>
          <w:rFonts w:ascii="Times New Roman" w:hAnsi="Times New Roman" w:cs="Times New Roman"/>
          <w:i/>
          <w:iCs/>
          <w:color w:val="000000" w:themeColor="text1"/>
          <w:lang w:val="en-GB"/>
        </w:rPr>
        <w:t xml:space="preserve">: </w:t>
      </w:r>
      <w:r w:rsidRPr="004D1852">
        <w:rPr>
          <w:rFonts w:ascii="Times New Roman" w:hAnsi="Times New Roman" w:cs="Times New Roman"/>
          <w:color w:val="000000" w:themeColor="text1"/>
          <w:lang w:val="en-GB"/>
        </w:rPr>
        <w:t>Finally, t</w:t>
      </w:r>
      <w:r w:rsidR="006604BC" w:rsidRPr="004D1852">
        <w:rPr>
          <w:rFonts w:ascii="Times New Roman" w:hAnsi="Times New Roman" w:cs="Times New Roman"/>
          <w:color w:val="000000" w:themeColor="text1"/>
          <w:lang w:val="en-GB"/>
        </w:rPr>
        <w:t xml:space="preserve">he </w:t>
      </w:r>
      <w:r w:rsidR="00274ACE" w:rsidRPr="004D1852">
        <w:rPr>
          <w:rFonts w:ascii="Times New Roman" w:hAnsi="Times New Roman" w:cs="Times New Roman"/>
          <w:color w:val="000000" w:themeColor="text1"/>
          <w:lang w:val="en-GB"/>
        </w:rPr>
        <w:t>importance</w:t>
      </w:r>
      <w:r w:rsidR="005E7090" w:rsidRPr="004D1852">
        <w:rPr>
          <w:rFonts w:ascii="Times New Roman" w:hAnsi="Times New Roman" w:cs="Times New Roman"/>
          <w:color w:val="000000" w:themeColor="text1"/>
          <w:lang w:val="en-GB"/>
        </w:rPr>
        <w:t xml:space="preserve"> of </w:t>
      </w:r>
      <w:r w:rsidR="00210669" w:rsidRPr="004D1852">
        <w:rPr>
          <w:rFonts w:ascii="Times New Roman" w:hAnsi="Times New Roman" w:cs="Times New Roman"/>
          <w:color w:val="000000" w:themeColor="text1"/>
          <w:lang w:val="en-GB"/>
        </w:rPr>
        <w:t>human rights to climate action</w:t>
      </w:r>
      <w:r w:rsidR="005E7090" w:rsidRPr="004D1852">
        <w:rPr>
          <w:rFonts w:ascii="Times New Roman" w:hAnsi="Times New Roman" w:cs="Times New Roman"/>
          <w:color w:val="000000" w:themeColor="text1"/>
          <w:lang w:val="en-GB"/>
        </w:rPr>
        <w:t xml:space="preserve">, and </w:t>
      </w:r>
      <w:r w:rsidR="00210669" w:rsidRPr="004D1852">
        <w:rPr>
          <w:rFonts w:ascii="Times New Roman" w:hAnsi="Times New Roman" w:cs="Times New Roman"/>
          <w:color w:val="000000" w:themeColor="text1"/>
          <w:lang w:val="en-GB"/>
        </w:rPr>
        <w:t>the</w:t>
      </w:r>
      <w:r w:rsidR="005E7090" w:rsidRPr="004D1852">
        <w:rPr>
          <w:rFonts w:ascii="Times New Roman" w:hAnsi="Times New Roman" w:cs="Times New Roman"/>
          <w:color w:val="000000" w:themeColor="text1"/>
          <w:lang w:val="en-GB"/>
        </w:rPr>
        <w:t xml:space="preserve"> interaction </w:t>
      </w:r>
      <w:r w:rsidR="00210669" w:rsidRPr="004D1852">
        <w:rPr>
          <w:rFonts w:ascii="Times New Roman" w:hAnsi="Times New Roman" w:cs="Times New Roman"/>
          <w:color w:val="000000" w:themeColor="text1"/>
          <w:lang w:val="en-GB"/>
        </w:rPr>
        <w:t xml:space="preserve">between </w:t>
      </w:r>
      <w:r w:rsidR="00251334" w:rsidRPr="004D1852">
        <w:rPr>
          <w:rFonts w:ascii="Times New Roman" w:hAnsi="Times New Roman" w:cs="Times New Roman"/>
          <w:color w:val="000000" w:themeColor="text1"/>
          <w:lang w:val="en-GB"/>
        </w:rPr>
        <w:t>climate obligations and human rights law</w:t>
      </w:r>
      <w:r w:rsidR="00210669" w:rsidRPr="004D1852">
        <w:rPr>
          <w:rFonts w:ascii="Times New Roman" w:hAnsi="Times New Roman" w:cs="Times New Roman"/>
          <w:color w:val="000000" w:themeColor="text1"/>
          <w:lang w:val="en-GB"/>
        </w:rPr>
        <w:t>,</w:t>
      </w:r>
      <w:r w:rsidR="005E7090" w:rsidRPr="004D1852">
        <w:rPr>
          <w:rFonts w:ascii="Times New Roman" w:hAnsi="Times New Roman" w:cs="Times New Roman"/>
          <w:color w:val="000000" w:themeColor="text1"/>
          <w:lang w:val="en-GB"/>
        </w:rPr>
        <w:t xml:space="preserve"> is </w:t>
      </w:r>
      <w:r w:rsidR="001B1FB1" w:rsidRPr="004D1852">
        <w:rPr>
          <w:rFonts w:ascii="Times New Roman" w:hAnsi="Times New Roman" w:cs="Times New Roman"/>
          <w:color w:val="000000" w:themeColor="text1"/>
          <w:lang w:val="en-GB"/>
        </w:rPr>
        <w:t xml:space="preserve">also </w:t>
      </w:r>
      <w:r w:rsidR="00210669" w:rsidRPr="004D1852">
        <w:rPr>
          <w:rFonts w:ascii="Times New Roman" w:hAnsi="Times New Roman" w:cs="Times New Roman"/>
          <w:color w:val="000000" w:themeColor="text1"/>
          <w:lang w:val="en-GB"/>
        </w:rPr>
        <w:t>highlighted by the Human Rights Committee</w:t>
      </w:r>
      <w:r w:rsidR="0042256B" w:rsidRPr="004D1852">
        <w:rPr>
          <w:rFonts w:ascii="Times New Roman" w:hAnsi="Times New Roman" w:cs="Times New Roman"/>
          <w:color w:val="000000" w:themeColor="text1"/>
          <w:lang w:val="en-GB"/>
        </w:rPr>
        <w:t>. This</w:t>
      </w:r>
      <w:r w:rsidR="008320D9" w:rsidRPr="004D1852">
        <w:rPr>
          <w:rFonts w:ascii="Times New Roman" w:hAnsi="Times New Roman" w:cs="Times New Roman"/>
          <w:color w:val="000000" w:themeColor="text1"/>
          <w:lang w:val="en-GB"/>
        </w:rPr>
        <w:t xml:space="preserve"> </w:t>
      </w:r>
      <w:r w:rsidR="00274ACE" w:rsidRPr="004D1852">
        <w:rPr>
          <w:rFonts w:ascii="Times New Roman" w:hAnsi="Times New Roman" w:cs="Times New Roman"/>
          <w:color w:val="000000" w:themeColor="text1"/>
          <w:lang w:val="en-GB"/>
        </w:rPr>
        <w:t>bolster</w:t>
      </w:r>
      <w:r w:rsidR="008320D9" w:rsidRPr="004D1852">
        <w:rPr>
          <w:rFonts w:ascii="Times New Roman" w:hAnsi="Times New Roman" w:cs="Times New Roman"/>
          <w:color w:val="000000" w:themeColor="text1"/>
          <w:lang w:val="en-GB"/>
        </w:rPr>
        <w:t>s</w:t>
      </w:r>
      <w:r w:rsidR="00274ACE" w:rsidRPr="004D1852">
        <w:rPr>
          <w:rFonts w:ascii="Times New Roman" w:hAnsi="Times New Roman" w:cs="Times New Roman"/>
          <w:color w:val="000000" w:themeColor="text1"/>
          <w:lang w:val="en-GB"/>
        </w:rPr>
        <w:t xml:space="preserve"> arguments for integrating rights</w:t>
      </w:r>
      <w:r w:rsidR="001B1FB1" w:rsidRPr="004D1852">
        <w:rPr>
          <w:rFonts w:ascii="Times New Roman" w:hAnsi="Times New Roman" w:cs="Times New Roman"/>
          <w:color w:val="000000" w:themeColor="text1"/>
          <w:lang w:val="en-GB"/>
        </w:rPr>
        <w:t xml:space="preserve"> and proactive, anticipatory adaptation</w:t>
      </w:r>
      <w:r w:rsidR="008320D9" w:rsidRPr="004D1852">
        <w:rPr>
          <w:rFonts w:ascii="Times New Roman" w:hAnsi="Times New Roman" w:cs="Times New Roman"/>
          <w:color w:val="000000" w:themeColor="text1"/>
          <w:lang w:val="en-GB"/>
        </w:rPr>
        <w:t xml:space="preserve"> in at least three ways</w:t>
      </w:r>
      <w:r w:rsidR="00C3318F" w:rsidRPr="004D1852">
        <w:rPr>
          <w:rFonts w:ascii="Times New Roman" w:hAnsi="Times New Roman" w:cs="Times New Roman"/>
          <w:color w:val="000000" w:themeColor="text1"/>
          <w:lang w:val="en-GB"/>
        </w:rPr>
        <w:t xml:space="preserve">. </w:t>
      </w:r>
      <w:r w:rsidR="008320D9" w:rsidRPr="004D1852">
        <w:rPr>
          <w:rFonts w:ascii="Times New Roman" w:hAnsi="Times New Roman" w:cs="Times New Roman"/>
          <w:color w:val="000000" w:themeColor="text1"/>
          <w:lang w:val="en-GB"/>
        </w:rPr>
        <w:t>First</w:t>
      </w:r>
      <w:r w:rsidR="00C3318F" w:rsidRPr="004D1852">
        <w:rPr>
          <w:rFonts w:ascii="Times New Roman" w:hAnsi="Times New Roman" w:cs="Times New Roman"/>
          <w:color w:val="000000" w:themeColor="text1"/>
          <w:lang w:val="en-GB"/>
        </w:rPr>
        <w:t xml:space="preserve">, </w:t>
      </w:r>
      <w:r w:rsidR="00AA0C05" w:rsidRPr="004D1852">
        <w:rPr>
          <w:rFonts w:ascii="Times New Roman" w:hAnsi="Times New Roman" w:cs="Times New Roman"/>
          <w:color w:val="000000" w:themeColor="text1"/>
          <w:lang w:val="en-GB"/>
        </w:rPr>
        <w:t xml:space="preserve">the interpretive process outlined above has been accepted and recommended by the Committee. In </w:t>
      </w:r>
      <w:r w:rsidR="00AA0C05" w:rsidRPr="004D1852">
        <w:rPr>
          <w:rFonts w:ascii="Times New Roman" w:hAnsi="Times New Roman" w:cs="Times New Roman"/>
          <w:i/>
          <w:iCs/>
          <w:color w:val="000000" w:themeColor="text1"/>
          <w:lang w:val="en-GB"/>
        </w:rPr>
        <w:t>Billy et al. v Australia</w:t>
      </w:r>
      <w:r w:rsidR="00AA0C05" w:rsidRPr="004D1852">
        <w:rPr>
          <w:rFonts w:ascii="Times New Roman" w:hAnsi="Times New Roman" w:cs="Times New Roman"/>
          <w:color w:val="000000" w:themeColor="text1"/>
          <w:lang w:val="en-GB"/>
        </w:rPr>
        <w:t xml:space="preserve">, the Committee accepted the argument that climate obligations—including those on mitigation and adaptation—are </w:t>
      </w:r>
      <w:r w:rsidR="00866BDA" w:rsidRPr="004D1852">
        <w:rPr>
          <w:rFonts w:ascii="Times New Roman" w:hAnsi="Times New Roman" w:cs="Times New Roman"/>
          <w:color w:val="000000" w:themeColor="text1"/>
          <w:lang w:val="en-GB"/>
        </w:rPr>
        <w:t>relevant to interpreting States’ human rights duties.</w:t>
      </w:r>
      <w:r w:rsidR="00866BDA" w:rsidRPr="004D1852">
        <w:rPr>
          <w:rStyle w:val="FootnoteReference"/>
          <w:rFonts w:ascii="Times New Roman" w:hAnsi="Times New Roman" w:cs="Times New Roman"/>
          <w:color w:val="000000" w:themeColor="text1"/>
          <w:lang w:val="en-GB"/>
        </w:rPr>
        <w:footnoteReference w:id="20"/>
      </w:r>
      <w:r w:rsidR="00866BDA" w:rsidRPr="004D1852">
        <w:rPr>
          <w:rFonts w:ascii="Times New Roman" w:hAnsi="Times New Roman" w:cs="Times New Roman"/>
          <w:color w:val="000000" w:themeColor="text1"/>
          <w:lang w:val="en-GB"/>
        </w:rPr>
        <w:t xml:space="preserve"> The argument to integrate human rights into the interpretation of adaptation obligations </w:t>
      </w:r>
      <w:r w:rsidR="0042256B" w:rsidRPr="004D1852">
        <w:rPr>
          <w:rFonts w:ascii="Times New Roman" w:hAnsi="Times New Roman" w:cs="Times New Roman"/>
          <w:color w:val="000000" w:themeColor="text1"/>
          <w:lang w:val="en-GB"/>
        </w:rPr>
        <w:t>argues</w:t>
      </w:r>
      <w:r w:rsidR="00866BDA" w:rsidRPr="004D1852">
        <w:rPr>
          <w:rFonts w:ascii="Times New Roman" w:hAnsi="Times New Roman" w:cs="Times New Roman"/>
          <w:color w:val="000000" w:themeColor="text1"/>
          <w:lang w:val="en-GB"/>
        </w:rPr>
        <w:t xml:space="preserve"> the same, in reverse. And both</w:t>
      </w:r>
      <w:r w:rsidR="0042256B" w:rsidRPr="004D1852">
        <w:rPr>
          <w:rFonts w:ascii="Times New Roman" w:hAnsi="Times New Roman" w:cs="Times New Roman"/>
          <w:color w:val="000000" w:themeColor="text1"/>
          <w:lang w:val="en-GB"/>
        </w:rPr>
        <w:t xml:space="preserve"> arguments</w:t>
      </w:r>
      <w:r w:rsidR="00866BDA" w:rsidRPr="004D1852">
        <w:rPr>
          <w:rFonts w:ascii="Times New Roman" w:hAnsi="Times New Roman" w:cs="Times New Roman"/>
          <w:color w:val="000000" w:themeColor="text1"/>
          <w:lang w:val="en-GB"/>
        </w:rPr>
        <w:t xml:space="preserve"> align with </w:t>
      </w:r>
      <w:r w:rsidR="0094540A">
        <w:rPr>
          <w:rFonts w:ascii="Times New Roman" w:hAnsi="Times New Roman" w:cs="Times New Roman"/>
          <w:color w:val="000000" w:themeColor="text1"/>
          <w:lang w:val="en-GB"/>
        </w:rPr>
        <w:t>G</w:t>
      </w:r>
      <w:r w:rsidR="00866BDA" w:rsidRPr="004D1852">
        <w:rPr>
          <w:rFonts w:ascii="Times New Roman" w:hAnsi="Times New Roman" w:cs="Times New Roman"/>
          <w:color w:val="000000" w:themeColor="text1"/>
          <w:lang w:val="en-GB"/>
        </w:rPr>
        <w:t xml:space="preserve">eneral </w:t>
      </w:r>
      <w:r w:rsidR="0094540A">
        <w:rPr>
          <w:rFonts w:ascii="Times New Roman" w:hAnsi="Times New Roman" w:cs="Times New Roman"/>
          <w:color w:val="000000" w:themeColor="text1"/>
          <w:lang w:val="en-GB"/>
        </w:rPr>
        <w:t>C</w:t>
      </w:r>
      <w:r w:rsidR="00866BDA" w:rsidRPr="004D1852">
        <w:rPr>
          <w:rFonts w:ascii="Times New Roman" w:hAnsi="Times New Roman" w:cs="Times New Roman"/>
          <w:color w:val="000000" w:themeColor="text1"/>
          <w:lang w:val="en-GB"/>
        </w:rPr>
        <w:t xml:space="preserve">omment 36, which recommends that obligations from international environmental law inform the </w:t>
      </w:r>
      <w:r w:rsidR="008633B2" w:rsidRPr="004D1852">
        <w:rPr>
          <w:rFonts w:ascii="Times New Roman" w:hAnsi="Times New Roman" w:cs="Times New Roman"/>
          <w:color w:val="000000" w:themeColor="text1"/>
          <w:lang w:val="en-GB"/>
        </w:rPr>
        <w:t>content</w:t>
      </w:r>
      <w:r w:rsidR="008633B2" w:rsidRPr="004D1852">
        <w:rPr>
          <w:rFonts w:ascii="Times New Roman" w:hAnsi="Times New Roman" w:cs="Times New Roman"/>
          <w:color w:val="000000" w:themeColor="text1"/>
          <w:lang w:val="en-GB"/>
        </w:rPr>
        <w:t xml:space="preserve"> </w:t>
      </w:r>
      <w:r w:rsidR="00866BDA" w:rsidRPr="004D1852">
        <w:rPr>
          <w:rFonts w:ascii="Times New Roman" w:hAnsi="Times New Roman" w:cs="Times New Roman"/>
          <w:color w:val="000000" w:themeColor="text1"/>
          <w:lang w:val="en-GB"/>
        </w:rPr>
        <w:t xml:space="preserve">of the right to life, </w:t>
      </w:r>
      <w:r w:rsidR="00866BDA" w:rsidRPr="004D1852">
        <w:rPr>
          <w:rFonts w:ascii="Times New Roman" w:hAnsi="Times New Roman" w:cs="Times New Roman"/>
          <w:color w:val="000000" w:themeColor="text1"/>
          <w:lang w:val="en-GB"/>
        </w:rPr>
        <w:lastRenderedPageBreak/>
        <w:t>and vice-versa.</w:t>
      </w:r>
      <w:r w:rsidR="001554A8" w:rsidRPr="004D1852">
        <w:rPr>
          <w:rStyle w:val="FootnoteReference"/>
          <w:rFonts w:ascii="Times New Roman" w:hAnsi="Times New Roman" w:cs="Times New Roman"/>
          <w:color w:val="000000" w:themeColor="text1"/>
          <w:lang w:val="en-GB"/>
        </w:rPr>
        <w:footnoteReference w:id="21"/>
      </w:r>
      <w:r w:rsidR="00866BDA" w:rsidRPr="004D1852">
        <w:rPr>
          <w:rFonts w:ascii="Times New Roman" w:hAnsi="Times New Roman" w:cs="Times New Roman"/>
          <w:color w:val="000000" w:themeColor="text1"/>
          <w:lang w:val="en-GB"/>
        </w:rPr>
        <w:t xml:space="preserve"> </w:t>
      </w:r>
      <w:r w:rsidR="00B82FCE" w:rsidRPr="004D1852">
        <w:rPr>
          <w:rFonts w:ascii="Times New Roman" w:hAnsi="Times New Roman" w:cs="Times New Roman"/>
          <w:color w:val="000000" w:themeColor="text1"/>
          <w:lang w:val="en-GB"/>
        </w:rPr>
        <w:t>Second, the Committee is increasingly emphasizing the need for a “precautionary approach” to satisfy rights obligations.</w:t>
      </w:r>
      <w:r w:rsidR="00B82FCE" w:rsidRPr="004D1852">
        <w:rPr>
          <w:rStyle w:val="FootnoteReference"/>
          <w:rFonts w:ascii="Times New Roman" w:hAnsi="Times New Roman" w:cs="Times New Roman"/>
          <w:color w:val="000000" w:themeColor="text1"/>
          <w:lang w:val="en-GB"/>
        </w:rPr>
        <w:footnoteReference w:id="22"/>
      </w:r>
      <w:r w:rsidR="00866BDA" w:rsidRPr="004D1852">
        <w:rPr>
          <w:rFonts w:ascii="Times New Roman" w:hAnsi="Times New Roman" w:cs="Times New Roman"/>
          <w:color w:val="000000" w:themeColor="text1"/>
          <w:lang w:val="en-GB"/>
        </w:rPr>
        <w:t xml:space="preserve">  </w:t>
      </w:r>
    </w:p>
    <w:p w14:paraId="1BFCDF69" w14:textId="2AD1AC25" w:rsidR="00821E4C" w:rsidRPr="004D1852" w:rsidRDefault="00821E4C" w:rsidP="004D1852">
      <w:pPr>
        <w:jc w:val="both"/>
        <w:rPr>
          <w:rFonts w:ascii="Times New Roman" w:hAnsi="Times New Roman" w:cs="Times New Roman"/>
          <w:color w:val="000000" w:themeColor="text1"/>
          <w:lang w:val="en-GB"/>
        </w:rPr>
      </w:pPr>
    </w:p>
    <w:p w14:paraId="480BA2F3" w14:textId="18A457AC" w:rsidR="0050798E" w:rsidRPr="00E72D3C" w:rsidRDefault="00B82FCE" w:rsidP="004D1852">
      <w:pPr>
        <w:jc w:val="both"/>
        <w:rPr>
          <w:rFonts w:ascii="Times New Roman" w:hAnsi="Times New Roman" w:cs="Times New Roman"/>
          <w:color w:val="000000" w:themeColor="text1"/>
          <w:lang w:val="en-GB"/>
        </w:rPr>
      </w:pPr>
      <w:r w:rsidRPr="004D1852">
        <w:rPr>
          <w:rFonts w:ascii="Times New Roman" w:hAnsi="Times New Roman" w:cs="Times New Roman"/>
          <w:color w:val="000000" w:themeColor="text1"/>
          <w:lang w:val="en-GB"/>
        </w:rPr>
        <w:t>Third, and related to precaution</w:t>
      </w:r>
      <w:r w:rsidR="00EC7529" w:rsidRPr="004D1852">
        <w:rPr>
          <w:rFonts w:ascii="Times New Roman" w:hAnsi="Times New Roman" w:cs="Times New Roman"/>
          <w:color w:val="000000" w:themeColor="text1"/>
          <w:lang w:val="en-GB"/>
        </w:rPr>
        <w:t>, t</w:t>
      </w:r>
      <w:r w:rsidR="00C82E3A" w:rsidRPr="004D1852">
        <w:rPr>
          <w:rFonts w:ascii="Times New Roman" w:hAnsi="Times New Roman" w:cs="Times New Roman"/>
          <w:color w:val="000000" w:themeColor="text1"/>
          <w:lang w:val="en-GB"/>
        </w:rPr>
        <w:t xml:space="preserve">he timeliness of adaptation measures </w:t>
      </w:r>
      <w:r w:rsidR="00EC7529" w:rsidRPr="004D1852">
        <w:rPr>
          <w:rFonts w:ascii="Times New Roman" w:hAnsi="Times New Roman" w:cs="Times New Roman"/>
          <w:color w:val="000000" w:themeColor="text1"/>
          <w:lang w:val="en-GB"/>
        </w:rPr>
        <w:t>is key for adequate climate action. The Committee</w:t>
      </w:r>
      <w:r w:rsidR="00F3634E" w:rsidRPr="004D1852">
        <w:rPr>
          <w:rFonts w:ascii="Times New Roman" w:hAnsi="Times New Roman" w:cs="Times New Roman"/>
          <w:color w:val="000000" w:themeColor="text1"/>
          <w:lang w:val="en-GB"/>
        </w:rPr>
        <w:t xml:space="preserve"> </w:t>
      </w:r>
      <w:r w:rsidR="008320D9" w:rsidRPr="004D1852">
        <w:rPr>
          <w:rFonts w:ascii="Times New Roman" w:hAnsi="Times New Roman" w:cs="Times New Roman"/>
          <w:color w:val="000000" w:themeColor="text1"/>
          <w:lang w:val="en-GB"/>
        </w:rPr>
        <w:t xml:space="preserve">has </w:t>
      </w:r>
      <w:r w:rsidR="00F3634E" w:rsidRPr="004D1852">
        <w:rPr>
          <w:rFonts w:ascii="Times New Roman" w:hAnsi="Times New Roman" w:cs="Times New Roman"/>
          <w:color w:val="000000" w:themeColor="text1"/>
          <w:lang w:val="en-GB"/>
        </w:rPr>
        <w:t xml:space="preserve">pointed to </w:t>
      </w:r>
      <w:r w:rsidR="00C80C8C" w:rsidRPr="004D1852">
        <w:rPr>
          <w:rFonts w:ascii="Times New Roman" w:hAnsi="Times New Roman" w:cs="Times New Roman"/>
          <w:color w:val="000000" w:themeColor="text1"/>
          <w:lang w:val="en-GB"/>
        </w:rPr>
        <w:t xml:space="preserve">a State’s </w:t>
      </w:r>
      <w:r w:rsidR="00F3634E" w:rsidRPr="004D1852">
        <w:rPr>
          <w:rFonts w:ascii="Times New Roman" w:hAnsi="Times New Roman" w:cs="Times New Roman"/>
          <w:color w:val="000000" w:themeColor="text1"/>
          <w:lang w:val="en-GB"/>
        </w:rPr>
        <w:t xml:space="preserve">delay in taking certain adaptive </w:t>
      </w:r>
      <w:r w:rsidR="00FA0CB9">
        <w:rPr>
          <w:rFonts w:ascii="Times New Roman" w:hAnsi="Times New Roman" w:cs="Times New Roman"/>
          <w:color w:val="000000" w:themeColor="text1"/>
          <w:lang w:val="en-GB"/>
        </w:rPr>
        <w:t>measures</w:t>
      </w:r>
      <w:r w:rsidR="008320D9" w:rsidRPr="004D1852">
        <w:rPr>
          <w:rFonts w:ascii="Times New Roman" w:hAnsi="Times New Roman" w:cs="Times New Roman"/>
          <w:color w:val="000000" w:themeColor="text1"/>
          <w:lang w:val="en-GB"/>
        </w:rPr>
        <w:t xml:space="preserve">, “failure to adopt timely adequate adaptation measures”, and non-performance of </w:t>
      </w:r>
      <w:r w:rsidR="00FB2BC2" w:rsidRPr="004D1852">
        <w:rPr>
          <w:rFonts w:ascii="Times New Roman" w:hAnsi="Times New Roman" w:cs="Times New Roman"/>
          <w:color w:val="000000" w:themeColor="text1"/>
          <w:lang w:val="en-GB"/>
        </w:rPr>
        <w:t>positive obligation</w:t>
      </w:r>
      <w:r w:rsidR="008320D9" w:rsidRPr="004D1852">
        <w:rPr>
          <w:rFonts w:ascii="Times New Roman" w:hAnsi="Times New Roman" w:cs="Times New Roman"/>
          <w:color w:val="000000" w:themeColor="text1"/>
          <w:lang w:val="en-GB"/>
        </w:rPr>
        <w:t>s</w:t>
      </w:r>
      <w:r w:rsidR="00FB2BC2" w:rsidRPr="004D1852">
        <w:rPr>
          <w:rFonts w:ascii="Times New Roman" w:hAnsi="Times New Roman" w:cs="Times New Roman"/>
          <w:color w:val="000000" w:themeColor="text1"/>
          <w:lang w:val="en-GB"/>
        </w:rPr>
        <w:t xml:space="preserve"> to implement adequate adaptation measures</w:t>
      </w:r>
      <w:r w:rsidR="00F3634E" w:rsidRPr="004D1852">
        <w:rPr>
          <w:rFonts w:ascii="Times New Roman" w:hAnsi="Times New Roman" w:cs="Times New Roman"/>
          <w:color w:val="000000" w:themeColor="text1"/>
          <w:lang w:val="en-GB"/>
        </w:rPr>
        <w:t xml:space="preserve"> </w:t>
      </w:r>
      <w:r w:rsidR="001C1979" w:rsidRPr="004D1852">
        <w:rPr>
          <w:rFonts w:ascii="Times New Roman" w:hAnsi="Times New Roman" w:cs="Times New Roman"/>
          <w:color w:val="000000" w:themeColor="text1"/>
          <w:lang w:val="en-GB"/>
        </w:rPr>
        <w:t xml:space="preserve">as </w:t>
      </w:r>
      <w:r w:rsidR="008320D9" w:rsidRPr="004D1852">
        <w:rPr>
          <w:rFonts w:ascii="Times New Roman" w:hAnsi="Times New Roman" w:cs="Times New Roman"/>
          <w:color w:val="000000" w:themeColor="text1"/>
          <w:lang w:val="en-GB"/>
        </w:rPr>
        <w:t>violating human rights</w:t>
      </w:r>
      <w:r w:rsidR="00FB2BC2" w:rsidRPr="004D1852">
        <w:rPr>
          <w:rFonts w:ascii="Times New Roman" w:hAnsi="Times New Roman" w:cs="Times New Roman"/>
          <w:color w:val="000000" w:themeColor="text1"/>
          <w:lang w:val="en-GB"/>
        </w:rPr>
        <w:t>.</w:t>
      </w:r>
      <w:r w:rsidR="00FB2BC2" w:rsidRPr="004D1852">
        <w:rPr>
          <w:rStyle w:val="FootnoteReference"/>
          <w:rFonts w:ascii="Times New Roman" w:hAnsi="Times New Roman" w:cs="Times New Roman"/>
          <w:color w:val="000000" w:themeColor="text1"/>
          <w:lang w:val="en-GB"/>
        </w:rPr>
        <w:footnoteReference w:id="23"/>
      </w:r>
      <w:r w:rsidR="00FB2BC2" w:rsidRPr="004D1852">
        <w:rPr>
          <w:rFonts w:ascii="Times New Roman" w:hAnsi="Times New Roman" w:cs="Times New Roman"/>
          <w:color w:val="000000" w:themeColor="text1"/>
          <w:lang w:val="en-GB"/>
        </w:rPr>
        <w:t xml:space="preserve"> </w:t>
      </w:r>
      <w:r w:rsidR="00E778AD" w:rsidRPr="004D1852">
        <w:rPr>
          <w:rFonts w:ascii="Times New Roman" w:hAnsi="Times New Roman" w:cs="Times New Roman"/>
          <w:color w:val="000000" w:themeColor="text1"/>
          <w:lang w:val="en-GB"/>
        </w:rPr>
        <w:t xml:space="preserve">These </w:t>
      </w:r>
      <w:r w:rsidR="0076521C" w:rsidRPr="004D1852">
        <w:rPr>
          <w:rFonts w:ascii="Times New Roman" w:hAnsi="Times New Roman" w:cs="Times New Roman"/>
          <w:color w:val="000000" w:themeColor="text1"/>
          <w:lang w:val="en-GB"/>
        </w:rPr>
        <w:t>findings</w:t>
      </w:r>
      <w:r w:rsidR="00E778AD" w:rsidRPr="004D1852">
        <w:rPr>
          <w:rFonts w:ascii="Times New Roman" w:hAnsi="Times New Roman" w:cs="Times New Roman"/>
          <w:color w:val="000000" w:themeColor="text1"/>
          <w:lang w:val="en-GB"/>
        </w:rPr>
        <w:t xml:space="preserve"> highlight the importance of taking proactive, anticipatory adaptation measures. Timing also played a role in </w:t>
      </w:r>
      <w:r w:rsidR="0050798E" w:rsidRPr="004D1852">
        <w:rPr>
          <w:rFonts w:ascii="Times New Roman" w:hAnsi="Times New Roman" w:cs="Times New Roman"/>
          <w:color w:val="000000" w:themeColor="text1"/>
          <w:lang w:val="en-GB"/>
        </w:rPr>
        <w:t xml:space="preserve">the Committee’s </w:t>
      </w:r>
      <w:r w:rsidR="00E778AD" w:rsidRPr="004D1852">
        <w:rPr>
          <w:rFonts w:ascii="Times New Roman" w:hAnsi="Times New Roman" w:cs="Times New Roman"/>
          <w:color w:val="000000" w:themeColor="text1"/>
          <w:lang w:val="en-GB"/>
        </w:rPr>
        <w:t>finding</w:t>
      </w:r>
      <w:r w:rsidR="0050798E" w:rsidRPr="004D1852">
        <w:rPr>
          <w:rFonts w:ascii="Times New Roman" w:hAnsi="Times New Roman" w:cs="Times New Roman"/>
          <w:color w:val="000000" w:themeColor="text1"/>
          <w:lang w:val="en-GB"/>
        </w:rPr>
        <w:t>s</w:t>
      </w:r>
      <w:r w:rsidR="00E778AD" w:rsidRPr="004D1852">
        <w:rPr>
          <w:rFonts w:ascii="Times New Roman" w:hAnsi="Times New Roman" w:cs="Times New Roman"/>
          <w:color w:val="000000" w:themeColor="text1"/>
          <w:lang w:val="en-GB"/>
        </w:rPr>
        <w:t xml:space="preserve"> that there was not yet a violation of the right to life</w:t>
      </w:r>
      <w:r w:rsidR="0050798E" w:rsidRPr="004D1852">
        <w:rPr>
          <w:rFonts w:ascii="Times New Roman" w:hAnsi="Times New Roman" w:cs="Times New Roman"/>
          <w:color w:val="000000" w:themeColor="text1"/>
          <w:lang w:val="en-GB"/>
        </w:rPr>
        <w:t>—even where people face the pros</w:t>
      </w:r>
      <w:r w:rsidR="0042256B" w:rsidRPr="004D1852">
        <w:rPr>
          <w:rFonts w:ascii="Times New Roman" w:hAnsi="Times New Roman" w:cs="Times New Roman"/>
          <w:color w:val="000000" w:themeColor="text1"/>
          <w:lang w:val="en-GB"/>
        </w:rPr>
        <w:t>p</w:t>
      </w:r>
      <w:r w:rsidR="0050798E" w:rsidRPr="004D1852">
        <w:rPr>
          <w:rFonts w:ascii="Times New Roman" w:hAnsi="Times New Roman" w:cs="Times New Roman"/>
          <w:color w:val="000000" w:themeColor="text1"/>
          <w:lang w:val="en-GB"/>
        </w:rPr>
        <w:t xml:space="preserve">ect of </w:t>
      </w:r>
      <w:r w:rsidR="0042256B" w:rsidRPr="004D1852">
        <w:rPr>
          <w:rFonts w:ascii="Times New Roman" w:hAnsi="Times New Roman" w:cs="Times New Roman"/>
          <w:color w:val="000000" w:themeColor="text1"/>
          <w:lang w:val="en-GB"/>
        </w:rPr>
        <w:t xml:space="preserve">losing their homes in the next 10-15 years—due to the possibility of </w:t>
      </w:r>
      <w:r w:rsidR="0050798E" w:rsidRPr="004D1852">
        <w:rPr>
          <w:rFonts w:ascii="Times New Roman" w:hAnsi="Times New Roman" w:cs="Times New Roman"/>
          <w:color w:val="000000" w:themeColor="text1"/>
          <w:lang w:val="en-GB"/>
        </w:rPr>
        <w:t xml:space="preserve">States </w:t>
      </w:r>
      <w:r w:rsidR="0042256B" w:rsidRPr="004D1852">
        <w:rPr>
          <w:rFonts w:ascii="Times New Roman" w:hAnsi="Times New Roman" w:cs="Times New Roman"/>
          <w:color w:val="000000" w:themeColor="text1"/>
          <w:lang w:val="en-GB"/>
        </w:rPr>
        <w:t>intervening and taking</w:t>
      </w:r>
      <w:r w:rsidR="0050798E" w:rsidRPr="004D1852">
        <w:rPr>
          <w:rFonts w:ascii="Times New Roman" w:hAnsi="Times New Roman" w:cs="Times New Roman"/>
          <w:color w:val="000000" w:themeColor="text1"/>
          <w:lang w:val="en-GB"/>
        </w:rPr>
        <w:t xml:space="preserve"> affirmative measures to protect people, including </w:t>
      </w:r>
      <w:r w:rsidR="0042256B" w:rsidRPr="004D1852">
        <w:rPr>
          <w:rFonts w:ascii="Times New Roman" w:hAnsi="Times New Roman" w:cs="Times New Roman"/>
          <w:color w:val="000000" w:themeColor="text1"/>
          <w:lang w:val="en-GB"/>
        </w:rPr>
        <w:t xml:space="preserve">through </w:t>
      </w:r>
      <w:r w:rsidR="0050798E" w:rsidRPr="004D1852">
        <w:rPr>
          <w:rFonts w:ascii="Times New Roman" w:hAnsi="Times New Roman" w:cs="Times New Roman"/>
          <w:color w:val="000000" w:themeColor="text1"/>
          <w:lang w:val="en-GB"/>
        </w:rPr>
        <w:t>relocation.</w:t>
      </w:r>
      <w:r w:rsidR="0042256B" w:rsidRPr="004D1852">
        <w:rPr>
          <w:rStyle w:val="FootnoteReference"/>
          <w:rFonts w:ascii="Times New Roman" w:hAnsi="Times New Roman" w:cs="Times New Roman"/>
          <w:color w:val="000000" w:themeColor="text1"/>
          <w:lang w:val="en-GB"/>
        </w:rPr>
        <w:footnoteReference w:id="24"/>
      </w:r>
      <w:r w:rsidR="0050798E" w:rsidRPr="004D1852">
        <w:rPr>
          <w:rFonts w:ascii="Times New Roman" w:hAnsi="Times New Roman" w:cs="Times New Roman"/>
          <w:color w:val="000000" w:themeColor="text1"/>
          <w:lang w:val="en-GB"/>
        </w:rPr>
        <w:t xml:space="preserve"> </w:t>
      </w:r>
      <w:r w:rsidR="00D56C1C" w:rsidRPr="004D1852">
        <w:rPr>
          <w:rFonts w:ascii="Times New Roman" w:hAnsi="Times New Roman" w:cs="Times New Roman"/>
          <w:color w:val="000000" w:themeColor="text1"/>
          <w:lang w:val="en-GB"/>
        </w:rPr>
        <w:t>Importantly, however,</w:t>
      </w:r>
      <w:r w:rsidR="00990808" w:rsidRPr="004D1852">
        <w:rPr>
          <w:rFonts w:ascii="Times New Roman" w:hAnsi="Times New Roman" w:cs="Times New Roman"/>
          <w:color w:val="000000" w:themeColor="text1"/>
          <w:lang w:val="en-GB"/>
        </w:rPr>
        <w:t xml:space="preserve"> </w:t>
      </w:r>
      <w:r w:rsidR="000B4964" w:rsidRPr="004D1852">
        <w:rPr>
          <w:rFonts w:ascii="Times New Roman" w:hAnsi="Times New Roman" w:cs="Times New Roman"/>
          <w:color w:val="000000" w:themeColor="text1"/>
          <w:lang w:val="en-GB"/>
        </w:rPr>
        <w:t xml:space="preserve">risks need not be imminent to trigger positive duties, and </w:t>
      </w:r>
      <w:r w:rsidR="0053523C" w:rsidRPr="004D1852">
        <w:rPr>
          <w:rFonts w:ascii="Times New Roman" w:hAnsi="Times New Roman" w:cs="Times New Roman"/>
          <w:color w:val="000000" w:themeColor="text1"/>
          <w:lang w:val="en-GB"/>
        </w:rPr>
        <w:t xml:space="preserve">States must act to address </w:t>
      </w:r>
      <w:r w:rsidR="00D56C1C" w:rsidRPr="004D1852">
        <w:rPr>
          <w:rFonts w:ascii="Times New Roman" w:hAnsi="Times New Roman" w:cs="Times New Roman"/>
          <w:color w:val="000000" w:themeColor="text1"/>
          <w:lang w:val="en-GB"/>
        </w:rPr>
        <w:t xml:space="preserve">foreseeable or </w:t>
      </w:r>
      <w:r w:rsidR="0053523C" w:rsidRPr="004D1852">
        <w:rPr>
          <w:rFonts w:ascii="Times New Roman" w:hAnsi="Times New Roman" w:cs="Times New Roman"/>
          <w:color w:val="000000" w:themeColor="text1"/>
          <w:lang w:val="en-GB"/>
        </w:rPr>
        <w:t>reasonably foreseeable risks to rights</w:t>
      </w:r>
      <w:r w:rsidR="00D56C1C" w:rsidRPr="004D1852">
        <w:rPr>
          <w:rFonts w:ascii="Times New Roman" w:hAnsi="Times New Roman" w:cs="Times New Roman"/>
          <w:color w:val="000000" w:themeColor="text1"/>
          <w:lang w:val="en-GB"/>
        </w:rPr>
        <w:t>.</w:t>
      </w:r>
      <w:r w:rsidR="005855DC" w:rsidRPr="004D1852">
        <w:rPr>
          <w:rStyle w:val="FootnoteReference"/>
          <w:rFonts w:ascii="Times New Roman" w:hAnsi="Times New Roman" w:cs="Times New Roman"/>
          <w:color w:val="000000" w:themeColor="text1"/>
          <w:lang w:val="en-GB"/>
        </w:rPr>
        <w:footnoteReference w:id="25"/>
      </w:r>
      <w:r w:rsidR="005855DC" w:rsidRPr="004D1852">
        <w:rPr>
          <w:rFonts w:ascii="Times New Roman" w:hAnsi="Times New Roman" w:cs="Times New Roman"/>
          <w:color w:val="000000" w:themeColor="text1"/>
          <w:lang w:val="en-GB"/>
        </w:rPr>
        <w:t xml:space="preserve"> </w:t>
      </w:r>
      <w:r w:rsidRPr="004D1852">
        <w:rPr>
          <w:rFonts w:ascii="Times New Roman" w:hAnsi="Times New Roman" w:cs="Times New Roman"/>
          <w:color w:val="000000" w:themeColor="text1"/>
          <w:lang w:val="en-GB"/>
        </w:rPr>
        <w:t xml:space="preserve">In the absence of such action and “robust national and international efforts”, the impacts of climate could trigger States’ </w:t>
      </w:r>
      <w:r w:rsidRPr="004D1852">
        <w:rPr>
          <w:rFonts w:ascii="Times New Roman" w:hAnsi="Times New Roman" w:cs="Times New Roman"/>
          <w:i/>
          <w:iCs/>
          <w:color w:val="000000" w:themeColor="text1"/>
          <w:lang w:val="en-GB"/>
        </w:rPr>
        <w:t xml:space="preserve">non-refoulement </w:t>
      </w:r>
      <w:r w:rsidRPr="004D1852">
        <w:rPr>
          <w:rFonts w:ascii="Times New Roman" w:hAnsi="Times New Roman" w:cs="Times New Roman"/>
          <w:color w:val="000000" w:themeColor="text1"/>
          <w:lang w:val="en-GB"/>
        </w:rPr>
        <w:t>obligations.</w:t>
      </w:r>
      <w:r w:rsidRPr="004D1852">
        <w:rPr>
          <w:rStyle w:val="FootnoteReference"/>
          <w:rFonts w:ascii="Times New Roman" w:hAnsi="Times New Roman" w:cs="Times New Roman"/>
          <w:color w:val="000000" w:themeColor="text1"/>
          <w:lang w:val="en-GB"/>
        </w:rPr>
        <w:footnoteReference w:id="26"/>
      </w:r>
    </w:p>
    <w:p w14:paraId="1B0FFC8C" w14:textId="26381B70" w:rsidR="00552454" w:rsidRPr="00E72D3C" w:rsidRDefault="00552454" w:rsidP="004D1852">
      <w:pPr>
        <w:jc w:val="both"/>
        <w:rPr>
          <w:rFonts w:ascii="Times New Roman" w:hAnsi="Times New Roman" w:cs="Times New Roman"/>
          <w:b/>
          <w:color w:val="000000" w:themeColor="text1"/>
          <w:lang w:val="en-GB"/>
        </w:rPr>
      </w:pPr>
    </w:p>
    <w:sectPr w:rsidR="00552454" w:rsidRPr="00E72D3C" w:rsidSect="00A84B4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CCC4" w14:textId="77777777" w:rsidR="00806AA0" w:rsidRDefault="00806AA0" w:rsidP="00610C03">
      <w:r>
        <w:separator/>
      </w:r>
    </w:p>
  </w:endnote>
  <w:endnote w:type="continuationSeparator" w:id="0">
    <w:p w14:paraId="5A0CA142" w14:textId="77777777" w:rsidR="00806AA0" w:rsidRDefault="00806AA0" w:rsidP="0061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686851"/>
      <w:docPartObj>
        <w:docPartGallery w:val="Page Numbers (Bottom of Page)"/>
        <w:docPartUnique/>
      </w:docPartObj>
    </w:sdtPr>
    <w:sdtContent>
      <w:p w14:paraId="3746E2BB" w14:textId="77777777" w:rsidR="006B5715" w:rsidRDefault="006B5715" w:rsidP="00741D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4F32E" w14:textId="77777777" w:rsidR="006B5715" w:rsidRDefault="006B5715" w:rsidP="006B5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396427729"/>
      <w:docPartObj>
        <w:docPartGallery w:val="Page Numbers (Bottom of Page)"/>
        <w:docPartUnique/>
      </w:docPartObj>
    </w:sdtPr>
    <w:sdtContent>
      <w:p w14:paraId="7B9970F4" w14:textId="77777777" w:rsidR="006B5715" w:rsidRPr="006B5715" w:rsidRDefault="006B5715" w:rsidP="00741DDC">
        <w:pPr>
          <w:pStyle w:val="Footer"/>
          <w:framePr w:wrap="none" w:vAnchor="text" w:hAnchor="margin" w:xAlign="right" w:y="1"/>
          <w:rPr>
            <w:rStyle w:val="PageNumber"/>
            <w:rFonts w:ascii="Times New Roman" w:hAnsi="Times New Roman" w:cs="Times New Roman"/>
          </w:rPr>
        </w:pPr>
        <w:r w:rsidRPr="006B5715">
          <w:rPr>
            <w:rStyle w:val="PageNumber"/>
            <w:rFonts w:ascii="Times New Roman" w:hAnsi="Times New Roman" w:cs="Times New Roman"/>
          </w:rPr>
          <w:fldChar w:fldCharType="begin"/>
        </w:r>
        <w:r w:rsidRPr="006B5715">
          <w:rPr>
            <w:rStyle w:val="PageNumber"/>
            <w:rFonts w:ascii="Times New Roman" w:hAnsi="Times New Roman" w:cs="Times New Roman"/>
          </w:rPr>
          <w:instrText xml:space="preserve"> PAGE </w:instrText>
        </w:r>
        <w:r w:rsidRPr="006B5715">
          <w:rPr>
            <w:rStyle w:val="PageNumber"/>
            <w:rFonts w:ascii="Times New Roman" w:hAnsi="Times New Roman" w:cs="Times New Roman"/>
          </w:rPr>
          <w:fldChar w:fldCharType="separate"/>
        </w:r>
        <w:r w:rsidRPr="006B5715">
          <w:rPr>
            <w:rStyle w:val="PageNumber"/>
            <w:rFonts w:ascii="Times New Roman" w:hAnsi="Times New Roman" w:cs="Times New Roman"/>
            <w:noProof/>
          </w:rPr>
          <w:t>1</w:t>
        </w:r>
        <w:r w:rsidRPr="006B5715">
          <w:rPr>
            <w:rStyle w:val="PageNumber"/>
            <w:rFonts w:ascii="Times New Roman" w:hAnsi="Times New Roman" w:cs="Times New Roman"/>
          </w:rPr>
          <w:fldChar w:fldCharType="end"/>
        </w:r>
      </w:p>
    </w:sdtContent>
  </w:sdt>
  <w:p w14:paraId="488F3AA0" w14:textId="1C32FCF7" w:rsidR="006B5715" w:rsidRPr="006B5715" w:rsidRDefault="00535034" w:rsidP="006B5715">
    <w:pPr>
      <w:pStyle w:val="Footer"/>
      <w:ind w:right="360"/>
      <w:rPr>
        <w:rFonts w:ascii="Times New Roman" w:hAnsi="Times New Roman" w:cs="Times New Roman"/>
      </w:rPr>
    </w:pPr>
    <w:r>
      <w:rPr>
        <w:rFonts w:ascii="Times New Roman" w:hAnsi="Times New Roman" w:cs="Times New Roman"/>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E14B" w14:textId="77777777" w:rsidR="00806AA0" w:rsidRDefault="00806AA0" w:rsidP="00610C03">
      <w:r>
        <w:separator/>
      </w:r>
    </w:p>
  </w:footnote>
  <w:footnote w:type="continuationSeparator" w:id="0">
    <w:p w14:paraId="0DFF0DF4" w14:textId="77777777" w:rsidR="00806AA0" w:rsidRDefault="00806AA0" w:rsidP="00610C03">
      <w:r>
        <w:continuationSeparator/>
      </w:r>
    </w:p>
  </w:footnote>
  <w:footnote w:id="1">
    <w:p w14:paraId="50DB9020" w14:textId="49DF3187" w:rsidR="00000367" w:rsidRPr="00162253" w:rsidRDefault="00000367" w:rsidP="008D24FD">
      <w:pPr>
        <w:pStyle w:val="FootnoteText"/>
        <w:jc w:val="both"/>
      </w:pPr>
      <w:r w:rsidRPr="00162253">
        <w:rPr>
          <w:rStyle w:val="FootnoteReference"/>
          <w:rFonts w:cs="Times New Roman"/>
        </w:rPr>
        <w:footnoteRef/>
      </w:r>
      <w:r w:rsidRPr="00162253">
        <w:t xml:space="preserve"> </w:t>
      </w:r>
      <w:r w:rsidR="007646B9" w:rsidRPr="00162253">
        <w:fldChar w:fldCharType="begin"/>
      </w:r>
      <w:r w:rsidR="0098295A">
        <w:instrText xml:space="preserve"> ADDIN ZOTERO_ITEM CSL_CITATION {"citationID":"3FSBNitb","properties":{"formattedCitation":"See, e.g., UNHCR, \\uc0\\u8216{}Legal Considerations Regarding Claims for International Protection Made in the Context of the Adverse Effects of Climate Change and Disasters\\uc0\\u8217{} (2020); see also Matthew Scott, {\\i{}Climate Change, Disasters, and the Refugee Convention} (CUP 2020).","plainCitation":"See, e.g., UNHCR, ‘Legal Considerations Regarding Claims for International Protection Made in the Context of the Adverse Effects of Climate Change and Disasters’ (2020); see also Matthew Scott, Climate Change, Disasters, and the Refugee Convention (CUP 2020).","dontUpdate":true,"noteIndex":1},"citationItems":[{"id":2565,"uris":["http://zotero.org/users/2358923/items/XNJR89VW"],"itemData":{"id":2565,"type":"report","abstract":"This document sets out key legal considerations concerning the applicability of\ninternational and regional refugee and human rights law when cross-border displacement\noccurs in the context of the adverse effects of climate change and disasters.","language":"en","title":"Legal considerations regarding claims for international protection made in the context of the adverse effects of climate change and disasters","author":[{"family":"UNHCR","given":""}],"accessed":{"date-parts":[["2020",10,27]]},"issued":{"date-parts":[["2020",10,1]]}},"label":"page","prefix":"See, e.g.,"},{"id":2530,"uris":["http://zotero.org/users/2358923/items/T8UQ8EEG"],"itemData":{"id":2530,"type":"book","abstract":"Climate Change, Disasters and the Refugee Convention is concerned with refugee status determination (RSD) in the context of disasters and climate change. It demonstrates that the legal predicament of people who seek refugee status in this connection has been inconsistently addressed by judicial bodies in leading refugee law jurisdictions, and identifies epistemological as well as doctrinal impediments to a clear and principled application of international refugee law. Arguing that RSD cannot safely be performed without a clear understanding of the relationship between natural hazards and human agency, the book draws insights from disaster anthropology and political ecology that see discrimination as a contributory cause of people's differential exposure and vulnerability to disaster-related harm. This theoretical framework, combined with insights derived from the review of existing doctrinal and judicial approaches, prompts a critical revision of the dominant human rights-based approach to the refugee definition.","archive":"Cambridge Core","collection-title":"Cambridge Asylum and Migration Studies","event-place":"Cambridge","ISBN":"978-1-108-47822-9","note":"DOI: 10.1017/9781108784580","publisher":"CUP","publisher-place":"Cambridge","source":"Cambridge University Press","title":"Climate Change, Disasters, and the Refugee Convention","author":[{"family":"Scott","given":"Matthew"}],"issued":{"date-parts":[["2020"]]}},"label":"page","prefix":"see also"}],"schema":"https://github.com/citation-style-language/schema/raw/master/csl-citation.json"} </w:instrText>
      </w:r>
      <w:r w:rsidR="007646B9" w:rsidRPr="00162253">
        <w:fldChar w:fldCharType="separate"/>
      </w:r>
      <w:r w:rsidR="007646B9" w:rsidRPr="00162253">
        <w:t xml:space="preserve">See, e.g., UNHCR, ‘Legal Considerations Regarding Claims for International Protection Made in the Context of the Adverse Effects of Climate Change and Disasters’ (2020); Matthew Scott, </w:t>
      </w:r>
      <w:r w:rsidR="007646B9" w:rsidRPr="00162253">
        <w:rPr>
          <w:i/>
          <w:iCs/>
        </w:rPr>
        <w:t>Climate Change, Disasters, and the Refugee Convention</w:t>
      </w:r>
      <w:r w:rsidR="007646B9" w:rsidRPr="00162253">
        <w:t xml:space="preserve"> (CUP 2020).</w:t>
      </w:r>
      <w:r w:rsidR="007646B9" w:rsidRPr="00162253">
        <w:fldChar w:fldCharType="end"/>
      </w:r>
    </w:p>
  </w:footnote>
  <w:footnote w:id="2">
    <w:p w14:paraId="309E1682" w14:textId="2941DBEC" w:rsidR="00BD1C37" w:rsidRPr="00162253" w:rsidRDefault="00BD1C37" w:rsidP="008D24FD">
      <w:pPr>
        <w:pStyle w:val="FootnoteText"/>
        <w:jc w:val="both"/>
      </w:pPr>
      <w:r w:rsidRPr="00162253">
        <w:rPr>
          <w:rStyle w:val="FootnoteReference"/>
          <w:rFonts w:cs="Times New Roman"/>
        </w:rPr>
        <w:footnoteRef/>
      </w:r>
      <w:r w:rsidRPr="00162253">
        <w:t xml:space="preserve"> See</w:t>
      </w:r>
      <w:r w:rsidR="002D5D60" w:rsidRPr="00162253">
        <w:t xml:space="preserve"> </w:t>
      </w:r>
      <w:r w:rsidRPr="00162253">
        <w:t xml:space="preserve">UNFCCC </w:t>
      </w:r>
      <w:r w:rsidR="00614920" w:rsidRPr="00162253">
        <w:t>a</w:t>
      </w:r>
      <w:r w:rsidRPr="00162253">
        <w:t>rt</w:t>
      </w:r>
      <w:r w:rsidR="00546F32" w:rsidRPr="00162253">
        <w:t>s</w:t>
      </w:r>
      <w:r w:rsidRPr="00162253">
        <w:t xml:space="preserve"> 4(1)(b), 4(1)(e); 4(3), 4(4), 4(5); Paris Agreement </w:t>
      </w:r>
      <w:r w:rsidR="00614920" w:rsidRPr="00162253">
        <w:t>a</w:t>
      </w:r>
      <w:r w:rsidRPr="00162253">
        <w:t>rt</w:t>
      </w:r>
      <w:r w:rsidR="00546F32" w:rsidRPr="00162253">
        <w:t>s</w:t>
      </w:r>
      <w:r w:rsidRPr="00162253">
        <w:t xml:space="preserve"> 7.9; 7.13, 9.1, 9.3.</w:t>
      </w:r>
      <w:r w:rsidR="00083864" w:rsidRPr="00162253">
        <w:t xml:space="preserve"> </w:t>
      </w:r>
      <w:r w:rsidR="00083864" w:rsidRPr="00162253">
        <w:t xml:space="preserve">This input draws on </w:t>
      </w:r>
      <w:r w:rsidR="00083864" w:rsidRPr="00162253">
        <w:fldChar w:fldCharType="begin"/>
      </w:r>
      <w:r w:rsidR="0098295A">
        <w:instrText xml:space="preserve"> ADDIN ZOTERO_ITEM CSL_CITATION {"citationID":"yyKOVNiy","properties":{"formattedCitation":"Lauren Nishimura, \\uc0\\u8216{}Adaptation and Anticipatory Action: Integrating Human Rights Duties into the Climate Change Regime\\uc0\\u8217{} (2022) 12 Climate Law 99.","plainCitation":"Lauren Nishimura, ‘Adaptation and Anticipatory Action: Integrating Human Rights Duties into the Climate Change Regime’ (2022) 12 Climate Law 99.","dontUpdate":true,"noteIndex":2},"citationItems":[{"id":2729,"uris":["http://zotero.org/users/2358923/items/YWAK9A4K"],"itemData":{"id":2729,"type":"article-journal","container-title":"Climate Law","DOI":"10.1163/18786561-20210001","issue":"2","journalAbbreviation":"Climate Law","language":"English","note":"publisher-place: Leiden, The Netherlands\npublisher: Brill | Nijhoff","page":"99-127","title":"Adaptation and Anticipatory Action: Integrating Human Rights Duties into the Climate Change Regime","volume":"12","author":[{"family":"Nishimura","given":"Lauren"}],"issued":{"date-parts":[["2022"]]}}}],"schema":"https://github.com/citation-style-language/schema/raw/master/csl-citation.json"} </w:instrText>
      </w:r>
      <w:r w:rsidR="00083864" w:rsidRPr="00162253">
        <w:fldChar w:fldCharType="separate"/>
      </w:r>
      <w:r w:rsidR="00083864" w:rsidRPr="00162253">
        <w:t xml:space="preserve">Lauren Nishimura, ‘Adaptation and Anticipatory Action: Integrating Human Rights Duties into the Climate Change Regime’ (2022) 12 Climate Law 99, which describes </w:t>
      </w:r>
      <w:r w:rsidR="00E20A0C" w:rsidRPr="00162253">
        <w:t xml:space="preserve">some of the arguments that follow </w:t>
      </w:r>
      <w:r w:rsidR="00083864" w:rsidRPr="00162253">
        <w:t>in greater detail.</w:t>
      </w:r>
      <w:r w:rsidR="00083864" w:rsidRPr="00162253">
        <w:fldChar w:fldCharType="end"/>
      </w:r>
    </w:p>
  </w:footnote>
  <w:footnote w:id="3">
    <w:p w14:paraId="3BD24B0D" w14:textId="0331EF79" w:rsidR="00D24DC6" w:rsidRPr="00162253" w:rsidRDefault="00D24DC6" w:rsidP="008D24FD">
      <w:pPr>
        <w:pStyle w:val="FootnoteText"/>
        <w:jc w:val="both"/>
      </w:pPr>
      <w:r w:rsidRPr="00162253">
        <w:rPr>
          <w:rStyle w:val="FootnoteReference"/>
          <w:rFonts w:cs="Times New Roman"/>
        </w:rPr>
        <w:footnoteRef/>
      </w:r>
      <w:r w:rsidRPr="00162253">
        <w:t xml:space="preserve"> </w:t>
      </w:r>
      <w:r w:rsidR="00E93AD7" w:rsidRPr="00162253">
        <w:fldChar w:fldCharType="begin"/>
      </w:r>
      <w:r w:rsidR="0098295A">
        <w:instrText xml:space="preserve"> ADDIN ZOTERO_ITEM CSL_CITATION {"citationID":"XGbbyTR6","properties":{"formattedCitation":"See Vienna Convention on the Law of Treaties 1969 (1155 UNTS 331) article 31.","plainCitation":"See Vienna Convention on the Law of Treaties 1969 (1155 UNTS 331) article 31.","dontUpdate":true,"noteIndex":3},"citationItems":[{"id":524,"uris":["http://zotero.org/users/2358923/items/7HJPKZCR"],"itemData":{"id":524,"type":"legislation","container-title":"1155 UNTS 331","references":"(entered into force 27 January 1980","title":"Vienna Convention on the Law of Treaties","title-short":"VCLT","author":[{"family":"United Nations","given":""}],"issued":{"date-parts":[["1969",5,23]]}},"label":"page","prefix":"See","suffix":"article 31"}],"schema":"https://github.com/citation-style-language/schema/raw/master/csl-citation.json"} </w:instrText>
      </w:r>
      <w:r w:rsidR="00E93AD7" w:rsidRPr="00162253">
        <w:fldChar w:fldCharType="separate"/>
      </w:r>
      <w:r w:rsidR="00E93AD7" w:rsidRPr="00162253">
        <w:rPr>
          <w:noProof/>
        </w:rPr>
        <w:t>See Vienna Convention on the Law of Treaties</w:t>
      </w:r>
      <w:r w:rsidR="00866BDA" w:rsidRPr="00162253">
        <w:rPr>
          <w:noProof/>
        </w:rPr>
        <w:t xml:space="preserve"> (VCLT)</w:t>
      </w:r>
      <w:r w:rsidR="00E93AD7" w:rsidRPr="00162253">
        <w:rPr>
          <w:noProof/>
        </w:rPr>
        <w:t xml:space="preserve"> 1969 (1155 UNTS 331) art 31.</w:t>
      </w:r>
      <w:r w:rsidR="00E93AD7" w:rsidRPr="00162253">
        <w:fldChar w:fldCharType="end"/>
      </w:r>
      <w:r w:rsidR="00E93AD7" w:rsidRPr="00162253">
        <w:t xml:space="preserve"> Article 31 is also considered customary law. </w:t>
      </w:r>
    </w:p>
  </w:footnote>
  <w:footnote w:id="4">
    <w:p w14:paraId="55539E73" w14:textId="513818F5" w:rsidR="007909A3" w:rsidRPr="00162253" w:rsidRDefault="007909A3" w:rsidP="008D24FD">
      <w:pPr>
        <w:pStyle w:val="FootnoteText"/>
        <w:jc w:val="both"/>
      </w:pPr>
      <w:r w:rsidRPr="00162253">
        <w:rPr>
          <w:rStyle w:val="FootnoteReference"/>
          <w:rFonts w:cs="Times New Roman"/>
        </w:rPr>
        <w:footnoteRef/>
      </w:r>
      <w:r w:rsidRPr="00162253">
        <w:t xml:space="preserve"> Paris Agreement, art 2.1(b).</w:t>
      </w:r>
    </w:p>
  </w:footnote>
  <w:footnote w:id="5">
    <w:p w14:paraId="53DBF218" w14:textId="18246D54" w:rsidR="00E214B3" w:rsidRPr="00162253" w:rsidRDefault="00E214B3" w:rsidP="008D24FD">
      <w:pPr>
        <w:pStyle w:val="FootnoteText"/>
        <w:jc w:val="both"/>
      </w:pPr>
      <w:r w:rsidRPr="00162253">
        <w:rPr>
          <w:rStyle w:val="FootnoteReference"/>
          <w:rFonts w:cs="Times New Roman"/>
        </w:rPr>
        <w:footnoteRef/>
      </w:r>
      <w:r w:rsidRPr="00162253">
        <w:t xml:space="preserve"> For an </w:t>
      </w:r>
      <w:r w:rsidR="003E7716" w:rsidRPr="00162253">
        <w:t xml:space="preserve">analysis </w:t>
      </w:r>
      <w:r w:rsidRPr="00162253">
        <w:t xml:space="preserve">of how integration could apply to the rights to life and to an adequate standard of living, see </w:t>
      </w:r>
      <w:r w:rsidR="003E7716" w:rsidRPr="00162253">
        <w:fldChar w:fldCharType="begin"/>
      </w:r>
      <w:r w:rsidR="0098295A">
        <w:instrText xml:space="preserve"> ADDIN ZOTERO_ITEM CSL_CITATION {"citationID":"QMB4LZ9L","properties":{"formattedCitation":"Nishimura (n 2).","plainCitation":"Nishimura (n 2).","noteIndex":5},"citationItems":[{"id":2729,"uris":["http://zotero.org/users/2358923/items/YWAK9A4K"],"itemData":{"id":2729,"type":"article-journal","container-title":"Climate Law","DOI":"10.1163/18786561-20210001","issue":"2","journalAbbreviation":"Climate Law","language":"English","note":"publisher-place: Leiden, The Netherlands\npublisher: Brill | Nijhoff","page":"99-127","title":"Adaptation and Anticipatory Action: Integrating Human Rights Duties into the Climate Change Regime","volume":"12","author":[{"family":"Nishimura","given":"Lauren"}],"issued":{"date-parts":[["2022"]]}}}],"schema":"https://github.com/citation-style-language/schema/raw/master/csl-citation.json"} </w:instrText>
      </w:r>
      <w:r w:rsidR="003E7716" w:rsidRPr="00162253">
        <w:fldChar w:fldCharType="separate"/>
      </w:r>
      <w:r w:rsidR="0098295A">
        <w:rPr>
          <w:noProof/>
        </w:rPr>
        <w:t>Nishimura (n 2).</w:t>
      </w:r>
      <w:r w:rsidR="003E7716" w:rsidRPr="00162253">
        <w:fldChar w:fldCharType="end"/>
      </w:r>
      <w:r w:rsidRPr="00162253">
        <w:t xml:space="preserve"> </w:t>
      </w:r>
    </w:p>
  </w:footnote>
  <w:footnote w:id="6">
    <w:p w14:paraId="37E360C1" w14:textId="33D0B017" w:rsidR="003545CA" w:rsidRPr="00162253" w:rsidRDefault="003545CA" w:rsidP="008D24FD">
      <w:pPr>
        <w:pStyle w:val="FootnoteText"/>
        <w:jc w:val="both"/>
        <w:rPr>
          <w:color w:val="000000" w:themeColor="text1"/>
          <w:lang w:val="en-GB"/>
        </w:rPr>
      </w:pPr>
      <w:r w:rsidRPr="00162253">
        <w:rPr>
          <w:rStyle w:val="FootnoteReference"/>
          <w:rFonts w:cs="Times New Roman"/>
        </w:rPr>
        <w:footnoteRef/>
      </w:r>
      <w:r w:rsidRPr="00162253">
        <w:rPr>
          <w:color w:val="000000" w:themeColor="text1"/>
          <w:lang w:val="en-GB"/>
        </w:rPr>
        <w:t xml:space="preserve"> See </w:t>
      </w:r>
      <w:r w:rsidRPr="00162253">
        <w:rPr>
          <w:color w:val="000000"/>
        </w:rPr>
        <w:t xml:space="preserve">UNFCCC, art 3 (‘Parties shall be guided’ by the principles); </w:t>
      </w:r>
      <w:r w:rsidR="00C425DF" w:rsidRPr="00162253">
        <w:rPr>
          <w:color w:val="000000"/>
        </w:rPr>
        <w:fldChar w:fldCharType="begin"/>
      </w:r>
      <w:r w:rsidR="0098295A">
        <w:rPr>
          <w:color w:val="000000"/>
        </w:rPr>
        <w:instrText xml:space="preserve"> ADDIN ZOTERO_ITEM CSL_CITATION {"citationID":"4mbMPZR8","properties":{"formattedCitation":"see also Lavanya Rajamani and Emmanuel Gu\\uc0\\u233{}rin, \\uc0\\u8216{}Central Concepts in the Paris Agreement and How They Evolved\\uc0\\u8217{} in Daniel Klein and others (eds), {\\i{}The Paris Agreement on Climate Change: Analysis and Commentary} (OUP 2017) 82 (the Paris Agreement\\uc0\\u8217{}s adoption under UNFCCC implicitly engages these principles).","plainCitation":"see also Lavanya Rajamani and Emmanuel Guérin, ‘Central Concepts in the Paris Agreement and How They Evolved’ in Daniel Klein and others (eds), The Paris Agreement on Climate Change: Analysis and Commentary (OUP 2017) 82 (the Paris Agreement’s adoption under UNFCCC implicitly engages these principles).","noteIndex":6},"citationItems":[{"id":2429,"uris":["http://zotero.org/users/2358923/items/5TP89JF7"],"itemData":{"id":2429,"type":"chapter","abstract":"The most important climate agreement in history, the Paris Agreement on Climate Change represents the commitment of the nations of the world to address and curb climate change.Signed in December 2015, it entered into force on 4th November 2016. Countries are moving into implementation, and efforts at all levels will be needed to fulfill its ambitious goals. The Paris Climate Agreement: Commentary and Analysis combines a comprehensive legal appraisal and critique of the new Agreement with a practical and structured commentary to all its Articles. Part I discusses the general context for the Paris Agreement, detailing the scientific, political, and social drivers behind it, providing an overview of the pre-existing regime, and tracking the history of the negotiations. It examines the evolution of key concepts such as common but differentiated responsibilities, and analyses the legal form of the Agreement and the nature of its provisions. Part II comprises individual chapters on each Article of the Agreement, with detailed commentary of the provisions which highlights central aspects from the negotiating history and the legal nature of the obligations. It describes the institutional arrangements and considerations for national implementation, providing practical advice and prospects for future development. Part III reflects on the Paris Agreement as a whole: its strengths and weaknesses, its potential for further development, and its relationship with other areas of public international law and governance. The book is an invaluable resource for academics and practitioners, policy makers, and actors in the private sector and civil society, as they negotiate the implementation of the Agreement in domestic law and policy.","container-title":"The Paris Agreement on Climate Change: Analysis and Commentary","event-place":"Oxford, United Kingdom","ISBN":"978-0-19-880376-8","language":"English","page":"74-90","publisher":"OUP","publisher-place":"Oxford, United Kingdom","source":"Amazon","title":"Central Concepts in the Paris Agreement and How They Evolved","editor":[{"family":"Klein","given":"Daniel"},{"family":"Carazo","given":"Maria Pia"},{"family":"Doelle","given":"Meinhard"},{"family":"Bulmer","given":"Jane"},{"family":"Higham","given":"Andrew"}],"author":[{"family":"Rajamani","given":"Lavanya"},{"family":"Guérin","given":"Emmanuel"}],"issued":{"date-parts":[["2017",9,20]]}},"locator":"82","label":"page","prefix":"see also","suffix":"(the Paris Agreement’s adoption under UNFCCC implicitly engages these principles)"}],"schema":"https://github.com/citation-style-language/schema/raw/master/csl-citation.json"} </w:instrText>
      </w:r>
      <w:r w:rsidR="00C425DF" w:rsidRPr="00162253">
        <w:rPr>
          <w:color w:val="000000"/>
        </w:rPr>
        <w:fldChar w:fldCharType="separate"/>
      </w:r>
      <w:r w:rsidR="00C425DF" w:rsidRPr="00162253">
        <w:rPr>
          <w:color w:val="000000"/>
        </w:rPr>
        <w:t xml:space="preserve">see also Lavanya Rajamani and Emmanuel Guérin, ‘Central Concepts in the Paris Agreement and How They Evolved’ in Daniel Klein and others (eds), </w:t>
      </w:r>
      <w:r w:rsidR="00C425DF" w:rsidRPr="00162253">
        <w:rPr>
          <w:i/>
          <w:iCs/>
          <w:color w:val="000000"/>
        </w:rPr>
        <w:t>The Paris Agreement on Climate Change: Analysis and Commentary</w:t>
      </w:r>
      <w:r w:rsidR="00C425DF" w:rsidRPr="00162253">
        <w:rPr>
          <w:color w:val="000000"/>
        </w:rPr>
        <w:t xml:space="preserve"> (OUP 2017) 82 (the Paris Agreement’s adoption under UNFCCC implicitly engages these principles).</w:t>
      </w:r>
      <w:r w:rsidR="00C425DF" w:rsidRPr="00162253">
        <w:rPr>
          <w:color w:val="000000"/>
        </w:rPr>
        <w:fldChar w:fldCharType="end"/>
      </w:r>
      <w:r w:rsidRPr="00162253">
        <w:rPr>
          <w:color w:val="000000" w:themeColor="text1"/>
          <w:lang w:val="en-GB"/>
        </w:rPr>
        <w:t xml:space="preserve"> </w:t>
      </w:r>
    </w:p>
  </w:footnote>
  <w:footnote w:id="7">
    <w:p w14:paraId="5DE1A747" w14:textId="449B8FBC" w:rsidR="00703D40" w:rsidRPr="00162253" w:rsidRDefault="00703D40" w:rsidP="008D24FD">
      <w:pPr>
        <w:pStyle w:val="FootnoteText"/>
        <w:jc w:val="both"/>
      </w:pPr>
      <w:r w:rsidRPr="00162253">
        <w:rPr>
          <w:rStyle w:val="FootnoteReference"/>
          <w:rFonts w:cs="Times New Roman"/>
        </w:rPr>
        <w:footnoteRef/>
      </w:r>
      <w:r w:rsidRPr="00162253">
        <w:t xml:space="preserve"> While the focus her</w:t>
      </w:r>
      <w:r w:rsidR="00555A4F" w:rsidRPr="00162253">
        <w:t>e</w:t>
      </w:r>
      <w:r w:rsidRPr="00162253">
        <w:t xml:space="preserve"> is on adaptation, the interpretive process and the integration of human rights also applies to obligations related to mitigation, which can help reduce and avoid adverse effects thereby preventing harm that contributes to displacement. </w:t>
      </w:r>
    </w:p>
  </w:footnote>
  <w:footnote w:id="8">
    <w:p w14:paraId="34DB3A17" w14:textId="12E15E9E" w:rsidR="00703D40" w:rsidRPr="00162253" w:rsidRDefault="00703D40" w:rsidP="008D24FD">
      <w:pPr>
        <w:pStyle w:val="FootnoteText"/>
        <w:jc w:val="both"/>
      </w:pPr>
      <w:r w:rsidRPr="00162253">
        <w:rPr>
          <w:rStyle w:val="FootnoteReference"/>
          <w:rFonts w:cs="Times New Roman"/>
        </w:rPr>
        <w:footnoteRef/>
      </w:r>
      <w:r w:rsidRPr="00162253">
        <w:t xml:space="preserve"> See below, </w:t>
      </w:r>
      <w:r w:rsidR="00555A4F" w:rsidRPr="00162253">
        <w:t>‘</w:t>
      </w:r>
      <w:r w:rsidR="00555A4F" w:rsidRPr="00162253">
        <w:rPr>
          <w:i/>
          <w:iCs/>
        </w:rPr>
        <w:t>Interpreting human rights law’</w:t>
      </w:r>
      <w:r w:rsidRPr="00162253">
        <w:t xml:space="preserve">, and the </w:t>
      </w:r>
      <w:r w:rsidRPr="00162253">
        <w:fldChar w:fldCharType="begin"/>
      </w:r>
      <w:r w:rsidR="0098295A">
        <w:instrText xml:space="preserve"> ADDIN ZOTERO_ITEM CSL_CITATION {"citationID":"Suo3J1yq","properties":{"formattedCitation":"HRC, \\uc0\\u8216{}General Comment No. 36: Article 6 (Right to Life)\\uc0\\u8217{} (2019) CCPR/C/GC/36 paras 7, 18.","plainCitation":"HRC, ‘General Comment No. 36: Article 6 (Right to Life)’ (2019) CCPR/C/GC/36 paras 7, 18.","dontUpdate":true,"noteIndex":8},"citationItems":[{"id":2235,"uris":["http://zotero.org/users/2358923/items/2BWAR8NB"],"itemData":{"id":2235,"type":"report","number":"CCPR/C/GC/36","title":"General Comment No. 36: Article 6 (Right to Life)","title-short":"General Comment No. 36","author":[{"family":"HRC","given":""}],"issued":{"date-parts":[["2019",9,3]]}},"label":"page","suffix":"paras 7, 18"}],"schema":"https://github.com/citation-style-language/schema/raw/master/csl-citation.json"} </w:instrText>
      </w:r>
      <w:r w:rsidRPr="00162253">
        <w:fldChar w:fldCharType="separate"/>
      </w:r>
      <w:r w:rsidRPr="00162253">
        <w:t>Human Rights Committee (HRC), ‘General Comment No. 36: Article 6 (Right to Life)’ (2019) CCPR/C/GC/36 paras 7, 18.</w:t>
      </w:r>
      <w:r w:rsidRPr="00162253">
        <w:fldChar w:fldCharType="end"/>
      </w:r>
    </w:p>
  </w:footnote>
  <w:footnote w:id="9">
    <w:p w14:paraId="5BB15486" w14:textId="456895BB" w:rsidR="00703D40" w:rsidRPr="00162253" w:rsidRDefault="00703D40" w:rsidP="008D24FD">
      <w:pPr>
        <w:pStyle w:val="FootnoteText"/>
        <w:jc w:val="both"/>
        <w:rPr>
          <w:color w:val="000000" w:themeColor="text1"/>
          <w:lang w:val="en-GB"/>
        </w:rPr>
      </w:pPr>
      <w:r w:rsidRPr="00162253">
        <w:rPr>
          <w:rStyle w:val="FootnoteReference"/>
          <w:rFonts w:cs="Times New Roman"/>
        </w:rPr>
        <w:footnoteRef/>
      </w:r>
      <w:r w:rsidRPr="00162253">
        <w:rPr>
          <w:color w:val="000000" w:themeColor="text1"/>
          <w:lang w:val="en-GB"/>
        </w:rPr>
        <w:t xml:space="preserve"> </w:t>
      </w:r>
      <w:r w:rsidR="005F6300" w:rsidRPr="00162253">
        <w:rPr>
          <w:color w:val="000000" w:themeColor="text1"/>
          <w:lang w:val="en-GB"/>
        </w:rPr>
        <w:fldChar w:fldCharType="begin"/>
      </w:r>
      <w:r w:rsidR="0098295A">
        <w:rPr>
          <w:color w:val="000000" w:themeColor="text1"/>
          <w:lang w:val="en-GB"/>
        </w:rPr>
        <w:instrText xml:space="preserve"> ADDIN ZOTERO_ITEM CSL_CITATION {"citationID":"LlDd7DWd","properties":{"formattedCitation":"See CESCR, \\uc0\\u8216{}General Comment No. 3: The Nature of States Parties\\uc0\\u8217{} Obligations (Art. 2, Para. 1, of the Covenant)\\uc0\\u8217{} (1990) E/1991/23 para. 10 (States have \\uc0\\u8220{}minimum core obligations\\uc0\\u8221{} to ensure \\uc0\\u8220{}minimum essential levels\\uc0\\u8221{} of economic, social, and cultural rights) ; see also Bruce Burson and others, \\uc0\\u8216{}The Duty to Move People Out of Harm\\uc0\\u8217{}s Way in the Context of Climate Change and Disasters\\uc0\\u8217{} (2018) 37 Refugee Survey Quarterly 379, 390\\uc0\\u8211{}11 (discussing relevance of these core obligations in the context of disasters).","plainCitation":"See CESCR, ‘General Comment No. 3: The Nature of States Parties’ Obligations (Art. 2, Para. 1, of the Covenant)’ (1990) E/1991/23 para. 10 (States have “minimum core obligations” to ensure “minimum essential levels” of economic, social, and cultural rights) ; see also Bruce Burson and others, ‘The Duty to Move People Out of Harm’s Way in the Context of Climate Change and Disasters’ (2018) 37 Refugee Survey Quarterly 379, 390–11 (discussing relevance of these core obligations in the context of disasters).","noteIndex":9},"citationItems":[{"id":1160,"uris":["http://zotero.org/users/2358923/items/V7IATRGE"],"itemData":{"id":1160,"type":"report","number":"E/1991/23","title":"General Comment No. 3: The Nature of States Parties' Obligations (Art. 2, Para. 1, of the Covenant)","title-short":"General Comment No. 3","author":[{"family":"CESCR","given":""}],"issued":{"date-parts":[["1990",12,14]]}},"label":"page","prefix":"See","suffix":"para. 10 (States have “minimum core obligations” to ensure “minimum essential levels” of economic, social, and cultural rights) "},{"id":2552,"uris":["http://zotero.org/users/2358923/items/GPJYA3IL"],"itemData":{"id":2552,"type":"article-journal","abstract":"Experience shows that both sudden- and slow-onset disasters can result in displacement. Indeed, disasters now account for the largest number of newly displaced people each year – more than violence or conflict. At times, areas of land may be rendered too unsafe for continued human habitation, requiring evacuations or planned relocations of affected people. In fact, several countries are already in the process of moving, or considering moving, people out of at-risk areas, either as a preventive measure before disaster strikes, or as a reactive response in the aftermath of a disaster triggered by natural hazards.The present article examines whether human rights norms impose a duty on States to move people out of harm’s way through (temporary) evacuations and/or (permanent) planned relocations, as measures to address and mitigate disaster risk and/or adapt to the negative consequences of climate change on human settlement, and, if so, what human rights law prescribes regarding the modalities of such measures.","container-title":"Refugee Survey Quarterly","DOI":"10.1093/rsq/hdy015","ISSN":"1020-4067","issue":"4","journalAbbreviation":"Refugee Survey Quarterly","page":"379-407","title":"The Duty to Move People Out of Harm’s Way in the Context of Climate Change and Disasters","volume":"37","author":[{"family":"Burson","given":"Bruce"},{"family":"Kälin","given":"Walter"},{"family":"McAdam","given":"Jane"},{"family":"Weerasinghe","given":"Sanjula"}],"issued":{"date-parts":[["2018",12,1]]}},"locator":"390-1","label":"page","prefix":"see also","suffix":"1 (discussing relevance of these core obligations in the context of disasters)"}],"schema":"https://github.com/citation-style-language/schema/raw/master/csl-citation.json"} </w:instrText>
      </w:r>
      <w:r w:rsidR="005F6300" w:rsidRPr="00162253">
        <w:rPr>
          <w:color w:val="000000" w:themeColor="text1"/>
          <w:lang w:val="en-GB"/>
        </w:rPr>
        <w:fldChar w:fldCharType="separate"/>
      </w:r>
      <w:r w:rsidR="00C82D84" w:rsidRPr="00162253">
        <w:rPr>
          <w:color w:val="000000"/>
        </w:rPr>
        <w:t>See CESCR, ‘General Comment No. 3: The Nature of States Parties’ Obligations (Art. 2, Para. 1, of the Covenant)’ (1990) E/1991/23 para. 10 (States have “minimum core obligations” to ensure “minimum essential levels” of economic, social, and cultural rights) ; see also Bruce Burson and others, ‘The Duty to Move People Out of Harm’s Way in the Context of Climate Change and Disasters’ (2018) 37 Refugee Survey Quarterly 379, 390–11 (discussing relevance of these core obligations in the context of disasters).</w:t>
      </w:r>
      <w:r w:rsidR="005F6300" w:rsidRPr="00162253">
        <w:rPr>
          <w:color w:val="000000" w:themeColor="text1"/>
          <w:lang w:val="en-GB"/>
        </w:rPr>
        <w:fldChar w:fldCharType="end"/>
      </w:r>
    </w:p>
  </w:footnote>
  <w:footnote w:id="10">
    <w:p w14:paraId="447C4DC0" w14:textId="34F3D529" w:rsidR="00E06653" w:rsidRPr="00162253" w:rsidRDefault="00E06653" w:rsidP="008D24FD">
      <w:pPr>
        <w:pStyle w:val="FootnoteText"/>
        <w:jc w:val="both"/>
      </w:pPr>
      <w:r w:rsidRPr="00162253">
        <w:rPr>
          <w:rStyle w:val="FootnoteReference"/>
          <w:rFonts w:cs="Times New Roman"/>
        </w:rPr>
        <w:footnoteRef/>
      </w:r>
      <w:r w:rsidRPr="00162253">
        <w:t xml:space="preserve"> </w:t>
      </w:r>
      <w:r w:rsidR="00C80C8C" w:rsidRPr="00162253">
        <w:fldChar w:fldCharType="begin"/>
      </w:r>
      <w:r w:rsidR="0098295A">
        <w:instrText xml:space="preserve"> ADDIN ZOTERO_ITEM CSL_CITATION {"citationID":"NJAGVfQf","properties":{"formattedCitation":"HRC (n 8) para 26.","plainCitation":"HRC (n 8) para 26.","noteIndex":10},"citationItems":[{"id":2235,"uris":["http://zotero.org/users/2358923/items/2BWAR8NB"],"itemData":{"id":2235,"type":"report","number":"CCPR/C/GC/36","title":"General Comment No. 36: Article 6 (Right to Life)","title-short":"General Comment No. 36","author":[{"family":"HRC","given":""}],"issued":{"date-parts":[["2019",9,3]]}},"label":"page","suffix":"para 26"}],"schema":"https://github.com/citation-style-language/schema/raw/master/csl-citation.json"} </w:instrText>
      </w:r>
      <w:r w:rsidR="00C80C8C" w:rsidRPr="00162253">
        <w:fldChar w:fldCharType="separate"/>
      </w:r>
      <w:r w:rsidR="0098295A">
        <w:rPr>
          <w:noProof/>
        </w:rPr>
        <w:t xml:space="preserve">General </w:t>
      </w:r>
      <w:r w:rsidR="0094540A">
        <w:rPr>
          <w:noProof/>
        </w:rPr>
        <w:t>C</w:t>
      </w:r>
      <w:r w:rsidR="0098295A">
        <w:rPr>
          <w:noProof/>
        </w:rPr>
        <w:t>omment 36 (n 8) para 26.</w:t>
      </w:r>
      <w:r w:rsidR="00C80C8C" w:rsidRPr="00162253">
        <w:fldChar w:fldCharType="end"/>
      </w:r>
    </w:p>
  </w:footnote>
  <w:footnote w:id="11">
    <w:p w14:paraId="4B5B1D2E" w14:textId="2920244A" w:rsidR="007474BA" w:rsidRPr="00162253" w:rsidRDefault="007474BA" w:rsidP="008D24FD">
      <w:pPr>
        <w:pStyle w:val="FootnoteText"/>
        <w:jc w:val="both"/>
      </w:pPr>
      <w:r w:rsidRPr="00162253">
        <w:rPr>
          <w:rStyle w:val="FootnoteReference"/>
          <w:rFonts w:cs="Times New Roman"/>
        </w:rPr>
        <w:footnoteRef/>
      </w:r>
      <w:r w:rsidRPr="00162253">
        <w:t xml:space="preserve"> </w:t>
      </w:r>
      <w:r w:rsidR="00633693" w:rsidRPr="00162253">
        <w:t xml:space="preserve">For further discussion of the need for and benefits of the integration of human rights into climate obligations, see </w:t>
      </w:r>
      <w:r w:rsidR="00633693" w:rsidRPr="00162253">
        <w:fldChar w:fldCharType="begin"/>
      </w:r>
      <w:r w:rsidR="0098295A">
        <w:instrText xml:space="preserve"> ADDIN ZOTERO_ITEM CSL_CITATION {"citationID":"9Y8ieGdF","properties":{"formattedCitation":"OHCHR, \\uc0\\u8216{}The Slow Onset Effects of Climate Change and Human Rights Protection for Cross-Border Migrants\\uc0\\u8217{} (OHCHR 2018) Conference Room Paper A/HRC/37/CRP.4 paras 144-150.","plainCitation":"OHCHR, ‘The Slow Onset Effects of Climate Change and Human Rights Protection for Cross-Border Migrants’ (OHCHR 2018) Conference Room Paper A/HRC/37/CRP.4 paras 144-150.","dontUpdate":true,"noteIndex":11},"citationItems":[{"id":1523,"uris":["http://zotero.org/users/2358923/items/TTJLCYRU"],"itemData":{"id":1523,"type":"report","genre":"Conference Room Paper","number":"A/HRC/37/CRP.4","publisher":"OHCHR","title":"The slow onset effects of climate change and human rights protection for cross-border migrants","title-short":"Slow onset study","author":[{"family":"OHCHR","given":""}],"issued":{"date-parts":[["2018",3,22]]}},"label":"page","suffix":"paras 144-150"}],"schema":"https://github.com/citation-style-language/schema/raw/master/csl-citation.json"} </w:instrText>
      </w:r>
      <w:r w:rsidR="00633693" w:rsidRPr="00162253">
        <w:fldChar w:fldCharType="separate"/>
      </w:r>
      <w:r w:rsidR="00F65FF2" w:rsidRPr="00162253">
        <w:t>OHCHR, ‘The Slow Onset Effects of Climate Change and Human Rights Protection for Cross-Border Migrants’ (2018) Conference Room Paper A/HRC/37/CRP.4 paras 144-150.</w:t>
      </w:r>
      <w:r w:rsidR="00633693" w:rsidRPr="00162253">
        <w:fldChar w:fldCharType="end"/>
      </w:r>
    </w:p>
  </w:footnote>
  <w:footnote w:id="12">
    <w:p w14:paraId="218A8EB6" w14:textId="1ED92B72" w:rsidR="00DA207A" w:rsidRPr="00162253" w:rsidRDefault="00DA207A" w:rsidP="008D24FD">
      <w:pPr>
        <w:pStyle w:val="FootnoteText"/>
        <w:jc w:val="both"/>
      </w:pPr>
      <w:r w:rsidRPr="00162253">
        <w:rPr>
          <w:rStyle w:val="FootnoteReference"/>
          <w:rFonts w:cs="Times New Roman"/>
        </w:rPr>
        <w:footnoteRef/>
      </w:r>
      <w:r w:rsidRPr="00162253">
        <w:t xml:space="preserve"> More concrete examples are included in </w:t>
      </w:r>
      <w:r w:rsidR="000E53E1" w:rsidRPr="00162253">
        <w:fldChar w:fldCharType="begin"/>
      </w:r>
      <w:r w:rsidR="0098295A">
        <w:instrText xml:space="preserve"> ADDIN ZOTERO_ITEM CSL_CITATION {"citationID":"G3JqQODI","properties":{"formattedCitation":"Lauren Nishimura, \\uc0\\u8216{}Adaptation Obligations and Adaptive Mobility\\uc0\\u8217{} [2022] Forced Migration Review &lt;https://www.fmreview.org/climate-crisis/nishimura&gt; accessed 22 September 2022.","plainCitation":"Lauren Nishimura, ‘Adaptation Obligations and Adaptive Mobility’ [2022] Forced Migration Review &lt;https://www.fmreview.org/climate-crisis/nishimura&gt; accessed 22 September 2022.","dontUpdate":true,"noteIndex":12},"citationItems":[{"id":2967,"uris":["http://zotero.org/users/2358923/items/NKLSWCJZ"],"itemData":{"id":2967,"type":"article-journal","container-title":"Forced Migration Review","issue":"69","title":"Adaptation obligations and adaptive mobility","URL":"https://www.fmreview.org/climate-crisis/nishimura","author":[{"family":"Nishimura","given":"Lauren"}],"accessed":{"date-parts":[["2022",9,22]]},"issued":{"date-parts":[["2022",3]]}}}],"schema":"https://github.com/citation-style-language/schema/raw/master/csl-citation.json"} </w:instrText>
      </w:r>
      <w:r w:rsidR="000E53E1" w:rsidRPr="00162253">
        <w:fldChar w:fldCharType="separate"/>
      </w:r>
      <w:r w:rsidR="000E53E1" w:rsidRPr="00162253">
        <w:t>Lauren Nishimura, ‘Adaptation Obligations and Adaptive Mobility’ (2022) Forced Migration Review &lt;https://www.fmreview.org/climate-crisis/nishimura&gt;.</w:t>
      </w:r>
      <w:r w:rsidR="000E53E1" w:rsidRPr="00162253">
        <w:fldChar w:fldCharType="end"/>
      </w:r>
      <w:r w:rsidR="000E53E1" w:rsidRPr="00162253">
        <w:t xml:space="preserve"> </w:t>
      </w:r>
    </w:p>
  </w:footnote>
  <w:footnote w:id="13">
    <w:p w14:paraId="31164A6E" w14:textId="614A6DDD" w:rsidR="00FB57CB" w:rsidRPr="00162253" w:rsidRDefault="00FB57CB" w:rsidP="008D24FD">
      <w:pPr>
        <w:pStyle w:val="FootnoteText"/>
        <w:jc w:val="both"/>
      </w:pPr>
      <w:r w:rsidRPr="00162253">
        <w:rPr>
          <w:rStyle w:val="FootnoteReference"/>
          <w:rFonts w:cs="Times New Roman"/>
        </w:rPr>
        <w:footnoteRef/>
      </w:r>
      <w:r w:rsidRPr="00162253">
        <w:t xml:space="preserve"> See UNFCCC arts 4(3), 4(4). </w:t>
      </w:r>
    </w:p>
  </w:footnote>
  <w:footnote w:id="14">
    <w:p w14:paraId="23DCCE9E" w14:textId="03A70AE5" w:rsidR="00260FF1" w:rsidRPr="00162253" w:rsidRDefault="00260FF1" w:rsidP="008D24FD">
      <w:pPr>
        <w:pStyle w:val="FootnoteText"/>
        <w:jc w:val="both"/>
        <w:rPr>
          <w:color w:val="000000" w:themeColor="text1"/>
          <w:lang w:val="en-GB"/>
        </w:rPr>
      </w:pPr>
      <w:r w:rsidRPr="00162253">
        <w:rPr>
          <w:rStyle w:val="FootnoteReference"/>
          <w:rFonts w:cs="Times New Roman"/>
        </w:rPr>
        <w:footnoteRef/>
      </w:r>
      <w:r w:rsidRPr="00162253">
        <w:rPr>
          <w:color w:val="000000" w:themeColor="text1"/>
          <w:lang w:val="en-GB"/>
        </w:rPr>
        <w:t xml:space="preserve"> </w:t>
      </w:r>
      <w:r w:rsidR="00DC14A2" w:rsidRPr="00162253">
        <w:rPr>
          <w:color w:val="000000" w:themeColor="text1"/>
          <w:lang w:val="en-GB"/>
        </w:rPr>
        <w:t xml:space="preserve">Ibid. </w:t>
      </w:r>
      <w:r w:rsidRPr="00162253">
        <w:rPr>
          <w:color w:val="000000" w:themeColor="text1"/>
          <w:lang w:val="en-GB"/>
        </w:rPr>
        <w:t>art 4(7).</w:t>
      </w:r>
    </w:p>
  </w:footnote>
  <w:footnote w:id="15">
    <w:p w14:paraId="5E5705AD" w14:textId="1D3635F7" w:rsidR="006648B8" w:rsidRPr="00162253" w:rsidRDefault="006648B8" w:rsidP="008D24FD">
      <w:pPr>
        <w:pStyle w:val="FootnoteText"/>
        <w:jc w:val="both"/>
      </w:pPr>
      <w:r w:rsidRPr="00162253">
        <w:rPr>
          <w:rStyle w:val="FootnoteReference"/>
          <w:rFonts w:cs="Times New Roman"/>
        </w:rPr>
        <w:footnoteRef/>
      </w:r>
      <w:r w:rsidRPr="00162253">
        <w:t xml:space="preserve"> </w:t>
      </w:r>
      <w:r w:rsidR="00DC14A2" w:rsidRPr="00162253">
        <w:t>Ibid.</w:t>
      </w:r>
      <w:r w:rsidR="00DC14A2" w:rsidRPr="00162253">
        <w:t xml:space="preserve"> </w:t>
      </w:r>
      <w:r w:rsidRPr="00162253">
        <w:t>art 3(1).</w:t>
      </w:r>
    </w:p>
  </w:footnote>
  <w:footnote w:id="16">
    <w:p w14:paraId="4E94FC76" w14:textId="478B6500" w:rsidR="00847761" w:rsidRPr="00162253" w:rsidRDefault="00847761" w:rsidP="008D24FD">
      <w:pPr>
        <w:pStyle w:val="FootnoteText"/>
        <w:jc w:val="both"/>
      </w:pPr>
      <w:r w:rsidRPr="00162253">
        <w:rPr>
          <w:rStyle w:val="FootnoteReference"/>
          <w:rFonts w:cs="Times New Roman"/>
        </w:rPr>
        <w:footnoteRef/>
      </w:r>
      <w:r w:rsidRPr="00162253">
        <w:t xml:space="preserve"> </w:t>
      </w:r>
      <w:r w:rsidR="00866BDA" w:rsidRPr="00162253">
        <w:t>Paris Agreement art 7</w:t>
      </w:r>
      <w:r w:rsidR="00C80C8C" w:rsidRPr="00162253">
        <w:t>.13.</w:t>
      </w:r>
    </w:p>
  </w:footnote>
  <w:footnote w:id="17">
    <w:p w14:paraId="2C3E6CB3" w14:textId="43C117D3" w:rsidR="00E96DFB" w:rsidRPr="00162253" w:rsidRDefault="00E96DFB" w:rsidP="008D24FD">
      <w:pPr>
        <w:pStyle w:val="FootnoteText"/>
        <w:jc w:val="both"/>
      </w:pPr>
      <w:r w:rsidRPr="00162253">
        <w:rPr>
          <w:rStyle w:val="FootnoteReference"/>
          <w:rFonts w:cs="Times New Roman"/>
        </w:rPr>
        <w:footnoteRef/>
      </w:r>
      <w:r w:rsidRPr="00162253">
        <w:t xml:space="preserve"> </w:t>
      </w:r>
      <w:r w:rsidR="00DC14A2" w:rsidRPr="00162253">
        <w:t>Ibid.</w:t>
      </w:r>
      <w:r w:rsidR="001554A8" w:rsidRPr="00162253">
        <w:t xml:space="preserve"> art 9.1</w:t>
      </w:r>
    </w:p>
  </w:footnote>
  <w:footnote w:id="18">
    <w:p w14:paraId="66962762" w14:textId="15479C6C" w:rsidR="00A10253" w:rsidRPr="00162253" w:rsidRDefault="00A10253" w:rsidP="008D24FD">
      <w:pPr>
        <w:pStyle w:val="FootnoteText"/>
        <w:jc w:val="both"/>
        <w:rPr>
          <w:color w:val="000000" w:themeColor="text1"/>
          <w:lang w:val="en-GB"/>
        </w:rPr>
      </w:pPr>
      <w:r w:rsidRPr="00162253">
        <w:rPr>
          <w:rStyle w:val="FootnoteReference"/>
          <w:rFonts w:cs="Times New Roman"/>
        </w:rPr>
        <w:footnoteRef/>
      </w:r>
      <w:r w:rsidRPr="00162253">
        <w:rPr>
          <w:color w:val="000000" w:themeColor="text1"/>
          <w:lang w:val="en-GB"/>
        </w:rPr>
        <w:t xml:space="preserve"> </w:t>
      </w:r>
      <w:r w:rsidR="00651F32" w:rsidRPr="00162253">
        <w:rPr>
          <w:color w:val="000000" w:themeColor="text1"/>
          <w:lang w:val="en-GB"/>
        </w:rPr>
        <w:fldChar w:fldCharType="begin"/>
      </w:r>
      <w:r w:rsidR="0098295A">
        <w:rPr>
          <w:color w:val="000000" w:themeColor="text1"/>
          <w:lang w:val="en-GB"/>
        </w:rPr>
        <w:instrText xml:space="preserve"> ADDIN ZOTERO_ITEM CSL_CITATION {"citationID":"E2NEPKeo","properties":{"formattedCitation":"CESCR (n 9) paras 13-14.","plainCitation":"CESCR (n 9) paras 13-14.","noteIndex":18},"citationItems":[{"id":1160,"uris":["http://zotero.org/users/2358923/items/V7IATRGE"],"itemData":{"id":1160,"type":"report","number":"E/1991/23","title":"General Comment No. 3: The Nature of States Parties' Obligations (Art. 2, Para. 1, of the Covenant)","title-short":"General Comment No. 3","author":[{"family":"CESCR","given":""}],"issued":{"date-parts":[["1990",12,14]]}},"label":"page","suffix":"paras 13-14"}],"schema":"https://github.com/citation-style-language/schema/raw/master/csl-citation.json"} </w:instrText>
      </w:r>
      <w:r w:rsidR="00651F32" w:rsidRPr="00162253">
        <w:rPr>
          <w:color w:val="000000" w:themeColor="text1"/>
          <w:lang w:val="en-GB"/>
        </w:rPr>
        <w:fldChar w:fldCharType="separate"/>
      </w:r>
      <w:r w:rsidR="0098295A">
        <w:rPr>
          <w:noProof/>
          <w:color w:val="000000" w:themeColor="text1"/>
          <w:lang w:val="en-GB"/>
        </w:rPr>
        <w:t xml:space="preserve">General </w:t>
      </w:r>
      <w:r w:rsidR="0094540A">
        <w:rPr>
          <w:noProof/>
          <w:color w:val="000000" w:themeColor="text1"/>
          <w:lang w:val="en-GB"/>
        </w:rPr>
        <w:t>C</w:t>
      </w:r>
      <w:r w:rsidR="0098295A">
        <w:rPr>
          <w:noProof/>
          <w:color w:val="000000" w:themeColor="text1"/>
          <w:lang w:val="en-GB"/>
        </w:rPr>
        <w:t>omment 3 (n 9) paras 13-14.</w:t>
      </w:r>
      <w:r w:rsidR="00651F32" w:rsidRPr="00162253">
        <w:rPr>
          <w:color w:val="000000" w:themeColor="text1"/>
          <w:lang w:val="en-GB"/>
        </w:rPr>
        <w:fldChar w:fldCharType="end"/>
      </w:r>
      <w:r w:rsidRPr="00162253">
        <w:rPr>
          <w:color w:val="000000"/>
        </w:rPr>
        <w:t xml:space="preserve"> See also UN Charter</w:t>
      </w:r>
      <w:r w:rsidR="001554A8" w:rsidRPr="00162253">
        <w:rPr>
          <w:color w:val="000000"/>
        </w:rPr>
        <w:t xml:space="preserve"> arts 1(3), 13, 55-56</w:t>
      </w:r>
      <w:r w:rsidRPr="00162253">
        <w:rPr>
          <w:color w:val="000000"/>
        </w:rPr>
        <w:t xml:space="preserve">; </w:t>
      </w:r>
      <w:r w:rsidR="00651F32" w:rsidRPr="00162253">
        <w:rPr>
          <w:color w:val="000000"/>
        </w:rPr>
        <w:t>ICESCR art 2</w:t>
      </w:r>
      <w:r w:rsidR="001554A8" w:rsidRPr="00162253">
        <w:rPr>
          <w:color w:val="000000"/>
        </w:rPr>
        <w:t>(1).</w:t>
      </w:r>
    </w:p>
  </w:footnote>
  <w:footnote w:id="19">
    <w:p w14:paraId="33EDADC9" w14:textId="30D4F318" w:rsidR="003C6911" w:rsidRPr="00162253" w:rsidRDefault="003C6911" w:rsidP="008D24FD">
      <w:pPr>
        <w:pStyle w:val="FootnoteText"/>
        <w:jc w:val="both"/>
      </w:pPr>
      <w:r w:rsidRPr="00162253">
        <w:rPr>
          <w:rStyle w:val="FootnoteReference"/>
          <w:rFonts w:cs="Times New Roman"/>
        </w:rPr>
        <w:footnoteRef/>
      </w:r>
      <w:r w:rsidRPr="00162253">
        <w:t xml:space="preserve"> Further discussed in </w:t>
      </w:r>
      <w:r w:rsidR="00651F32" w:rsidRPr="00162253">
        <w:fldChar w:fldCharType="begin"/>
      </w:r>
      <w:r w:rsidR="0098295A">
        <w:instrText xml:space="preserve"> ADDIN ZOTERO_ITEM CSL_CITATION {"citationID":"JtfZFZl1","properties":{"formattedCitation":"Nishimura (n 2); OHCHR (n 11) paras 151-158.","plainCitation":"Nishimura (n 2); OHCHR (n 11) paras 151-158.","noteIndex":19},"citationItems":[{"id":2729,"uris":["http://zotero.org/users/2358923/items/YWAK9A4K"],"itemData":{"id":2729,"type":"article-journal","container-title":"Climate Law","DOI":"10.1163/18786561-20210001","issue":"2","journalAbbreviation":"Climate Law","language":"English","note":"publisher-place: Leiden, The Netherlands\npublisher: Brill | Nijhoff","page":"99-127","title":"Adaptation and Anticipatory Action: Integrating Human Rights Duties into the Climate Change Regime","volume":"12","author":[{"family":"Nishimura","given":"Lauren"}],"issued":{"date-parts":[["2022"]]}}},{"id":1523,"uris":["http://zotero.org/users/2358923/items/TTJLCYRU"],"itemData":{"id":1523,"type":"report","genre":"Conference Room Paper","number":"A/HRC/37/CRP.4","publisher":"OHCHR","title":"The slow onset effects of climate change and human rights protection for cross-border migrants","title-short":"Slow onset study","author":[{"family":"OHCHR","given":""}],"issued":{"date-parts":[["2018",3,22]]}},"label":"page","suffix":"paras 151-158"}],"schema":"https://github.com/citation-style-language/schema/raw/master/csl-citation.json"} </w:instrText>
      </w:r>
      <w:r w:rsidR="00651F32" w:rsidRPr="00162253">
        <w:fldChar w:fldCharType="separate"/>
      </w:r>
      <w:r w:rsidR="0098295A">
        <w:rPr>
          <w:noProof/>
        </w:rPr>
        <w:t>Nishimura (n 2); OHCHR (n 11) paras 151-158.</w:t>
      </w:r>
      <w:r w:rsidR="00651F32" w:rsidRPr="00162253">
        <w:fldChar w:fldCharType="end"/>
      </w:r>
    </w:p>
  </w:footnote>
  <w:footnote w:id="20">
    <w:p w14:paraId="5FBCBC68" w14:textId="51F9F982" w:rsidR="00866BDA" w:rsidRPr="008C73AD" w:rsidRDefault="00866BDA" w:rsidP="008D24FD">
      <w:pPr>
        <w:pStyle w:val="FootnoteText"/>
        <w:jc w:val="both"/>
      </w:pPr>
      <w:r w:rsidRPr="008C73AD">
        <w:rPr>
          <w:rStyle w:val="FootnoteReference"/>
          <w:rFonts w:cs="Times New Roman"/>
        </w:rPr>
        <w:footnoteRef/>
      </w:r>
      <w:r w:rsidRPr="008C73AD">
        <w:t xml:space="preserve"> </w:t>
      </w:r>
      <w:r w:rsidR="00651F32" w:rsidRPr="00162253">
        <w:rPr>
          <w:i/>
          <w:iCs/>
        </w:rPr>
        <w:t>Daniel Billy et al v Australia</w:t>
      </w:r>
      <w:r w:rsidR="00651F32" w:rsidRPr="00162253">
        <w:t>,</w:t>
      </w:r>
      <w:r w:rsidR="001554A8" w:rsidRPr="00162253">
        <w:t xml:space="preserve"> </w:t>
      </w:r>
      <w:r w:rsidR="00C80C8C" w:rsidRPr="00162253">
        <w:t xml:space="preserve">UN Doc. </w:t>
      </w:r>
      <w:r w:rsidR="00C80C8C" w:rsidRPr="00162253">
        <w:rPr>
          <w:lang w:val="en-GB"/>
        </w:rPr>
        <w:t xml:space="preserve">CCPR/C/135/D/3624/2019 (HRC 2022), </w:t>
      </w:r>
      <w:r w:rsidR="001554A8" w:rsidRPr="00162253">
        <w:t xml:space="preserve">paras 3.2 (authors cite VCLT article 31), 5.6, </w:t>
      </w:r>
      <w:r w:rsidR="00C80C8C" w:rsidRPr="00162253">
        <w:t>7.5.</w:t>
      </w:r>
    </w:p>
  </w:footnote>
  <w:footnote w:id="21">
    <w:p w14:paraId="13B0123B" w14:textId="461D3978" w:rsidR="001554A8" w:rsidRPr="00162253" w:rsidRDefault="001554A8" w:rsidP="008D24FD">
      <w:pPr>
        <w:pStyle w:val="FootnoteText"/>
        <w:jc w:val="both"/>
      </w:pPr>
      <w:r w:rsidRPr="00162253">
        <w:rPr>
          <w:rStyle w:val="FootnoteReference"/>
          <w:rFonts w:cs="Times New Roman"/>
        </w:rPr>
        <w:footnoteRef/>
      </w:r>
      <w:r w:rsidRPr="00162253">
        <w:t xml:space="preserve"> </w:t>
      </w:r>
      <w:r w:rsidR="00C80C8C" w:rsidRPr="00162253">
        <w:fldChar w:fldCharType="begin"/>
      </w:r>
      <w:r w:rsidR="0098295A">
        <w:instrText xml:space="preserve"> ADDIN ZOTERO_ITEM CSL_CITATION {"citationID":"qorp4RXk","properties":{"formattedCitation":"HRC (n 15) para 26.","plainCitation":"HRC (n 15) para 26.","dontUpdate":true,"noteIndex":21},"citationItems":[{"id":2235,"uris":["http://zotero.org/users/2358923/items/2BWAR8NB"],"itemData":{"id":2235,"type":"report","number":"CCPR/C/GC/36","title":"General Comment No. 36: Article 6 (Right to Life)","title-short":"General Comment No. 36","author":[{"family":"HRC","given":""}],"issued":{"date-parts":[["2019",9,3]]}},"label":"page","suffix":"para 26"}],"schema":"https://github.com/citation-style-language/schema/raw/master/csl-citation.json"} </w:instrText>
      </w:r>
      <w:r w:rsidR="00C80C8C" w:rsidRPr="00162253">
        <w:fldChar w:fldCharType="separate"/>
      </w:r>
      <w:r w:rsidR="00A911B7" w:rsidRPr="00162253">
        <w:rPr>
          <w:noProof/>
        </w:rPr>
        <w:t xml:space="preserve">General </w:t>
      </w:r>
      <w:r w:rsidR="0094540A">
        <w:rPr>
          <w:noProof/>
        </w:rPr>
        <w:t>C</w:t>
      </w:r>
      <w:r w:rsidR="00A911B7" w:rsidRPr="0098295A">
        <w:rPr>
          <w:noProof/>
        </w:rPr>
        <w:t xml:space="preserve">omment 36 (n </w:t>
      </w:r>
      <w:r w:rsidR="0098295A" w:rsidRPr="0098295A">
        <w:rPr>
          <w:noProof/>
        </w:rPr>
        <w:t>8</w:t>
      </w:r>
      <w:r w:rsidR="00A911B7" w:rsidRPr="0098295A">
        <w:rPr>
          <w:noProof/>
        </w:rPr>
        <w:t>)</w:t>
      </w:r>
      <w:r w:rsidR="00A911B7" w:rsidRPr="00162253">
        <w:rPr>
          <w:noProof/>
        </w:rPr>
        <w:t xml:space="preserve"> para </w:t>
      </w:r>
      <w:r w:rsidR="008633B2">
        <w:rPr>
          <w:noProof/>
        </w:rPr>
        <w:t>62</w:t>
      </w:r>
      <w:r w:rsidR="00A911B7" w:rsidRPr="00162253">
        <w:rPr>
          <w:noProof/>
        </w:rPr>
        <w:t>.</w:t>
      </w:r>
      <w:r w:rsidR="00C80C8C" w:rsidRPr="00162253">
        <w:fldChar w:fldCharType="end"/>
      </w:r>
    </w:p>
  </w:footnote>
  <w:footnote w:id="22">
    <w:p w14:paraId="75254D70" w14:textId="00352E14" w:rsidR="00B82FCE" w:rsidRPr="00162253" w:rsidRDefault="00B82FCE" w:rsidP="008D24FD">
      <w:pPr>
        <w:pStyle w:val="FootnoteText"/>
        <w:jc w:val="both"/>
      </w:pPr>
      <w:r w:rsidRPr="00162253">
        <w:rPr>
          <w:rStyle w:val="FootnoteReference"/>
          <w:rFonts w:cs="Times New Roman"/>
        </w:rPr>
        <w:footnoteRef/>
      </w:r>
      <w:r w:rsidRPr="00162253">
        <w:t xml:space="preserve"> Ibid.; </w:t>
      </w:r>
      <w:r w:rsidRPr="00162253">
        <w:rPr>
          <w:i/>
          <w:iCs/>
        </w:rPr>
        <w:t>Billy et al.</w:t>
      </w:r>
      <w:r w:rsidRPr="00162253">
        <w:t>, Annexes I, III (concurring and partially dissenting opinions).</w:t>
      </w:r>
    </w:p>
  </w:footnote>
  <w:footnote w:id="23">
    <w:p w14:paraId="475AF8B2" w14:textId="21B15D23" w:rsidR="00FB2BC2" w:rsidRPr="00162253" w:rsidRDefault="00FB2BC2" w:rsidP="008D24FD">
      <w:pPr>
        <w:pStyle w:val="FootnoteText"/>
        <w:jc w:val="both"/>
      </w:pPr>
      <w:r w:rsidRPr="00162253">
        <w:rPr>
          <w:rStyle w:val="FootnoteReference"/>
          <w:rFonts w:cs="Times New Roman"/>
        </w:rPr>
        <w:footnoteRef/>
      </w:r>
      <w:r w:rsidRPr="00162253">
        <w:t xml:space="preserve"> </w:t>
      </w:r>
      <w:r w:rsidR="00394D16" w:rsidRPr="00162253">
        <w:rPr>
          <w:i/>
          <w:iCs/>
        </w:rPr>
        <w:t>Billy et al</w:t>
      </w:r>
      <w:r w:rsidR="00783FC0" w:rsidRPr="00162253">
        <w:rPr>
          <w:i/>
          <w:iCs/>
        </w:rPr>
        <w:t>.</w:t>
      </w:r>
      <w:r w:rsidR="00783FC0" w:rsidRPr="00162253">
        <w:t>,</w:t>
      </w:r>
      <w:r w:rsidR="00783FC0" w:rsidRPr="00162253">
        <w:rPr>
          <w:i/>
          <w:iCs/>
        </w:rPr>
        <w:t xml:space="preserve"> </w:t>
      </w:r>
      <w:r w:rsidR="00783FC0" w:rsidRPr="00162253">
        <w:t>paras 8.12, 8.14.</w:t>
      </w:r>
    </w:p>
  </w:footnote>
  <w:footnote w:id="24">
    <w:p w14:paraId="1DD5BA90" w14:textId="221B1AF6" w:rsidR="0042256B" w:rsidRPr="00162253" w:rsidRDefault="0042256B" w:rsidP="008D24FD">
      <w:pPr>
        <w:pStyle w:val="FootnoteText"/>
        <w:jc w:val="both"/>
      </w:pPr>
      <w:r w:rsidRPr="00162253">
        <w:rPr>
          <w:rStyle w:val="FootnoteReference"/>
          <w:rFonts w:cs="Times New Roman"/>
        </w:rPr>
        <w:footnoteRef/>
      </w:r>
      <w:r w:rsidRPr="00162253">
        <w:t xml:space="preserve"> </w:t>
      </w:r>
      <w:r w:rsidR="00783FC0" w:rsidRPr="00162253">
        <w:t xml:space="preserve">Ibid. para 8.7; </w:t>
      </w:r>
      <w:r w:rsidR="00783FC0" w:rsidRPr="00162253">
        <w:rPr>
          <w:i/>
          <w:iCs/>
        </w:rPr>
        <w:t>Ioane Teitiota v New Zealand</w:t>
      </w:r>
      <w:r w:rsidR="00783FC0" w:rsidRPr="00162253">
        <w:t xml:space="preserve">, </w:t>
      </w:r>
      <w:r w:rsidR="00394D16" w:rsidRPr="00162253">
        <w:rPr>
          <w:color w:val="000000" w:themeColor="text1"/>
        </w:rPr>
        <w:t>UN Doc. CCPR/C/127/D/2728/2016</w:t>
      </w:r>
      <w:r w:rsidR="00394D16" w:rsidRPr="008C73AD">
        <w:rPr>
          <w:color w:val="000000" w:themeColor="text1"/>
        </w:rPr>
        <w:t xml:space="preserve"> </w:t>
      </w:r>
      <w:r w:rsidR="00783FC0" w:rsidRPr="00162253">
        <w:t>(HRC 201</w:t>
      </w:r>
      <w:r w:rsidR="00394D16" w:rsidRPr="00162253">
        <w:t>9</w:t>
      </w:r>
      <w:r w:rsidR="00783FC0" w:rsidRPr="00162253">
        <w:t>) para</w:t>
      </w:r>
      <w:r w:rsidR="00844508" w:rsidRPr="00162253">
        <w:t xml:space="preserve"> 9.12.</w:t>
      </w:r>
    </w:p>
  </w:footnote>
  <w:footnote w:id="25">
    <w:p w14:paraId="4A4B38D6" w14:textId="62EA2FB4" w:rsidR="005855DC" w:rsidRPr="00162253" w:rsidRDefault="005855DC" w:rsidP="008D24FD">
      <w:pPr>
        <w:pStyle w:val="FootnoteText"/>
        <w:jc w:val="both"/>
      </w:pPr>
      <w:r w:rsidRPr="00162253">
        <w:rPr>
          <w:rStyle w:val="FootnoteReference"/>
          <w:rFonts w:cs="Times New Roman"/>
        </w:rPr>
        <w:footnoteRef/>
      </w:r>
      <w:r w:rsidRPr="00162253">
        <w:t xml:space="preserve"> See </w:t>
      </w:r>
      <w:r w:rsidR="00FA0CB9">
        <w:t>G</w:t>
      </w:r>
      <w:r w:rsidR="00394D16" w:rsidRPr="00162253">
        <w:t xml:space="preserve">eneral </w:t>
      </w:r>
      <w:r w:rsidR="00FA0CB9">
        <w:t>C</w:t>
      </w:r>
      <w:r w:rsidR="00394D16" w:rsidRPr="00162253">
        <w:t>omment</w:t>
      </w:r>
      <w:r w:rsidRPr="00162253">
        <w:t xml:space="preserve"> 36 </w:t>
      </w:r>
      <w:r w:rsidR="00394D16" w:rsidRPr="00162253">
        <w:t xml:space="preserve">(n </w:t>
      </w:r>
      <w:r w:rsidR="0098295A">
        <w:t>8</w:t>
      </w:r>
      <w:r w:rsidR="00394D16" w:rsidRPr="00162253">
        <w:t xml:space="preserve">) </w:t>
      </w:r>
      <w:r w:rsidRPr="00162253">
        <w:t>para</w:t>
      </w:r>
      <w:r w:rsidR="00394D16" w:rsidRPr="00162253">
        <w:t>s</w:t>
      </w:r>
      <w:r w:rsidRPr="00162253">
        <w:t xml:space="preserve"> 7, 62; </w:t>
      </w:r>
      <w:r w:rsidR="00394D16" w:rsidRPr="00162253">
        <w:rPr>
          <w:i/>
          <w:iCs/>
        </w:rPr>
        <w:t>Billy et al.</w:t>
      </w:r>
      <w:r w:rsidR="00394D16" w:rsidRPr="00162253">
        <w:t xml:space="preserve">, para 8.3; </w:t>
      </w:r>
      <w:r w:rsidRPr="00162253">
        <w:rPr>
          <w:i/>
          <w:iCs/>
        </w:rPr>
        <w:t>Teit</w:t>
      </w:r>
      <w:r w:rsidR="00394D16" w:rsidRPr="00162253">
        <w:rPr>
          <w:i/>
          <w:iCs/>
        </w:rPr>
        <w:t>i</w:t>
      </w:r>
      <w:r w:rsidRPr="00162253">
        <w:rPr>
          <w:i/>
          <w:iCs/>
        </w:rPr>
        <w:t>ota</w:t>
      </w:r>
      <w:r w:rsidR="00394D16" w:rsidRPr="00162253">
        <w:t xml:space="preserve">, </w:t>
      </w:r>
      <w:r w:rsidR="00E62BA7" w:rsidRPr="00162253">
        <w:t xml:space="preserve">para 9.4; </w:t>
      </w:r>
      <w:r w:rsidR="00A911B7" w:rsidRPr="00162253">
        <w:fldChar w:fldCharType="begin"/>
      </w:r>
      <w:r w:rsidR="0098295A">
        <w:instrText xml:space="preserve"> ADDIN ZOTERO_ITEM CSL_CITATION {"citationID":"CxvRMqBJ","properties":{"formattedCitation":"Michelle Foster and Jane McAdam, \\uc0\\u8216{}Analysis of \\uc0\\u8220{}Imminence\\uc0\\u8221{} in International Protection Claims: Teitiota v New Zealand and Beyond\\uc0\\u8217{} (2022) 71 International and Comparative Law Quarterly 975 (warning against confusing the standard for admissibility, which includes imminence, with the merits, where imminence is not relevant to trigger State duties).","plainCitation":"Michelle Foster and Jane McAdam, ‘Analysis of “Imminence” in International Protection Claims: Teitiota v New Zealand and Beyond’ (2022) 71 International and Comparative Law Quarterly 975 (warning against confusing the standard for admissibility, which includes imminence, with the merits, where imminence is not relevant to trigger State duties).","dontUpdate":true,"noteIndex":25},"citationItems":[{"id":3015,"uris":["http://zotero.org/users/2358923/items/5TLDDR42"],"itemData":{"id":3015,"type":"article-journal","abstract":"The UN Human Rights Committee's finding in Teitiota v New Zealand has garnered widespread global attention for its recognition that the effects of climate change may put people's lives at risk or expose them to cruel, inhuman or degrading treatment, thus triggering States’ non-refoulement obligations. However, a secondary—and highly problematic—consequence of the decision has been its confusing and misplaced focus on ‘imminence’ of harm. This reflects a concerning, albeit uneven, trend in human rights cases generally (and cases concerning climate change and human rights, in particular) to recognize violations only where rights are immediately threatened. This short article reflects on the assumptions that Teitiota has triggered about the place of imminence in international protection claims, identifies the source of confusion, and suggests a more appropriate framework to guide a category of case that is likely to become the subject of intense litigation in the future.","archive":"Cambridge Core","container-title":"International and Comparative Law Quarterly","DOI":"10.1017/S0020589322000367","ISSN":"0020-5893","issue":"4","note":"edition: 2022/10/20\npublisher: Cambridge University Press","page":"975-982","source":"Cambridge University Press","title":"Analysis of ‘Imminence’ in International Protection Claims: Teitiota v New Zealand and Beyond","volume":"71","author":[{"family":"Foster","given":"Michelle"},{"family":"McAdam","given":"Jane"}],"issued":{"date-parts":[["2022"]]}},"label":"page","suffix":"(warning against confusing the standard for admissibility, which includes imminence, with the merits, where imminence is not relevant to trigger State duties)"}],"schema":"https://github.com/citation-style-language/schema/raw/master/csl-citation.json"} </w:instrText>
      </w:r>
      <w:r w:rsidR="00A911B7" w:rsidRPr="00162253">
        <w:fldChar w:fldCharType="separate"/>
      </w:r>
      <w:r w:rsidR="00A911B7" w:rsidRPr="00162253">
        <w:t xml:space="preserve">Michelle Foster and Jane McAdam, ‘Analysis of “Imminence” in International Protection Claims: </w:t>
      </w:r>
      <w:r w:rsidR="00A911B7" w:rsidRPr="00162253">
        <w:rPr>
          <w:i/>
          <w:iCs/>
        </w:rPr>
        <w:t xml:space="preserve">Teitiota v New Zealand </w:t>
      </w:r>
      <w:r w:rsidR="00A911B7" w:rsidRPr="00162253">
        <w:t>and Beyond’ (2022) 71 ICLQ 975 (warning against confusing the standard for admissibility, which includes imminence, with the merits, where imminence is not relevant to trigger State duties).</w:t>
      </w:r>
      <w:r w:rsidR="00A911B7" w:rsidRPr="00162253">
        <w:fldChar w:fldCharType="end"/>
      </w:r>
    </w:p>
  </w:footnote>
  <w:footnote w:id="26">
    <w:p w14:paraId="055551FC" w14:textId="77777777" w:rsidR="00B82FCE" w:rsidRPr="00162253" w:rsidRDefault="00B82FCE" w:rsidP="008D24FD">
      <w:pPr>
        <w:pStyle w:val="FootnoteText"/>
        <w:jc w:val="both"/>
      </w:pPr>
      <w:r w:rsidRPr="00162253">
        <w:rPr>
          <w:rStyle w:val="FootnoteReference"/>
          <w:rFonts w:cs="Times New Roman"/>
        </w:rPr>
        <w:footnoteRef/>
      </w:r>
      <w:r w:rsidRPr="00162253">
        <w:t xml:space="preserve"> See </w:t>
      </w:r>
      <w:r w:rsidRPr="00162253">
        <w:rPr>
          <w:i/>
          <w:iCs/>
        </w:rPr>
        <w:t>Teitiota</w:t>
      </w:r>
      <w:r w:rsidRPr="00162253">
        <w:t>, para 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034"/>
    <w:multiLevelType w:val="hybridMultilevel"/>
    <w:tmpl w:val="089214D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8865F4"/>
    <w:multiLevelType w:val="hybridMultilevel"/>
    <w:tmpl w:val="F758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37633"/>
    <w:multiLevelType w:val="hybridMultilevel"/>
    <w:tmpl w:val="A5E4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D2B21"/>
    <w:multiLevelType w:val="hybridMultilevel"/>
    <w:tmpl w:val="713CA2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92BC1"/>
    <w:multiLevelType w:val="hybridMultilevel"/>
    <w:tmpl w:val="7BA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128160">
    <w:abstractNumId w:val="1"/>
  </w:num>
  <w:num w:numId="2" w16cid:durableId="2048990511">
    <w:abstractNumId w:val="3"/>
  </w:num>
  <w:num w:numId="3" w16cid:durableId="1157763520">
    <w:abstractNumId w:val="4"/>
  </w:num>
  <w:num w:numId="4" w16cid:durableId="1873374642">
    <w:abstractNumId w:val="2"/>
  </w:num>
  <w:num w:numId="5" w16cid:durableId="1283145974">
    <w:abstractNumId w:val="5"/>
  </w:num>
  <w:num w:numId="6" w16cid:durableId="9471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D7"/>
    <w:rsid w:val="00000367"/>
    <w:rsid w:val="000011BA"/>
    <w:rsid w:val="000061AB"/>
    <w:rsid w:val="000169E4"/>
    <w:rsid w:val="000302E9"/>
    <w:rsid w:val="00045AA8"/>
    <w:rsid w:val="00064A9E"/>
    <w:rsid w:val="00065FDB"/>
    <w:rsid w:val="00066355"/>
    <w:rsid w:val="00076B85"/>
    <w:rsid w:val="00083864"/>
    <w:rsid w:val="00085B23"/>
    <w:rsid w:val="00097268"/>
    <w:rsid w:val="000B38B7"/>
    <w:rsid w:val="000B4381"/>
    <w:rsid w:val="000B4964"/>
    <w:rsid w:val="000E53E1"/>
    <w:rsid w:val="00107D46"/>
    <w:rsid w:val="00110F8C"/>
    <w:rsid w:val="00123753"/>
    <w:rsid w:val="00127BF8"/>
    <w:rsid w:val="001325C6"/>
    <w:rsid w:val="0013385B"/>
    <w:rsid w:val="001348FC"/>
    <w:rsid w:val="00142040"/>
    <w:rsid w:val="0014237B"/>
    <w:rsid w:val="0014494B"/>
    <w:rsid w:val="00151074"/>
    <w:rsid w:val="00152715"/>
    <w:rsid w:val="00153E47"/>
    <w:rsid w:val="001554A8"/>
    <w:rsid w:val="00162253"/>
    <w:rsid w:val="00176C2E"/>
    <w:rsid w:val="00177A97"/>
    <w:rsid w:val="00186E26"/>
    <w:rsid w:val="001A303A"/>
    <w:rsid w:val="001B1FB1"/>
    <w:rsid w:val="001C067E"/>
    <w:rsid w:val="001C11E6"/>
    <w:rsid w:val="001C1979"/>
    <w:rsid w:val="001D29A6"/>
    <w:rsid w:val="001D490D"/>
    <w:rsid w:val="001F2E21"/>
    <w:rsid w:val="001F4E18"/>
    <w:rsid w:val="00201EA6"/>
    <w:rsid w:val="0020356C"/>
    <w:rsid w:val="00205350"/>
    <w:rsid w:val="00206E36"/>
    <w:rsid w:val="00210669"/>
    <w:rsid w:val="002111E9"/>
    <w:rsid w:val="00217F25"/>
    <w:rsid w:val="00224854"/>
    <w:rsid w:val="00224F7D"/>
    <w:rsid w:val="002278D0"/>
    <w:rsid w:val="00227FA7"/>
    <w:rsid w:val="00230AD8"/>
    <w:rsid w:val="00234891"/>
    <w:rsid w:val="002373B6"/>
    <w:rsid w:val="0024348A"/>
    <w:rsid w:val="00244F58"/>
    <w:rsid w:val="00245F25"/>
    <w:rsid w:val="00251230"/>
    <w:rsid w:val="00251334"/>
    <w:rsid w:val="002546AC"/>
    <w:rsid w:val="00260FF1"/>
    <w:rsid w:val="002650C1"/>
    <w:rsid w:val="00274ACE"/>
    <w:rsid w:val="002862B4"/>
    <w:rsid w:val="00286451"/>
    <w:rsid w:val="00291BE1"/>
    <w:rsid w:val="002933F0"/>
    <w:rsid w:val="002B4925"/>
    <w:rsid w:val="002B7EF6"/>
    <w:rsid w:val="002C26CD"/>
    <w:rsid w:val="002C5AD4"/>
    <w:rsid w:val="002C7513"/>
    <w:rsid w:val="002D5D60"/>
    <w:rsid w:val="002E2291"/>
    <w:rsid w:val="003129C4"/>
    <w:rsid w:val="0032142D"/>
    <w:rsid w:val="00323EED"/>
    <w:rsid w:val="003246EF"/>
    <w:rsid w:val="00330DE6"/>
    <w:rsid w:val="00331C14"/>
    <w:rsid w:val="00333BFA"/>
    <w:rsid w:val="003366F9"/>
    <w:rsid w:val="00340033"/>
    <w:rsid w:val="00346891"/>
    <w:rsid w:val="003545CA"/>
    <w:rsid w:val="0035565D"/>
    <w:rsid w:val="00356783"/>
    <w:rsid w:val="003578C6"/>
    <w:rsid w:val="003637EA"/>
    <w:rsid w:val="0037095F"/>
    <w:rsid w:val="00373DA6"/>
    <w:rsid w:val="00394D16"/>
    <w:rsid w:val="003A634E"/>
    <w:rsid w:val="003B54FD"/>
    <w:rsid w:val="003B691B"/>
    <w:rsid w:val="003B72FC"/>
    <w:rsid w:val="003C4AF1"/>
    <w:rsid w:val="003C6911"/>
    <w:rsid w:val="003C7C3E"/>
    <w:rsid w:val="003E7716"/>
    <w:rsid w:val="00403D58"/>
    <w:rsid w:val="00411E37"/>
    <w:rsid w:val="00415467"/>
    <w:rsid w:val="00422287"/>
    <w:rsid w:val="0042256B"/>
    <w:rsid w:val="00437C86"/>
    <w:rsid w:val="004627EF"/>
    <w:rsid w:val="00471B6C"/>
    <w:rsid w:val="00474300"/>
    <w:rsid w:val="0048332E"/>
    <w:rsid w:val="0049319B"/>
    <w:rsid w:val="004A268C"/>
    <w:rsid w:val="004B3FA1"/>
    <w:rsid w:val="004B5DF4"/>
    <w:rsid w:val="004C55FB"/>
    <w:rsid w:val="004C7AA7"/>
    <w:rsid w:val="004D0D4A"/>
    <w:rsid w:val="004D1852"/>
    <w:rsid w:val="004D39A3"/>
    <w:rsid w:val="004E56E4"/>
    <w:rsid w:val="004E5C52"/>
    <w:rsid w:val="004F7EDF"/>
    <w:rsid w:val="005052BD"/>
    <w:rsid w:val="0050798E"/>
    <w:rsid w:val="00513AF4"/>
    <w:rsid w:val="00534B3F"/>
    <w:rsid w:val="00535034"/>
    <w:rsid w:val="0053523C"/>
    <w:rsid w:val="005353B0"/>
    <w:rsid w:val="00535DAF"/>
    <w:rsid w:val="0053684C"/>
    <w:rsid w:val="005373E1"/>
    <w:rsid w:val="0054224F"/>
    <w:rsid w:val="00546F32"/>
    <w:rsid w:val="00551B8E"/>
    <w:rsid w:val="00552454"/>
    <w:rsid w:val="00554ED9"/>
    <w:rsid w:val="00555A4F"/>
    <w:rsid w:val="005610DB"/>
    <w:rsid w:val="005656C1"/>
    <w:rsid w:val="0057074F"/>
    <w:rsid w:val="005731B5"/>
    <w:rsid w:val="00577ECF"/>
    <w:rsid w:val="00580353"/>
    <w:rsid w:val="005841BC"/>
    <w:rsid w:val="005855DC"/>
    <w:rsid w:val="005A300D"/>
    <w:rsid w:val="005B6907"/>
    <w:rsid w:val="005B6EA8"/>
    <w:rsid w:val="005C0293"/>
    <w:rsid w:val="005C7FEE"/>
    <w:rsid w:val="005D3479"/>
    <w:rsid w:val="005E2D42"/>
    <w:rsid w:val="005E5E90"/>
    <w:rsid w:val="005E7090"/>
    <w:rsid w:val="005F443C"/>
    <w:rsid w:val="005F6300"/>
    <w:rsid w:val="005F7703"/>
    <w:rsid w:val="005F7EE4"/>
    <w:rsid w:val="00601E9B"/>
    <w:rsid w:val="00607F9F"/>
    <w:rsid w:val="00610C03"/>
    <w:rsid w:val="00614920"/>
    <w:rsid w:val="00617562"/>
    <w:rsid w:val="0062341C"/>
    <w:rsid w:val="00633693"/>
    <w:rsid w:val="006456DB"/>
    <w:rsid w:val="0064748B"/>
    <w:rsid w:val="00651F32"/>
    <w:rsid w:val="006604BC"/>
    <w:rsid w:val="006648B8"/>
    <w:rsid w:val="0067443D"/>
    <w:rsid w:val="00676CD4"/>
    <w:rsid w:val="00686A27"/>
    <w:rsid w:val="006948DD"/>
    <w:rsid w:val="006A1187"/>
    <w:rsid w:val="006A793D"/>
    <w:rsid w:val="006B5715"/>
    <w:rsid w:val="006C1EFF"/>
    <w:rsid w:val="006F4BA7"/>
    <w:rsid w:val="00703D40"/>
    <w:rsid w:val="0070660B"/>
    <w:rsid w:val="0071033E"/>
    <w:rsid w:val="007113DC"/>
    <w:rsid w:val="0071158E"/>
    <w:rsid w:val="00724DF8"/>
    <w:rsid w:val="00733ACF"/>
    <w:rsid w:val="00735542"/>
    <w:rsid w:val="007474BA"/>
    <w:rsid w:val="007646B9"/>
    <w:rsid w:val="0076521C"/>
    <w:rsid w:val="00775CEB"/>
    <w:rsid w:val="00783FC0"/>
    <w:rsid w:val="007853A3"/>
    <w:rsid w:val="007909A3"/>
    <w:rsid w:val="007C2005"/>
    <w:rsid w:val="007D5E07"/>
    <w:rsid w:val="007E0C89"/>
    <w:rsid w:val="007E7E1E"/>
    <w:rsid w:val="007F1505"/>
    <w:rsid w:val="007F7670"/>
    <w:rsid w:val="00806AA0"/>
    <w:rsid w:val="00807708"/>
    <w:rsid w:val="00815DFB"/>
    <w:rsid w:val="00821E4C"/>
    <w:rsid w:val="00827735"/>
    <w:rsid w:val="008320D9"/>
    <w:rsid w:val="008331CE"/>
    <w:rsid w:val="00844508"/>
    <w:rsid w:val="00847761"/>
    <w:rsid w:val="00855436"/>
    <w:rsid w:val="00860D75"/>
    <w:rsid w:val="008633B2"/>
    <w:rsid w:val="00866BDA"/>
    <w:rsid w:val="0087775B"/>
    <w:rsid w:val="008837FF"/>
    <w:rsid w:val="00884D30"/>
    <w:rsid w:val="008877CB"/>
    <w:rsid w:val="008A5931"/>
    <w:rsid w:val="008B19F3"/>
    <w:rsid w:val="008B370D"/>
    <w:rsid w:val="008B5F6E"/>
    <w:rsid w:val="008C73AD"/>
    <w:rsid w:val="008D24FD"/>
    <w:rsid w:val="008D3C88"/>
    <w:rsid w:val="008D5D3D"/>
    <w:rsid w:val="008D71D3"/>
    <w:rsid w:val="008D7B7A"/>
    <w:rsid w:val="008F35D9"/>
    <w:rsid w:val="00904784"/>
    <w:rsid w:val="0092387E"/>
    <w:rsid w:val="0092594A"/>
    <w:rsid w:val="00932DEE"/>
    <w:rsid w:val="00935C5D"/>
    <w:rsid w:val="00944944"/>
    <w:rsid w:val="0094540A"/>
    <w:rsid w:val="00951565"/>
    <w:rsid w:val="00952EF5"/>
    <w:rsid w:val="009549BA"/>
    <w:rsid w:val="00962246"/>
    <w:rsid w:val="00976DF5"/>
    <w:rsid w:val="0098295A"/>
    <w:rsid w:val="00990808"/>
    <w:rsid w:val="009976FF"/>
    <w:rsid w:val="009A3E2B"/>
    <w:rsid w:val="009A4962"/>
    <w:rsid w:val="009B624D"/>
    <w:rsid w:val="009C1634"/>
    <w:rsid w:val="009C3C49"/>
    <w:rsid w:val="009C3D91"/>
    <w:rsid w:val="009D469B"/>
    <w:rsid w:val="009E040A"/>
    <w:rsid w:val="009E34D5"/>
    <w:rsid w:val="009E54AC"/>
    <w:rsid w:val="009F1CF9"/>
    <w:rsid w:val="009F378B"/>
    <w:rsid w:val="00A00559"/>
    <w:rsid w:val="00A051C1"/>
    <w:rsid w:val="00A10253"/>
    <w:rsid w:val="00A16CA0"/>
    <w:rsid w:val="00A32E61"/>
    <w:rsid w:val="00A3517A"/>
    <w:rsid w:val="00A3653A"/>
    <w:rsid w:val="00A404BD"/>
    <w:rsid w:val="00A45717"/>
    <w:rsid w:val="00A60A3D"/>
    <w:rsid w:val="00A80146"/>
    <w:rsid w:val="00A84660"/>
    <w:rsid w:val="00A84B49"/>
    <w:rsid w:val="00A911B7"/>
    <w:rsid w:val="00AA0C05"/>
    <w:rsid w:val="00AA165F"/>
    <w:rsid w:val="00AB2389"/>
    <w:rsid w:val="00AC1D65"/>
    <w:rsid w:val="00AC66BB"/>
    <w:rsid w:val="00AD3559"/>
    <w:rsid w:val="00AD4B30"/>
    <w:rsid w:val="00AF1AC8"/>
    <w:rsid w:val="00B100F4"/>
    <w:rsid w:val="00B128F2"/>
    <w:rsid w:val="00B12DF2"/>
    <w:rsid w:val="00B1397A"/>
    <w:rsid w:val="00B16F02"/>
    <w:rsid w:val="00B17B81"/>
    <w:rsid w:val="00B2296A"/>
    <w:rsid w:val="00B25791"/>
    <w:rsid w:val="00B30532"/>
    <w:rsid w:val="00B311DF"/>
    <w:rsid w:val="00B3660F"/>
    <w:rsid w:val="00B52911"/>
    <w:rsid w:val="00B547A1"/>
    <w:rsid w:val="00B551E7"/>
    <w:rsid w:val="00B56674"/>
    <w:rsid w:val="00B606AB"/>
    <w:rsid w:val="00B62A86"/>
    <w:rsid w:val="00B635ED"/>
    <w:rsid w:val="00B67E89"/>
    <w:rsid w:val="00B808B2"/>
    <w:rsid w:val="00B82FCE"/>
    <w:rsid w:val="00B860EB"/>
    <w:rsid w:val="00B92059"/>
    <w:rsid w:val="00B9506C"/>
    <w:rsid w:val="00B95EEB"/>
    <w:rsid w:val="00B9690F"/>
    <w:rsid w:val="00BA15C1"/>
    <w:rsid w:val="00BA63D5"/>
    <w:rsid w:val="00BB2085"/>
    <w:rsid w:val="00BB575A"/>
    <w:rsid w:val="00BC12FD"/>
    <w:rsid w:val="00BC39A4"/>
    <w:rsid w:val="00BC3E71"/>
    <w:rsid w:val="00BC598C"/>
    <w:rsid w:val="00BD1C37"/>
    <w:rsid w:val="00BD3740"/>
    <w:rsid w:val="00BD4ADE"/>
    <w:rsid w:val="00BF6B7E"/>
    <w:rsid w:val="00C115CF"/>
    <w:rsid w:val="00C249BB"/>
    <w:rsid w:val="00C30A83"/>
    <w:rsid w:val="00C3318F"/>
    <w:rsid w:val="00C332B0"/>
    <w:rsid w:val="00C34E52"/>
    <w:rsid w:val="00C40857"/>
    <w:rsid w:val="00C425DF"/>
    <w:rsid w:val="00C54357"/>
    <w:rsid w:val="00C55521"/>
    <w:rsid w:val="00C55B06"/>
    <w:rsid w:val="00C6081D"/>
    <w:rsid w:val="00C63F97"/>
    <w:rsid w:val="00C664C5"/>
    <w:rsid w:val="00C80C8C"/>
    <w:rsid w:val="00C82D84"/>
    <w:rsid w:val="00C82E3A"/>
    <w:rsid w:val="00CC0345"/>
    <w:rsid w:val="00CC55F2"/>
    <w:rsid w:val="00CE46D1"/>
    <w:rsid w:val="00CE63EB"/>
    <w:rsid w:val="00CF2880"/>
    <w:rsid w:val="00D24DC6"/>
    <w:rsid w:val="00D25ED2"/>
    <w:rsid w:val="00D30817"/>
    <w:rsid w:val="00D31E17"/>
    <w:rsid w:val="00D33089"/>
    <w:rsid w:val="00D54AF4"/>
    <w:rsid w:val="00D56C1C"/>
    <w:rsid w:val="00D64ED8"/>
    <w:rsid w:val="00D83F5D"/>
    <w:rsid w:val="00D8482A"/>
    <w:rsid w:val="00D97B5B"/>
    <w:rsid w:val="00D97BD7"/>
    <w:rsid w:val="00DA207A"/>
    <w:rsid w:val="00DA7657"/>
    <w:rsid w:val="00DB2C72"/>
    <w:rsid w:val="00DC14A2"/>
    <w:rsid w:val="00DC4C55"/>
    <w:rsid w:val="00DD0207"/>
    <w:rsid w:val="00DD179E"/>
    <w:rsid w:val="00DD62E8"/>
    <w:rsid w:val="00DE2182"/>
    <w:rsid w:val="00DE783B"/>
    <w:rsid w:val="00E06653"/>
    <w:rsid w:val="00E20A0C"/>
    <w:rsid w:val="00E2134E"/>
    <w:rsid w:val="00E214B3"/>
    <w:rsid w:val="00E23BCF"/>
    <w:rsid w:val="00E24FF9"/>
    <w:rsid w:val="00E327DF"/>
    <w:rsid w:val="00E62BA7"/>
    <w:rsid w:val="00E72D3C"/>
    <w:rsid w:val="00E778AD"/>
    <w:rsid w:val="00E871E0"/>
    <w:rsid w:val="00E87275"/>
    <w:rsid w:val="00E93AD7"/>
    <w:rsid w:val="00E957AB"/>
    <w:rsid w:val="00E96DFB"/>
    <w:rsid w:val="00EA0E65"/>
    <w:rsid w:val="00EA484A"/>
    <w:rsid w:val="00EB36C8"/>
    <w:rsid w:val="00EB7C4C"/>
    <w:rsid w:val="00EC7529"/>
    <w:rsid w:val="00F031C5"/>
    <w:rsid w:val="00F04A35"/>
    <w:rsid w:val="00F227CE"/>
    <w:rsid w:val="00F32BD9"/>
    <w:rsid w:val="00F3634E"/>
    <w:rsid w:val="00F4047B"/>
    <w:rsid w:val="00F4602B"/>
    <w:rsid w:val="00F56A74"/>
    <w:rsid w:val="00F60E7A"/>
    <w:rsid w:val="00F6391E"/>
    <w:rsid w:val="00F65FF2"/>
    <w:rsid w:val="00F84560"/>
    <w:rsid w:val="00F87619"/>
    <w:rsid w:val="00F933F6"/>
    <w:rsid w:val="00FA0CB9"/>
    <w:rsid w:val="00FB0092"/>
    <w:rsid w:val="00FB2BC2"/>
    <w:rsid w:val="00FB57CB"/>
    <w:rsid w:val="00FC5321"/>
    <w:rsid w:val="00FC5893"/>
    <w:rsid w:val="00FD044C"/>
    <w:rsid w:val="00FD5191"/>
    <w:rsid w:val="00FE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81377"/>
  <w15:chartTrackingRefBased/>
  <w15:docId w15:val="{BE693DFF-043E-8942-8C29-80A9477D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BD7"/>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8C73AD"/>
    <w:rPr>
      <w:rFonts w:ascii="Times New Roman" w:hAnsi="Times New Roman"/>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8C73AD"/>
    <w:rPr>
      <w:rFonts w:ascii="Times New Roman" w:eastAsiaTheme="minorEastAsia" w:hAnsi="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610C03"/>
    <w:rPr>
      <w:vertAlign w:val="superscript"/>
    </w:rPr>
  </w:style>
  <w:style w:type="paragraph" w:styleId="Bibliography">
    <w:name w:val="Bibliography"/>
    <w:basedOn w:val="Normal"/>
    <w:next w:val="Normal"/>
    <w:uiPriority w:val="37"/>
    <w:unhideWhenUsed/>
    <w:rsid w:val="005C0293"/>
    <w:pPr>
      <w:spacing w:after="240"/>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C0293"/>
    <w:pPr>
      <w:spacing w:after="160" w:line="240" w:lineRule="exact"/>
      <w:jc w:val="both"/>
    </w:pPr>
    <w:rPr>
      <w:vertAlign w:val="superscript"/>
    </w:rPr>
  </w:style>
  <w:style w:type="paragraph" w:styleId="EndnoteText">
    <w:name w:val="endnote text"/>
    <w:basedOn w:val="Normal"/>
    <w:link w:val="EndnoteTextChar"/>
    <w:uiPriority w:val="99"/>
    <w:unhideWhenUsed/>
    <w:rsid w:val="008B370D"/>
    <w:rPr>
      <w:rFonts w:ascii="Times New Roman" w:hAnsi="Times New Roman"/>
      <w:sz w:val="20"/>
      <w:szCs w:val="20"/>
    </w:rPr>
  </w:style>
  <w:style w:type="character" w:customStyle="1" w:styleId="EndnoteTextChar">
    <w:name w:val="Endnote Text Char"/>
    <w:basedOn w:val="DefaultParagraphFont"/>
    <w:link w:val="EndnoteText"/>
    <w:uiPriority w:val="99"/>
    <w:rsid w:val="008B370D"/>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8B370D"/>
    <w:rPr>
      <w:vertAlign w:val="superscript"/>
    </w:rPr>
  </w:style>
  <w:style w:type="paragraph" w:customStyle="1" w:styleId="SingleTxtG">
    <w:name w:val="_ Single Txt_G"/>
    <w:basedOn w:val="Normal"/>
    <w:qFormat/>
    <w:rsid w:val="001A303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odyA">
    <w:name w:val="Body A"/>
    <w:rsid w:val="004E56E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6B5715"/>
    <w:pPr>
      <w:tabs>
        <w:tab w:val="center" w:pos="4680"/>
        <w:tab w:val="right" w:pos="9360"/>
      </w:tabs>
    </w:pPr>
  </w:style>
  <w:style w:type="character" w:customStyle="1" w:styleId="FooterChar">
    <w:name w:val="Footer Char"/>
    <w:basedOn w:val="DefaultParagraphFont"/>
    <w:link w:val="Footer"/>
    <w:uiPriority w:val="99"/>
    <w:rsid w:val="006B5715"/>
  </w:style>
  <w:style w:type="character" w:styleId="PageNumber">
    <w:name w:val="page number"/>
    <w:basedOn w:val="DefaultParagraphFont"/>
    <w:uiPriority w:val="99"/>
    <w:semiHidden/>
    <w:unhideWhenUsed/>
    <w:rsid w:val="006B5715"/>
  </w:style>
  <w:style w:type="paragraph" w:styleId="Header">
    <w:name w:val="header"/>
    <w:basedOn w:val="Normal"/>
    <w:link w:val="HeaderChar"/>
    <w:uiPriority w:val="99"/>
    <w:unhideWhenUsed/>
    <w:rsid w:val="006B5715"/>
    <w:pPr>
      <w:tabs>
        <w:tab w:val="center" w:pos="4680"/>
        <w:tab w:val="right" w:pos="9360"/>
      </w:tabs>
    </w:pPr>
  </w:style>
  <w:style w:type="character" w:customStyle="1" w:styleId="HeaderChar">
    <w:name w:val="Header Char"/>
    <w:basedOn w:val="DefaultParagraphFont"/>
    <w:link w:val="Header"/>
    <w:uiPriority w:val="99"/>
    <w:rsid w:val="006B5715"/>
  </w:style>
  <w:style w:type="character" w:styleId="CommentReference">
    <w:name w:val="annotation reference"/>
    <w:basedOn w:val="DefaultParagraphFont"/>
    <w:uiPriority w:val="99"/>
    <w:unhideWhenUsed/>
    <w:rsid w:val="00206E36"/>
    <w:rPr>
      <w:sz w:val="16"/>
      <w:szCs w:val="16"/>
    </w:rPr>
  </w:style>
  <w:style w:type="paragraph" w:styleId="CommentText">
    <w:name w:val="annotation text"/>
    <w:basedOn w:val="Normal"/>
    <w:link w:val="CommentTextChar"/>
    <w:uiPriority w:val="99"/>
    <w:semiHidden/>
    <w:unhideWhenUsed/>
    <w:rsid w:val="00206E36"/>
    <w:rPr>
      <w:sz w:val="20"/>
      <w:szCs w:val="20"/>
    </w:rPr>
  </w:style>
  <w:style w:type="character" w:customStyle="1" w:styleId="CommentTextChar">
    <w:name w:val="Comment Text Char"/>
    <w:basedOn w:val="DefaultParagraphFont"/>
    <w:link w:val="CommentText"/>
    <w:uiPriority w:val="99"/>
    <w:semiHidden/>
    <w:rsid w:val="00206E36"/>
    <w:rPr>
      <w:sz w:val="20"/>
      <w:szCs w:val="20"/>
    </w:rPr>
  </w:style>
  <w:style w:type="paragraph" w:styleId="CommentSubject">
    <w:name w:val="annotation subject"/>
    <w:basedOn w:val="CommentText"/>
    <w:next w:val="CommentText"/>
    <w:link w:val="CommentSubjectChar"/>
    <w:uiPriority w:val="99"/>
    <w:semiHidden/>
    <w:unhideWhenUsed/>
    <w:rsid w:val="00206E36"/>
    <w:rPr>
      <w:b/>
      <w:bCs/>
    </w:rPr>
  </w:style>
  <w:style w:type="character" w:customStyle="1" w:styleId="CommentSubjectChar">
    <w:name w:val="Comment Subject Char"/>
    <w:basedOn w:val="CommentTextChar"/>
    <w:link w:val="CommentSubject"/>
    <w:uiPriority w:val="99"/>
    <w:semiHidden/>
    <w:rsid w:val="00206E36"/>
    <w:rPr>
      <w:b/>
      <w:bCs/>
      <w:sz w:val="20"/>
      <w:szCs w:val="20"/>
    </w:rPr>
  </w:style>
  <w:style w:type="paragraph" w:styleId="Revision">
    <w:name w:val="Revision"/>
    <w:hidden/>
    <w:uiPriority w:val="99"/>
    <w:semiHidden/>
    <w:rsid w:val="0000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4524">
      <w:bodyDiv w:val="1"/>
      <w:marLeft w:val="0"/>
      <w:marRight w:val="0"/>
      <w:marTop w:val="0"/>
      <w:marBottom w:val="0"/>
      <w:divBdr>
        <w:top w:val="none" w:sz="0" w:space="0" w:color="auto"/>
        <w:left w:val="none" w:sz="0" w:space="0" w:color="auto"/>
        <w:bottom w:val="none" w:sz="0" w:space="0" w:color="auto"/>
        <w:right w:val="none" w:sz="0" w:space="0" w:color="auto"/>
      </w:divBdr>
    </w:div>
    <w:div w:id="6334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2026</Words>
  <Characters>11752</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Nishimura</dc:creator>
  <cp:keywords/>
  <dc:description/>
  <cp:lastModifiedBy>Lauren Nishimura</cp:lastModifiedBy>
  <cp:revision>10</cp:revision>
  <dcterms:created xsi:type="dcterms:W3CDTF">2022-11-17T02:11:00Z</dcterms:created>
  <dcterms:modified xsi:type="dcterms:W3CDTF">2022-11-17T02:46:00Z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id="rOv9SZo1"/&gt;&lt;style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ies>
</file>