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14E" w:rsidRPr="0041265A" w:rsidRDefault="00C21136" w:rsidP="00C21136">
      <w:pPr>
        <w:spacing w:before="120" w:after="120"/>
        <w:outlineLvl w:val="1"/>
        <w:rPr>
          <w:rFonts w:ascii="Palatino Linotype" w:hAnsi="Palatino Linotype"/>
          <w:b/>
          <w:bCs/>
          <w:sz w:val="22"/>
          <w:szCs w:val="22"/>
          <w:lang w:val="en-AU"/>
        </w:rPr>
      </w:pPr>
      <w:r>
        <w:rPr>
          <w:noProof/>
        </w:rPr>
        <w:drawing>
          <wp:anchor distT="0" distB="0" distL="114300" distR="114300" simplePos="0" relativeHeight="251658240" behindDoc="0" locked="0" layoutInCell="1" allowOverlap="1" wp14:anchorId="7140A741" wp14:editId="142BC04E">
            <wp:simplePos x="0" y="0"/>
            <wp:positionH relativeFrom="column">
              <wp:posOffset>662940</wp:posOffset>
            </wp:positionH>
            <wp:positionV relativeFrom="paragraph">
              <wp:posOffset>0</wp:posOffset>
            </wp:positionV>
            <wp:extent cx="4286250" cy="1129665"/>
            <wp:effectExtent l="0" t="0" r="0" b="0"/>
            <wp:wrapTopAndBottom/>
            <wp:docPr id="1884029768" name="Grafik 1" descr="Ein Bild, das Text, Schrift,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029768" name="Grafik 1" descr="Ein Bild, das Text, Schrift, Logo, Grafikdesign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B5C" w:rsidRPr="004C7B06" w:rsidRDefault="00554B5C" w:rsidP="00721A44">
      <w:pPr>
        <w:spacing w:before="120" w:after="120"/>
        <w:jc w:val="center"/>
        <w:outlineLvl w:val="1"/>
        <w:rPr>
          <w:rFonts w:ascii="Palatino Linotype" w:hAnsi="Palatino Linotype"/>
          <w:b/>
          <w:bCs/>
          <w:sz w:val="22"/>
          <w:szCs w:val="22"/>
          <w:lang w:val="en-AU"/>
        </w:rPr>
      </w:pPr>
      <w:r w:rsidRPr="004C7B06">
        <w:rPr>
          <w:rFonts w:ascii="Palatino Linotype" w:hAnsi="Palatino Linotype"/>
          <w:b/>
          <w:bCs/>
          <w:sz w:val="22"/>
          <w:szCs w:val="22"/>
          <w:lang w:val="en-AU"/>
        </w:rPr>
        <w:t xml:space="preserve">Submission to the Special Rapporteur on the promotion and protection of human rights in the context of climate change </w:t>
      </w:r>
    </w:p>
    <w:p w:rsidR="00554B5C" w:rsidRPr="004C7B06" w:rsidRDefault="00554B5C" w:rsidP="00721A44">
      <w:pPr>
        <w:spacing w:before="120" w:after="120"/>
        <w:jc w:val="center"/>
        <w:outlineLvl w:val="1"/>
        <w:rPr>
          <w:rFonts w:ascii="Palatino Linotype" w:hAnsi="Palatino Linotype"/>
          <w:b/>
          <w:bCs/>
          <w:sz w:val="22"/>
          <w:szCs w:val="22"/>
          <w:lang w:val="en-AU"/>
        </w:rPr>
      </w:pPr>
      <w:r w:rsidRPr="004C7B06">
        <w:rPr>
          <w:rFonts w:ascii="Palatino Linotype" w:hAnsi="Palatino Linotype"/>
          <w:b/>
          <w:bCs/>
          <w:sz w:val="22"/>
          <w:szCs w:val="22"/>
          <w:lang w:val="en-AU"/>
        </w:rPr>
        <w:t xml:space="preserve">to the call on </w:t>
      </w:r>
    </w:p>
    <w:p w:rsidR="00554B5C" w:rsidRPr="004C7B06" w:rsidRDefault="00554B5C" w:rsidP="00721A44">
      <w:pPr>
        <w:spacing w:before="120" w:after="120"/>
        <w:jc w:val="center"/>
        <w:outlineLvl w:val="1"/>
        <w:rPr>
          <w:rFonts w:ascii="Palatino Linotype" w:hAnsi="Palatino Linotype"/>
          <w:b/>
          <w:bCs/>
          <w:sz w:val="22"/>
          <w:szCs w:val="22"/>
          <w:lang w:val="en-AU"/>
        </w:rPr>
      </w:pPr>
      <w:r w:rsidRPr="004C7B06">
        <w:rPr>
          <w:rFonts w:ascii="Palatino Linotype" w:hAnsi="Palatino Linotype"/>
          <w:b/>
          <w:bCs/>
          <w:sz w:val="22"/>
          <w:szCs w:val="22"/>
          <w:lang w:val="en-AU"/>
        </w:rPr>
        <w:t>“Enhancing climate change legislation, support for climate change litigation and advancement of the principle of intergeneration justice”</w:t>
      </w:r>
    </w:p>
    <w:p w:rsidR="00554B5C" w:rsidRPr="0041265A" w:rsidRDefault="00554B5C" w:rsidP="00721A44">
      <w:pPr>
        <w:spacing w:after="120"/>
        <w:outlineLvl w:val="1"/>
        <w:rPr>
          <w:rFonts w:ascii="Palatino Linotype" w:hAnsi="Palatino Linotype"/>
          <w:b/>
          <w:bCs/>
          <w:sz w:val="22"/>
          <w:szCs w:val="22"/>
          <w:lang w:val="en-AU"/>
        </w:rPr>
      </w:pPr>
    </w:p>
    <w:p w:rsidR="00554B5C" w:rsidRPr="0041265A" w:rsidRDefault="00D01300" w:rsidP="00721A44">
      <w:pPr>
        <w:spacing w:after="120"/>
        <w:outlineLvl w:val="1"/>
        <w:rPr>
          <w:rFonts w:ascii="Palatino Linotype" w:hAnsi="Palatino Linotype"/>
          <w:b/>
          <w:bCs/>
          <w:lang w:val="en-AU"/>
        </w:rPr>
      </w:pPr>
      <w:r w:rsidRPr="0041265A">
        <w:rPr>
          <w:rFonts w:ascii="Palatino Linotype" w:hAnsi="Palatino Linotype"/>
          <w:b/>
          <w:bCs/>
          <w:lang w:val="en-AU"/>
        </w:rPr>
        <w:t>Input</w:t>
      </w:r>
      <w:r w:rsidR="00554B5C" w:rsidRPr="0041265A">
        <w:rPr>
          <w:rFonts w:ascii="Palatino Linotype" w:hAnsi="Palatino Linotype"/>
          <w:b/>
          <w:bCs/>
          <w:lang w:val="en-AU"/>
        </w:rPr>
        <w:t xml:space="preserve"> on climate litigation</w:t>
      </w:r>
    </w:p>
    <w:p w:rsidR="006C2CE2" w:rsidRPr="0041265A" w:rsidRDefault="001F5B32" w:rsidP="0041265A">
      <w:pPr>
        <w:spacing w:after="120"/>
        <w:jc w:val="both"/>
        <w:outlineLvl w:val="1"/>
        <w:rPr>
          <w:rFonts w:ascii="Palatino Linotype" w:hAnsi="Palatino Linotype"/>
          <w:lang w:val="en-AU"/>
        </w:rPr>
      </w:pPr>
      <w:r w:rsidRPr="0041265A">
        <w:rPr>
          <w:rFonts w:ascii="Palatino Linotype" w:hAnsi="Palatino Linotype"/>
          <w:lang w:val="en-AU"/>
        </w:rPr>
        <w:t>All answers to the following questions are based on the case ‘</w:t>
      </w:r>
      <w:proofErr w:type="spellStart"/>
      <w:r w:rsidRPr="0041265A">
        <w:rPr>
          <w:rFonts w:ascii="Palatino Linotype" w:hAnsi="Palatino Linotype"/>
          <w:i/>
          <w:iCs/>
          <w:lang w:val="en-AU"/>
        </w:rPr>
        <w:t>Asmania</w:t>
      </w:r>
      <w:proofErr w:type="spellEnd"/>
      <w:r w:rsidRPr="0041265A">
        <w:rPr>
          <w:rFonts w:ascii="Palatino Linotype" w:hAnsi="Palatino Linotype"/>
          <w:i/>
          <w:iCs/>
          <w:lang w:val="en-AU"/>
        </w:rPr>
        <w:t xml:space="preserve"> et al. vs Holcim’</w:t>
      </w:r>
      <w:r w:rsidRPr="0041265A">
        <w:rPr>
          <w:rFonts w:ascii="Palatino Linotype" w:hAnsi="Palatino Linotype"/>
          <w:lang w:val="en-AU"/>
        </w:rPr>
        <w:t xml:space="preserve">, a climate litigation launched in January 2023 by four inhabitants of the small Indonesian island Pari against the world’s largest cement producer Holcim, headquartered in Switzerland. It is only the second transnational climate litigation launched from plaintiffs in the Global South against an actor from the Global North, and the first one with a </w:t>
      </w:r>
      <w:r w:rsidR="006C2CE2" w:rsidRPr="0041265A">
        <w:rPr>
          <w:rFonts w:ascii="Palatino Linotype" w:hAnsi="Palatino Linotype"/>
          <w:lang w:val="en-AU"/>
        </w:rPr>
        <w:t>holistic approach</w:t>
      </w:r>
      <w:r w:rsidRPr="0041265A">
        <w:rPr>
          <w:rFonts w:ascii="Palatino Linotype" w:hAnsi="Palatino Linotype"/>
          <w:lang w:val="en-AU"/>
        </w:rPr>
        <w:t>,</w:t>
      </w:r>
      <w:r w:rsidR="006C2CE2" w:rsidRPr="0041265A">
        <w:rPr>
          <w:rFonts w:ascii="Palatino Linotype" w:hAnsi="Palatino Linotype"/>
          <w:lang w:val="en-AU"/>
        </w:rPr>
        <w:t xml:space="preserve"> seeking not only a reduction of absolute CO</w:t>
      </w:r>
      <w:r w:rsidR="006C2CE2" w:rsidRPr="00271601">
        <w:rPr>
          <w:rFonts w:ascii="Palatino Linotype" w:hAnsi="Palatino Linotype"/>
          <w:vertAlign w:val="subscript"/>
          <w:lang w:val="en-AU"/>
        </w:rPr>
        <w:t>2</w:t>
      </w:r>
      <w:r w:rsidR="006C2CE2" w:rsidRPr="0041265A">
        <w:rPr>
          <w:rFonts w:ascii="Palatino Linotype" w:hAnsi="Palatino Linotype"/>
          <w:lang w:val="en-AU"/>
        </w:rPr>
        <w:t xml:space="preserve"> emissions (mitigation), but also proportional compensation for climate change-related damages on the island, as well as a financial contribution to adaptation measures in Pari</w:t>
      </w:r>
      <w:r w:rsidRPr="0041265A">
        <w:rPr>
          <w:rFonts w:ascii="Palatino Linotype" w:hAnsi="Palatino Linotype"/>
          <w:lang w:val="en-AU"/>
        </w:rPr>
        <w:t>. The claim is based on Swiss civil law and addresses corporate accountability</w:t>
      </w:r>
      <w:r w:rsidR="006C2CE2" w:rsidRPr="0041265A">
        <w:rPr>
          <w:rFonts w:ascii="Palatino Linotype" w:hAnsi="Palatino Linotype"/>
          <w:lang w:val="en-AU"/>
        </w:rPr>
        <w:t xml:space="preserve"> </w:t>
      </w:r>
      <w:r w:rsidR="00361C04" w:rsidRPr="0041265A">
        <w:rPr>
          <w:rFonts w:ascii="Palatino Linotype" w:hAnsi="Palatino Linotype"/>
          <w:lang w:val="en-AU"/>
        </w:rPr>
        <w:t xml:space="preserve">for contributing to </w:t>
      </w:r>
      <w:r w:rsidR="006C2CE2" w:rsidRPr="0041265A">
        <w:rPr>
          <w:rFonts w:ascii="Palatino Linotype" w:hAnsi="Palatino Linotype"/>
          <w:lang w:val="en-AU"/>
        </w:rPr>
        <w:t>climate change and its impacts</w:t>
      </w:r>
      <w:r w:rsidRPr="0041265A">
        <w:rPr>
          <w:rFonts w:ascii="Palatino Linotype" w:hAnsi="Palatino Linotype"/>
          <w:lang w:val="en-AU"/>
        </w:rPr>
        <w:t xml:space="preserve">. </w:t>
      </w:r>
    </w:p>
    <w:p w:rsidR="001F5B32" w:rsidRPr="0041265A" w:rsidRDefault="001F5B32" w:rsidP="0041265A">
      <w:pPr>
        <w:spacing w:after="120"/>
        <w:jc w:val="both"/>
        <w:outlineLvl w:val="1"/>
        <w:rPr>
          <w:rFonts w:ascii="Palatino Linotype" w:hAnsi="Palatino Linotype"/>
          <w:lang w:val="en-AU"/>
        </w:rPr>
      </w:pPr>
      <w:r w:rsidRPr="0041265A">
        <w:rPr>
          <w:rFonts w:ascii="Palatino Linotype" w:hAnsi="Palatino Linotype"/>
          <w:lang w:val="en-AU"/>
        </w:rPr>
        <w:t xml:space="preserve">More information on the case can be found online on the campaign website: </w:t>
      </w:r>
      <w:hyperlink r:id="rId11" w:history="1">
        <w:r w:rsidRPr="0041265A">
          <w:rPr>
            <w:rStyle w:val="Hyperlink"/>
            <w:rFonts w:ascii="Palatino Linotype" w:hAnsi="Palatino Linotype"/>
            <w:lang w:val="en-AU"/>
          </w:rPr>
          <w:t>https://callforclimatejustice.org/de/</w:t>
        </w:r>
      </w:hyperlink>
      <w:r w:rsidRPr="0041265A">
        <w:rPr>
          <w:rFonts w:ascii="Palatino Linotype" w:hAnsi="Palatino Linotype"/>
          <w:lang w:val="en-AU"/>
        </w:rPr>
        <w:t xml:space="preserve">. In case of any questions or further information, please reach out to </w:t>
      </w:r>
      <w:proofErr w:type="spellStart"/>
      <w:proofErr w:type="gramStart"/>
      <w:r w:rsidRPr="0041265A">
        <w:rPr>
          <w:rFonts w:ascii="Palatino Linotype" w:hAnsi="Palatino Linotype"/>
          <w:lang w:val="en-AU"/>
        </w:rPr>
        <w:t>nina.burri</w:t>
      </w:r>
      <w:proofErr w:type="spellEnd"/>
      <w:proofErr w:type="gramEnd"/>
      <w:r w:rsidRPr="0041265A">
        <w:rPr>
          <w:rFonts w:ascii="Palatino Linotype" w:hAnsi="Palatino Linotype"/>
          <w:lang w:val="en-AU"/>
        </w:rPr>
        <w:t>(at)heks.ch.</w:t>
      </w:r>
    </w:p>
    <w:p w:rsidR="001F5B32" w:rsidRPr="0041265A" w:rsidRDefault="001F5B32" w:rsidP="00721A44">
      <w:pPr>
        <w:spacing w:after="120"/>
        <w:outlineLvl w:val="1"/>
        <w:rPr>
          <w:rFonts w:ascii="Palatino Linotype" w:hAnsi="Palatino Linotype"/>
          <w:b/>
          <w:bCs/>
          <w:lang w:val="en-AU"/>
        </w:rPr>
      </w:pPr>
    </w:p>
    <w:p w:rsidR="00554B5C" w:rsidRPr="0041265A" w:rsidRDefault="00554B5C" w:rsidP="00721A44">
      <w:pPr>
        <w:pStyle w:val="ListParagraph"/>
        <w:widowControl w:val="0"/>
        <w:numPr>
          <w:ilvl w:val="0"/>
          <w:numId w:val="1"/>
        </w:numPr>
        <w:autoSpaceDE w:val="0"/>
        <w:autoSpaceDN w:val="0"/>
        <w:spacing w:before="118" w:after="240"/>
        <w:contextualSpacing w:val="0"/>
        <w:jc w:val="both"/>
        <w:outlineLvl w:val="1"/>
        <w:rPr>
          <w:rFonts w:ascii="Palatino Linotype" w:hAnsi="Palatino Linotype"/>
          <w:b/>
          <w:bCs/>
        </w:rPr>
      </w:pPr>
      <w:r w:rsidRPr="0041265A">
        <w:rPr>
          <w:rFonts w:ascii="Palatino Linotype" w:hAnsi="Palatino Linotype"/>
          <w:b/>
          <w:bCs/>
        </w:rPr>
        <w:t>How are human rights considerations being incorporated into climate change litigation?</w:t>
      </w:r>
    </w:p>
    <w:p w:rsidR="006C2CE2" w:rsidRPr="0041265A" w:rsidRDefault="001F5B32" w:rsidP="00F61AEF">
      <w:pPr>
        <w:widowControl w:val="0"/>
        <w:autoSpaceDE w:val="0"/>
        <w:autoSpaceDN w:val="0"/>
        <w:spacing w:before="118" w:after="240"/>
        <w:jc w:val="both"/>
        <w:outlineLvl w:val="1"/>
        <w:rPr>
          <w:rFonts w:ascii="Palatino Linotype" w:eastAsia="Palatino Linotype" w:hAnsi="Palatino Linotype"/>
          <w:vertAlign w:val="superscript"/>
        </w:rPr>
      </w:pPr>
      <w:r w:rsidRPr="0041265A">
        <w:rPr>
          <w:rFonts w:ascii="Palatino Linotype" w:hAnsi="Palatino Linotype"/>
        </w:rPr>
        <w:t xml:space="preserve">Even though </w:t>
      </w:r>
      <w:r w:rsidR="00271601">
        <w:rPr>
          <w:rFonts w:ascii="Palatino Linotype" w:hAnsi="Palatino Linotype"/>
        </w:rPr>
        <w:t>the</w:t>
      </w:r>
      <w:r w:rsidR="00361C04" w:rsidRPr="0041265A">
        <w:rPr>
          <w:rFonts w:ascii="Palatino Linotype" w:hAnsi="Palatino Linotype"/>
        </w:rPr>
        <w:t xml:space="preserve"> tort claim</w:t>
      </w:r>
      <w:r w:rsidR="00271601">
        <w:rPr>
          <w:rFonts w:ascii="Palatino Linotype" w:hAnsi="Palatino Linotype"/>
        </w:rPr>
        <w:t xml:space="preserve"> is</w:t>
      </w:r>
      <w:r w:rsidRPr="0041265A">
        <w:rPr>
          <w:rFonts w:ascii="Palatino Linotype" w:hAnsi="Palatino Linotype"/>
        </w:rPr>
        <w:t xml:space="preserve"> based on civil law, human rights are at the core of the legal argument</w:t>
      </w:r>
      <w:r w:rsidR="00361C04" w:rsidRPr="0041265A">
        <w:rPr>
          <w:rFonts w:ascii="Palatino Linotype" w:hAnsi="Palatino Linotype"/>
        </w:rPr>
        <w:t>s</w:t>
      </w:r>
      <w:r w:rsidRPr="0041265A">
        <w:rPr>
          <w:rFonts w:ascii="Palatino Linotype" w:hAnsi="Palatino Linotype"/>
        </w:rPr>
        <w:t xml:space="preserve"> in the case </w:t>
      </w:r>
      <w:proofErr w:type="spellStart"/>
      <w:r w:rsidRPr="0041265A">
        <w:rPr>
          <w:rFonts w:ascii="Palatino Linotype" w:hAnsi="Palatino Linotype"/>
          <w:i/>
          <w:iCs/>
          <w:lang w:val="en-AU"/>
        </w:rPr>
        <w:t>Asmania</w:t>
      </w:r>
      <w:proofErr w:type="spellEnd"/>
      <w:r w:rsidRPr="0041265A">
        <w:rPr>
          <w:rFonts w:ascii="Palatino Linotype" w:hAnsi="Palatino Linotype"/>
          <w:i/>
          <w:iCs/>
          <w:lang w:val="en-AU"/>
        </w:rPr>
        <w:t xml:space="preserve"> et al. vs Holcim. </w:t>
      </w:r>
      <w:r w:rsidR="007967F3" w:rsidRPr="0041265A">
        <w:rPr>
          <w:rFonts w:ascii="Palatino Linotype" w:hAnsi="Palatino Linotype"/>
          <w:lang w:val="en-AU"/>
        </w:rPr>
        <w:t>Namely, t</w:t>
      </w:r>
      <w:r w:rsidRPr="0041265A">
        <w:rPr>
          <w:rFonts w:ascii="Palatino Linotype" w:hAnsi="Palatino Linotype"/>
          <w:lang w:val="en-AU"/>
        </w:rPr>
        <w:t xml:space="preserve">he plaintiffs </w:t>
      </w:r>
      <w:r w:rsidR="007967F3" w:rsidRPr="0041265A">
        <w:rPr>
          <w:rFonts w:ascii="Palatino Linotype" w:hAnsi="Palatino Linotype"/>
          <w:lang w:val="en-AU"/>
        </w:rPr>
        <w:t>argue</w:t>
      </w:r>
      <w:r w:rsidRPr="0041265A">
        <w:rPr>
          <w:rFonts w:ascii="Palatino Linotype" w:hAnsi="Palatino Linotype"/>
          <w:lang w:val="en-AU"/>
        </w:rPr>
        <w:t xml:space="preserve"> that </w:t>
      </w:r>
      <w:r w:rsidR="00361C04" w:rsidRPr="0041265A">
        <w:rPr>
          <w:rFonts w:ascii="Palatino Linotype" w:hAnsi="Palatino Linotype"/>
          <w:lang w:val="en-AU"/>
        </w:rPr>
        <w:t xml:space="preserve">their personality rights are continuously being violated by the greenhouse gas emissions of Holcim. </w:t>
      </w:r>
    </w:p>
    <w:p w:rsidR="00A1770D" w:rsidRPr="0041265A" w:rsidRDefault="006C2CE2" w:rsidP="007967F3">
      <w:pPr>
        <w:pBdr>
          <w:top w:val="nil"/>
          <w:left w:val="nil"/>
          <w:bottom w:val="nil"/>
          <w:right w:val="nil"/>
          <w:between w:val="nil"/>
        </w:pBdr>
        <w:spacing w:before="240" w:line="276" w:lineRule="auto"/>
        <w:jc w:val="both"/>
        <w:rPr>
          <w:rFonts w:ascii="Palatino Linotype" w:eastAsia="Palatino Linotype" w:hAnsi="Palatino Linotype"/>
        </w:rPr>
      </w:pPr>
      <w:r w:rsidRPr="0041265A">
        <w:rPr>
          <w:rFonts w:ascii="Palatino Linotype" w:eastAsia="Palatino Linotype" w:hAnsi="Palatino Linotype"/>
        </w:rPr>
        <w:t xml:space="preserve">Article 28 of the </w:t>
      </w:r>
      <w:r w:rsidR="00A31BF5" w:rsidRPr="0041265A">
        <w:rPr>
          <w:rFonts w:ascii="Palatino Linotype" w:eastAsia="Palatino Linotype" w:hAnsi="Palatino Linotype"/>
        </w:rPr>
        <w:t xml:space="preserve">Swiss </w:t>
      </w:r>
      <w:r w:rsidRPr="0041265A">
        <w:rPr>
          <w:rFonts w:ascii="Palatino Linotype" w:eastAsia="Palatino Linotype" w:hAnsi="Palatino Linotype"/>
        </w:rPr>
        <w:t>C</w:t>
      </w:r>
      <w:r w:rsidR="00361C04" w:rsidRPr="0041265A">
        <w:rPr>
          <w:rFonts w:ascii="Palatino Linotype" w:eastAsia="Palatino Linotype" w:hAnsi="Palatino Linotype"/>
        </w:rPr>
        <w:t xml:space="preserve">ivil </w:t>
      </w:r>
      <w:r w:rsidRPr="0041265A">
        <w:rPr>
          <w:rFonts w:ascii="Palatino Linotype" w:eastAsia="Palatino Linotype" w:hAnsi="Palatino Linotype"/>
        </w:rPr>
        <w:t>C</w:t>
      </w:r>
      <w:r w:rsidR="00361C04" w:rsidRPr="0041265A">
        <w:rPr>
          <w:rFonts w:ascii="Palatino Linotype" w:eastAsia="Palatino Linotype" w:hAnsi="Palatino Linotype"/>
        </w:rPr>
        <w:t>ode</w:t>
      </w:r>
      <w:r w:rsidRPr="0041265A">
        <w:rPr>
          <w:rFonts w:ascii="Palatino Linotype" w:eastAsia="Palatino Linotype" w:hAnsi="Palatino Linotype"/>
        </w:rPr>
        <w:t xml:space="preserve"> states that “(a)ny person whose personality rights are unlawfully infringed may petition the court for protection against all those causing the infringement.” </w:t>
      </w:r>
      <w:r w:rsidR="00361C04" w:rsidRPr="0041265A">
        <w:rPr>
          <w:rFonts w:ascii="Palatino Linotype" w:eastAsia="Palatino Linotype" w:hAnsi="Palatino Linotype"/>
        </w:rPr>
        <w:t xml:space="preserve">The rights of one’s personality </w:t>
      </w:r>
      <w:r w:rsidR="00A31BF5" w:rsidRPr="0041265A">
        <w:rPr>
          <w:rFonts w:ascii="Palatino Linotype" w:eastAsia="Palatino Linotype" w:hAnsi="Palatino Linotype"/>
        </w:rPr>
        <w:t xml:space="preserve">then </w:t>
      </w:r>
      <w:r w:rsidR="00361C04" w:rsidRPr="0041265A">
        <w:rPr>
          <w:rFonts w:ascii="Palatino Linotype" w:eastAsia="Palatino Linotype" w:hAnsi="Palatino Linotype"/>
        </w:rPr>
        <w:t xml:space="preserve">consist of numerous facets which should be interpreted by legal notions ascribed to a person. The literature lists, for instance, the following recognized sub-areas of personality rights: a) the right to life, physical integrity, sexual freedom; b) personal freedom, especially freedom of movement; c) the right to body and death; d) the right to relationships with loved ones (family, friends); e) </w:t>
      </w:r>
      <w:r w:rsidR="00A31BF5" w:rsidRPr="0041265A">
        <w:rPr>
          <w:rFonts w:ascii="Palatino Linotype" w:eastAsia="Palatino Linotype" w:hAnsi="Palatino Linotype"/>
        </w:rPr>
        <w:t>e</w:t>
      </w:r>
      <w:r w:rsidR="00361C04" w:rsidRPr="0041265A">
        <w:rPr>
          <w:rFonts w:ascii="Palatino Linotype" w:eastAsia="Palatino Linotype" w:hAnsi="Palatino Linotype"/>
        </w:rPr>
        <w:t xml:space="preserve">motional life (mental integrity); a) the right to respect for intimacy and privacy; b) the protection of economic advancement. </w:t>
      </w:r>
      <w:r w:rsidR="00A1770D" w:rsidRPr="0041265A">
        <w:rPr>
          <w:rFonts w:ascii="Palatino Linotype" w:eastAsia="Palatino Linotype" w:hAnsi="Palatino Linotype"/>
        </w:rPr>
        <w:t>An infringement is unlawful if it is not justified by the consent of the person whose rights are violated or by an overriding private or public interest, or by the law.</w:t>
      </w:r>
    </w:p>
    <w:p w:rsidR="00670D27" w:rsidRPr="0041265A" w:rsidRDefault="00670D27" w:rsidP="00670D27">
      <w:pPr>
        <w:pBdr>
          <w:top w:val="nil"/>
          <w:left w:val="nil"/>
          <w:bottom w:val="nil"/>
          <w:right w:val="nil"/>
          <w:between w:val="nil"/>
        </w:pBdr>
        <w:spacing w:before="240" w:line="276" w:lineRule="auto"/>
        <w:jc w:val="both"/>
        <w:rPr>
          <w:rFonts w:ascii="Palatino Linotype" w:eastAsia="Palatino Linotype" w:hAnsi="Palatino Linotype"/>
        </w:rPr>
      </w:pPr>
      <w:r w:rsidRPr="0041265A">
        <w:rPr>
          <w:rFonts w:ascii="Palatino Linotype" w:eastAsia="Palatino Linotype" w:hAnsi="Palatino Linotype"/>
        </w:rPr>
        <w:t xml:space="preserve">Here, human rights law and jurisprudence come into play, </w:t>
      </w:r>
      <w:r w:rsidR="00420788" w:rsidRPr="0041265A">
        <w:rPr>
          <w:rFonts w:ascii="Palatino Linotype" w:eastAsia="Palatino Linotype" w:hAnsi="Palatino Linotype"/>
        </w:rPr>
        <w:t>because t</w:t>
      </w:r>
      <w:r w:rsidRPr="0041265A">
        <w:rPr>
          <w:rFonts w:ascii="Palatino Linotype" w:eastAsia="Palatino Linotype" w:hAnsi="Palatino Linotype"/>
        </w:rPr>
        <w:t xml:space="preserve">he </w:t>
      </w:r>
      <w:r w:rsidR="009F7213" w:rsidRPr="0041265A">
        <w:rPr>
          <w:rFonts w:ascii="Palatino Linotype" w:eastAsia="Palatino Linotype" w:hAnsi="Palatino Linotype"/>
        </w:rPr>
        <w:t xml:space="preserve">Swiss </w:t>
      </w:r>
      <w:r w:rsidRPr="0041265A">
        <w:rPr>
          <w:rFonts w:ascii="Palatino Linotype" w:eastAsia="Palatino Linotype" w:hAnsi="Palatino Linotype"/>
        </w:rPr>
        <w:t>authorities applying the law are obliged to interpret general clauses and indeterminate legal concepts of statutory law in conformity with fundamental rights and to allow the normative content of fundamental rights to flow into the exercise of discretion</w:t>
      </w:r>
      <w:r w:rsidR="007967F3" w:rsidRPr="0041265A">
        <w:rPr>
          <w:rFonts w:ascii="Palatino Linotype" w:eastAsia="Palatino Linotype" w:hAnsi="Palatino Linotype"/>
        </w:rPr>
        <w:t xml:space="preserve">. </w:t>
      </w:r>
      <w:r w:rsidRPr="0041265A">
        <w:rPr>
          <w:rFonts w:ascii="Palatino Linotype" w:eastAsia="Palatino Linotype" w:hAnsi="Palatino Linotype"/>
        </w:rPr>
        <w:t xml:space="preserve">This results in the principles of interpreting federal laws in conformity with the Federal Constitution, the ECHR and the United Nations </w:t>
      </w:r>
      <w:r w:rsidR="009F7213" w:rsidRPr="0041265A">
        <w:rPr>
          <w:rFonts w:ascii="Palatino Linotype" w:eastAsia="Palatino Linotype" w:hAnsi="Palatino Linotype"/>
        </w:rPr>
        <w:t>H</w:t>
      </w:r>
      <w:r w:rsidRPr="0041265A">
        <w:rPr>
          <w:rFonts w:ascii="Palatino Linotype" w:eastAsia="Palatino Linotype" w:hAnsi="Palatino Linotype"/>
        </w:rPr>
        <w:t xml:space="preserve">uman </w:t>
      </w:r>
      <w:r w:rsidR="009F7213" w:rsidRPr="0041265A">
        <w:rPr>
          <w:rFonts w:ascii="Palatino Linotype" w:eastAsia="Palatino Linotype" w:hAnsi="Palatino Linotype"/>
        </w:rPr>
        <w:t>R</w:t>
      </w:r>
      <w:r w:rsidRPr="0041265A">
        <w:rPr>
          <w:rFonts w:ascii="Palatino Linotype" w:eastAsia="Palatino Linotype" w:hAnsi="Palatino Linotype"/>
        </w:rPr>
        <w:t xml:space="preserve">ights </w:t>
      </w:r>
      <w:r w:rsidR="009F7213" w:rsidRPr="0041265A">
        <w:rPr>
          <w:rFonts w:ascii="Palatino Linotype" w:eastAsia="Palatino Linotype" w:hAnsi="Palatino Linotype"/>
        </w:rPr>
        <w:t>C</w:t>
      </w:r>
      <w:r w:rsidRPr="0041265A">
        <w:rPr>
          <w:rFonts w:ascii="Palatino Linotype" w:eastAsia="Palatino Linotype" w:hAnsi="Palatino Linotype"/>
        </w:rPr>
        <w:t>ovenants</w:t>
      </w:r>
      <w:r w:rsidR="007967F3" w:rsidRPr="0041265A">
        <w:rPr>
          <w:rFonts w:ascii="Palatino Linotype" w:eastAsia="Palatino Linotype" w:hAnsi="Palatino Linotype"/>
        </w:rPr>
        <w:t xml:space="preserve"> Switzerland has ratified</w:t>
      </w:r>
      <w:r w:rsidRPr="0041265A">
        <w:rPr>
          <w:rFonts w:ascii="Palatino Linotype" w:eastAsia="Palatino Linotype" w:hAnsi="Palatino Linotype"/>
        </w:rPr>
        <w:t>.</w:t>
      </w:r>
      <w:r w:rsidR="00420788" w:rsidRPr="0041265A">
        <w:rPr>
          <w:rFonts w:ascii="Palatino Linotype" w:eastAsia="Palatino Linotype" w:hAnsi="Palatino Linotype"/>
        </w:rPr>
        <w:t xml:space="preserve"> As a result, personality rights, as described in the Civil Code, must be interpreted </w:t>
      </w:r>
      <w:r w:rsidR="00A1770D" w:rsidRPr="0041265A">
        <w:rPr>
          <w:rFonts w:ascii="Palatino Linotype" w:eastAsia="Palatino Linotype" w:hAnsi="Palatino Linotype"/>
        </w:rPr>
        <w:t xml:space="preserve">along with human rights law. </w:t>
      </w:r>
      <w:r w:rsidRPr="0041265A">
        <w:rPr>
          <w:rFonts w:ascii="Palatino Linotype" w:eastAsia="Palatino Linotype" w:hAnsi="Palatino Linotype"/>
        </w:rPr>
        <w:t xml:space="preserve">Hence, </w:t>
      </w:r>
      <w:r w:rsidRPr="0041265A">
        <w:rPr>
          <w:rFonts w:ascii="Palatino Linotype" w:eastAsia="Palatino Linotype" w:hAnsi="Palatino Linotype"/>
          <w:u w:val="single"/>
        </w:rPr>
        <w:t xml:space="preserve">in essence, the protection of personality rights </w:t>
      </w:r>
      <w:r w:rsidR="00A1770D" w:rsidRPr="0041265A">
        <w:rPr>
          <w:rFonts w:ascii="Palatino Linotype" w:eastAsia="Palatino Linotype" w:hAnsi="Palatino Linotype"/>
          <w:u w:val="single"/>
        </w:rPr>
        <w:t xml:space="preserve">in the Swiss Civil Code </w:t>
      </w:r>
      <w:r w:rsidRPr="0041265A">
        <w:rPr>
          <w:rFonts w:ascii="Palatino Linotype" w:eastAsia="Palatino Linotype" w:hAnsi="Palatino Linotype"/>
          <w:u w:val="single"/>
        </w:rPr>
        <w:t>is the realisation of the horizontal effect of human rights</w:t>
      </w:r>
      <w:r w:rsidRPr="0041265A">
        <w:rPr>
          <w:rFonts w:ascii="Palatino Linotype" w:eastAsia="Palatino Linotype" w:hAnsi="Palatino Linotype"/>
        </w:rPr>
        <w:t xml:space="preserve">. </w:t>
      </w:r>
    </w:p>
    <w:p w:rsidR="0041265A" w:rsidRPr="0041265A" w:rsidRDefault="00361C04" w:rsidP="00446063">
      <w:pPr>
        <w:pBdr>
          <w:top w:val="nil"/>
          <w:left w:val="nil"/>
          <w:bottom w:val="nil"/>
          <w:right w:val="nil"/>
          <w:between w:val="nil"/>
        </w:pBdr>
        <w:spacing w:before="240" w:line="276" w:lineRule="auto"/>
        <w:jc w:val="both"/>
        <w:rPr>
          <w:rFonts w:ascii="Palatino Linotype" w:eastAsia="Palatino Linotype" w:hAnsi="Palatino Linotype"/>
        </w:rPr>
      </w:pPr>
      <w:r w:rsidRPr="0041265A">
        <w:rPr>
          <w:rFonts w:ascii="Palatino Linotype" w:eastAsia="Palatino Linotype" w:hAnsi="Palatino Linotype"/>
        </w:rPr>
        <w:t xml:space="preserve">In case of a violation of these facets of anyone’s personality, the affected person may petition the court for protection against all those causing the infringement. The claimant may ask the court to i) prohibit a threatened infringement, ii) to order that an existing infringement ceases, or iii) to make a declaration that an infringement is unlawful if it continues to have an offensive effect. </w:t>
      </w:r>
      <w:r w:rsidR="0041265A" w:rsidRPr="0041265A">
        <w:rPr>
          <w:rFonts w:ascii="Palatino Linotype" w:eastAsia="Palatino Linotype" w:hAnsi="Palatino Linotype" w:cs="Palatino Linotype"/>
        </w:rPr>
        <w:t xml:space="preserve">In the case </w:t>
      </w:r>
      <w:r w:rsidR="0041265A" w:rsidRPr="0041265A">
        <w:rPr>
          <w:rFonts w:ascii="Palatino Linotype" w:hAnsi="Palatino Linotype"/>
          <w:sz w:val="22"/>
          <w:szCs w:val="22"/>
          <w:lang w:val="en-AU"/>
        </w:rPr>
        <w:t>‘</w:t>
      </w:r>
      <w:proofErr w:type="spellStart"/>
      <w:r w:rsidR="0041265A" w:rsidRPr="0041265A">
        <w:rPr>
          <w:rFonts w:ascii="Palatino Linotype" w:hAnsi="Palatino Linotype"/>
          <w:i/>
          <w:iCs/>
          <w:sz w:val="22"/>
          <w:szCs w:val="22"/>
          <w:lang w:val="en-AU"/>
        </w:rPr>
        <w:t>Asmania</w:t>
      </w:r>
      <w:proofErr w:type="spellEnd"/>
      <w:r w:rsidR="0041265A" w:rsidRPr="0041265A">
        <w:rPr>
          <w:rFonts w:ascii="Palatino Linotype" w:hAnsi="Palatino Linotype"/>
          <w:i/>
          <w:iCs/>
          <w:sz w:val="22"/>
          <w:szCs w:val="22"/>
          <w:lang w:val="en-AU"/>
        </w:rPr>
        <w:t xml:space="preserve"> et al. vs Holcim’</w:t>
      </w:r>
      <w:r w:rsidR="0041265A" w:rsidRPr="0041265A">
        <w:rPr>
          <w:rFonts w:ascii="Palatino Linotype" w:eastAsia="Palatino Linotype" w:hAnsi="Palatino Linotype" w:cs="Palatino Linotype"/>
        </w:rPr>
        <w:t xml:space="preserve">, the plaintiffs ask the court </w:t>
      </w:r>
      <w:r w:rsidR="0041265A">
        <w:rPr>
          <w:rFonts w:ascii="Palatino Linotype" w:eastAsia="Palatino Linotype" w:hAnsi="Palatino Linotype" w:cs="Palatino Linotype"/>
        </w:rPr>
        <w:t>a</w:t>
      </w:r>
      <w:r w:rsidR="0041265A" w:rsidRPr="0041265A">
        <w:rPr>
          <w:rFonts w:ascii="Palatino Linotype" w:eastAsia="Palatino Linotype" w:hAnsi="Palatino Linotype" w:cs="Palatino Linotype"/>
        </w:rPr>
        <w:t xml:space="preserve">) to adjudge them </w:t>
      </w:r>
      <w:r w:rsidR="0041265A" w:rsidRPr="0041265A">
        <w:rPr>
          <w:rFonts w:ascii="Palatino Linotype" w:eastAsia="Palatino Linotype" w:hAnsi="Palatino Linotype" w:cs="Palatino Linotype"/>
          <w:u w:val="single"/>
        </w:rPr>
        <w:t>compensation</w:t>
      </w:r>
      <w:r w:rsidR="0041265A" w:rsidRPr="0041265A">
        <w:rPr>
          <w:rFonts w:ascii="Palatino Linotype" w:eastAsia="Palatino Linotype" w:hAnsi="Palatino Linotype" w:cs="Palatino Linotype"/>
        </w:rPr>
        <w:t xml:space="preserve"> for financial and non-financial damages they have already suffered as well as for future impending damages; </w:t>
      </w:r>
      <w:r w:rsidR="0041265A">
        <w:rPr>
          <w:rFonts w:ascii="Palatino Linotype" w:eastAsia="Palatino Linotype" w:hAnsi="Palatino Linotype" w:cs="Palatino Linotype"/>
        </w:rPr>
        <w:t>b</w:t>
      </w:r>
      <w:r w:rsidR="0041265A" w:rsidRPr="0041265A">
        <w:rPr>
          <w:rFonts w:ascii="Palatino Linotype" w:eastAsia="Palatino Linotype" w:hAnsi="Palatino Linotype" w:cs="Palatino Linotype"/>
        </w:rPr>
        <w:t xml:space="preserve">) to oblige the defendant to undertake </w:t>
      </w:r>
      <w:r w:rsidR="0041265A" w:rsidRPr="0041265A">
        <w:rPr>
          <w:rFonts w:ascii="Palatino Linotype" w:eastAsia="Palatino Linotype" w:hAnsi="Palatino Linotype" w:cs="Palatino Linotype"/>
          <w:u w:val="single"/>
        </w:rPr>
        <w:t>mitigation</w:t>
      </w:r>
      <w:r w:rsidR="0041265A" w:rsidRPr="0041265A">
        <w:rPr>
          <w:rFonts w:ascii="Palatino Linotype" w:eastAsia="Palatino Linotype" w:hAnsi="Palatino Linotype" w:cs="Palatino Linotype"/>
        </w:rPr>
        <w:t xml:space="preserve"> measures; and </w:t>
      </w:r>
      <w:r w:rsidR="0041265A">
        <w:rPr>
          <w:rFonts w:ascii="Palatino Linotype" w:eastAsia="Palatino Linotype" w:hAnsi="Palatino Linotype" w:cs="Palatino Linotype"/>
        </w:rPr>
        <w:t>c</w:t>
      </w:r>
      <w:r w:rsidR="0041265A" w:rsidRPr="0041265A">
        <w:rPr>
          <w:rFonts w:ascii="Palatino Linotype" w:eastAsia="Palatino Linotype" w:hAnsi="Palatino Linotype" w:cs="Palatino Linotype"/>
        </w:rPr>
        <w:t xml:space="preserve">) to order the defendant to contribute to the costs of local </w:t>
      </w:r>
      <w:r w:rsidR="0041265A" w:rsidRPr="0041265A">
        <w:rPr>
          <w:rFonts w:ascii="Palatino Linotype" w:eastAsia="Palatino Linotype" w:hAnsi="Palatino Linotype" w:cs="Palatino Linotype"/>
          <w:u w:val="single"/>
        </w:rPr>
        <w:t>adaptation</w:t>
      </w:r>
      <w:r w:rsidR="0041265A" w:rsidRPr="0041265A">
        <w:rPr>
          <w:rFonts w:ascii="Palatino Linotype" w:eastAsia="Palatino Linotype" w:hAnsi="Palatino Linotype" w:cs="Palatino Linotype"/>
        </w:rPr>
        <w:t xml:space="preserve"> measures. </w:t>
      </w:r>
    </w:p>
    <w:p w:rsidR="00CC0EBE" w:rsidRPr="0041265A" w:rsidRDefault="00CC0EBE" w:rsidP="00721A44">
      <w:pPr>
        <w:spacing w:before="240" w:line="276" w:lineRule="auto"/>
        <w:jc w:val="both"/>
        <w:rPr>
          <w:rFonts w:ascii="Palatino Linotype" w:eastAsia="Palatino Linotype" w:hAnsi="Palatino Linotype"/>
        </w:rPr>
      </w:pPr>
      <w:r w:rsidRPr="0041265A">
        <w:rPr>
          <w:rFonts w:ascii="Palatino Linotype" w:eastAsia="Palatino Linotype" w:hAnsi="Palatino Linotype"/>
        </w:rPr>
        <w:t xml:space="preserve">Based on the notion of personality rights, all plaintiffs argue that their right to economic advancement has been affected as they have lost income due to the two major floods in 2021. Furthermore, the water well of one of the plaintiffs was flooded with salt water and could not be used for a certain period, which caused him extra spending for water supply for the whole family. All </w:t>
      </w:r>
      <w:r w:rsidR="0041265A">
        <w:rPr>
          <w:rFonts w:ascii="Palatino Linotype" w:eastAsia="Palatino Linotype" w:hAnsi="Palatino Linotype"/>
        </w:rPr>
        <w:t>plaintiffs</w:t>
      </w:r>
      <w:r w:rsidRPr="0041265A">
        <w:rPr>
          <w:rFonts w:ascii="Palatino Linotype" w:eastAsia="Palatino Linotype" w:hAnsi="Palatino Linotype"/>
        </w:rPr>
        <w:t xml:space="preserve"> are seriously concerned and suffer from the fact that further floods, which are to be expected in more frequency and intensity, will produce similar impairments in the years to come. Based on the experience from the last three years and especially from 2021, they further fear that fishing, fish farming and especially the tourist activities cannot continue to be operated in the form they have been in the long term. All plaintiffs further bring forward that they are all fearing for the future and especially their safety and physical integrity and that of their children. The more frequent and severe the flooding becomes, the more likely it is to be expected that their own children will suffer such significant consequences and damage</w:t>
      </w:r>
      <w:r w:rsidR="00271601">
        <w:rPr>
          <w:rFonts w:ascii="Palatino Linotype" w:eastAsia="Palatino Linotype" w:hAnsi="Palatino Linotype"/>
        </w:rPr>
        <w:t>s. E</w:t>
      </w:r>
      <w:r w:rsidRPr="0041265A">
        <w:rPr>
          <w:rFonts w:ascii="Palatino Linotype" w:eastAsia="Palatino Linotype" w:hAnsi="Palatino Linotype"/>
        </w:rPr>
        <w:t xml:space="preserve">ven before the island is </w:t>
      </w:r>
      <w:r w:rsidR="00271601">
        <w:rPr>
          <w:rFonts w:ascii="Palatino Linotype" w:eastAsia="Palatino Linotype" w:hAnsi="Palatino Linotype"/>
        </w:rPr>
        <w:t>largely</w:t>
      </w:r>
      <w:r w:rsidRPr="0041265A">
        <w:rPr>
          <w:rFonts w:ascii="Palatino Linotype" w:eastAsia="Palatino Linotype" w:hAnsi="Palatino Linotype"/>
        </w:rPr>
        <w:t xml:space="preserve"> flooded, dignified living and working on Pari may no longer be possible. It is to be expected that, according to general life expectancy, the children of three of the plaintiffs will live to see the year 2100, in which the island of Pari could be largely submerged and uninhabitable. </w:t>
      </w:r>
    </w:p>
    <w:p w:rsidR="00CC0EBE" w:rsidRPr="0041265A" w:rsidRDefault="00CC0EBE" w:rsidP="00721A44">
      <w:pPr>
        <w:spacing w:before="240" w:line="276" w:lineRule="auto"/>
        <w:jc w:val="both"/>
        <w:rPr>
          <w:rFonts w:ascii="Palatino Linotype" w:eastAsia="Palatino Linotype" w:hAnsi="Palatino Linotype"/>
        </w:rPr>
      </w:pPr>
      <w:r w:rsidRPr="0041265A">
        <w:rPr>
          <w:rFonts w:ascii="Palatino Linotype" w:eastAsia="Palatino Linotype" w:hAnsi="Palatino Linotype"/>
        </w:rPr>
        <w:t xml:space="preserve">The island community is making massive efforts to promote the planting of mangroves. However, for dense mangrove vegetation off the coast, far more plants would be needed. Moreover, it takes several years to grow them. The </w:t>
      </w:r>
      <w:r w:rsidR="0041265A">
        <w:rPr>
          <w:rFonts w:ascii="Palatino Linotype" w:eastAsia="Palatino Linotype" w:hAnsi="Palatino Linotype"/>
        </w:rPr>
        <w:t>community on</w:t>
      </w:r>
      <w:r w:rsidRPr="0041265A">
        <w:rPr>
          <w:rFonts w:ascii="Palatino Linotype" w:eastAsia="Palatino Linotype" w:hAnsi="Palatino Linotype"/>
        </w:rPr>
        <w:t xml:space="preserve"> Pari island claim</w:t>
      </w:r>
      <w:r w:rsidR="0041265A">
        <w:rPr>
          <w:rFonts w:ascii="Palatino Linotype" w:eastAsia="Palatino Linotype" w:hAnsi="Palatino Linotype"/>
        </w:rPr>
        <w:t>s</w:t>
      </w:r>
      <w:r w:rsidRPr="0041265A">
        <w:rPr>
          <w:rFonts w:ascii="Palatino Linotype" w:eastAsia="Palatino Linotype" w:hAnsi="Palatino Linotype"/>
        </w:rPr>
        <w:t xml:space="preserve"> to feel powerless as they alone have no means to avert these consequences, which are very likely to occur</w:t>
      </w:r>
      <w:r w:rsidR="00271601">
        <w:rPr>
          <w:rFonts w:ascii="Palatino Linotype" w:eastAsia="Palatino Linotype" w:hAnsi="Palatino Linotype"/>
        </w:rPr>
        <w:t>,</w:t>
      </w:r>
      <w:r w:rsidRPr="0041265A">
        <w:rPr>
          <w:rFonts w:ascii="Palatino Linotype" w:eastAsia="Palatino Linotype" w:hAnsi="Palatino Linotype"/>
        </w:rPr>
        <w:t xml:space="preserve"> and which will be </w:t>
      </w:r>
      <w:proofErr w:type="gramStart"/>
      <w:r w:rsidRPr="0041265A">
        <w:rPr>
          <w:rFonts w:ascii="Palatino Linotype" w:eastAsia="Palatino Linotype" w:hAnsi="Palatino Linotype"/>
        </w:rPr>
        <w:t>all the more</w:t>
      </w:r>
      <w:proofErr w:type="gramEnd"/>
      <w:r w:rsidRPr="0041265A">
        <w:rPr>
          <w:rFonts w:ascii="Palatino Linotype" w:eastAsia="Palatino Linotype" w:hAnsi="Palatino Linotype"/>
        </w:rPr>
        <w:t xml:space="preserve"> serious if globally effective climate mitigation measures and protective measures for the island and its population are not taken immediately. </w:t>
      </w:r>
    </w:p>
    <w:p w:rsidR="00CC0EBE" w:rsidRDefault="007F6D50" w:rsidP="00721A44">
      <w:pPr>
        <w:spacing w:before="240" w:line="276" w:lineRule="auto"/>
        <w:jc w:val="both"/>
        <w:rPr>
          <w:rFonts w:ascii="Palatino Linotype" w:eastAsia="Palatino Linotype" w:hAnsi="Palatino Linotype"/>
        </w:rPr>
      </w:pPr>
      <w:r w:rsidRPr="00816C14">
        <w:rPr>
          <w:rFonts w:ascii="Palatino Linotype" w:eastAsia="Palatino Linotype" w:hAnsi="Palatino Linotype"/>
          <w:u w:val="single"/>
        </w:rPr>
        <w:t>These considerable and repeated losses from both economic sectors, fishing and tourism, significantly affected their economic existence and advancement, as protected under article 28 of the Swiss Civil Code. Furthermore, their mental integrity is affected by the continuous greenhouse gas emissions and Holcim’s climate strategy for the future, which is, in their view, not in line with the 1.5°C limit of the Paris agreement</w:t>
      </w:r>
      <w:r>
        <w:rPr>
          <w:rFonts w:ascii="Palatino Linotype" w:eastAsia="Palatino Linotype" w:hAnsi="Palatino Linotype"/>
        </w:rPr>
        <w:t>.</w:t>
      </w:r>
      <w:r w:rsidRPr="00D12E99">
        <w:rPr>
          <w:rFonts w:ascii="Palatino Linotype" w:eastAsia="Palatino Linotype" w:hAnsi="Palatino Linotype"/>
          <w:u w:val="single"/>
        </w:rPr>
        <w:t xml:space="preserve"> </w:t>
      </w:r>
      <w:r w:rsidR="00CC0EBE" w:rsidRPr="00D12E99">
        <w:rPr>
          <w:rFonts w:ascii="Palatino Linotype" w:eastAsia="Palatino Linotype" w:hAnsi="Palatino Linotype"/>
          <w:u w:val="single"/>
        </w:rPr>
        <w:t>Consequently, the plaintiffs argue that their personality rights have been violated by the excessive greenhouse gas emissions of Holcim and its subsidiaries in the past and continue to be violated now and in the future without their consent and without overruling private or public interests.</w:t>
      </w:r>
      <w:r w:rsidR="00CC0EBE" w:rsidRPr="0041265A">
        <w:rPr>
          <w:rFonts w:ascii="Palatino Linotype" w:eastAsia="Palatino Linotype" w:hAnsi="Palatino Linotype"/>
        </w:rPr>
        <w:t xml:space="preserve"> </w:t>
      </w:r>
    </w:p>
    <w:p w:rsidR="001F5B32" w:rsidRPr="0041265A" w:rsidRDefault="001F5B32" w:rsidP="00721A44">
      <w:pPr>
        <w:widowControl w:val="0"/>
        <w:autoSpaceDE w:val="0"/>
        <w:autoSpaceDN w:val="0"/>
        <w:spacing w:before="118" w:after="240"/>
        <w:jc w:val="both"/>
        <w:outlineLvl w:val="1"/>
        <w:rPr>
          <w:rFonts w:ascii="Palatino Linotype" w:hAnsi="Palatino Linotype"/>
        </w:rPr>
      </w:pPr>
    </w:p>
    <w:p w:rsidR="00554B5C" w:rsidRPr="0041265A" w:rsidRDefault="00554B5C" w:rsidP="00721A44">
      <w:pPr>
        <w:pStyle w:val="ListParagraph"/>
        <w:widowControl w:val="0"/>
        <w:numPr>
          <w:ilvl w:val="0"/>
          <w:numId w:val="1"/>
        </w:numPr>
        <w:autoSpaceDE w:val="0"/>
        <w:autoSpaceDN w:val="0"/>
        <w:spacing w:before="118" w:after="240"/>
        <w:contextualSpacing w:val="0"/>
        <w:jc w:val="both"/>
        <w:outlineLvl w:val="1"/>
        <w:rPr>
          <w:rFonts w:ascii="Palatino Linotype" w:hAnsi="Palatino Linotype"/>
          <w:b/>
          <w:bCs/>
        </w:rPr>
      </w:pPr>
      <w:r w:rsidRPr="0041265A">
        <w:rPr>
          <w:rFonts w:ascii="Palatino Linotype" w:hAnsi="Palatino Linotype"/>
          <w:b/>
          <w:bCs/>
        </w:rPr>
        <w:t>Are there issues with making the link between human rights and climate change litigation?</w:t>
      </w:r>
    </w:p>
    <w:p w:rsidR="00554B5C" w:rsidRPr="0041265A" w:rsidRDefault="00554B5C" w:rsidP="00721A44">
      <w:pPr>
        <w:ind w:left="360"/>
        <w:rPr>
          <w:rFonts w:ascii="Palatino Linotype" w:hAnsi="Palatino Linotype"/>
        </w:rPr>
      </w:pPr>
    </w:p>
    <w:p w:rsidR="00554B5C" w:rsidRPr="0041265A" w:rsidRDefault="00132074" w:rsidP="00721A44">
      <w:pPr>
        <w:widowControl w:val="0"/>
        <w:autoSpaceDE w:val="0"/>
        <w:autoSpaceDN w:val="0"/>
        <w:spacing w:before="118" w:after="240"/>
        <w:jc w:val="both"/>
        <w:outlineLvl w:val="1"/>
        <w:rPr>
          <w:rFonts w:ascii="Palatino Linotype" w:hAnsi="Palatino Linotype"/>
        </w:rPr>
      </w:pPr>
      <w:r>
        <w:rPr>
          <w:rFonts w:ascii="Palatino Linotype" w:hAnsi="Palatino Linotype"/>
        </w:rPr>
        <w:t xml:space="preserve">As stated in the answer to </w:t>
      </w:r>
      <w:r w:rsidR="004C7B06">
        <w:rPr>
          <w:rFonts w:ascii="Palatino Linotype" w:hAnsi="Palatino Linotype"/>
        </w:rPr>
        <w:t>question</w:t>
      </w:r>
      <w:r>
        <w:rPr>
          <w:rFonts w:ascii="Palatino Linotype" w:hAnsi="Palatino Linotype"/>
        </w:rPr>
        <w:t xml:space="preserve"> 3 there are major legal hurdles for making the link between human rights and climate change in a specific case. However, climate change consequences represent a fundamental threat to human rights</w:t>
      </w:r>
      <w:r w:rsidR="0055714E">
        <w:rPr>
          <w:rFonts w:ascii="Palatino Linotype" w:hAnsi="Palatino Linotype"/>
        </w:rPr>
        <w:t xml:space="preserve">, which is why it is evident that human rights are increasingly subject to climate change litigation. </w:t>
      </w:r>
    </w:p>
    <w:p w:rsidR="00D111E3" w:rsidRPr="0041265A" w:rsidRDefault="00D111E3" w:rsidP="00721A44">
      <w:pPr>
        <w:widowControl w:val="0"/>
        <w:autoSpaceDE w:val="0"/>
        <w:autoSpaceDN w:val="0"/>
        <w:spacing w:before="118" w:after="240"/>
        <w:ind w:left="4248"/>
        <w:jc w:val="both"/>
        <w:outlineLvl w:val="1"/>
        <w:rPr>
          <w:rFonts w:ascii="Palatino Linotype" w:hAnsi="Palatino Linotype"/>
        </w:rPr>
      </w:pPr>
    </w:p>
    <w:p w:rsidR="00554B5C" w:rsidRPr="0041265A" w:rsidRDefault="00554B5C" w:rsidP="00721A44">
      <w:pPr>
        <w:pStyle w:val="ListParagraph"/>
        <w:widowControl w:val="0"/>
        <w:numPr>
          <w:ilvl w:val="0"/>
          <w:numId w:val="1"/>
        </w:numPr>
        <w:autoSpaceDE w:val="0"/>
        <w:autoSpaceDN w:val="0"/>
        <w:spacing w:before="118" w:after="240"/>
        <w:contextualSpacing w:val="0"/>
        <w:jc w:val="both"/>
        <w:outlineLvl w:val="1"/>
        <w:rPr>
          <w:rFonts w:ascii="Palatino Linotype" w:hAnsi="Palatino Linotype"/>
          <w:b/>
          <w:bCs/>
        </w:rPr>
      </w:pPr>
      <w:r w:rsidRPr="0041265A">
        <w:rPr>
          <w:rFonts w:ascii="Palatino Linotype" w:hAnsi="Palatino Linotype"/>
          <w:b/>
          <w:bCs/>
        </w:rPr>
        <w:t xml:space="preserve">What do you think are the major barriers to initiating climate change litigation? </w:t>
      </w:r>
    </w:p>
    <w:p w:rsidR="00202BE8" w:rsidRDefault="00987E18" w:rsidP="004D4B51">
      <w:pPr>
        <w:pStyle w:val="ListParagraph"/>
        <w:widowControl w:val="0"/>
        <w:numPr>
          <w:ilvl w:val="0"/>
          <w:numId w:val="2"/>
        </w:numPr>
        <w:autoSpaceDE w:val="0"/>
        <w:autoSpaceDN w:val="0"/>
        <w:spacing w:before="118" w:after="240"/>
        <w:jc w:val="both"/>
        <w:outlineLvl w:val="1"/>
        <w:rPr>
          <w:rFonts w:ascii="Palatino Linotype" w:hAnsi="Palatino Linotype"/>
          <w:lang w:val="en-AU"/>
        </w:rPr>
      </w:pPr>
      <w:r w:rsidRPr="004D4B51">
        <w:rPr>
          <w:rFonts w:ascii="Palatino Linotype" w:hAnsi="Palatino Linotype"/>
          <w:lang w:val="en-AU"/>
        </w:rPr>
        <w:t xml:space="preserve">Individual standing/individual interest requiring legal protection: </w:t>
      </w:r>
      <w:r w:rsidR="004D4B51">
        <w:rPr>
          <w:rFonts w:ascii="Palatino Linotype" w:hAnsi="Palatino Linotype"/>
          <w:lang w:val="en-AU"/>
        </w:rPr>
        <w:t xml:space="preserve">In Swiss law, public and civil, plaintiffs </w:t>
      </w:r>
      <w:r w:rsidR="00902B63">
        <w:rPr>
          <w:rFonts w:ascii="Palatino Linotype" w:hAnsi="Palatino Linotype"/>
          <w:lang w:val="en-AU"/>
        </w:rPr>
        <w:t xml:space="preserve">need to be specifically affected in order to have standing for a claim. </w:t>
      </w:r>
      <w:r w:rsidR="00202BE8">
        <w:rPr>
          <w:rFonts w:ascii="Palatino Linotype" w:hAnsi="Palatino Linotype"/>
          <w:lang w:val="en-AU"/>
        </w:rPr>
        <w:t xml:space="preserve">In the context of climate change, this is crucial, since especially mitigation measures will benefit not only the plaintiffs, but always all human beings on the planet. </w:t>
      </w:r>
    </w:p>
    <w:p w:rsidR="00987E18" w:rsidRDefault="00202BE8" w:rsidP="0017446F">
      <w:pPr>
        <w:pStyle w:val="ListParagraph"/>
        <w:widowControl w:val="0"/>
        <w:numPr>
          <w:ilvl w:val="0"/>
          <w:numId w:val="2"/>
        </w:numPr>
        <w:autoSpaceDE w:val="0"/>
        <w:autoSpaceDN w:val="0"/>
        <w:spacing w:before="118" w:after="240"/>
        <w:jc w:val="both"/>
        <w:outlineLvl w:val="1"/>
        <w:rPr>
          <w:rFonts w:ascii="Palatino Linotype" w:hAnsi="Palatino Linotype"/>
          <w:lang w:val="en-AU"/>
        </w:rPr>
      </w:pPr>
      <w:r>
        <w:rPr>
          <w:rFonts w:ascii="Palatino Linotype" w:hAnsi="Palatino Linotype"/>
          <w:lang w:val="en-AU"/>
        </w:rPr>
        <w:t xml:space="preserve">In case of a specific damage, standing is </w:t>
      </w:r>
      <w:r w:rsidR="0017446F">
        <w:rPr>
          <w:rFonts w:ascii="Palatino Linotype" w:hAnsi="Palatino Linotype"/>
          <w:lang w:val="en-AU"/>
        </w:rPr>
        <w:t xml:space="preserve">not the challenge. However, Swiss law (and other jurisdictions) only know individualised positions of property, but no collective property in the community sense it is lived in Pari. </w:t>
      </w:r>
      <w:r w:rsidR="00987E18" w:rsidRPr="004D4B51">
        <w:rPr>
          <w:rFonts w:ascii="Palatino Linotype" w:hAnsi="Palatino Linotype"/>
          <w:lang w:val="en-AU"/>
        </w:rPr>
        <w:t xml:space="preserve">Hence, damages on collective </w:t>
      </w:r>
      <w:r w:rsidR="0017446F">
        <w:rPr>
          <w:rFonts w:ascii="Palatino Linotype" w:hAnsi="Palatino Linotype"/>
          <w:lang w:val="en-AU"/>
        </w:rPr>
        <w:t xml:space="preserve">goods, as for example community </w:t>
      </w:r>
      <w:r w:rsidR="00987E18" w:rsidRPr="004D4B51">
        <w:rPr>
          <w:rFonts w:ascii="Palatino Linotype" w:hAnsi="Palatino Linotype"/>
          <w:lang w:val="en-AU"/>
        </w:rPr>
        <w:t xml:space="preserve">gardens are very difficult to substantiate. </w:t>
      </w:r>
    </w:p>
    <w:p w:rsidR="0017446F" w:rsidRDefault="008110CC" w:rsidP="0017446F">
      <w:pPr>
        <w:pStyle w:val="ListParagraph"/>
        <w:widowControl w:val="0"/>
        <w:numPr>
          <w:ilvl w:val="0"/>
          <w:numId w:val="2"/>
        </w:numPr>
        <w:autoSpaceDE w:val="0"/>
        <w:autoSpaceDN w:val="0"/>
        <w:spacing w:before="118" w:after="240"/>
        <w:jc w:val="both"/>
        <w:outlineLvl w:val="1"/>
        <w:rPr>
          <w:rFonts w:ascii="Palatino Linotype" w:hAnsi="Palatino Linotype"/>
          <w:lang w:val="en-AU"/>
        </w:rPr>
      </w:pPr>
      <w:r>
        <w:rPr>
          <w:rFonts w:ascii="Palatino Linotype" w:hAnsi="Palatino Linotype"/>
          <w:lang w:val="en-AU"/>
        </w:rPr>
        <w:t xml:space="preserve">For claims from plaintiffs in the Global South who live in an informal economy it is a challenge to </w:t>
      </w:r>
      <w:r w:rsidR="00A673AB">
        <w:rPr>
          <w:rFonts w:ascii="Palatino Linotype" w:hAnsi="Palatino Linotype"/>
          <w:lang w:val="en-AU"/>
        </w:rPr>
        <w:t>meet the high threshold of</w:t>
      </w:r>
      <w:r w:rsidR="00A673AB" w:rsidRPr="00A673AB">
        <w:rPr>
          <w:rFonts w:ascii="Palatino Linotype" w:hAnsi="Palatino Linotype"/>
          <w:lang w:val="en-AU"/>
        </w:rPr>
        <w:t xml:space="preserve"> </w:t>
      </w:r>
      <w:r w:rsidR="00A673AB" w:rsidRPr="0041265A">
        <w:rPr>
          <w:rFonts w:ascii="Palatino Linotype" w:hAnsi="Palatino Linotype"/>
          <w:lang w:val="en-AU"/>
        </w:rPr>
        <w:t>substantiation in civil legal proceedings</w:t>
      </w:r>
      <w:r w:rsidR="00A673AB">
        <w:rPr>
          <w:rFonts w:ascii="Palatino Linotype" w:hAnsi="Palatino Linotype"/>
          <w:lang w:val="en-AU"/>
        </w:rPr>
        <w:t xml:space="preserve"> in the Global North (how to substantiate income and </w:t>
      </w:r>
      <w:r w:rsidR="009945E5">
        <w:rPr>
          <w:rFonts w:ascii="Palatino Linotype" w:hAnsi="Palatino Linotype"/>
          <w:lang w:val="en-AU"/>
        </w:rPr>
        <w:t>spendings, if there is no paper track and no formalised tax declaration?)</w:t>
      </w:r>
      <w:r w:rsidR="00A673AB">
        <w:rPr>
          <w:rFonts w:ascii="Palatino Linotype" w:hAnsi="Palatino Linotype"/>
          <w:lang w:val="en-AU"/>
        </w:rPr>
        <w:t xml:space="preserve">. </w:t>
      </w:r>
    </w:p>
    <w:p w:rsidR="009D283A" w:rsidRDefault="009945E5" w:rsidP="0017446F">
      <w:pPr>
        <w:pStyle w:val="ListParagraph"/>
        <w:widowControl w:val="0"/>
        <w:numPr>
          <w:ilvl w:val="0"/>
          <w:numId w:val="2"/>
        </w:numPr>
        <w:autoSpaceDE w:val="0"/>
        <w:autoSpaceDN w:val="0"/>
        <w:spacing w:before="118" w:after="240"/>
        <w:jc w:val="both"/>
        <w:outlineLvl w:val="1"/>
        <w:rPr>
          <w:rFonts w:ascii="Palatino Linotype" w:hAnsi="Palatino Linotype"/>
          <w:lang w:val="en-AU"/>
        </w:rPr>
      </w:pPr>
      <w:r>
        <w:rPr>
          <w:rFonts w:ascii="Palatino Linotype" w:hAnsi="Palatino Linotype"/>
          <w:lang w:val="en-AU"/>
        </w:rPr>
        <w:t xml:space="preserve">Legal practitioners </w:t>
      </w:r>
      <w:r w:rsidR="001D53D8">
        <w:rPr>
          <w:rFonts w:ascii="Palatino Linotype" w:hAnsi="Palatino Linotype"/>
          <w:lang w:val="en-AU"/>
        </w:rPr>
        <w:t xml:space="preserve">do often </w:t>
      </w:r>
      <w:r w:rsidR="00766827">
        <w:rPr>
          <w:rFonts w:ascii="Palatino Linotype" w:hAnsi="Palatino Linotype"/>
          <w:lang w:val="en-AU"/>
        </w:rPr>
        <w:t>(and sometimes rightly so) worry</w:t>
      </w:r>
      <w:r w:rsidR="001D53D8">
        <w:rPr>
          <w:rFonts w:ascii="Palatino Linotype" w:hAnsi="Palatino Linotype"/>
          <w:lang w:val="en-AU"/>
        </w:rPr>
        <w:t xml:space="preserve"> to not be able to proof the requirements of causation and unlawfulness</w:t>
      </w:r>
      <w:r w:rsidR="009D283A">
        <w:rPr>
          <w:rFonts w:ascii="Palatino Linotype" w:hAnsi="Palatino Linotype"/>
          <w:lang w:val="en-AU"/>
        </w:rPr>
        <w:t>:</w:t>
      </w:r>
    </w:p>
    <w:p w:rsidR="009D283A" w:rsidRPr="00F11F6D" w:rsidRDefault="009D283A" w:rsidP="009D283A">
      <w:pPr>
        <w:pStyle w:val="ListParagraph"/>
        <w:widowControl w:val="0"/>
        <w:numPr>
          <w:ilvl w:val="1"/>
          <w:numId w:val="2"/>
        </w:numPr>
        <w:autoSpaceDE w:val="0"/>
        <w:autoSpaceDN w:val="0"/>
        <w:spacing w:before="118" w:after="240"/>
        <w:jc w:val="both"/>
        <w:outlineLvl w:val="1"/>
        <w:rPr>
          <w:rFonts w:ascii="Palatino Linotype" w:hAnsi="Palatino Linotype"/>
          <w:lang w:val="en-AU"/>
        </w:rPr>
      </w:pPr>
      <w:r w:rsidRPr="00F11F6D">
        <w:rPr>
          <w:rFonts w:ascii="Palatino Linotype" w:hAnsi="Palatino Linotype"/>
          <w:lang w:val="en-AU"/>
        </w:rPr>
        <w:t>M</w:t>
      </w:r>
      <w:r w:rsidR="00637BA8" w:rsidRPr="00F11F6D">
        <w:rPr>
          <w:rFonts w:ascii="Palatino Linotype" w:hAnsi="Palatino Linotype"/>
          <w:lang w:val="en-AU"/>
        </w:rPr>
        <w:t>ost of them are</w:t>
      </w:r>
      <w:r w:rsidR="001D53D8" w:rsidRPr="00F11F6D">
        <w:rPr>
          <w:rFonts w:ascii="Palatino Linotype" w:hAnsi="Palatino Linotype"/>
          <w:lang w:val="en-AU"/>
        </w:rPr>
        <w:t xml:space="preserve"> </w:t>
      </w:r>
      <w:r w:rsidR="009945E5" w:rsidRPr="00F11F6D">
        <w:rPr>
          <w:rFonts w:ascii="Palatino Linotype" w:hAnsi="Palatino Linotype"/>
          <w:lang w:val="en-AU"/>
        </w:rPr>
        <w:t xml:space="preserve">not </w:t>
      </w:r>
      <w:r w:rsidR="004C7B06">
        <w:rPr>
          <w:rFonts w:ascii="Palatino Linotype" w:hAnsi="Palatino Linotype"/>
          <w:lang w:val="en-AU"/>
        </w:rPr>
        <w:t xml:space="preserve">fully </w:t>
      </w:r>
      <w:r w:rsidR="009945E5" w:rsidRPr="00F11F6D">
        <w:rPr>
          <w:rFonts w:ascii="Palatino Linotype" w:hAnsi="Palatino Linotype"/>
          <w:lang w:val="en-AU"/>
        </w:rPr>
        <w:t xml:space="preserve">aware of how clear climate science can already describe and attribute both causation </w:t>
      </w:r>
      <w:r w:rsidR="00D66E0E" w:rsidRPr="00F11F6D">
        <w:rPr>
          <w:rFonts w:ascii="Palatino Linotype" w:hAnsi="Palatino Linotype"/>
          <w:lang w:val="en-AU"/>
        </w:rPr>
        <w:t>as well as</w:t>
      </w:r>
      <w:r w:rsidR="009945E5" w:rsidRPr="00F11F6D">
        <w:rPr>
          <w:rFonts w:ascii="Palatino Linotype" w:hAnsi="Palatino Linotype"/>
          <w:lang w:val="en-AU"/>
        </w:rPr>
        <w:t xml:space="preserve"> impacts </w:t>
      </w:r>
      <w:r w:rsidR="00D66E0E" w:rsidRPr="00F11F6D">
        <w:rPr>
          <w:rFonts w:ascii="Palatino Linotype" w:hAnsi="Palatino Linotype"/>
          <w:lang w:val="en-AU"/>
        </w:rPr>
        <w:t xml:space="preserve">and damages </w:t>
      </w:r>
      <w:r w:rsidR="009945E5" w:rsidRPr="00F11F6D">
        <w:rPr>
          <w:rFonts w:ascii="Palatino Linotype" w:hAnsi="Palatino Linotype"/>
          <w:lang w:val="en-AU"/>
        </w:rPr>
        <w:t>of climate change</w:t>
      </w:r>
      <w:r w:rsidR="00F11F6D" w:rsidRPr="00F11F6D">
        <w:rPr>
          <w:rFonts w:ascii="Palatino Linotype" w:hAnsi="Palatino Linotype"/>
          <w:lang w:val="en-AU"/>
        </w:rPr>
        <w:t xml:space="preserve"> and specific weather events</w:t>
      </w:r>
      <w:r w:rsidR="009945E5" w:rsidRPr="00F11F6D">
        <w:rPr>
          <w:rFonts w:ascii="Palatino Linotype" w:hAnsi="Palatino Linotype"/>
          <w:lang w:val="en-AU"/>
        </w:rPr>
        <w:t xml:space="preserve"> to certain actors and regions</w:t>
      </w:r>
      <w:r w:rsidR="001D53D8" w:rsidRPr="00F11F6D">
        <w:rPr>
          <w:rFonts w:ascii="Palatino Linotype" w:hAnsi="Palatino Linotype"/>
          <w:lang w:val="en-AU"/>
        </w:rPr>
        <w:t xml:space="preserve">. </w:t>
      </w:r>
      <w:r w:rsidRPr="00F11F6D">
        <w:rPr>
          <w:rFonts w:ascii="Palatino Linotype" w:hAnsi="Palatino Linotype"/>
          <w:lang w:val="en-AU"/>
        </w:rPr>
        <w:t xml:space="preserve">Here, more knowledge exchange among the disciplines is necessary. </w:t>
      </w:r>
    </w:p>
    <w:p w:rsidR="009945E5" w:rsidRDefault="002A6179" w:rsidP="009D283A">
      <w:pPr>
        <w:pStyle w:val="ListParagraph"/>
        <w:widowControl w:val="0"/>
        <w:numPr>
          <w:ilvl w:val="1"/>
          <w:numId w:val="2"/>
        </w:numPr>
        <w:autoSpaceDE w:val="0"/>
        <w:autoSpaceDN w:val="0"/>
        <w:spacing w:before="118" w:after="240"/>
        <w:jc w:val="both"/>
        <w:outlineLvl w:val="1"/>
        <w:rPr>
          <w:rFonts w:ascii="Palatino Linotype" w:hAnsi="Palatino Linotype"/>
          <w:lang w:val="en-AU"/>
        </w:rPr>
      </w:pPr>
      <w:r>
        <w:rPr>
          <w:rFonts w:ascii="Palatino Linotype" w:hAnsi="Palatino Linotype"/>
          <w:lang w:val="en-AU"/>
        </w:rPr>
        <w:t xml:space="preserve">Furthermore, </w:t>
      </w:r>
      <w:r w:rsidR="004010A3" w:rsidRPr="0041265A">
        <w:rPr>
          <w:rFonts w:ascii="Palatino Linotype" w:eastAsia="Palatino Linotype" w:hAnsi="Palatino Linotype"/>
        </w:rPr>
        <w:t>climate change is not the first constellation in which courts have found themselves facing a case that defied the existing system for compensating and deterring harm. In certain medical and toxic tort cases, like asbestos or tobacco, courts have developed innovative approaches that have provided solutions for complex causality scenarios. Some of these theories acknowledge not only liability in case of concurrent, cumulative and alternative causality constellations, but they also provide for solutions to apportion compensation according to the statistical evidence of causation.</w:t>
      </w:r>
      <w:r w:rsidR="004010A3">
        <w:rPr>
          <w:rFonts w:ascii="Palatino Linotype" w:hAnsi="Palatino Linotype"/>
          <w:lang w:val="en-AU"/>
        </w:rPr>
        <w:t xml:space="preserve"> </w:t>
      </w:r>
    </w:p>
    <w:p w:rsidR="00637BA8" w:rsidRDefault="00637BA8" w:rsidP="0017446F">
      <w:pPr>
        <w:pStyle w:val="ListParagraph"/>
        <w:widowControl w:val="0"/>
        <w:numPr>
          <w:ilvl w:val="0"/>
          <w:numId w:val="2"/>
        </w:numPr>
        <w:autoSpaceDE w:val="0"/>
        <w:autoSpaceDN w:val="0"/>
        <w:spacing w:before="118" w:after="240"/>
        <w:jc w:val="both"/>
        <w:outlineLvl w:val="1"/>
        <w:rPr>
          <w:rFonts w:ascii="Palatino Linotype" w:hAnsi="Palatino Linotype"/>
          <w:lang w:val="en-AU"/>
        </w:rPr>
      </w:pPr>
      <w:r>
        <w:rPr>
          <w:rFonts w:ascii="Palatino Linotype" w:hAnsi="Palatino Linotype"/>
          <w:lang w:val="en-AU"/>
        </w:rPr>
        <w:t>Access to justice: high court fees, no legal aid</w:t>
      </w:r>
      <w:r w:rsidR="00F11F6D">
        <w:rPr>
          <w:rFonts w:ascii="Palatino Linotype" w:hAnsi="Palatino Linotype"/>
          <w:lang w:val="en-AU"/>
        </w:rPr>
        <w:t xml:space="preserve"> for plaintiffs from the Global South</w:t>
      </w:r>
    </w:p>
    <w:p w:rsidR="006C2CE2" w:rsidRDefault="00F11F6D" w:rsidP="00721A44">
      <w:pPr>
        <w:pStyle w:val="ListParagraph"/>
        <w:widowControl w:val="0"/>
        <w:numPr>
          <w:ilvl w:val="0"/>
          <w:numId w:val="2"/>
        </w:numPr>
        <w:autoSpaceDE w:val="0"/>
        <w:autoSpaceDN w:val="0"/>
        <w:spacing w:before="118" w:after="240"/>
        <w:jc w:val="both"/>
        <w:outlineLvl w:val="1"/>
        <w:rPr>
          <w:rFonts w:ascii="Palatino Linotype" w:hAnsi="Palatino Linotype"/>
          <w:lang w:val="en-AU"/>
        </w:rPr>
      </w:pPr>
      <w:r>
        <w:rPr>
          <w:rFonts w:ascii="Palatino Linotype" w:hAnsi="Palatino Linotype"/>
          <w:lang w:val="en-AU"/>
        </w:rPr>
        <w:t xml:space="preserve">Applicable law in civil cases: In many jurisdictions, also in Switzerland, the </w:t>
      </w:r>
      <w:r w:rsidR="00A504D2">
        <w:rPr>
          <w:rFonts w:ascii="Palatino Linotype" w:hAnsi="Palatino Linotype"/>
          <w:lang w:val="en-AU"/>
        </w:rPr>
        <w:t>law foresees the possibility of applying foreign law if a damage in a transnational case has occurred abroad. This may lead to high translation costs</w:t>
      </w:r>
      <w:r w:rsidR="00AB17A5">
        <w:rPr>
          <w:rFonts w:ascii="Palatino Linotype" w:hAnsi="Palatino Linotype"/>
          <w:lang w:val="en-AU"/>
        </w:rPr>
        <w:t xml:space="preserve"> and</w:t>
      </w:r>
      <w:r w:rsidR="00A504D2">
        <w:rPr>
          <w:rFonts w:ascii="Palatino Linotype" w:hAnsi="Palatino Linotype"/>
          <w:lang w:val="en-AU"/>
        </w:rPr>
        <w:t xml:space="preserve"> advisory </w:t>
      </w:r>
      <w:r w:rsidR="00AB17A5">
        <w:rPr>
          <w:rFonts w:ascii="Palatino Linotype" w:hAnsi="Palatino Linotype"/>
          <w:lang w:val="en-AU"/>
        </w:rPr>
        <w:t xml:space="preserve">opinions </w:t>
      </w:r>
      <w:r w:rsidR="00A504D2">
        <w:rPr>
          <w:rFonts w:ascii="Palatino Linotype" w:hAnsi="Palatino Linotype"/>
          <w:lang w:val="en-AU"/>
        </w:rPr>
        <w:t>on foreign law, which a</w:t>
      </w:r>
      <w:r w:rsidR="00AB17A5">
        <w:rPr>
          <w:rFonts w:ascii="Palatino Linotype" w:hAnsi="Palatino Linotype"/>
          <w:lang w:val="en-AU"/>
        </w:rPr>
        <w:t xml:space="preserve">re very cost intensive. </w:t>
      </w:r>
      <w:bookmarkStart w:id="0" w:name="_heading=h.rx0kw22hzbir" w:colFirst="0" w:colLast="0"/>
      <w:bookmarkStart w:id="1" w:name="_heading=h.6skryzrgwgk5" w:colFirst="0" w:colLast="0"/>
      <w:bookmarkEnd w:id="0"/>
      <w:bookmarkEnd w:id="1"/>
    </w:p>
    <w:p w:rsidR="00AB17A5" w:rsidRPr="00AB17A5" w:rsidRDefault="00AB17A5" w:rsidP="00AB17A5">
      <w:pPr>
        <w:pStyle w:val="ListParagraph"/>
        <w:widowControl w:val="0"/>
        <w:autoSpaceDE w:val="0"/>
        <w:autoSpaceDN w:val="0"/>
        <w:spacing w:before="118" w:after="240"/>
        <w:jc w:val="both"/>
        <w:outlineLvl w:val="1"/>
        <w:rPr>
          <w:rFonts w:ascii="Palatino Linotype" w:hAnsi="Palatino Linotype"/>
          <w:lang w:val="en-AU"/>
        </w:rPr>
      </w:pPr>
    </w:p>
    <w:p w:rsidR="00825430" w:rsidRDefault="00825430" w:rsidP="00825430">
      <w:pPr>
        <w:pStyle w:val="ListParagraph"/>
        <w:widowControl w:val="0"/>
        <w:autoSpaceDE w:val="0"/>
        <w:autoSpaceDN w:val="0"/>
        <w:spacing w:before="118" w:after="240"/>
        <w:jc w:val="both"/>
        <w:outlineLvl w:val="1"/>
        <w:rPr>
          <w:rFonts w:ascii="Palatino Linotype" w:hAnsi="Palatino Linotype"/>
        </w:rPr>
      </w:pPr>
    </w:p>
    <w:p w:rsidR="00554B5C" w:rsidRPr="0041265A" w:rsidRDefault="00554B5C" w:rsidP="00721A44">
      <w:pPr>
        <w:pStyle w:val="ListParagraph"/>
        <w:widowControl w:val="0"/>
        <w:numPr>
          <w:ilvl w:val="0"/>
          <w:numId w:val="1"/>
        </w:numPr>
        <w:autoSpaceDE w:val="0"/>
        <w:autoSpaceDN w:val="0"/>
        <w:spacing w:before="118" w:after="240"/>
        <w:contextualSpacing w:val="0"/>
        <w:jc w:val="both"/>
        <w:outlineLvl w:val="1"/>
        <w:rPr>
          <w:rFonts w:ascii="Palatino Linotype" w:hAnsi="Palatino Linotype"/>
          <w:b/>
          <w:bCs/>
        </w:rPr>
      </w:pPr>
      <w:r w:rsidRPr="0041265A">
        <w:rPr>
          <w:rFonts w:ascii="Palatino Linotype" w:hAnsi="Palatino Linotype"/>
          <w:b/>
          <w:bCs/>
        </w:rPr>
        <w:t>Is the judiciary in your country well equipped to understand the connection between human rights and climate change?</w:t>
      </w:r>
    </w:p>
    <w:p w:rsidR="006C2CE2" w:rsidRPr="0041265A" w:rsidRDefault="009646BA" w:rsidP="00721A44">
      <w:pPr>
        <w:widowControl w:val="0"/>
        <w:autoSpaceDE w:val="0"/>
        <w:autoSpaceDN w:val="0"/>
        <w:spacing w:before="118" w:after="240"/>
        <w:jc w:val="both"/>
        <w:outlineLvl w:val="1"/>
        <w:rPr>
          <w:rFonts w:ascii="Palatino Linotype" w:hAnsi="Palatino Linotype"/>
        </w:rPr>
      </w:pPr>
      <w:r w:rsidRPr="0041265A">
        <w:rPr>
          <w:rFonts w:ascii="Palatino Linotype" w:hAnsi="Palatino Linotype"/>
        </w:rPr>
        <w:t xml:space="preserve">In Switzerland, the judiciary is </w:t>
      </w:r>
      <w:r w:rsidRPr="0041265A">
        <w:rPr>
          <w:rFonts w:ascii="Palatino Linotype" w:hAnsi="Palatino Linotype"/>
          <w:u w:val="single"/>
        </w:rPr>
        <w:t>not yet well equipped</w:t>
      </w:r>
      <w:r w:rsidRPr="0041265A">
        <w:rPr>
          <w:rFonts w:ascii="Palatino Linotype" w:hAnsi="Palatino Linotype"/>
        </w:rPr>
        <w:t xml:space="preserve"> to understand the connection between human rights and climate change. First and foremost, because there is almost no case law on the topic</w:t>
      </w:r>
      <w:r w:rsidR="003E3D97" w:rsidRPr="0041265A">
        <w:rPr>
          <w:rFonts w:ascii="Palatino Linotype" w:hAnsi="Palatino Linotype"/>
        </w:rPr>
        <w:t xml:space="preserve">. </w:t>
      </w:r>
      <w:r w:rsidR="00522EE0" w:rsidRPr="0041265A">
        <w:rPr>
          <w:rFonts w:ascii="Palatino Linotype" w:hAnsi="Palatino Linotype"/>
        </w:rPr>
        <w:t>S</w:t>
      </w:r>
      <w:r w:rsidR="003E3D97" w:rsidRPr="0041265A">
        <w:rPr>
          <w:rFonts w:ascii="Palatino Linotype" w:hAnsi="Palatino Linotype"/>
        </w:rPr>
        <w:t xml:space="preserve">econd, the sole judgment from the highest Swiss court, the Federal Court, failed to acknowledge the </w:t>
      </w:r>
      <w:r w:rsidR="00522EE0" w:rsidRPr="0041265A">
        <w:rPr>
          <w:rFonts w:ascii="Palatino Linotype" w:hAnsi="Palatino Linotype"/>
        </w:rPr>
        <w:t>direct connection of climate change and human rights in the case of the ‘</w:t>
      </w:r>
      <w:proofErr w:type="spellStart"/>
      <w:r w:rsidR="00522EE0" w:rsidRPr="0041265A">
        <w:rPr>
          <w:rFonts w:ascii="Palatino Linotype" w:hAnsi="Palatino Linotype"/>
        </w:rPr>
        <w:t>Klimaseniorinnen</w:t>
      </w:r>
      <w:proofErr w:type="spellEnd"/>
      <w:r w:rsidR="00522EE0" w:rsidRPr="0041265A">
        <w:rPr>
          <w:rFonts w:ascii="Palatino Linotype" w:hAnsi="Palatino Linotype"/>
        </w:rPr>
        <w:t xml:space="preserve">’, now pending before the Grand Chamber of the European Court of Human Rights. </w:t>
      </w:r>
      <w:r w:rsidR="004F7417" w:rsidRPr="0041265A">
        <w:rPr>
          <w:rFonts w:ascii="Palatino Linotype" w:hAnsi="Palatino Linotype"/>
        </w:rPr>
        <w:t xml:space="preserve">Third, it is not yet a mandatory part of the curriculum and legal training. </w:t>
      </w:r>
      <w:r w:rsidR="00522EE0" w:rsidRPr="0041265A">
        <w:rPr>
          <w:rFonts w:ascii="Palatino Linotype" w:hAnsi="Palatino Linotype"/>
        </w:rPr>
        <w:t xml:space="preserve">And </w:t>
      </w:r>
      <w:r w:rsidR="004F7417" w:rsidRPr="0041265A">
        <w:rPr>
          <w:rFonts w:ascii="Palatino Linotype" w:hAnsi="Palatino Linotype"/>
        </w:rPr>
        <w:t>forth</w:t>
      </w:r>
      <w:r w:rsidR="00522EE0" w:rsidRPr="0041265A">
        <w:rPr>
          <w:rFonts w:ascii="Palatino Linotype" w:hAnsi="Palatino Linotype"/>
        </w:rPr>
        <w:t>, because there is not yet a lot of legal literature on the relation to climate change and human rights in German or French</w:t>
      </w:r>
      <w:r w:rsidR="006B7F9A" w:rsidRPr="0041265A">
        <w:rPr>
          <w:rFonts w:ascii="Palatino Linotype" w:hAnsi="Palatino Linotype"/>
        </w:rPr>
        <w:t xml:space="preserve">. </w:t>
      </w:r>
      <w:r w:rsidR="004F7417" w:rsidRPr="0041265A">
        <w:rPr>
          <w:rFonts w:ascii="Palatino Linotype" w:hAnsi="Palatino Linotype"/>
        </w:rPr>
        <w:t xml:space="preserve">Furthermore, the legal profession does not regularly read scientific publications from other disciplines, as e.g. climate science. </w:t>
      </w:r>
      <w:r w:rsidR="006B7F9A" w:rsidRPr="0041265A">
        <w:rPr>
          <w:rFonts w:ascii="Palatino Linotype" w:hAnsi="Palatino Linotype"/>
        </w:rPr>
        <w:t xml:space="preserve">Assumingly, </w:t>
      </w:r>
      <w:r w:rsidR="004F7417" w:rsidRPr="0041265A">
        <w:rPr>
          <w:rFonts w:ascii="Palatino Linotype" w:hAnsi="Palatino Linotype"/>
        </w:rPr>
        <w:t>most of</w:t>
      </w:r>
      <w:r w:rsidR="006B7F9A" w:rsidRPr="0041265A">
        <w:rPr>
          <w:rFonts w:ascii="Palatino Linotype" w:hAnsi="Palatino Linotype"/>
        </w:rPr>
        <w:t xml:space="preserve"> the judiciary still is of the opinion, that in Switzerland, human rights are not yet affected due to </w:t>
      </w:r>
      <w:r w:rsidR="004F7417" w:rsidRPr="0041265A">
        <w:rPr>
          <w:rFonts w:ascii="Palatino Linotype" w:hAnsi="Palatino Linotype"/>
        </w:rPr>
        <w:t>climate</w:t>
      </w:r>
      <w:r w:rsidR="006B7F9A" w:rsidRPr="0041265A">
        <w:rPr>
          <w:rFonts w:ascii="Palatino Linotype" w:hAnsi="Palatino Linotype"/>
        </w:rPr>
        <w:t xml:space="preserve"> change. </w:t>
      </w:r>
    </w:p>
    <w:p w:rsidR="00554B5C" w:rsidRPr="0041265A" w:rsidRDefault="00554B5C" w:rsidP="00721A44">
      <w:pPr>
        <w:pStyle w:val="ListParagraph"/>
        <w:widowControl w:val="0"/>
        <w:numPr>
          <w:ilvl w:val="0"/>
          <w:numId w:val="1"/>
        </w:numPr>
        <w:autoSpaceDE w:val="0"/>
        <w:autoSpaceDN w:val="0"/>
        <w:spacing w:before="118" w:after="240"/>
        <w:contextualSpacing w:val="0"/>
        <w:jc w:val="both"/>
        <w:outlineLvl w:val="1"/>
        <w:rPr>
          <w:rFonts w:ascii="Palatino Linotype" w:hAnsi="Palatino Linotype"/>
          <w:b/>
          <w:bCs/>
        </w:rPr>
      </w:pPr>
      <w:r w:rsidRPr="0041265A">
        <w:rPr>
          <w:rFonts w:ascii="Palatino Linotype" w:hAnsi="Palatino Linotype"/>
          <w:b/>
          <w:bCs/>
        </w:rPr>
        <w:t>How could this be improved?</w:t>
      </w:r>
    </w:p>
    <w:p w:rsidR="004F7417" w:rsidRPr="0041265A" w:rsidRDefault="006B7F9A" w:rsidP="00721A44">
      <w:pPr>
        <w:rPr>
          <w:rFonts w:ascii="Palatino Linotype" w:hAnsi="Palatino Linotype"/>
        </w:rPr>
      </w:pPr>
      <w:r w:rsidRPr="0041265A">
        <w:rPr>
          <w:rFonts w:ascii="Palatino Linotype" w:hAnsi="Palatino Linotype"/>
        </w:rPr>
        <w:t xml:space="preserve">By </w:t>
      </w:r>
      <w:r w:rsidR="004F7417" w:rsidRPr="0041265A">
        <w:rPr>
          <w:rFonts w:ascii="Palatino Linotype" w:hAnsi="Palatino Linotype"/>
        </w:rPr>
        <w:t xml:space="preserve">knowledge exchanges among the disciplines. </w:t>
      </w:r>
      <w:r w:rsidR="006C2CE2" w:rsidRPr="0041265A">
        <w:rPr>
          <w:rFonts w:ascii="Palatino Linotype" w:hAnsi="Palatino Linotype"/>
        </w:rPr>
        <w:t>Exchange of legal professionals with climate scientists</w:t>
      </w:r>
      <w:r w:rsidR="004F7417" w:rsidRPr="0041265A">
        <w:rPr>
          <w:rFonts w:ascii="Palatino Linotype" w:hAnsi="Palatino Linotype"/>
        </w:rPr>
        <w:t xml:space="preserve">, as the University of Zurich started to organise. </w:t>
      </w:r>
      <w:r w:rsidR="005850DB" w:rsidRPr="0041265A">
        <w:rPr>
          <w:rFonts w:ascii="Palatino Linotype" w:hAnsi="Palatino Linotype"/>
        </w:rPr>
        <w:t xml:space="preserve">Such exchanges should also encourage </w:t>
      </w:r>
      <w:r w:rsidR="005850DB" w:rsidRPr="0041265A">
        <w:rPr>
          <w:rFonts w:ascii="Palatino Linotype" w:hAnsi="Palatino Linotype"/>
          <w:u w:val="single"/>
        </w:rPr>
        <w:t>to reduce the information which is lost in translation among the disciplines</w:t>
      </w:r>
      <w:r w:rsidR="005850DB" w:rsidRPr="0041265A">
        <w:rPr>
          <w:rFonts w:ascii="Palatino Linotype" w:hAnsi="Palatino Linotype"/>
        </w:rPr>
        <w:t xml:space="preserve">. For example, we noted, that the language climate scientists use to describe </w:t>
      </w:r>
      <w:r w:rsidR="00C13092" w:rsidRPr="0041265A">
        <w:rPr>
          <w:rFonts w:ascii="Palatino Linotype" w:hAnsi="Palatino Linotype"/>
        </w:rPr>
        <w:t xml:space="preserve">the probability of causation or attribution, although quite strong in their norms, might often still be understood as week in legal terms. </w:t>
      </w:r>
    </w:p>
    <w:p w:rsidR="00C13092" w:rsidRPr="0041265A" w:rsidRDefault="00320E7C" w:rsidP="00721A44">
      <w:pPr>
        <w:rPr>
          <w:rFonts w:ascii="Palatino Linotype" w:hAnsi="Palatino Linotype"/>
        </w:rPr>
      </w:pPr>
      <w:r w:rsidRPr="0041265A">
        <w:rPr>
          <w:rFonts w:ascii="Palatino Linotype" w:hAnsi="Palatino Linotype"/>
        </w:rPr>
        <w:t>There is a need for translation of scientific results (evidence on causality and attribution)</w:t>
      </w:r>
      <w:r w:rsidR="00821A9F" w:rsidRPr="0041265A">
        <w:rPr>
          <w:rFonts w:ascii="Palatino Linotype" w:hAnsi="Palatino Linotype"/>
        </w:rPr>
        <w:t xml:space="preserve"> into legal language. </w:t>
      </w:r>
    </w:p>
    <w:p w:rsidR="00554B5C" w:rsidRPr="0041265A" w:rsidRDefault="00821A9F" w:rsidP="00721A44">
      <w:pPr>
        <w:rPr>
          <w:rFonts w:ascii="Palatino Linotype" w:hAnsi="Palatino Linotype"/>
        </w:rPr>
      </w:pPr>
      <w:r w:rsidRPr="0041265A">
        <w:rPr>
          <w:rFonts w:ascii="Palatino Linotype" w:hAnsi="Palatino Linotype"/>
        </w:rPr>
        <w:t xml:space="preserve">See thereto the </w:t>
      </w:r>
      <w:r w:rsidR="00D918F6" w:rsidRPr="0041265A">
        <w:rPr>
          <w:rFonts w:ascii="Palatino Linotype" w:hAnsi="Palatino Linotype"/>
        </w:rPr>
        <w:t xml:space="preserve">important publication of </w:t>
      </w:r>
      <w:r w:rsidR="00D918F6" w:rsidRPr="0041265A">
        <w:rPr>
          <w:rFonts w:ascii="Palatino Linotype" w:eastAsia="Palatino Linotype" w:hAnsi="Palatino Linotype"/>
        </w:rPr>
        <w:t xml:space="preserve">E. A. </w:t>
      </w:r>
      <w:r w:rsidR="00D918F6" w:rsidRPr="0041265A">
        <w:rPr>
          <w:rFonts w:ascii="Palatino Linotype" w:eastAsia="Palatino Linotype" w:hAnsi="Palatino Linotype"/>
          <w:smallCaps/>
        </w:rPr>
        <w:t>Lloyd</w:t>
      </w:r>
      <w:r w:rsidR="00D918F6" w:rsidRPr="0041265A">
        <w:rPr>
          <w:rFonts w:ascii="Palatino Linotype" w:eastAsia="Palatino Linotype" w:hAnsi="Palatino Linotype"/>
        </w:rPr>
        <w:t xml:space="preserve">, N. </w:t>
      </w:r>
      <w:r w:rsidR="00D918F6" w:rsidRPr="0041265A">
        <w:rPr>
          <w:rFonts w:ascii="Palatino Linotype" w:eastAsia="Palatino Linotype" w:hAnsi="Palatino Linotype"/>
          <w:smallCaps/>
        </w:rPr>
        <w:t>Oreskes</w:t>
      </w:r>
      <w:r w:rsidR="00D918F6" w:rsidRPr="0041265A">
        <w:rPr>
          <w:rFonts w:ascii="Palatino Linotype" w:eastAsia="Palatino Linotype" w:hAnsi="Palatino Linotype"/>
        </w:rPr>
        <w:t xml:space="preserve">, S. I. </w:t>
      </w:r>
      <w:r w:rsidR="00D918F6" w:rsidRPr="0041265A">
        <w:rPr>
          <w:rFonts w:ascii="Palatino Linotype" w:eastAsia="Palatino Linotype" w:hAnsi="Palatino Linotype"/>
          <w:smallCaps/>
        </w:rPr>
        <w:t>Seneviratn</w:t>
      </w:r>
      <w:r w:rsidR="00D918F6" w:rsidRPr="0041265A">
        <w:rPr>
          <w:rFonts w:ascii="Palatino Linotype" w:eastAsia="Palatino Linotype" w:hAnsi="Palatino Linotype"/>
        </w:rPr>
        <w:t xml:space="preserve">e and E. J. </w:t>
      </w:r>
      <w:r w:rsidR="00D918F6" w:rsidRPr="0041265A">
        <w:rPr>
          <w:rFonts w:ascii="Palatino Linotype" w:eastAsia="Palatino Linotype" w:hAnsi="Palatino Linotype"/>
          <w:smallCaps/>
        </w:rPr>
        <w:t>Larson</w:t>
      </w:r>
      <w:r w:rsidR="00D918F6" w:rsidRPr="0041265A">
        <w:rPr>
          <w:rFonts w:ascii="Palatino Linotype" w:eastAsia="Palatino Linotype" w:hAnsi="Palatino Linotype"/>
        </w:rPr>
        <w:t xml:space="preserve">, </w:t>
      </w:r>
      <w:hyperlink r:id="rId12">
        <w:r w:rsidR="00D918F6" w:rsidRPr="0041265A">
          <w:rPr>
            <w:rFonts w:ascii="Palatino Linotype" w:eastAsia="Palatino Linotype" w:hAnsi="Palatino Linotype"/>
            <w:i/>
            <w:color w:val="1155CC"/>
            <w:u w:val="single"/>
          </w:rPr>
          <w:t>Climate scientists set the bar of proof too high</w:t>
        </w:r>
      </w:hyperlink>
      <w:r w:rsidR="00D918F6" w:rsidRPr="0041265A">
        <w:rPr>
          <w:rFonts w:ascii="Palatino Linotype" w:eastAsia="Palatino Linotype" w:hAnsi="Palatino Linotype"/>
        </w:rPr>
        <w:t>, in</w:t>
      </w:r>
      <w:r w:rsidR="004A5781" w:rsidRPr="0041265A">
        <w:rPr>
          <w:rFonts w:ascii="Palatino Linotype" w:eastAsia="Palatino Linotype" w:hAnsi="Palatino Linotype"/>
        </w:rPr>
        <w:t>:</w:t>
      </w:r>
      <w:r w:rsidR="00D918F6" w:rsidRPr="0041265A">
        <w:rPr>
          <w:rFonts w:ascii="Palatino Linotype" w:eastAsia="Palatino Linotype" w:hAnsi="Palatino Linotype"/>
        </w:rPr>
        <w:t xml:space="preserve"> </w:t>
      </w:r>
      <w:r w:rsidR="00D918F6" w:rsidRPr="0041265A">
        <w:rPr>
          <w:rFonts w:ascii="Palatino Linotype" w:eastAsia="Palatino Linotype" w:hAnsi="Palatino Linotype"/>
          <w:i/>
        </w:rPr>
        <w:t>Climatic Change</w:t>
      </w:r>
      <w:r w:rsidR="00D918F6" w:rsidRPr="0041265A">
        <w:rPr>
          <w:rFonts w:ascii="Palatino Linotype" w:eastAsia="Palatino Linotype" w:hAnsi="Palatino Linotype"/>
        </w:rPr>
        <w:t>, 2021/165, p. 1-10.</w:t>
      </w:r>
      <w:r w:rsidR="006C2CE2" w:rsidRPr="0041265A">
        <w:rPr>
          <w:rFonts w:ascii="Palatino Linotype" w:hAnsi="Palatino Linotype"/>
        </w:rPr>
        <w:t xml:space="preserve"> </w:t>
      </w:r>
    </w:p>
    <w:p w:rsidR="004A5781" w:rsidRPr="0041265A" w:rsidRDefault="004A5781" w:rsidP="00721A44">
      <w:pPr>
        <w:rPr>
          <w:rFonts w:ascii="Palatino Linotype" w:hAnsi="Palatino Linotype"/>
        </w:rPr>
      </w:pPr>
    </w:p>
    <w:p w:rsidR="00554B5C" w:rsidRPr="0041265A" w:rsidRDefault="00554B5C" w:rsidP="00721A44">
      <w:pPr>
        <w:pStyle w:val="ListParagraph"/>
        <w:widowControl w:val="0"/>
        <w:numPr>
          <w:ilvl w:val="0"/>
          <w:numId w:val="1"/>
        </w:numPr>
        <w:autoSpaceDE w:val="0"/>
        <w:autoSpaceDN w:val="0"/>
        <w:spacing w:before="118" w:after="240"/>
        <w:contextualSpacing w:val="0"/>
        <w:jc w:val="both"/>
        <w:outlineLvl w:val="1"/>
        <w:rPr>
          <w:rFonts w:ascii="Palatino Linotype" w:hAnsi="Palatino Linotype"/>
          <w:b/>
          <w:bCs/>
        </w:rPr>
      </w:pPr>
      <w:r w:rsidRPr="0041265A">
        <w:rPr>
          <w:rFonts w:ascii="Palatino Linotype" w:hAnsi="Palatino Linotype"/>
          <w:b/>
          <w:bCs/>
        </w:rPr>
        <w:t>Are there particular issues with getting access to the courts?</w:t>
      </w:r>
    </w:p>
    <w:p w:rsidR="00825430" w:rsidRDefault="00825430" w:rsidP="00825430">
      <w:pPr>
        <w:pStyle w:val="ListParagraph"/>
        <w:widowControl w:val="0"/>
        <w:numPr>
          <w:ilvl w:val="0"/>
          <w:numId w:val="3"/>
        </w:numPr>
        <w:autoSpaceDE w:val="0"/>
        <w:autoSpaceDN w:val="0"/>
        <w:spacing w:before="118" w:after="240"/>
        <w:jc w:val="both"/>
        <w:outlineLvl w:val="1"/>
        <w:rPr>
          <w:rFonts w:ascii="Palatino Linotype" w:hAnsi="Palatino Linotype"/>
        </w:rPr>
      </w:pPr>
      <w:r>
        <w:rPr>
          <w:rFonts w:ascii="Palatino Linotype" w:hAnsi="Palatino Linotype"/>
        </w:rPr>
        <w:t>In Switzerland, the law of the bar prohibits contingency fees. Consequently, there is no established pro bono culture among Swiss attorneys, which makes representation of plaintiffs from the Global South less attractive for lawyers.</w:t>
      </w:r>
    </w:p>
    <w:p w:rsidR="00554B5C" w:rsidRPr="004C7B06" w:rsidRDefault="00825430" w:rsidP="00721A44">
      <w:pPr>
        <w:pStyle w:val="ListParagraph"/>
        <w:widowControl w:val="0"/>
        <w:numPr>
          <w:ilvl w:val="0"/>
          <w:numId w:val="3"/>
        </w:numPr>
        <w:autoSpaceDE w:val="0"/>
        <w:autoSpaceDN w:val="0"/>
        <w:spacing w:before="118" w:after="240"/>
        <w:jc w:val="both"/>
        <w:outlineLvl w:val="1"/>
        <w:rPr>
          <w:rFonts w:ascii="Palatino Linotype" w:hAnsi="Palatino Linotype"/>
          <w:lang w:val="en-AU"/>
        </w:rPr>
      </w:pPr>
      <w:r>
        <w:rPr>
          <w:rFonts w:ascii="Palatino Linotype" w:hAnsi="Palatino Linotype"/>
          <w:lang w:val="en-AU"/>
        </w:rPr>
        <w:t xml:space="preserve">Access to justice: high court fees, </w:t>
      </w:r>
      <w:r w:rsidR="004C7B06">
        <w:rPr>
          <w:rFonts w:ascii="Palatino Linotype" w:hAnsi="Palatino Linotype"/>
          <w:lang w:val="en-AU"/>
        </w:rPr>
        <w:t>hard to access</w:t>
      </w:r>
      <w:r>
        <w:rPr>
          <w:rFonts w:ascii="Palatino Linotype" w:hAnsi="Palatino Linotype"/>
          <w:lang w:val="en-AU"/>
        </w:rPr>
        <w:t xml:space="preserve"> legal aid for plaintiffs from the Global South</w:t>
      </w:r>
      <w:r w:rsidR="004C7B06">
        <w:rPr>
          <w:rFonts w:ascii="Palatino Linotype" w:hAnsi="Palatino Linotype"/>
          <w:lang w:val="en-AU"/>
        </w:rPr>
        <w:t>, since they may not meet the requirements of having a bank account or tax declaration.</w:t>
      </w:r>
    </w:p>
    <w:p w:rsidR="000C6D4A" w:rsidRPr="0041265A" w:rsidRDefault="000C6D4A" w:rsidP="00721A44">
      <w:pPr>
        <w:rPr>
          <w:rFonts w:ascii="Palatino Linotype" w:hAnsi="Palatino Linotype"/>
        </w:rPr>
      </w:pPr>
    </w:p>
    <w:p w:rsidR="00554B5C" w:rsidRPr="0041265A" w:rsidRDefault="00980DD2" w:rsidP="00721A44">
      <w:pPr>
        <w:rPr>
          <w:rFonts w:ascii="Palatino Linotype" w:hAnsi="Palatino Linotype"/>
        </w:rPr>
      </w:pPr>
      <w:r w:rsidRPr="0041265A">
        <w:rPr>
          <w:rFonts w:ascii="Palatino Linotype" w:hAnsi="Palatino Linotype"/>
          <w:noProof/>
          <w:lang w:val="de-DE" w:eastAsia="de-DE"/>
        </w:rPr>
        <w:drawing>
          <wp:inline distT="0" distB="0" distL="0" distR="0" wp14:anchorId="17AB8CBB" wp14:editId="4935B079">
            <wp:extent cx="960533" cy="497510"/>
            <wp:effectExtent l="0" t="0" r="0" b="0"/>
            <wp:docPr id="7273707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4895" cy="499769"/>
                    </a:xfrm>
                    <a:prstGeom prst="rect">
                      <a:avLst/>
                    </a:prstGeom>
                    <a:noFill/>
                    <a:ln>
                      <a:noFill/>
                    </a:ln>
                  </pic:spPr>
                </pic:pic>
              </a:graphicData>
            </a:graphic>
          </wp:inline>
        </w:drawing>
      </w:r>
    </w:p>
    <w:p w:rsidR="008516DB" w:rsidRPr="0041265A" w:rsidRDefault="008516DB" w:rsidP="00721A44">
      <w:pPr>
        <w:rPr>
          <w:rFonts w:ascii="Palatino Linotype" w:hAnsi="Palatino Linotype"/>
        </w:rPr>
      </w:pPr>
      <w:r w:rsidRPr="0041265A">
        <w:rPr>
          <w:rFonts w:ascii="Palatino Linotype" w:hAnsi="Palatino Linotype"/>
        </w:rPr>
        <w:t xml:space="preserve">Dr. </w:t>
      </w:r>
      <w:proofErr w:type="spellStart"/>
      <w:r w:rsidRPr="0041265A">
        <w:rPr>
          <w:rFonts w:ascii="Palatino Linotype" w:hAnsi="Palatino Linotype"/>
        </w:rPr>
        <w:t>iur</w:t>
      </w:r>
      <w:proofErr w:type="spellEnd"/>
      <w:r w:rsidRPr="0041265A">
        <w:rPr>
          <w:rFonts w:ascii="Palatino Linotype" w:hAnsi="Palatino Linotype"/>
        </w:rPr>
        <w:t>. Nina Burri, Attorney-at-law</w:t>
      </w:r>
    </w:p>
    <w:p w:rsidR="008516DB" w:rsidRPr="0041265A" w:rsidRDefault="00554B5C" w:rsidP="00721A44">
      <w:pPr>
        <w:rPr>
          <w:rFonts w:ascii="Palatino Linotype" w:hAnsi="Palatino Linotype"/>
        </w:rPr>
      </w:pPr>
      <w:r w:rsidRPr="0041265A">
        <w:rPr>
          <w:rFonts w:ascii="Palatino Linotype" w:hAnsi="Palatino Linotype"/>
        </w:rPr>
        <w:t xml:space="preserve">HEKS, </w:t>
      </w:r>
      <w:r w:rsidR="008516DB" w:rsidRPr="0041265A">
        <w:rPr>
          <w:rFonts w:ascii="Palatino Linotype" w:hAnsi="Palatino Linotype"/>
        </w:rPr>
        <w:t>Legal Advisor on Business and Human Rights</w:t>
      </w:r>
      <w:r w:rsidR="00766827">
        <w:rPr>
          <w:rFonts w:ascii="Palatino Linotype" w:hAnsi="Palatino Linotype"/>
        </w:rPr>
        <w:t xml:space="preserve">, </w:t>
      </w:r>
      <w:r w:rsidR="00C21136">
        <w:rPr>
          <w:rFonts w:ascii="Palatino Linotype" w:hAnsi="Palatino Linotype"/>
        </w:rPr>
        <w:t xml:space="preserve">also </w:t>
      </w:r>
      <w:r w:rsidR="00766827">
        <w:rPr>
          <w:rFonts w:ascii="Palatino Linotype" w:hAnsi="Palatino Linotype"/>
        </w:rPr>
        <w:t>on behalf of ECCHR and WALHI</w:t>
      </w:r>
      <w:r w:rsidRPr="0041265A">
        <w:rPr>
          <w:rFonts w:ascii="Palatino Linotype" w:hAnsi="Palatino Linotype"/>
        </w:rPr>
        <w:tab/>
      </w:r>
      <w:r w:rsidRPr="0041265A">
        <w:rPr>
          <w:rFonts w:ascii="Palatino Linotype" w:hAnsi="Palatino Linotype"/>
        </w:rPr>
        <w:tab/>
      </w:r>
      <w:r w:rsidRPr="0041265A">
        <w:rPr>
          <w:rFonts w:ascii="Palatino Linotype" w:hAnsi="Palatino Linotype"/>
        </w:rPr>
        <w:tab/>
      </w:r>
      <w:r w:rsidRPr="0041265A">
        <w:rPr>
          <w:rFonts w:ascii="Palatino Linotype" w:hAnsi="Palatino Linotype"/>
        </w:rPr>
        <w:tab/>
      </w:r>
    </w:p>
    <w:p w:rsidR="008516DB" w:rsidRPr="0041265A" w:rsidRDefault="008516DB" w:rsidP="00721A44">
      <w:pPr>
        <w:rPr>
          <w:rFonts w:ascii="Palatino Linotype" w:hAnsi="Palatino Linotype"/>
        </w:rPr>
      </w:pPr>
    </w:p>
    <w:p w:rsidR="00554B5C" w:rsidRPr="0041265A" w:rsidRDefault="00554B5C" w:rsidP="00721A44">
      <w:pPr>
        <w:rPr>
          <w:rFonts w:ascii="Palatino Linotype" w:hAnsi="Palatino Linotype"/>
        </w:rPr>
      </w:pPr>
    </w:p>
    <w:sectPr w:rsidR="00554B5C" w:rsidRPr="0041265A" w:rsidSect="00656423">
      <w:headerReference w:type="default" r:id="rId14"/>
      <w:footerReference w:type="default" r:id="rId15"/>
      <w:foot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664B" w:rsidRDefault="00F6664B" w:rsidP="00554B5C">
      <w:r>
        <w:separator/>
      </w:r>
    </w:p>
  </w:endnote>
  <w:endnote w:type="continuationSeparator" w:id="0">
    <w:p w:rsidR="00F6664B" w:rsidRDefault="00F6664B" w:rsidP="0055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731909"/>
      <w:docPartObj>
        <w:docPartGallery w:val="Page Numbers (Bottom of Page)"/>
        <w:docPartUnique/>
      </w:docPartObj>
    </w:sdtPr>
    <w:sdtEndPr/>
    <w:sdtContent>
      <w:p w:rsidR="001C37DE" w:rsidRDefault="001C37DE">
        <w:pPr>
          <w:pStyle w:val="Footer"/>
          <w:jc w:val="right"/>
        </w:pPr>
        <w:r>
          <w:fldChar w:fldCharType="begin"/>
        </w:r>
        <w:r>
          <w:instrText>PAGE   \* MERGEFORMAT</w:instrText>
        </w:r>
        <w:r>
          <w:fldChar w:fldCharType="separate"/>
        </w:r>
        <w:r w:rsidR="00E1275A" w:rsidRPr="00E1275A">
          <w:rPr>
            <w:noProof/>
            <w:lang w:val="de-DE"/>
          </w:rPr>
          <w:t>3</w:t>
        </w:r>
        <w:r>
          <w:fldChar w:fldCharType="end"/>
        </w:r>
      </w:p>
    </w:sdtContent>
  </w:sdt>
  <w:p w:rsidR="000D44ED" w:rsidRDefault="00F6664B"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521594"/>
      <w:docPartObj>
        <w:docPartGallery w:val="Page Numbers (Bottom of Page)"/>
        <w:docPartUnique/>
      </w:docPartObj>
    </w:sdtPr>
    <w:sdtEndPr/>
    <w:sdtContent>
      <w:p w:rsidR="00980DD2" w:rsidRDefault="00980DD2">
        <w:pPr>
          <w:pStyle w:val="Footer"/>
          <w:jc w:val="right"/>
        </w:pPr>
        <w:r>
          <w:fldChar w:fldCharType="begin"/>
        </w:r>
        <w:r>
          <w:instrText>PAGE   \* MERGEFORMAT</w:instrText>
        </w:r>
        <w:r>
          <w:fldChar w:fldCharType="separate"/>
        </w:r>
        <w:r w:rsidR="009F5280" w:rsidRPr="009F5280">
          <w:rPr>
            <w:noProof/>
            <w:lang w:val="de-DE"/>
          </w:rPr>
          <w:t>1</w:t>
        </w:r>
        <w:r>
          <w:fldChar w:fldCharType="end"/>
        </w:r>
      </w:p>
    </w:sdtContent>
  </w:sdt>
  <w:p w:rsidR="00C17B65" w:rsidRPr="002873B2" w:rsidRDefault="00F6664B"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664B" w:rsidRDefault="00F6664B" w:rsidP="00554B5C">
      <w:r>
        <w:separator/>
      </w:r>
    </w:p>
  </w:footnote>
  <w:footnote w:type="continuationSeparator" w:id="0">
    <w:p w:rsidR="00F6664B" w:rsidRDefault="00F6664B" w:rsidP="0055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Pr="00AD4CA9" w:rsidRDefault="00F6664B" w:rsidP="00656423">
    <w:pPr>
      <w:pStyle w:val="Header"/>
      <w:tabs>
        <w:tab w:val="clear" w:pos="4153"/>
        <w:tab w:val="clear" w:pos="8306"/>
        <w:tab w:val="right" w:pos="9214"/>
      </w:tabs>
      <w:spacing w:before="360" w:after="840"/>
      <w:jc w:val="right"/>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479"/>
    <w:multiLevelType w:val="hybridMultilevel"/>
    <w:tmpl w:val="68480D98"/>
    <w:lvl w:ilvl="0" w:tplc="540A76A8">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867EF1"/>
    <w:multiLevelType w:val="hybridMultilevel"/>
    <w:tmpl w:val="F5568CA0"/>
    <w:lvl w:ilvl="0" w:tplc="FDC64DC6">
      <w:start w:val="28"/>
      <w:numFmt w:val="bullet"/>
      <w:lvlText w:val="-"/>
      <w:lvlJc w:val="left"/>
      <w:pPr>
        <w:ind w:left="720" w:hanging="360"/>
      </w:pPr>
      <w:rPr>
        <w:rFonts w:ascii="Palatino Linotype" w:eastAsia="Times New Roman" w:hAnsi="Palatino Linotype"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75989883">
    <w:abstractNumId w:val="1"/>
  </w:num>
  <w:num w:numId="2" w16cid:durableId="258875666">
    <w:abstractNumId w:val="2"/>
  </w:num>
  <w:num w:numId="3" w16cid:durableId="61892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5C"/>
    <w:rsid w:val="00044FD9"/>
    <w:rsid w:val="000C6D4A"/>
    <w:rsid w:val="000D7E6F"/>
    <w:rsid w:val="00132074"/>
    <w:rsid w:val="001475F1"/>
    <w:rsid w:val="0017446F"/>
    <w:rsid w:val="001C37DE"/>
    <w:rsid w:val="001D53D8"/>
    <w:rsid w:val="001F5B32"/>
    <w:rsid w:val="00202BE8"/>
    <w:rsid w:val="00271601"/>
    <w:rsid w:val="002A6179"/>
    <w:rsid w:val="002E698C"/>
    <w:rsid w:val="00320E7C"/>
    <w:rsid w:val="00361C04"/>
    <w:rsid w:val="00362157"/>
    <w:rsid w:val="003E3D97"/>
    <w:rsid w:val="004010A3"/>
    <w:rsid w:val="0041265A"/>
    <w:rsid w:val="00420788"/>
    <w:rsid w:val="00446063"/>
    <w:rsid w:val="004A5781"/>
    <w:rsid w:val="004C7B06"/>
    <w:rsid w:val="004D4B51"/>
    <w:rsid w:val="004F7417"/>
    <w:rsid w:val="00522EE0"/>
    <w:rsid w:val="00554B5C"/>
    <w:rsid w:val="0055714E"/>
    <w:rsid w:val="005850DB"/>
    <w:rsid w:val="0060178C"/>
    <w:rsid w:val="00637BA8"/>
    <w:rsid w:val="00670D27"/>
    <w:rsid w:val="006B7F9A"/>
    <w:rsid w:val="006C2CE2"/>
    <w:rsid w:val="00721A44"/>
    <w:rsid w:val="00766827"/>
    <w:rsid w:val="007967F3"/>
    <w:rsid w:val="007F6D50"/>
    <w:rsid w:val="008110CC"/>
    <w:rsid w:val="00816C14"/>
    <w:rsid w:val="00821A9F"/>
    <w:rsid w:val="00825430"/>
    <w:rsid w:val="008516DB"/>
    <w:rsid w:val="00890640"/>
    <w:rsid w:val="00902B63"/>
    <w:rsid w:val="00913FB5"/>
    <w:rsid w:val="009646BA"/>
    <w:rsid w:val="00980DD2"/>
    <w:rsid w:val="00987E18"/>
    <w:rsid w:val="009945E5"/>
    <w:rsid w:val="009D283A"/>
    <w:rsid w:val="009F5280"/>
    <w:rsid w:val="009F7213"/>
    <w:rsid w:val="00A1770D"/>
    <w:rsid w:val="00A22B37"/>
    <w:rsid w:val="00A31BF5"/>
    <w:rsid w:val="00A504D2"/>
    <w:rsid w:val="00A648C0"/>
    <w:rsid w:val="00A673AB"/>
    <w:rsid w:val="00AA208F"/>
    <w:rsid w:val="00AB17A5"/>
    <w:rsid w:val="00B04F50"/>
    <w:rsid w:val="00B0750A"/>
    <w:rsid w:val="00C13092"/>
    <w:rsid w:val="00C21136"/>
    <w:rsid w:val="00CC0EBE"/>
    <w:rsid w:val="00D01300"/>
    <w:rsid w:val="00D111E3"/>
    <w:rsid w:val="00D12E99"/>
    <w:rsid w:val="00D66E0E"/>
    <w:rsid w:val="00D918F6"/>
    <w:rsid w:val="00E1275A"/>
    <w:rsid w:val="00EF1B74"/>
    <w:rsid w:val="00EF7478"/>
    <w:rsid w:val="00F11F6D"/>
    <w:rsid w:val="00F607EC"/>
    <w:rsid w:val="00F61AEF"/>
    <w:rsid w:val="00F666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0E9D"/>
  <w15:chartTrackingRefBased/>
  <w15:docId w15:val="{34637D32-222E-4BD8-985B-DF529125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5C"/>
    <w:pPr>
      <w:spacing w:after="0" w:line="240" w:lineRule="auto"/>
    </w:pPr>
    <w:rPr>
      <w:rFonts w:ascii="Times New Roman" w:eastAsia="Times New Roman" w:hAnsi="Times New Roman" w:cs="Times New Roman"/>
      <w:kern w:val="0"/>
      <w:sz w:val="2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B5C"/>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554B5C"/>
    <w:rPr>
      <w:rFonts w:ascii="Times New Roman" w:eastAsia="Times New Roman" w:hAnsi="Times New Roman" w:cs="Times New Roman"/>
      <w:snapToGrid w:val="0"/>
      <w:kern w:val="0"/>
      <w:sz w:val="20"/>
      <w:szCs w:val="20"/>
      <w:lang w:val="en-AU"/>
      <w14:ligatures w14:val="none"/>
    </w:rPr>
  </w:style>
  <w:style w:type="paragraph" w:styleId="Footer">
    <w:name w:val="footer"/>
    <w:basedOn w:val="Normal"/>
    <w:link w:val="FooterChar"/>
    <w:uiPriority w:val="99"/>
    <w:rsid w:val="00554B5C"/>
    <w:pPr>
      <w:tabs>
        <w:tab w:val="center" w:pos="4153"/>
        <w:tab w:val="right" w:pos="8306"/>
      </w:tabs>
    </w:pPr>
  </w:style>
  <w:style w:type="character" w:customStyle="1" w:styleId="FooterChar">
    <w:name w:val="Footer Char"/>
    <w:basedOn w:val="DefaultParagraphFont"/>
    <w:link w:val="Footer"/>
    <w:uiPriority w:val="99"/>
    <w:rsid w:val="00554B5C"/>
    <w:rPr>
      <w:rFonts w:ascii="Times New Roman" w:eastAsia="Times New Roman" w:hAnsi="Times New Roman" w:cs="Times New Roman"/>
      <w:kern w:val="0"/>
      <w:sz w:val="20"/>
      <w:szCs w:val="20"/>
      <w:lang w:val="en-GB"/>
      <w14:ligatures w14:val="none"/>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f"/>
    <w:link w:val="BVIfnrCharCharCharCharCharCharCharZchnCharCharCharCharCharChar"/>
    <w:qFormat/>
    <w:rsid w:val="00554B5C"/>
    <w:rPr>
      <w:rFonts w:cs="Times New Roman"/>
      <w:vertAlign w:val="superscript"/>
    </w:rPr>
  </w:style>
  <w:style w:type="character" w:styleId="Hyperlink">
    <w:name w:val="Hyperlink"/>
    <w:rsid w:val="00554B5C"/>
    <w:rPr>
      <w:color w:val="0000FF"/>
      <w:u w:val="single"/>
    </w:rPr>
  </w:style>
  <w:style w:type="paragraph" w:styleId="ListParagraph">
    <w:name w:val="List Paragraph"/>
    <w:basedOn w:val="Normal"/>
    <w:uiPriority w:val="34"/>
    <w:qFormat/>
    <w:rsid w:val="00554B5C"/>
    <w:pPr>
      <w:ind w:left="720"/>
      <w:contextualSpacing/>
    </w:pPr>
  </w:style>
  <w:style w:type="paragraph" w:customStyle="1" w:styleId="Default">
    <w:name w:val="Default"/>
    <w:rsid w:val="00554B5C"/>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14:ligatures w14:val="none"/>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554B5C"/>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554B5C"/>
    <w:rPr>
      <w:rFonts w:ascii="Times New Roman" w:eastAsia="Times New Roman" w:hAnsi="Times New Roman" w:cs="Times New Roman"/>
      <w:kern w:val="0"/>
      <w:sz w:val="18"/>
      <w:szCs w:val="20"/>
      <w:lang w:val="en-GB"/>
      <w14:ligatures w14:val="none"/>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554B5C"/>
    <w:pPr>
      <w:spacing w:after="160" w:line="240" w:lineRule="exact"/>
    </w:pPr>
    <w:rPr>
      <w:rFonts w:asciiTheme="minorHAnsi" w:eastAsiaTheme="minorHAnsi" w:hAnsiTheme="minorHAnsi"/>
      <w:kern w:val="2"/>
      <w:sz w:val="22"/>
      <w:szCs w:val="22"/>
      <w:vertAlign w:val="superscript"/>
      <w:lang w:val="de-CH"/>
      <w14:ligatures w14:val="standardContextual"/>
    </w:rPr>
  </w:style>
  <w:style w:type="character" w:styleId="CommentReference">
    <w:name w:val="annotation reference"/>
    <w:basedOn w:val="DefaultParagraphFont"/>
    <w:uiPriority w:val="99"/>
    <w:semiHidden/>
    <w:unhideWhenUsed/>
    <w:rsid w:val="00554B5C"/>
    <w:rPr>
      <w:sz w:val="16"/>
      <w:szCs w:val="16"/>
    </w:rPr>
  </w:style>
  <w:style w:type="paragraph" w:styleId="CommentText">
    <w:name w:val="annotation text"/>
    <w:basedOn w:val="Normal"/>
    <w:link w:val="CommentTextChar"/>
    <w:uiPriority w:val="99"/>
    <w:unhideWhenUsed/>
    <w:rsid w:val="00554B5C"/>
  </w:style>
  <w:style w:type="character" w:customStyle="1" w:styleId="CommentTextChar">
    <w:name w:val="Comment Text Char"/>
    <w:basedOn w:val="DefaultParagraphFont"/>
    <w:link w:val="CommentText"/>
    <w:uiPriority w:val="99"/>
    <w:rsid w:val="00554B5C"/>
    <w:rPr>
      <w:rFonts w:ascii="Times New Roman" w:eastAsia="Times New Roman" w:hAnsi="Times New Roman" w:cs="Times New Roman"/>
      <w:kern w:val="0"/>
      <w:sz w:val="20"/>
      <w:szCs w:val="20"/>
      <w:lang w:val="en-GB"/>
      <w14:ligatures w14:val="none"/>
    </w:rPr>
  </w:style>
  <w:style w:type="character" w:customStyle="1" w:styleId="NichtaufgelsteErwhnung1">
    <w:name w:val="Nicht aufgelöste Erwähnung1"/>
    <w:basedOn w:val="DefaultParagraphFont"/>
    <w:uiPriority w:val="99"/>
    <w:semiHidden/>
    <w:unhideWhenUsed/>
    <w:rsid w:val="001F5B32"/>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6C2CE2"/>
    <w:pPr>
      <w:jc w:val="both"/>
    </w:pPr>
    <w:rPr>
      <w:rFonts w:ascii="Calibri" w:eastAsia="Calibri" w:hAnsi="Calibri" w:cs="Calibri"/>
      <w:sz w:val="22"/>
      <w:szCs w:val="22"/>
      <w:vertAlign w:val="superscript"/>
      <w:lang w:eastAsia="de-DE"/>
    </w:rPr>
  </w:style>
  <w:style w:type="paragraph" w:styleId="CommentSubject">
    <w:name w:val="annotation subject"/>
    <w:basedOn w:val="CommentText"/>
    <w:next w:val="CommentText"/>
    <w:link w:val="CommentSubjectChar"/>
    <w:uiPriority w:val="99"/>
    <w:semiHidden/>
    <w:unhideWhenUsed/>
    <w:rsid w:val="00132074"/>
    <w:rPr>
      <w:b/>
      <w:bCs/>
    </w:rPr>
  </w:style>
  <w:style w:type="character" w:customStyle="1" w:styleId="CommentSubjectChar">
    <w:name w:val="Comment Subject Char"/>
    <w:basedOn w:val="CommentTextChar"/>
    <w:link w:val="CommentSubject"/>
    <w:uiPriority w:val="99"/>
    <w:semiHidden/>
    <w:rsid w:val="00132074"/>
    <w:rPr>
      <w:rFonts w:ascii="Times New Roman" w:eastAsia="Times New Roman" w:hAnsi="Times New Roman" w:cs="Times New Roman"/>
      <w:b/>
      <w:bCs/>
      <w:kern w:val="0"/>
      <w:sz w:val="20"/>
      <w:szCs w:val="20"/>
      <w:lang w:val="en-GB"/>
      <w14:ligatures w14:val="none"/>
    </w:rPr>
  </w:style>
  <w:style w:type="paragraph" w:styleId="BalloonText">
    <w:name w:val="Balloon Text"/>
    <w:basedOn w:val="Normal"/>
    <w:link w:val="BalloonTextChar"/>
    <w:uiPriority w:val="99"/>
    <w:semiHidden/>
    <w:unhideWhenUsed/>
    <w:rsid w:val="00AA2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08F"/>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nk.springer.com/article/10.1007/s10584-021-0306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lforclimatejustice.org/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a20656-9526-423c-a4d1-56b2e6f6a15d">
      <Terms xmlns="http://schemas.microsoft.com/office/infopath/2007/PartnerControls"/>
    </lcf76f155ced4ddcb4097134ff3c332f>
    <TaxCatchAll xmlns="6ad94d94-24a8-4d18-8e04-8663a664cf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73D66759076243BA41EF820626E111" ma:contentTypeVersion="20" ma:contentTypeDescription="Create a new document." ma:contentTypeScope="" ma:versionID="96383b60048890d9689b4b5b2b202616">
  <xsd:schema xmlns:xsd="http://www.w3.org/2001/XMLSchema" xmlns:xs="http://www.w3.org/2001/XMLSchema" xmlns:p="http://schemas.microsoft.com/office/2006/metadata/properties" xmlns:ns2="9fa20656-9526-423c-a4d1-56b2e6f6a15d" xmlns:ns3="6ad94d94-24a8-4d18-8e04-8663a664cf43" targetNamespace="http://schemas.microsoft.com/office/2006/metadata/properties" ma:root="true" ma:fieldsID="1e0f7f9a7e2d30bd173b260a570d2b8b" ns2:_="" ns3:_="">
    <xsd:import namespace="9fa20656-9526-423c-a4d1-56b2e6f6a15d"/>
    <xsd:import namespace="6ad94d94-24a8-4d18-8e04-8663a664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20656-9526-423c-a4d1-56b2e6f6a15d"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Location" ma:index="11" nillable="true" ma:displayName="Location" ma:internalName="MediaServiceLocatio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description=""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d94d94-24a8-4d18-8e04-8663a664cf43"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4c321e-3741-438b-bf54-10bc37decfa9}" ma:internalName="TaxCatchAll" ma:showField="CatchAllData" ma:web="6ad94d94-24a8-4d18-8e04-8663a664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A4B7B-8931-49AE-AEF8-9CC1F745954D}">
  <ds:schemaRefs>
    <ds:schemaRef ds:uri="http://schemas.microsoft.com/sharepoint/v3/contenttype/forms"/>
  </ds:schemaRefs>
</ds:datastoreItem>
</file>

<file path=customXml/itemProps2.xml><?xml version="1.0" encoding="utf-8"?>
<ds:datastoreItem xmlns:ds="http://schemas.openxmlformats.org/officeDocument/2006/customXml" ds:itemID="{66F9A211-4450-4025-BBC2-C0D7E4B8B51F}">
  <ds:schemaRefs>
    <ds:schemaRef ds:uri="http://schemas.microsoft.com/office/2006/metadata/properties"/>
    <ds:schemaRef ds:uri="http://schemas.microsoft.com/office/infopath/2007/PartnerControls"/>
    <ds:schemaRef ds:uri="9fa20656-9526-423c-a4d1-56b2e6f6a15d"/>
    <ds:schemaRef ds:uri="6ad94d94-24a8-4d18-8e04-8663a664cf43"/>
  </ds:schemaRefs>
</ds:datastoreItem>
</file>

<file path=customXml/itemProps3.xml><?xml version="1.0" encoding="utf-8"?>
<ds:datastoreItem xmlns:ds="http://schemas.openxmlformats.org/officeDocument/2006/customXml" ds:itemID="{CC7157F0-68D2-4E53-BF20-635080924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20656-9526-423c-a4d1-56b2e6f6a15d"/>
    <ds:schemaRef ds:uri="6ad94d94-24a8-4d18-8e04-8663a664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1847</Words>
  <Characters>10528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Burri</dc:creator>
  <cp:keywords/>
  <dc:description/>
  <cp:lastModifiedBy>BOURQUE Frederique</cp:lastModifiedBy>
  <cp:revision>1</cp:revision>
  <dcterms:created xsi:type="dcterms:W3CDTF">2023-07-03T15:35:00Z</dcterms:created>
  <dcterms:modified xsi:type="dcterms:W3CDTF">2023-07-03T15:35:00Z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0x0101009F73D66759076243BA41EF820626E111</vt:lpwstr>
  </property>
</Properties>
</file>