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592" w:rsidRDefault="00F319A6">
      <w:pPr>
        <w:spacing w:before="56"/>
        <w:rPr>
          <w:rFonts w:eastAsia="Arial" w:cs="Arial"/>
          <w:color w:val="404042"/>
        </w:rPr>
      </w:pPr>
      <w:r>
        <w:rPr>
          <w:noProof/>
          <w:color w:val="404042"/>
        </w:rPr>
        <w:drawing>
          <wp:anchor distT="114300" distB="114300" distL="114300" distR="114300" simplePos="0" relativeHeight="251658240" behindDoc="0" locked="0" layoutInCell="1" hidden="0" allowOverlap="1" wp14:anchorId="545CCC27" wp14:editId="0710D9A0">
            <wp:simplePos x="0" y="0"/>
            <wp:positionH relativeFrom="page">
              <wp:posOffset>276225</wp:posOffset>
            </wp:positionH>
            <wp:positionV relativeFrom="page">
              <wp:posOffset>714375</wp:posOffset>
            </wp:positionV>
            <wp:extent cx="1060704" cy="9782175"/>
            <wp:effectExtent l="0" t="0" r="0" b="0"/>
            <wp:wrapNone/>
            <wp:docPr id="247" name="image1.pn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0"/>
                    <a:srcRect l="25261" t="10142"/>
                    <a:stretch>
                      <a:fillRect/>
                    </a:stretch>
                  </pic:blipFill>
                  <pic:spPr>
                    <a:xfrm>
                      <a:off x="0" y="0"/>
                      <a:ext cx="1060704" cy="9782175"/>
                    </a:xfrm>
                    <a:prstGeom prst="rect">
                      <a:avLst/>
                    </a:prstGeom>
                    <a:ln/>
                  </pic:spPr>
                </pic:pic>
              </a:graphicData>
            </a:graphic>
          </wp:anchor>
        </w:drawing>
      </w:r>
      <w:r>
        <w:rPr>
          <w:noProof/>
          <w:color w:val="404042"/>
        </w:rPr>
        <mc:AlternateContent>
          <mc:Choice Requires="wps">
            <w:drawing>
              <wp:anchor distT="45720" distB="45720" distL="114300" distR="114300" simplePos="0" relativeHeight="251659264" behindDoc="0" locked="0" layoutInCell="1" hidden="0" allowOverlap="1" wp14:anchorId="2C79805B" wp14:editId="4C3DE37F">
                <wp:simplePos x="0" y="0"/>
                <wp:positionH relativeFrom="page">
                  <wp:align>left</wp:align>
                </wp:positionH>
                <wp:positionV relativeFrom="margin">
                  <wp:align>top</wp:align>
                </wp:positionV>
                <wp:extent cx="1345565" cy="9531350"/>
                <wp:effectExtent l="0" t="0" r="0" b="0"/>
                <wp:wrapSquare wrapText="bothSides" distT="45720" distB="45720" distL="114300" distR="114300"/>
                <wp:docPr id="242" name="Rectangle 242"/>
                <wp:cNvGraphicFramePr/>
                <a:graphic xmlns:a="http://schemas.openxmlformats.org/drawingml/2006/main">
                  <a:graphicData uri="http://schemas.microsoft.com/office/word/2010/wordprocessingShape">
                    <wps:wsp>
                      <wps:cNvSpPr/>
                      <wps:spPr>
                        <a:xfrm>
                          <a:off x="4692268" y="0"/>
                          <a:ext cx="1307465" cy="7560000"/>
                        </a:xfrm>
                        <a:prstGeom prst="rect">
                          <a:avLst/>
                        </a:prstGeom>
                        <a:noFill/>
                        <a:ln>
                          <a:noFill/>
                        </a:ln>
                      </wps:spPr>
                      <wps:txbx>
                        <w:txbxContent>
                          <w:p w:rsidR="00203592" w:rsidRDefault="0020359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C79805B" id="Rectangle 242" o:spid="_x0000_s1026" style="position:absolute;margin-left:0;margin-top:0;width:105.95pt;height:750.5pt;z-index:251659264;visibility:visible;mso-wrap-style:square;mso-wrap-distance-left:9pt;mso-wrap-distance-top:3.6pt;mso-wrap-distance-right:9pt;mso-wrap-distance-bottom:3.6pt;mso-position-horizontal:left;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" filled="f" stroked="f">
                <v:textbox inset="2.53958mm,1.2694mm,2.53958mm,1.2694mm">
                  <w:txbxContent>
                    <w:p w:rsidR="00203592" w:rsidRDefault="00203592">
                      <w:pPr>
                        <w:spacing w:line="258" w:lineRule="auto"/>
                        <w:textDirection w:val="btLr"/>
                      </w:pPr>
                    </w:p>
                  </w:txbxContent>
                </v:textbox>
                <w10:wrap type="square" anchorx="page" anchory="margin"/>
              </v:rect>
            </w:pict>
          </mc:Fallback>
        </mc:AlternateContent>
      </w:r>
    </w:p>
    <w:p w:rsidR="00203592" w:rsidRDefault="00203592">
      <w:pPr>
        <w:spacing w:before="56"/>
        <w:rPr>
          <w:rFonts w:eastAsia="Arial" w:cs="Arial"/>
        </w:rPr>
      </w:pPr>
    </w:p>
    <w:p w:rsidR="00203592" w:rsidRDefault="00203592">
      <w:pPr>
        <w:pBdr>
          <w:top w:val="nil"/>
          <w:left w:val="nil"/>
          <w:bottom w:val="nil"/>
          <w:right w:val="nil"/>
          <w:between w:val="nil"/>
        </w:pBdr>
        <w:tabs>
          <w:tab w:val="left" w:pos="128"/>
          <w:tab w:val="left" w:pos="198"/>
        </w:tabs>
        <w:spacing w:after="0"/>
        <w:rPr>
          <w:rFonts w:eastAsia="Arial" w:cs="Arial"/>
        </w:rPr>
      </w:pPr>
      <w:bookmarkStart w:id="0" w:name="_heading=h.gjdgxs" w:colFirst="0" w:colLast="0"/>
      <w:bookmarkEnd w:id="0"/>
    </w:p>
    <w:p w:rsidR="00203592" w:rsidRDefault="00203592">
      <w:pPr>
        <w:pBdr>
          <w:top w:val="nil"/>
          <w:left w:val="nil"/>
          <w:bottom w:val="nil"/>
          <w:right w:val="nil"/>
          <w:between w:val="nil"/>
        </w:pBdr>
        <w:tabs>
          <w:tab w:val="left" w:pos="128"/>
          <w:tab w:val="left" w:pos="198"/>
        </w:tabs>
        <w:spacing w:after="0"/>
        <w:rPr>
          <w:rFonts w:eastAsia="Arial" w:cs="Arial"/>
        </w:rPr>
      </w:pPr>
      <w:bookmarkStart w:id="1" w:name="_heading=h.nbhfnfzetnlk" w:colFirst="0" w:colLast="0"/>
      <w:bookmarkEnd w:id="1"/>
    </w:p>
    <w:p w:rsidR="00203592" w:rsidRDefault="00203592">
      <w:pPr>
        <w:pBdr>
          <w:top w:val="nil"/>
          <w:left w:val="nil"/>
          <w:bottom w:val="nil"/>
          <w:right w:val="nil"/>
          <w:between w:val="nil"/>
        </w:pBdr>
        <w:tabs>
          <w:tab w:val="left" w:pos="128"/>
          <w:tab w:val="left" w:pos="198"/>
        </w:tabs>
        <w:spacing w:after="0"/>
        <w:ind w:left="3118" w:right="2031"/>
        <w:jc w:val="center"/>
        <w:rPr>
          <w:rFonts w:eastAsia="Arial" w:cs="Arial"/>
          <w:b/>
          <w:sz w:val="36"/>
          <w:szCs w:val="36"/>
        </w:rPr>
      </w:pPr>
      <w:bookmarkStart w:id="2" w:name="_heading=h.qeb0b9n4f9ou" w:colFirst="0" w:colLast="0"/>
      <w:bookmarkEnd w:id="2"/>
    </w:p>
    <w:p w:rsidR="00203592" w:rsidRDefault="00203592">
      <w:pPr>
        <w:pBdr>
          <w:top w:val="nil"/>
          <w:left w:val="nil"/>
          <w:bottom w:val="nil"/>
          <w:right w:val="nil"/>
          <w:between w:val="nil"/>
        </w:pBdr>
        <w:tabs>
          <w:tab w:val="left" w:pos="128"/>
          <w:tab w:val="left" w:pos="198"/>
        </w:tabs>
        <w:spacing w:after="0"/>
        <w:ind w:left="3118" w:right="2031"/>
        <w:jc w:val="center"/>
        <w:rPr>
          <w:rFonts w:eastAsia="Arial" w:cs="Arial"/>
          <w:b/>
          <w:sz w:val="36"/>
          <w:szCs w:val="36"/>
        </w:rPr>
      </w:pPr>
      <w:bookmarkStart w:id="3" w:name="_heading=h.2davp1rp058z" w:colFirst="0" w:colLast="0"/>
      <w:bookmarkEnd w:id="3"/>
    </w:p>
    <w:p w:rsidR="00203592" w:rsidRDefault="00203592">
      <w:pPr>
        <w:pBdr>
          <w:top w:val="nil"/>
          <w:left w:val="nil"/>
          <w:bottom w:val="nil"/>
          <w:right w:val="nil"/>
          <w:between w:val="nil"/>
        </w:pBdr>
        <w:tabs>
          <w:tab w:val="left" w:pos="128"/>
          <w:tab w:val="left" w:pos="198"/>
        </w:tabs>
        <w:spacing w:after="0"/>
        <w:ind w:left="3118" w:right="2031"/>
        <w:jc w:val="center"/>
        <w:rPr>
          <w:rFonts w:eastAsia="Arial" w:cs="Arial"/>
          <w:b/>
          <w:sz w:val="36"/>
          <w:szCs w:val="36"/>
        </w:rPr>
      </w:pPr>
      <w:bookmarkStart w:id="4" w:name="_heading=h.y1s562z278kz" w:colFirst="0" w:colLast="0"/>
      <w:bookmarkEnd w:id="4"/>
    </w:p>
    <w:p w:rsidR="00203592" w:rsidRDefault="00203592">
      <w:pPr>
        <w:pBdr>
          <w:top w:val="nil"/>
          <w:left w:val="nil"/>
          <w:bottom w:val="nil"/>
          <w:right w:val="nil"/>
          <w:between w:val="nil"/>
        </w:pBdr>
        <w:tabs>
          <w:tab w:val="left" w:pos="128"/>
          <w:tab w:val="left" w:pos="198"/>
        </w:tabs>
        <w:spacing w:after="0"/>
        <w:ind w:left="3118" w:right="2031"/>
        <w:jc w:val="center"/>
        <w:rPr>
          <w:rFonts w:eastAsia="Arial" w:cs="Arial"/>
          <w:b/>
          <w:sz w:val="36"/>
          <w:szCs w:val="36"/>
        </w:rPr>
      </w:pPr>
      <w:bookmarkStart w:id="5" w:name="_heading=h.rdqwarrphmne" w:colFirst="0" w:colLast="0"/>
      <w:bookmarkEnd w:id="5"/>
    </w:p>
    <w:p w:rsidR="00203592" w:rsidRDefault="00F319A6">
      <w:pPr>
        <w:pBdr>
          <w:top w:val="nil"/>
          <w:left w:val="nil"/>
          <w:bottom w:val="nil"/>
          <w:right w:val="nil"/>
          <w:between w:val="nil"/>
        </w:pBdr>
        <w:tabs>
          <w:tab w:val="left" w:pos="128"/>
          <w:tab w:val="left" w:pos="198"/>
        </w:tabs>
        <w:spacing w:after="0"/>
        <w:ind w:left="2551" w:right="2456"/>
        <w:jc w:val="center"/>
        <w:rPr>
          <w:rFonts w:eastAsia="Arial" w:cs="Arial"/>
          <w:sz w:val="36"/>
          <w:szCs w:val="36"/>
        </w:rPr>
      </w:pPr>
      <w:bookmarkStart w:id="6" w:name="_heading=h.5fjfgyebjr3x" w:colFirst="0" w:colLast="0"/>
      <w:bookmarkEnd w:id="6"/>
      <w:r>
        <w:rPr>
          <w:rFonts w:eastAsia="Arial" w:cs="Arial"/>
          <w:b/>
          <w:sz w:val="36"/>
          <w:szCs w:val="36"/>
        </w:rPr>
        <w:t xml:space="preserve">NSWCCL SUBMISSION </w:t>
      </w:r>
    </w:p>
    <w:p w:rsidR="00203592" w:rsidRDefault="00203592">
      <w:pPr>
        <w:widowControl w:val="0"/>
        <w:spacing w:after="200" w:line="274" w:lineRule="auto"/>
        <w:ind w:left="2551" w:right="2456"/>
        <w:jc w:val="center"/>
        <w:rPr>
          <w:rFonts w:eastAsia="Arial" w:cs="Arial"/>
          <w:sz w:val="36"/>
          <w:szCs w:val="36"/>
        </w:rPr>
      </w:pPr>
    </w:p>
    <w:p w:rsidR="00203592" w:rsidRDefault="0089764E">
      <w:pPr>
        <w:widowControl w:val="0"/>
        <w:spacing w:after="200" w:line="274" w:lineRule="auto"/>
        <w:ind w:left="2551" w:right="2456"/>
        <w:jc w:val="center"/>
        <w:rPr>
          <w:rFonts w:eastAsia="Arial" w:cs="Arial"/>
          <w:b/>
          <w:sz w:val="36"/>
          <w:szCs w:val="36"/>
        </w:rPr>
      </w:pPr>
      <w:r>
        <w:rPr>
          <w:rFonts w:eastAsia="Arial" w:cs="Arial"/>
          <w:b/>
          <w:sz w:val="36"/>
          <w:szCs w:val="36"/>
        </w:rPr>
        <w:t>Call for Inputs from the Special Rapporteur on the promotion of human rights in the context of climate change</w:t>
      </w:r>
    </w:p>
    <w:p w:rsidR="00DE5CC0" w:rsidRDefault="00DE5CC0">
      <w:pPr>
        <w:widowControl w:val="0"/>
        <w:spacing w:after="200" w:line="274" w:lineRule="auto"/>
        <w:ind w:left="2551" w:right="2456"/>
        <w:jc w:val="center"/>
        <w:rPr>
          <w:rFonts w:eastAsia="Arial" w:cs="Arial"/>
          <w:sz w:val="36"/>
          <w:szCs w:val="36"/>
        </w:rPr>
      </w:pPr>
    </w:p>
    <w:p w:rsidR="00203592" w:rsidRDefault="0089764E">
      <w:pPr>
        <w:widowControl w:val="0"/>
        <w:spacing w:after="200" w:line="274" w:lineRule="auto"/>
        <w:ind w:left="2551" w:right="2456"/>
        <w:jc w:val="center"/>
        <w:rPr>
          <w:rFonts w:eastAsia="Arial" w:cs="Arial"/>
          <w:sz w:val="36"/>
          <w:szCs w:val="36"/>
        </w:rPr>
      </w:pPr>
      <w:r>
        <w:rPr>
          <w:rFonts w:eastAsia="Arial" w:cs="Arial"/>
          <w:b/>
          <w:sz w:val="36"/>
          <w:szCs w:val="36"/>
        </w:rPr>
        <w:t>“Enhancing climate change legislation, support for climate change litigation and advancement of the principle of intergenerational justice”</w:t>
      </w:r>
    </w:p>
    <w:p w:rsidR="00203592" w:rsidRDefault="00203592">
      <w:pPr>
        <w:widowControl w:val="0"/>
        <w:spacing w:after="200" w:line="274" w:lineRule="auto"/>
        <w:ind w:left="2551" w:right="2456"/>
        <w:jc w:val="center"/>
        <w:rPr>
          <w:rFonts w:eastAsia="Arial" w:cs="Arial"/>
          <w:b/>
          <w:sz w:val="28"/>
          <w:szCs w:val="28"/>
        </w:rPr>
      </w:pPr>
    </w:p>
    <w:p w:rsidR="00203592" w:rsidRDefault="003C4045">
      <w:pPr>
        <w:widowControl w:val="0"/>
        <w:spacing w:after="200" w:line="274" w:lineRule="auto"/>
        <w:ind w:left="2551" w:right="2456"/>
        <w:jc w:val="right"/>
        <w:rPr>
          <w:rFonts w:eastAsia="Arial" w:cs="Arial"/>
        </w:rPr>
      </w:pPr>
      <w:r>
        <w:rPr>
          <w:rFonts w:eastAsia="Arial" w:cs="Arial"/>
          <w:b/>
          <w:sz w:val="28"/>
          <w:szCs w:val="28"/>
        </w:rPr>
        <w:t>24</w:t>
      </w:r>
      <w:r w:rsidR="0089764E">
        <w:rPr>
          <w:rFonts w:eastAsia="Arial" w:cs="Arial"/>
          <w:b/>
          <w:sz w:val="28"/>
          <w:szCs w:val="28"/>
        </w:rPr>
        <w:t xml:space="preserve"> May 2023</w:t>
      </w:r>
    </w:p>
    <w:p w:rsidR="00203592" w:rsidRDefault="00203592">
      <w:pPr>
        <w:pBdr>
          <w:top w:val="nil"/>
          <w:left w:val="nil"/>
          <w:bottom w:val="nil"/>
          <w:right w:val="nil"/>
          <w:between w:val="nil"/>
        </w:pBdr>
        <w:tabs>
          <w:tab w:val="left" w:pos="128"/>
          <w:tab w:val="left" w:pos="198"/>
        </w:tabs>
        <w:spacing w:after="0"/>
        <w:rPr>
          <w:rFonts w:eastAsia="Arial" w:cs="Arial"/>
        </w:rPr>
      </w:pPr>
      <w:bookmarkStart w:id="7" w:name="_heading=h.e6cb4aon4rzm" w:colFirst="0" w:colLast="0"/>
      <w:bookmarkEnd w:id="7"/>
    </w:p>
    <w:p w:rsidR="00203592" w:rsidRDefault="00203592">
      <w:pPr>
        <w:pBdr>
          <w:top w:val="nil"/>
          <w:left w:val="nil"/>
          <w:bottom w:val="nil"/>
          <w:right w:val="nil"/>
          <w:between w:val="nil"/>
        </w:pBdr>
        <w:tabs>
          <w:tab w:val="left" w:pos="128"/>
          <w:tab w:val="left" w:pos="198"/>
        </w:tabs>
        <w:spacing w:after="0"/>
        <w:rPr>
          <w:rFonts w:eastAsia="Arial" w:cs="Arial"/>
        </w:rPr>
      </w:pPr>
      <w:bookmarkStart w:id="8" w:name="_heading=h.bbssq92pwuo" w:colFirst="0" w:colLast="0"/>
      <w:bookmarkEnd w:id="8"/>
    </w:p>
    <w:p w:rsidR="00203592" w:rsidRDefault="00203592">
      <w:pPr>
        <w:pBdr>
          <w:top w:val="nil"/>
          <w:left w:val="nil"/>
          <w:bottom w:val="nil"/>
          <w:right w:val="nil"/>
          <w:between w:val="nil"/>
        </w:pBdr>
        <w:tabs>
          <w:tab w:val="left" w:pos="128"/>
          <w:tab w:val="left" w:pos="198"/>
        </w:tabs>
        <w:spacing w:after="0"/>
        <w:rPr>
          <w:rFonts w:eastAsia="Arial" w:cs="Arial"/>
        </w:rPr>
      </w:pPr>
      <w:bookmarkStart w:id="9" w:name="_heading=h.8b2wys9iesn5" w:colFirst="0" w:colLast="0"/>
      <w:bookmarkEnd w:id="9"/>
    </w:p>
    <w:p w:rsidR="00203592" w:rsidRDefault="00F319A6">
      <w:pPr>
        <w:pBdr>
          <w:top w:val="nil"/>
          <w:left w:val="nil"/>
          <w:bottom w:val="nil"/>
          <w:right w:val="nil"/>
          <w:between w:val="nil"/>
        </w:pBdr>
        <w:tabs>
          <w:tab w:val="left" w:pos="128"/>
          <w:tab w:val="left" w:pos="198"/>
        </w:tabs>
        <w:spacing w:after="0"/>
        <w:rPr>
          <w:rFonts w:eastAsia="Arial" w:cs="Arial"/>
        </w:rPr>
      </w:pPr>
      <w:bookmarkStart w:id="10" w:name="_heading=h.33lc4oa00lw2" w:colFirst="0" w:colLast="0"/>
      <w:bookmarkEnd w:id="10"/>
      <w:r>
        <w:br w:type="page"/>
      </w:r>
    </w:p>
    <w:p w:rsidR="0003447E" w:rsidRDefault="0003447E">
      <w:pPr>
        <w:spacing w:after="200" w:line="276" w:lineRule="auto"/>
        <w:ind w:hanging="2"/>
        <w:rPr>
          <w:rFonts w:eastAsia="Arial" w:cs="Arial"/>
          <w:b/>
        </w:rPr>
      </w:pPr>
    </w:p>
    <w:p w:rsidR="0003447E" w:rsidRDefault="0003447E">
      <w:pPr>
        <w:spacing w:after="200" w:line="276" w:lineRule="auto"/>
        <w:ind w:hanging="2"/>
        <w:rPr>
          <w:rFonts w:eastAsia="Arial" w:cs="Arial"/>
          <w:b/>
        </w:rPr>
      </w:pPr>
    </w:p>
    <w:p w:rsidR="0003447E" w:rsidRDefault="0003447E">
      <w:pPr>
        <w:spacing w:after="200" w:line="276" w:lineRule="auto"/>
        <w:ind w:hanging="2"/>
        <w:rPr>
          <w:rFonts w:eastAsia="Arial" w:cs="Arial"/>
          <w:b/>
        </w:rPr>
      </w:pPr>
    </w:p>
    <w:p w:rsidR="0003447E" w:rsidRDefault="0003447E">
      <w:pPr>
        <w:spacing w:after="200" w:line="276" w:lineRule="auto"/>
        <w:ind w:hanging="2"/>
        <w:rPr>
          <w:rFonts w:eastAsia="Arial" w:cs="Arial"/>
          <w:b/>
        </w:rPr>
      </w:pPr>
    </w:p>
    <w:p w:rsidR="0003447E" w:rsidRDefault="00A32133" w:rsidP="0003447E">
      <w:pPr>
        <w:spacing w:after="200" w:line="276" w:lineRule="auto"/>
        <w:ind w:hanging="2"/>
        <w:rPr>
          <w:rFonts w:eastAsia="Arial" w:cs="Arial"/>
          <w:b/>
        </w:rPr>
      </w:pPr>
      <w:r>
        <w:rPr>
          <w:rFonts w:eastAsia="Arial" w:cs="Arial"/>
          <w:b/>
        </w:rPr>
        <w:t xml:space="preserve">Acknowledgement </w:t>
      </w:r>
      <w:r w:rsidR="0003447E">
        <w:rPr>
          <w:rFonts w:eastAsia="Arial" w:cs="Arial"/>
          <w:b/>
        </w:rPr>
        <w:t>of Country</w:t>
      </w:r>
    </w:p>
    <w:p w:rsidR="0003447E" w:rsidRDefault="0003447E" w:rsidP="0003447E">
      <w:pPr>
        <w:spacing w:after="200" w:line="276" w:lineRule="auto"/>
        <w:ind w:hanging="2"/>
        <w:rPr>
          <w:rFonts w:eastAsia="Arial" w:cs="Arial"/>
          <w:bCs/>
        </w:rPr>
      </w:pPr>
      <w:r>
        <w:rPr>
          <w:rFonts w:eastAsia="Arial" w:cs="Arial"/>
          <w:bCs/>
        </w:rPr>
        <w:t>In the spirit of reconciliation, the NSW Council for Civil Liberties acknowledges the Traditional Custodians of Country throughout Australia and their connections to land, sea and community.  We pay our respect to their Elders past and present and extend that respect to all First Nations peoples across Australia. We recognise that sovereignty was never ceded.</w:t>
      </w:r>
      <w:r w:rsidR="00A32133">
        <w:rPr>
          <w:rFonts w:eastAsia="Arial" w:cs="Arial"/>
          <w:bCs/>
        </w:rPr>
        <w:t xml:space="preserve"> </w:t>
      </w:r>
    </w:p>
    <w:p w:rsidR="00203592" w:rsidRDefault="00F319A6">
      <w:pPr>
        <w:spacing w:after="200" w:line="276" w:lineRule="auto"/>
        <w:ind w:hanging="2"/>
        <w:rPr>
          <w:rFonts w:eastAsia="Arial" w:cs="Arial"/>
        </w:rPr>
      </w:pPr>
      <w:r>
        <w:rPr>
          <w:rFonts w:eastAsia="Arial" w:cs="Arial"/>
          <w:b/>
        </w:rPr>
        <w:t>About NSW Council for Civil Liberties</w:t>
      </w:r>
    </w:p>
    <w:p w:rsidR="00203592" w:rsidRDefault="00F319A6">
      <w:pPr>
        <w:spacing w:after="200" w:line="276" w:lineRule="auto"/>
        <w:ind w:hanging="2"/>
        <w:rPr>
          <w:rFonts w:eastAsia="Arial" w:cs="Arial"/>
        </w:rPr>
      </w:pPr>
      <w:r>
        <w:rPr>
          <w:rFonts w:eastAsia="Arial" w:cs="Arial"/>
        </w:rPr>
        <w:t xml:space="preserve">NSWCCL is one of Australia’s leading human rights and civil liberties organisations, founded in 1963. We are a non-political, non-religious and non-sectarian organisation that champions the rights of all to express their views and beliefs without suppression. We also listen to individual complaints and, through volunteer efforts, attempt to help members of the public with civil liberties problems. We prepare submissions to government, conduct court cases defending infringements of civil liberties, engage regularly in public debates, produce publications, and conduct many other activities. </w:t>
      </w:r>
    </w:p>
    <w:p w:rsidR="00203592" w:rsidRDefault="00F319A6">
      <w:pPr>
        <w:spacing w:after="200" w:line="276" w:lineRule="auto"/>
        <w:ind w:hanging="2"/>
        <w:rPr>
          <w:rFonts w:eastAsia="Arial" w:cs="Arial"/>
        </w:rPr>
      </w:pPr>
      <w:r>
        <w:rPr>
          <w:rFonts w:eastAsia="Arial" w:cs="Arial"/>
        </w:rPr>
        <w:t>CCL is a Non-Government Organisation in Special Consultative Status with the Economic and Social Council of the United Nations, by resolution 2006/221 (21 July 2006).</w:t>
      </w:r>
    </w:p>
    <w:p w:rsidR="00203592" w:rsidRDefault="00203592">
      <w:pPr>
        <w:spacing w:after="200" w:line="276" w:lineRule="auto"/>
        <w:ind w:hanging="2"/>
        <w:rPr>
          <w:rFonts w:eastAsia="Arial" w:cs="Arial"/>
        </w:rPr>
      </w:pPr>
    </w:p>
    <w:p w:rsidR="00203592" w:rsidRDefault="00F319A6">
      <w:pPr>
        <w:spacing w:after="200" w:line="276" w:lineRule="auto"/>
        <w:ind w:hanging="2"/>
        <w:rPr>
          <w:rFonts w:eastAsia="Arial" w:cs="Arial"/>
        </w:rPr>
      </w:pPr>
      <w:r>
        <w:rPr>
          <w:rFonts w:eastAsia="Arial" w:cs="Arial"/>
          <w:b/>
        </w:rPr>
        <w:t>Contact NSW Council for Civil Liberties</w:t>
      </w:r>
    </w:p>
    <w:p w:rsidR="00203592" w:rsidRDefault="00280376">
      <w:pPr>
        <w:spacing w:after="0" w:line="276" w:lineRule="auto"/>
        <w:ind w:hanging="2"/>
        <w:rPr>
          <w:rFonts w:eastAsia="Arial" w:cs="Arial"/>
        </w:rPr>
      </w:pPr>
      <w:hyperlink r:id="rId11">
        <w:r w:rsidR="00F319A6">
          <w:rPr>
            <w:rFonts w:eastAsia="Arial" w:cs="Arial"/>
            <w:color w:val="0000FF"/>
            <w:u w:val="single"/>
          </w:rPr>
          <w:t>http://www.nswccl.org.au</w:t>
        </w:r>
      </w:hyperlink>
      <w:r w:rsidR="00F319A6">
        <w:rPr>
          <w:rFonts w:eastAsia="Arial" w:cs="Arial"/>
        </w:rPr>
        <w:t xml:space="preserve"> </w:t>
      </w:r>
    </w:p>
    <w:p w:rsidR="00203592" w:rsidRDefault="00280376">
      <w:pPr>
        <w:spacing w:after="0" w:line="276" w:lineRule="auto"/>
        <w:ind w:hanging="2"/>
        <w:rPr>
          <w:rFonts w:eastAsia="Arial" w:cs="Arial"/>
        </w:rPr>
      </w:pPr>
      <w:hyperlink r:id="rId12">
        <w:r w:rsidR="00F319A6">
          <w:rPr>
            <w:rFonts w:eastAsia="Arial" w:cs="Arial"/>
            <w:color w:val="0000FF"/>
            <w:u w:val="single"/>
          </w:rPr>
          <w:t>office@nswccl.org.au</w:t>
        </w:r>
      </w:hyperlink>
      <w:r w:rsidR="00F319A6">
        <w:rPr>
          <w:rFonts w:eastAsia="Arial" w:cs="Arial"/>
        </w:rPr>
        <w:t xml:space="preserve"> </w:t>
      </w:r>
    </w:p>
    <w:p w:rsidR="00203592" w:rsidRDefault="00F319A6">
      <w:pPr>
        <w:spacing w:after="0" w:line="276" w:lineRule="auto"/>
        <w:ind w:hanging="2"/>
        <w:rPr>
          <w:rFonts w:eastAsia="Arial" w:cs="Arial"/>
        </w:rPr>
      </w:pPr>
      <w:r>
        <w:rPr>
          <w:rFonts w:eastAsia="Arial" w:cs="Arial"/>
        </w:rPr>
        <w:t>Correspondence to: PO Box A1386, Sydney South, NSW 1235</w:t>
      </w:r>
    </w:p>
    <w:p w:rsidR="00203592" w:rsidRPr="008D7785" w:rsidRDefault="00F319A6" w:rsidP="008D7785">
      <w:pPr>
        <w:spacing w:after="0" w:line="276" w:lineRule="auto"/>
        <w:ind w:hanging="2"/>
        <w:jc w:val="both"/>
        <w:rPr>
          <w:rFonts w:eastAsia="Arial" w:cs="Arial"/>
          <w:sz w:val="24"/>
          <w:szCs w:val="24"/>
        </w:rPr>
      </w:pPr>
      <w:r>
        <w:br w:type="page"/>
      </w:r>
      <w:r w:rsidRPr="008D7785">
        <w:rPr>
          <w:rFonts w:eastAsia="Arial" w:cs="Arial"/>
          <w:sz w:val="24"/>
          <w:szCs w:val="24"/>
        </w:rPr>
        <w:t>The NSW Council for Civil Liberties (</w:t>
      </w:r>
      <w:r w:rsidRPr="008D7785">
        <w:rPr>
          <w:rFonts w:eastAsia="Arial" w:cs="Arial"/>
          <w:b/>
          <w:bCs/>
          <w:i/>
          <w:iCs/>
          <w:sz w:val="24"/>
          <w:szCs w:val="24"/>
        </w:rPr>
        <w:t>NSWCCL</w:t>
      </w:r>
      <w:r w:rsidRPr="008D7785">
        <w:rPr>
          <w:rFonts w:eastAsia="Arial" w:cs="Arial"/>
          <w:sz w:val="24"/>
          <w:szCs w:val="24"/>
        </w:rPr>
        <w:t xml:space="preserve">) welcomes the opportunity to make a submission to </w:t>
      </w:r>
      <w:r w:rsidR="0089764E" w:rsidRPr="008D7785">
        <w:rPr>
          <w:rFonts w:eastAsia="Arial" w:cs="Arial"/>
          <w:sz w:val="24"/>
          <w:szCs w:val="24"/>
        </w:rPr>
        <w:t>Special Rapporteur on the promotion of human rights in the context of climate change</w:t>
      </w:r>
      <w:r w:rsidR="00DE5CC0" w:rsidRPr="008D7785">
        <w:rPr>
          <w:rFonts w:eastAsia="Arial" w:cs="Arial"/>
          <w:sz w:val="24"/>
          <w:szCs w:val="24"/>
        </w:rPr>
        <w:t xml:space="preserve">. </w:t>
      </w:r>
    </w:p>
    <w:p w:rsidR="0089764E" w:rsidRPr="008D7785" w:rsidRDefault="0089764E" w:rsidP="008D7785">
      <w:pPr>
        <w:spacing w:after="0" w:line="276" w:lineRule="auto"/>
        <w:ind w:hanging="2"/>
        <w:jc w:val="both"/>
        <w:rPr>
          <w:rFonts w:eastAsia="Arial" w:cs="Arial"/>
          <w:sz w:val="24"/>
          <w:szCs w:val="24"/>
        </w:rPr>
      </w:pPr>
    </w:p>
    <w:p w:rsidR="0089764E" w:rsidRPr="008D7785" w:rsidRDefault="0089764E" w:rsidP="008D7785">
      <w:pPr>
        <w:spacing w:after="0" w:line="276" w:lineRule="auto"/>
        <w:ind w:hanging="2"/>
        <w:jc w:val="both"/>
        <w:rPr>
          <w:rFonts w:eastAsia="Arial" w:cs="Arial"/>
          <w:b/>
          <w:bCs/>
          <w:i/>
          <w:iCs/>
          <w:sz w:val="24"/>
          <w:szCs w:val="24"/>
        </w:rPr>
      </w:pPr>
      <w:r w:rsidRPr="008D7785">
        <w:rPr>
          <w:rFonts w:eastAsia="Arial" w:cs="Arial"/>
          <w:sz w:val="24"/>
          <w:szCs w:val="24"/>
        </w:rPr>
        <w:t>We adopt the headings and numbering in the call for inputs, and only respond to matters that fall within our knowledge and expertise.</w:t>
      </w:r>
    </w:p>
    <w:p w:rsidR="00203592" w:rsidRPr="008D7785" w:rsidRDefault="00203592" w:rsidP="008D7785">
      <w:pPr>
        <w:spacing w:after="0" w:line="276" w:lineRule="auto"/>
        <w:ind w:hanging="2"/>
        <w:jc w:val="both"/>
        <w:rPr>
          <w:rFonts w:eastAsia="Arial" w:cs="Arial"/>
          <w:sz w:val="24"/>
          <w:szCs w:val="24"/>
        </w:rPr>
      </w:pPr>
    </w:p>
    <w:p w:rsidR="0089764E" w:rsidRPr="008D7785" w:rsidRDefault="0089764E" w:rsidP="008D7785">
      <w:pPr>
        <w:jc w:val="both"/>
        <w:rPr>
          <w:b/>
          <w:bCs/>
          <w:sz w:val="24"/>
          <w:szCs w:val="24"/>
        </w:rPr>
      </w:pPr>
      <w:r w:rsidRPr="008D7785">
        <w:rPr>
          <w:b/>
          <w:bCs/>
          <w:sz w:val="24"/>
          <w:szCs w:val="24"/>
        </w:rPr>
        <w:t>Enhancing Climate Change Legislation:</w:t>
      </w:r>
    </w:p>
    <w:p w:rsidR="0089764E" w:rsidRPr="008D7785" w:rsidRDefault="0089764E" w:rsidP="008D7785">
      <w:pPr>
        <w:pStyle w:val="ListParagraph"/>
        <w:widowControl w:val="0"/>
        <w:autoSpaceDE w:val="0"/>
        <w:autoSpaceDN w:val="0"/>
        <w:spacing w:before="118" w:after="120" w:line="240" w:lineRule="auto"/>
        <w:ind w:left="0" w:right="-1"/>
        <w:contextualSpacing w:val="0"/>
        <w:jc w:val="both"/>
        <w:rPr>
          <w:b/>
          <w:sz w:val="24"/>
          <w:szCs w:val="24"/>
        </w:rPr>
      </w:pPr>
      <w:r w:rsidRPr="008D7785">
        <w:rPr>
          <w:b/>
          <w:sz w:val="24"/>
          <w:szCs w:val="24"/>
        </w:rPr>
        <w:t>Can you provide examples of climate change legislation that incorporates human rights elements, or a reference to obligations relating to loss and damage?</w:t>
      </w:r>
    </w:p>
    <w:p w:rsidR="0089764E" w:rsidRPr="008D7785" w:rsidRDefault="0089764E" w:rsidP="008D7785">
      <w:pPr>
        <w:widowControl w:val="0"/>
        <w:autoSpaceDE w:val="0"/>
        <w:autoSpaceDN w:val="0"/>
        <w:spacing w:before="118" w:after="120"/>
        <w:ind w:right="-1"/>
        <w:jc w:val="both"/>
        <w:rPr>
          <w:sz w:val="24"/>
          <w:szCs w:val="24"/>
        </w:rPr>
      </w:pPr>
      <w:r w:rsidRPr="008D7785">
        <w:rPr>
          <w:sz w:val="24"/>
          <w:szCs w:val="24"/>
        </w:rPr>
        <w:t xml:space="preserve">Australia has dedicated climate legislation at a federal level and in four of its subnational jurisdictions (Victoria, Tasmania, South Australia and the Australian Capital Territory (ACT)). This legislation is focused primarily on emissions mitigation and does not address loss and damage or adaptation more broadly. </w:t>
      </w:r>
    </w:p>
    <w:p w:rsidR="004B3A93" w:rsidRPr="008D7785" w:rsidRDefault="0089764E" w:rsidP="008D7785">
      <w:pPr>
        <w:widowControl w:val="0"/>
        <w:autoSpaceDE w:val="0"/>
        <w:autoSpaceDN w:val="0"/>
        <w:spacing w:before="118" w:after="120"/>
        <w:ind w:right="-1"/>
        <w:jc w:val="both"/>
        <w:rPr>
          <w:iCs/>
          <w:sz w:val="24"/>
          <w:szCs w:val="24"/>
        </w:rPr>
      </w:pPr>
      <w:r w:rsidRPr="008D7785">
        <w:rPr>
          <w:sz w:val="24"/>
          <w:szCs w:val="24"/>
        </w:rPr>
        <w:t xml:space="preserve">Australia does not have a tradition of integrating substantive human rights into legislation, relying mostly on the limited rights protections offered by the common law. At the federal level, legislation is required by the </w:t>
      </w:r>
      <w:r w:rsidRPr="008D7785">
        <w:rPr>
          <w:i/>
          <w:sz w:val="24"/>
          <w:szCs w:val="24"/>
        </w:rPr>
        <w:t xml:space="preserve">Human Rights (Parliamentary Scrutiny) Act 2011 </w:t>
      </w:r>
      <w:r w:rsidRPr="008D7785">
        <w:rPr>
          <w:sz w:val="24"/>
          <w:szCs w:val="24"/>
        </w:rPr>
        <w:t>to be accompanied</w:t>
      </w:r>
      <w:r w:rsidRPr="008D7785">
        <w:rPr>
          <w:iCs/>
          <w:sz w:val="24"/>
          <w:szCs w:val="24"/>
        </w:rPr>
        <w:t xml:space="preserve"> by a Statement of Compatibility with Human Rights (</w:t>
      </w:r>
      <w:r w:rsidRPr="008D7785">
        <w:rPr>
          <w:b/>
          <w:iCs/>
          <w:sz w:val="24"/>
          <w:szCs w:val="24"/>
        </w:rPr>
        <w:t>SCHR</w:t>
      </w:r>
      <w:r w:rsidRPr="008D7785">
        <w:rPr>
          <w:iCs/>
          <w:sz w:val="24"/>
          <w:szCs w:val="24"/>
        </w:rPr>
        <w:t>). This is a procedural measure that requires the relevant government minister to explain why, in their opinion, the legislation is compatible with human rights. The SCHR does not alter the content of the legislation and is not binding on a court.</w:t>
      </w:r>
      <w:r w:rsidR="004B3A93" w:rsidRPr="008D7785">
        <w:rPr>
          <w:iCs/>
          <w:sz w:val="24"/>
          <w:szCs w:val="24"/>
        </w:rPr>
        <w:t xml:space="preserve"> There is also no guarantee that the proponent Minister has properly construed the provisions of international or domestic human rights law.</w:t>
      </w:r>
      <w:r w:rsidRPr="008D7785">
        <w:rPr>
          <w:iCs/>
          <w:sz w:val="24"/>
          <w:szCs w:val="24"/>
        </w:rPr>
        <w:t xml:space="preserve"> </w:t>
      </w:r>
      <w:r w:rsidR="004B3A93" w:rsidRPr="008D7785">
        <w:rPr>
          <w:iCs/>
          <w:sz w:val="24"/>
          <w:szCs w:val="24"/>
        </w:rPr>
        <w:t>This SCHR</w:t>
      </w:r>
      <w:r w:rsidRPr="008D7785">
        <w:rPr>
          <w:iCs/>
          <w:sz w:val="24"/>
          <w:szCs w:val="24"/>
        </w:rPr>
        <w:t xml:space="preserve"> is a purely procedural measure </w:t>
      </w:r>
      <w:r w:rsidR="004B3A93" w:rsidRPr="008D7785">
        <w:rPr>
          <w:iCs/>
          <w:sz w:val="24"/>
          <w:szCs w:val="24"/>
        </w:rPr>
        <w:t xml:space="preserve">which </w:t>
      </w:r>
      <w:r w:rsidRPr="008D7785">
        <w:rPr>
          <w:iCs/>
          <w:sz w:val="24"/>
          <w:szCs w:val="24"/>
        </w:rPr>
        <w:t xml:space="preserve">appears to have little impact on aligning climate legislation with human rights. </w:t>
      </w:r>
    </w:p>
    <w:p w:rsidR="0089764E" w:rsidRPr="008D7785" w:rsidRDefault="0089764E" w:rsidP="008D7785">
      <w:pPr>
        <w:widowControl w:val="0"/>
        <w:autoSpaceDE w:val="0"/>
        <w:autoSpaceDN w:val="0"/>
        <w:spacing w:before="118" w:after="120"/>
        <w:ind w:right="-1"/>
        <w:jc w:val="both"/>
        <w:rPr>
          <w:i/>
          <w:sz w:val="24"/>
          <w:szCs w:val="24"/>
        </w:rPr>
      </w:pPr>
      <w:r w:rsidRPr="008D7785">
        <w:rPr>
          <w:iCs/>
          <w:sz w:val="24"/>
          <w:szCs w:val="24"/>
        </w:rPr>
        <w:t xml:space="preserve">For example, the </w:t>
      </w:r>
      <w:r w:rsidRPr="008D7785">
        <w:rPr>
          <w:i/>
          <w:iCs/>
          <w:sz w:val="24"/>
          <w:szCs w:val="24"/>
        </w:rPr>
        <w:t xml:space="preserve">Climate Change Act 2022 </w:t>
      </w:r>
      <w:r w:rsidRPr="008D7785">
        <w:rPr>
          <w:iCs/>
          <w:sz w:val="24"/>
          <w:szCs w:val="24"/>
        </w:rPr>
        <w:t>(Cth) was legislated with a SCHR</w:t>
      </w:r>
      <w:r w:rsidR="00930F18">
        <w:rPr>
          <w:iCs/>
          <w:sz w:val="24"/>
          <w:szCs w:val="24"/>
        </w:rPr>
        <w:t>. This is</w:t>
      </w:r>
      <w:r w:rsidRPr="008D7785">
        <w:rPr>
          <w:iCs/>
          <w:sz w:val="24"/>
          <w:szCs w:val="24"/>
        </w:rPr>
        <w:t xml:space="preserve"> despite the emissions targets legislated being incompatible with the 1.5C temperature target</w:t>
      </w:r>
      <w:r w:rsidR="009633DF">
        <w:rPr>
          <w:iCs/>
          <w:sz w:val="24"/>
          <w:szCs w:val="24"/>
        </w:rPr>
        <w:t>,</w:t>
      </w:r>
      <w:r w:rsidR="00930F18">
        <w:rPr>
          <w:rStyle w:val="FootnoteReference"/>
          <w:iCs/>
          <w:sz w:val="24"/>
          <w:szCs w:val="24"/>
        </w:rPr>
        <w:footnoteReference w:id="1"/>
      </w:r>
      <w:r w:rsidR="009633DF">
        <w:rPr>
          <w:iCs/>
          <w:sz w:val="24"/>
          <w:szCs w:val="24"/>
        </w:rPr>
        <w:t xml:space="preserve"> a temperature rise beyond which will have considerable human rights impacts</w:t>
      </w:r>
      <w:r w:rsidRPr="008D7785">
        <w:rPr>
          <w:iCs/>
          <w:sz w:val="24"/>
          <w:szCs w:val="24"/>
        </w:rPr>
        <w:t>.</w:t>
      </w:r>
    </w:p>
    <w:p w:rsidR="0089764E" w:rsidRPr="008D7785" w:rsidRDefault="0089764E" w:rsidP="008D7785">
      <w:pPr>
        <w:widowControl w:val="0"/>
        <w:autoSpaceDE w:val="0"/>
        <w:autoSpaceDN w:val="0"/>
        <w:spacing w:before="118" w:after="120"/>
        <w:ind w:right="-1"/>
        <w:jc w:val="both"/>
        <w:rPr>
          <w:sz w:val="24"/>
          <w:szCs w:val="24"/>
        </w:rPr>
      </w:pPr>
      <w:r w:rsidRPr="008D7785">
        <w:rPr>
          <w:sz w:val="24"/>
          <w:szCs w:val="24"/>
        </w:rPr>
        <w:t xml:space="preserve">Three subnational jurisdictions (Victoria, Queensland and the ACT) have dedicated human rights legislation, and while these may be relevant to climate related administrative decisions they do not specifically address climate change. </w:t>
      </w:r>
    </w:p>
    <w:p w:rsidR="004B3A93" w:rsidRPr="008D7785" w:rsidRDefault="004B3A93" w:rsidP="008D7785">
      <w:pPr>
        <w:widowControl w:val="0"/>
        <w:autoSpaceDE w:val="0"/>
        <w:autoSpaceDN w:val="0"/>
        <w:spacing w:before="118" w:after="120"/>
        <w:ind w:right="-1"/>
        <w:jc w:val="both"/>
        <w:rPr>
          <w:sz w:val="24"/>
          <w:szCs w:val="24"/>
        </w:rPr>
      </w:pPr>
      <w:r w:rsidRPr="008D7785">
        <w:rPr>
          <w:sz w:val="24"/>
          <w:szCs w:val="24"/>
        </w:rPr>
        <w:t>NSWCCL is engaged in ongoing campaigns for charters of human rights in NSW and at the Commonwealth level which implement all of Australia’s existing international human rights obligations and provide appropriate recourse for remedies to individuals.</w:t>
      </w:r>
    </w:p>
    <w:p w:rsidR="0089764E" w:rsidRPr="008D7785" w:rsidRDefault="0089764E" w:rsidP="008D7785">
      <w:pPr>
        <w:pStyle w:val="ListParagraph"/>
        <w:widowControl w:val="0"/>
        <w:autoSpaceDE w:val="0"/>
        <w:autoSpaceDN w:val="0"/>
        <w:spacing w:before="118" w:after="120" w:line="240" w:lineRule="auto"/>
        <w:ind w:left="0" w:right="-1"/>
        <w:contextualSpacing w:val="0"/>
        <w:jc w:val="both"/>
        <w:rPr>
          <w:b/>
          <w:sz w:val="24"/>
          <w:szCs w:val="24"/>
        </w:rPr>
      </w:pPr>
      <w:r w:rsidRPr="008D7785">
        <w:rPr>
          <w:b/>
          <w:sz w:val="24"/>
          <w:szCs w:val="24"/>
        </w:rPr>
        <w:t>How to you think climate change legislation should frame a connection to human rights obligations?</w:t>
      </w:r>
    </w:p>
    <w:p w:rsidR="0089764E" w:rsidRPr="008D7785" w:rsidRDefault="0089764E" w:rsidP="008D7785">
      <w:pPr>
        <w:widowControl w:val="0"/>
        <w:autoSpaceDE w:val="0"/>
        <w:autoSpaceDN w:val="0"/>
        <w:spacing w:before="118" w:after="120"/>
        <w:ind w:right="-1"/>
        <w:jc w:val="both"/>
        <w:rPr>
          <w:sz w:val="24"/>
          <w:szCs w:val="24"/>
        </w:rPr>
      </w:pPr>
      <w:r w:rsidRPr="008D7785">
        <w:rPr>
          <w:sz w:val="24"/>
          <w:szCs w:val="24"/>
        </w:rPr>
        <w:t>To be effective, climate change legislation needs to centre consistency with human rights (including a right to a healthy environment) as a core and binding obligation upon administrative decision makers. Such an obligation needs to be enforceable, with the ability for judicial review to both ensure its enforcement and provide case</w:t>
      </w:r>
      <w:r w:rsidR="00E32A92" w:rsidRPr="008D7785">
        <w:rPr>
          <w:sz w:val="24"/>
          <w:szCs w:val="24"/>
        </w:rPr>
        <w:t xml:space="preserve"> </w:t>
      </w:r>
      <w:r w:rsidRPr="008D7785">
        <w:rPr>
          <w:sz w:val="24"/>
          <w:szCs w:val="24"/>
        </w:rPr>
        <w:t xml:space="preserve">law to define its scope. </w:t>
      </w:r>
    </w:p>
    <w:p w:rsidR="0089764E" w:rsidRDefault="0089764E" w:rsidP="008D7785">
      <w:pPr>
        <w:widowControl w:val="0"/>
        <w:autoSpaceDE w:val="0"/>
        <w:autoSpaceDN w:val="0"/>
        <w:spacing w:before="118" w:after="120"/>
        <w:ind w:right="-1"/>
        <w:jc w:val="both"/>
        <w:rPr>
          <w:sz w:val="24"/>
          <w:szCs w:val="24"/>
        </w:rPr>
      </w:pPr>
      <w:r w:rsidRPr="008D7785">
        <w:rPr>
          <w:sz w:val="24"/>
          <w:szCs w:val="24"/>
        </w:rPr>
        <w:t>Such an obligation should be cross cutting across all administrative decisions that may impact the climate (for example planning approvals, procurement decisions, the allocation of government funds) to direct the whole of government to actions consistent with responding to climate change</w:t>
      </w:r>
      <w:r w:rsidR="00E32A92" w:rsidRPr="008D7785">
        <w:rPr>
          <w:sz w:val="24"/>
          <w:szCs w:val="24"/>
        </w:rPr>
        <w:t xml:space="preserve"> and its consequent effect on the enjoyment of human rights</w:t>
      </w:r>
      <w:r w:rsidRPr="008D7785">
        <w:rPr>
          <w:sz w:val="24"/>
          <w:szCs w:val="24"/>
        </w:rPr>
        <w:t xml:space="preserve">. </w:t>
      </w:r>
    </w:p>
    <w:p w:rsidR="00CD1526" w:rsidRDefault="00CD1526" w:rsidP="008D7785">
      <w:pPr>
        <w:widowControl w:val="0"/>
        <w:autoSpaceDE w:val="0"/>
        <w:autoSpaceDN w:val="0"/>
        <w:spacing w:before="118" w:after="120"/>
        <w:ind w:right="-1"/>
        <w:jc w:val="both"/>
        <w:rPr>
          <w:sz w:val="24"/>
          <w:szCs w:val="24"/>
        </w:rPr>
      </w:pPr>
    </w:p>
    <w:p w:rsidR="00CD1526" w:rsidRPr="008D7785" w:rsidRDefault="00CD1526" w:rsidP="008D7785">
      <w:pPr>
        <w:widowControl w:val="0"/>
        <w:autoSpaceDE w:val="0"/>
        <w:autoSpaceDN w:val="0"/>
        <w:spacing w:before="118" w:after="120"/>
        <w:ind w:right="-1"/>
        <w:jc w:val="both"/>
        <w:rPr>
          <w:sz w:val="24"/>
          <w:szCs w:val="24"/>
        </w:rPr>
      </w:pPr>
    </w:p>
    <w:p w:rsidR="0089764E" w:rsidRPr="008D7785" w:rsidRDefault="0089764E" w:rsidP="008D7785">
      <w:pPr>
        <w:widowControl w:val="0"/>
        <w:autoSpaceDE w:val="0"/>
        <w:autoSpaceDN w:val="0"/>
        <w:spacing w:before="118" w:after="120"/>
        <w:ind w:right="-1"/>
        <w:jc w:val="both"/>
        <w:rPr>
          <w:b/>
          <w:sz w:val="24"/>
          <w:szCs w:val="24"/>
        </w:rPr>
      </w:pPr>
      <w:r w:rsidRPr="008D7785">
        <w:rPr>
          <w:b/>
          <w:sz w:val="24"/>
          <w:szCs w:val="24"/>
        </w:rPr>
        <w:t>How do you think climate change legislation should engage the concept of loss and damage?</w:t>
      </w:r>
    </w:p>
    <w:p w:rsidR="0089764E" w:rsidRPr="008D7785" w:rsidRDefault="0089764E" w:rsidP="008D7785">
      <w:pPr>
        <w:widowControl w:val="0"/>
        <w:autoSpaceDE w:val="0"/>
        <w:autoSpaceDN w:val="0"/>
        <w:spacing w:before="118" w:after="120"/>
        <w:ind w:right="-1"/>
        <w:jc w:val="both"/>
        <w:rPr>
          <w:sz w:val="24"/>
          <w:szCs w:val="24"/>
        </w:rPr>
      </w:pPr>
      <w:r w:rsidRPr="008D7785">
        <w:rPr>
          <w:sz w:val="24"/>
          <w:szCs w:val="24"/>
        </w:rPr>
        <w:t xml:space="preserve">Liability for civil harms inflicted upon others is generally dealt with through the law of torts in Australia. Tort law is a largely common law doctrine that has historically evolved in a manner that is widely recognised as being ill equipped to deal with the nature of climate harms, and indeed there has been no successful use of tort law to claim climate change related loss and damage in Australia. This clearly denies victims of climate loss and damage recourse to justice and shields emitters from the consequences of their actions. </w:t>
      </w:r>
    </w:p>
    <w:p w:rsidR="0089764E" w:rsidRPr="008D7785" w:rsidRDefault="00076895" w:rsidP="008D7785">
      <w:pPr>
        <w:widowControl w:val="0"/>
        <w:autoSpaceDE w:val="0"/>
        <w:autoSpaceDN w:val="0"/>
        <w:spacing w:before="118" w:after="120"/>
        <w:ind w:right="-1"/>
        <w:jc w:val="both"/>
        <w:rPr>
          <w:sz w:val="24"/>
          <w:szCs w:val="24"/>
        </w:rPr>
      </w:pPr>
      <w:r w:rsidRPr="008D7785">
        <w:rPr>
          <w:sz w:val="24"/>
          <w:szCs w:val="24"/>
        </w:rPr>
        <w:t>Legislative r</w:t>
      </w:r>
      <w:r w:rsidR="0089764E" w:rsidRPr="008D7785">
        <w:rPr>
          <w:sz w:val="24"/>
          <w:szCs w:val="24"/>
        </w:rPr>
        <w:t xml:space="preserve">eform </w:t>
      </w:r>
      <w:r w:rsidRPr="008D7785">
        <w:rPr>
          <w:sz w:val="24"/>
          <w:szCs w:val="24"/>
        </w:rPr>
        <w:t>to</w:t>
      </w:r>
      <w:r w:rsidR="0089764E" w:rsidRPr="008D7785">
        <w:rPr>
          <w:sz w:val="24"/>
          <w:szCs w:val="24"/>
        </w:rPr>
        <w:t xml:space="preserve"> state based civil liability acts is required to bridge gaps in tort law to </w:t>
      </w:r>
      <w:r w:rsidRPr="008D7785">
        <w:rPr>
          <w:sz w:val="24"/>
          <w:szCs w:val="24"/>
        </w:rPr>
        <w:t>ensure</w:t>
      </w:r>
      <w:r w:rsidR="0089764E" w:rsidRPr="008D7785">
        <w:rPr>
          <w:sz w:val="24"/>
          <w:szCs w:val="24"/>
        </w:rPr>
        <w:t xml:space="preserve"> those impacted by climate related loss and damage are able to seek legal recourse to compensation. </w:t>
      </w:r>
    </w:p>
    <w:p w:rsidR="0089764E" w:rsidRPr="008D7785" w:rsidRDefault="0089764E" w:rsidP="008D7785">
      <w:pPr>
        <w:spacing w:after="240"/>
        <w:jc w:val="both"/>
        <w:outlineLvl w:val="1"/>
        <w:rPr>
          <w:b/>
          <w:bCs/>
          <w:sz w:val="24"/>
          <w:szCs w:val="24"/>
        </w:rPr>
      </w:pPr>
      <w:r w:rsidRPr="008D7785">
        <w:rPr>
          <w:b/>
          <w:bCs/>
          <w:sz w:val="24"/>
          <w:szCs w:val="24"/>
        </w:rPr>
        <w:t>Supporting Climate Change Litigation:</w:t>
      </w:r>
    </w:p>
    <w:p w:rsidR="0089764E" w:rsidRPr="008D7785" w:rsidRDefault="0089764E" w:rsidP="008D7785">
      <w:pPr>
        <w:widowControl w:val="0"/>
        <w:autoSpaceDE w:val="0"/>
        <w:autoSpaceDN w:val="0"/>
        <w:spacing w:before="118" w:after="240" w:line="240" w:lineRule="auto"/>
        <w:ind w:right="1380"/>
        <w:jc w:val="both"/>
        <w:outlineLvl w:val="1"/>
        <w:rPr>
          <w:b/>
          <w:bCs/>
          <w:sz w:val="24"/>
          <w:szCs w:val="24"/>
        </w:rPr>
      </w:pPr>
      <w:r w:rsidRPr="008D7785">
        <w:rPr>
          <w:b/>
          <w:bCs/>
          <w:sz w:val="24"/>
          <w:szCs w:val="24"/>
        </w:rPr>
        <w:t>How are human rights considerations being incorporated into climate change litigation?</w:t>
      </w:r>
    </w:p>
    <w:p w:rsidR="008D7785" w:rsidRPr="008D7785" w:rsidRDefault="0089764E" w:rsidP="008D7785">
      <w:pPr>
        <w:widowControl w:val="0"/>
        <w:autoSpaceDE w:val="0"/>
        <w:autoSpaceDN w:val="0"/>
        <w:spacing w:before="118" w:after="240"/>
        <w:ind w:right="-1"/>
        <w:jc w:val="both"/>
        <w:outlineLvl w:val="1"/>
        <w:rPr>
          <w:sz w:val="24"/>
          <w:szCs w:val="24"/>
        </w:rPr>
      </w:pPr>
      <w:r w:rsidRPr="008D7785">
        <w:rPr>
          <w:sz w:val="24"/>
          <w:szCs w:val="24"/>
        </w:rPr>
        <w:t xml:space="preserve">The first domestic climate litigation case in Australia to engage human rights considerations is </w:t>
      </w:r>
      <w:r w:rsidRPr="008D7785">
        <w:rPr>
          <w:i/>
          <w:sz w:val="24"/>
          <w:szCs w:val="24"/>
        </w:rPr>
        <w:t>Waratah Coal Pty Ltd v Youth Verdict Ltd &amp; Ors (No 6) [2022] QLC</w:t>
      </w:r>
      <w:r w:rsidRPr="008D7785">
        <w:rPr>
          <w:sz w:val="24"/>
          <w:szCs w:val="24"/>
        </w:rPr>
        <w:t xml:space="preserve"> 21 under the then newly legislated </w:t>
      </w:r>
      <w:r w:rsidRPr="008D7785">
        <w:rPr>
          <w:i/>
          <w:sz w:val="24"/>
          <w:szCs w:val="24"/>
        </w:rPr>
        <w:t>Human Rights Act 2019</w:t>
      </w:r>
      <w:r w:rsidRPr="008D7785">
        <w:rPr>
          <w:sz w:val="24"/>
          <w:szCs w:val="24"/>
        </w:rPr>
        <w:t xml:space="preserve"> (Qld)(</w:t>
      </w:r>
      <w:r w:rsidRPr="008D7785">
        <w:rPr>
          <w:b/>
          <w:sz w:val="24"/>
          <w:szCs w:val="24"/>
        </w:rPr>
        <w:t>Youth Verdict</w:t>
      </w:r>
      <w:r w:rsidRPr="008D7785">
        <w:rPr>
          <w:sz w:val="24"/>
          <w:szCs w:val="24"/>
        </w:rPr>
        <w:t xml:space="preserve">). </w:t>
      </w:r>
    </w:p>
    <w:p w:rsidR="0089764E" w:rsidRPr="008D7785" w:rsidRDefault="0089764E" w:rsidP="008D7785">
      <w:pPr>
        <w:widowControl w:val="0"/>
        <w:autoSpaceDE w:val="0"/>
        <w:autoSpaceDN w:val="0"/>
        <w:spacing w:before="118" w:after="240"/>
        <w:ind w:right="-1"/>
        <w:jc w:val="both"/>
        <w:outlineLvl w:val="1"/>
        <w:rPr>
          <w:sz w:val="24"/>
          <w:szCs w:val="24"/>
        </w:rPr>
      </w:pPr>
      <w:r w:rsidRPr="008D7785">
        <w:rPr>
          <w:sz w:val="24"/>
          <w:szCs w:val="24"/>
        </w:rPr>
        <w:t xml:space="preserve">In this case in which the Court was tasked with considering the environmental approval of the mine on its merits, the impacts of a coal mine’s approval on human rights was considered alongside other, more traditional legal paths to considering climate change. These included environmental impacts and </w:t>
      </w:r>
      <w:r w:rsidR="008D7785">
        <w:rPr>
          <w:sz w:val="24"/>
          <w:szCs w:val="24"/>
        </w:rPr>
        <w:t xml:space="preserve">the </w:t>
      </w:r>
      <w:r w:rsidRPr="008D7785">
        <w:rPr>
          <w:sz w:val="24"/>
          <w:szCs w:val="24"/>
        </w:rPr>
        <w:t>public interest. While it cannot be said for certain that the finding the mine would unjustifiably limit the human rights of individuals in that state was determinative, it appeared to be a persuasive factor in informing the judge’s decision to recommend refusal of the mine.</w:t>
      </w:r>
      <w:r w:rsidR="009633DF">
        <w:rPr>
          <w:rStyle w:val="FootnoteReference"/>
          <w:sz w:val="24"/>
          <w:szCs w:val="24"/>
        </w:rPr>
        <w:footnoteReference w:id="2"/>
      </w:r>
      <w:r w:rsidRPr="008D7785">
        <w:rPr>
          <w:sz w:val="24"/>
          <w:szCs w:val="24"/>
        </w:rPr>
        <w:t xml:space="preserve"> This demonstrates the potential for human rights legislation being used where it exists to complement and enhance traditional environmental arguments against fossil fuel infrastructure. </w:t>
      </w:r>
    </w:p>
    <w:p w:rsidR="0089764E" w:rsidRPr="008D7785" w:rsidRDefault="0089764E" w:rsidP="008D7785">
      <w:pPr>
        <w:pStyle w:val="ListParagraph"/>
        <w:widowControl w:val="0"/>
        <w:autoSpaceDE w:val="0"/>
        <w:autoSpaceDN w:val="0"/>
        <w:spacing w:before="118" w:after="240" w:line="240" w:lineRule="auto"/>
        <w:ind w:left="0" w:right="-1"/>
        <w:contextualSpacing w:val="0"/>
        <w:jc w:val="both"/>
        <w:outlineLvl w:val="1"/>
        <w:rPr>
          <w:b/>
          <w:bCs/>
          <w:sz w:val="24"/>
          <w:szCs w:val="24"/>
        </w:rPr>
      </w:pPr>
      <w:r w:rsidRPr="008D7785">
        <w:rPr>
          <w:b/>
          <w:bCs/>
          <w:sz w:val="24"/>
          <w:szCs w:val="24"/>
        </w:rPr>
        <w:t>Are there issues with making the link between human rights and climate change litigation?</w:t>
      </w:r>
    </w:p>
    <w:p w:rsidR="0089764E" w:rsidRPr="008D7785" w:rsidRDefault="0089764E" w:rsidP="008D7785">
      <w:pPr>
        <w:widowControl w:val="0"/>
        <w:autoSpaceDE w:val="0"/>
        <w:autoSpaceDN w:val="0"/>
        <w:spacing w:before="118" w:after="240"/>
        <w:ind w:right="-1"/>
        <w:jc w:val="both"/>
        <w:outlineLvl w:val="1"/>
        <w:rPr>
          <w:sz w:val="24"/>
          <w:szCs w:val="24"/>
        </w:rPr>
      </w:pPr>
      <w:r w:rsidRPr="008D7785">
        <w:rPr>
          <w:sz w:val="24"/>
          <w:szCs w:val="24"/>
        </w:rPr>
        <w:t>The main issue in Australia is a</w:t>
      </w:r>
      <w:r w:rsidR="0063298F">
        <w:rPr>
          <w:sz w:val="24"/>
          <w:szCs w:val="24"/>
        </w:rPr>
        <w:t xml:space="preserve"> woefully inadequate</w:t>
      </w:r>
      <w:r w:rsidRPr="008D7785">
        <w:rPr>
          <w:sz w:val="24"/>
          <w:szCs w:val="24"/>
        </w:rPr>
        <w:t xml:space="preserve"> lack of human rights protections in domestic law. Outside the three jurisdictions with human rights acts (Queensland, Victoria and ACT), there is no ability for plaintiffs to make human </w:t>
      </w:r>
      <w:r w:rsidR="0063298F" w:rsidRPr="008D7785">
        <w:rPr>
          <w:sz w:val="24"/>
          <w:szCs w:val="24"/>
        </w:rPr>
        <w:t>rights-based</w:t>
      </w:r>
      <w:r w:rsidRPr="008D7785">
        <w:rPr>
          <w:sz w:val="24"/>
          <w:szCs w:val="24"/>
        </w:rPr>
        <w:t xml:space="preserve"> arguments in most Australian courts including at a federal level. </w:t>
      </w:r>
    </w:p>
    <w:p w:rsidR="0089764E" w:rsidRDefault="0089764E" w:rsidP="008D7785">
      <w:pPr>
        <w:widowControl w:val="0"/>
        <w:autoSpaceDE w:val="0"/>
        <w:autoSpaceDN w:val="0"/>
        <w:spacing w:before="118" w:after="240"/>
        <w:ind w:right="-1"/>
        <w:jc w:val="both"/>
        <w:outlineLvl w:val="1"/>
        <w:rPr>
          <w:sz w:val="24"/>
          <w:szCs w:val="24"/>
        </w:rPr>
      </w:pPr>
      <w:r w:rsidRPr="008D7785">
        <w:rPr>
          <w:sz w:val="24"/>
          <w:szCs w:val="24"/>
        </w:rPr>
        <w:t>The lack of available domestic remedies for climate change related human rights harms</w:t>
      </w:r>
      <w:r w:rsidR="0063298F">
        <w:rPr>
          <w:sz w:val="24"/>
          <w:szCs w:val="24"/>
        </w:rPr>
        <w:t>,</w:t>
      </w:r>
      <w:r w:rsidRPr="008D7785">
        <w:rPr>
          <w:sz w:val="24"/>
          <w:szCs w:val="24"/>
        </w:rPr>
        <w:t xml:space="preserve"> for example</w:t>
      </w:r>
      <w:r w:rsidR="0063298F">
        <w:rPr>
          <w:sz w:val="24"/>
          <w:szCs w:val="24"/>
        </w:rPr>
        <w:t>,</w:t>
      </w:r>
      <w:r w:rsidRPr="008D7785">
        <w:rPr>
          <w:sz w:val="24"/>
          <w:szCs w:val="24"/>
        </w:rPr>
        <w:t xml:space="preserve"> led to the complaint to the UN Human Rights committee in </w:t>
      </w:r>
      <w:r w:rsidRPr="008D7785">
        <w:rPr>
          <w:i/>
          <w:sz w:val="24"/>
          <w:szCs w:val="24"/>
        </w:rPr>
        <w:t>Daniel Billy and others v Australia</w:t>
      </w:r>
      <w:r w:rsidRPr="008D7785">
        <w:rPr>
          <w:sz w:val="24"/>
          <w:szCs w:val="24"/>
        </w:rPr>
        <w:t>.</w:t>
      </w:r>
      <w:r w:rsidRPr="008D7785">
        <w:rPr>
          <w:rStyle w:val="FootnoteReference"/>
          <w:sz w:val="24"/>
          <w:szCs w:val="24"/>
        </w:rPr>
        <w:footnoteReference w:id="3"/>
      </w:r>
      <w:r w:rsidRPr="008D7785">
        <w:rPr>
          <w:sz w:val="24"/>
          <w:szCs w:val="24"/>
        </w:rPr>
        <w:t xml:space="preserve"> </w:t>
      </w:r>
      <w:r w:rsidR="009633DF">
        <w:rPr>
          <w:sz w:val="24"/>
          <w:szCs w:val="24"/>
        </w:rPr>
        <w:t xml:space="preserve">In this case the </w:t>
      </w:r>
      <w:r w:rsidR="009633DF" w:rsidRPr="009633DF">
        <w:rPr>
          <w:sz w:val="24"/>
          <w:szCs w:val="24"/>
        </w:rPr>
        <w:t>UN Human Rights Committee found Australia had failed to protect from climate impacts the rights of Torres Strait Islander communities to culture, and freedom from arbitrary interferences with private life, family and home.</w:t>
      </w:r>
      <w:r w:rsidR="009633DF">
        <w:rPr>
          <w:rStyle w:val="FootnoteReference"/>
          <w:sz w:val="24"/>
          <w:szCs w:val="24"/>
        </w:rPr>
        <w:footnoteReference w:id="4"/>
      </w:r>
      <w:r w:rsidR="009633DF" w:rsidRPr="009633DF">
        <w:rPr>
          <w:sz w:val="24"/>
          <w:szCs w:val="24"/>
        </w:rPr>
        <w:t xml:space="preserve">  </w:t>
      </w:r>
    </w:p>
    <w:p w:rsidR="00CD1526" w:rsidRPr="008D7785" w:rsidRDefault="00CD1526" w:rsidP="008D7785">
      <w:pPr>
        <w:widowControl w:val="0"/>
        <w:autoSpaceDE w:val="0"/>
        <w:autoSpaceDN w:val="0"/>
        <w:spacing w:before="118" w:after="240"/>
        <w:ind w:right="-1"/>
        <w:jc w:val="both"/>
        <w:outlineLvl w:val="1"/>
        <w:rPr>
          <w:sz w:val="24"/>
          <w:szCs w:val="24"/>
        </w:rPr>
      </w:pPr>
    </w:p>
    <w:p w:rsidR="0063298F" w:rsidRPr="008D7785" w:rsidRDefault="0089764E" w:rsidP="0063298F">
      <w:pPr>
        <w:widowControl w:val="0"/>
        <w:autoSpaceDE w:val="0"/>
        <w:autoSpaceDN w:val="0"/>
        <w:spacing w:before="118" w:after="240" w:line="240" w:lineRule="auto"/>
        <w:ind w:right="1380"/>
        <w:jc w:val="both"/>
        <w:outlineLvl w:val="1"/>
        <w:rPr>
          <w:b/>
          <w:bCs/>
          <w:sz w:val="24"/>
          <w:szCs w:val="24"/>
        </w:rPr>
      </w:pPr>
      <w:r w:rsidRPr="008D7785">
        <w:rPr>
          <w:b/>
          <w:bCs/>
          <w:sz w:val="24"/>
          <w:szCs w:val="24"/>
        </w:rPr>
        <w:t xml:space="preserve">What do you think are the major barriers to initiating climate change litigation? </w:t>
      </w:r>
      <w:r w:rsidR="0063298F">
        <w:rPr>
          <w:b/>
          <w:bCs/>
          <w:sz w:val="24"/>
          <w:szCs w:val="24"/>
        </w:rPr>
        <w:t>And</w:t>
      </w:r>
      <w:r w:rsidR="00AD595C">
        <w:rPr>
          <w:b/>
          <w:bCs/>
          <w:sz w:val="24"/>
          <w:szCs w:val="24"/>
        </w:rPr>
        <w:t xml:space="preserve"> a</w:t>
      </w:r>
      <w:r w:rsidR="0063298F" w:rsidRPr="008D7785">
        <w:rPr>
          <w:b/>
          <w:bCs/>
          <w:sz w:val="24"/>
          <w:szCs w:val="24"/>
        </w:rPr>
        <w:t>re there particular issues with getting access to the courts?</w:t>
      </w:r>
    </w:p>
    <w:p w:rsidR="0063298F" w:rsidRPr="008D7785" w:rsidRDefault="0089764E" w:rsidP="008D7785">
      <w:pPr>
        <w:widowControl w:val="0"/>
        <w:autoSpaceDE w:val="0"/>
        <w:autoSpaceDN w:val="0"/>
        <w:spacing w:before="118" w:after="240"/>
        <w:ind w:right="-143"/>
        <w:jc w:val="both"/>
        <w:outlineLvl w:val="1"/>
        <w:rPr>
          <w:sz w:val="24"/>
          <w:szCs w:val="24"/>
        </w:rPr>
      </w:pPr>
      <w:r w:rsidRPr="008D7785">
        <w:rPr>
          <w:sz w:val="24"/>
          <w:szCs w:val="24"/>
        </w:rPr>
        <w:t>The main barrier to initiating climate litigation in Australia is cost. In Australia such public interest litigation is generally carried on by two community legal centres, Environmental Justice Australia in Victoria and the Environmental Defenders Office for the remainder of the country.  Litigation work is funded mainly by donations and resources are limited.</w:t>
      </w:r>
    </w:p>
    <w:p w:rsidR="0089764E" w:rsidRPr="008D7785" w:rsidRDefault="0089764E" w:rsidP="008D7785">
      <w:pPr>
        <w:widowControl w:val="0"/>
        <w:autoSpaceDE w:val="0"/>
        <w:autoSpaceDN w:val="0"/>
        <w:spacing w:before="118" w:after="240" w:line="240" w:lineRule="auto"/>
        <w:ind w:right="1380"/>
        <w:jc w:val="both"/>
        <w:outlineLvl w:val="1"/>
        <w:rPr>
          <w:b/>
          <w:bCs/>
          <w:sz w:val="24"/>
          <w:szCs w:val="24"/>
        </w:rPr>
      </w:pPr>
      <w:r w:rsidRPr="008D7785">
        <w:rPr>
          <w:b/>
          <w:bCs/>
          <w:sz w:val="24"/>
          <w:szCs w:val="24"/>
        </w:rPr>
        <w:t>Is the judiciary in your country well equipped to understand the connection between human rights and climate change?</w:t>
      </w:r>
    </w:p>
    <w:p w:rsidR="0089764E" w:rsidRPr="008D7785" w:rsidRDefault="0089764E" w:rsidP="008D7785">
      <w:pPr>
        <w:widowControl w:val="0"/>
        <w:autoSpaceDE w:val="0"/>
        <w:autoSpaceDN w:val="0"/>
        <w:spacing w:before="118" w:after="240"/>
        <w:ind w:right="140"/>
        <w:jc w:val="both"/>
        <w:outlineLvl w:val="1"/>
        <w:rPr>
          <w:sz w:val="24"/>
          <w:szCs w:val="24"/>
        </w:rPr>
      </w:pPr>
      <w:r w:rsidRPr="008D7785">
        <w:rPr>
          <w:sz w:val="24"/>
          <w:szCs w:val="24"/>
        </w:rPr>
        <w:t xml:space="preserve">In </w:t>
      </w:r>
      <w:r w:rsidRPr="0063298F">
        <w:rPr>
          <w:i/>
          <w:iCs/>
          <w:sz w:val="24"/>
          <w:szCs w:val="24"/>
        </w:rPr>
        <w:t>Youth Verdict</w:t>
      </w:r>
      <w:r w:rsidRPr="008D7785">
        <w:rPr>
          <w:sz w:val="24"/>
          <w:szCs w:val="24"/>
        </w:rPr>
        <w:t xml:space="preserve">, the judge demonstrated the ability to properly grapple with the connection between human rights and climate change. This was particularly noteworthy as it was the first time this area of law (human rights law) was heard in the particular court (the Queensland Land Court). However, given there has only been a single case on the subject, it is too early to judge the Court’s ability to understand the connection. </w:t>
      </w:r>
    </w:p>
    <w:p w:rsidR="0089764E" w:rsidRPr="008D7785" w:rsidRDefault="0089764E" w:rsidP="008D7785">
      <w:pPr>
        <w:spacing w:after="240"/>
        <w:jc w:val="both"/>
        <w:outlineLvl w:val="1"/>
        <w:rPr>
          <w:b/>
          <w:bCs/>
          <w:sz w:val="24"/>
          <w:szCs w:val="24"/>
        </w:rPr>
      </w:pPr>
      <w:r w:rsidRPr="008D7785">
        <w:rPr>
          <w:b/>
          <w:bCs/>
          <w:sz w:val="24"/>
          <w:szCs w:val="24"/>
        </w:rPr>
        <w:t>Advancement of the principle of intergenerational justice</w:t>
      </w:r>
      <w:r w:rsidR="0063298F">
        <w:rPr>
          <w:b/>
          <w:bCs/>
          <w:sz w:val="24"/>
          <w:szCs w:val="24"/>
        </w:rPr>
        <w:t>:</w:t>
      </w:r>
    </w:p>
    <w:p w:rsidR="0089764E" w:rsidRPr="008D7785" w:rsidRDefault="0089764E" w:rsidP="008D7785">
      <w:pPr>
        <w:widowControl w:val="0"/>
        <w:autoSpaceDE w:val="0"/>
        <w:autoSpaceDN w:val="0"/>
        <w:spacing w:before="118" w:after="0" w:line="240" w:lineRule="auto"/>
        <w:ind w:right="1380"/>
        <w:jc w:val="both"/>
        <w:rPr>
          <w:b/>
          <w:bCs/>
          <w:sz w:val="24"/>
          <w:szCs w:val="24"/>
        </w:rPr>
      </w:pPr>
      <w:r w:rsidRPr="008D7785">
        <w:rPr>
          <w:b/>
          <w:bCs/>
          <w:sz w:val="24"/>
          <w:szCs w:val="24"/>
        </w:rPr>
        <w:t>What examples do you have of how intergenerational justice, as it applies to climate change and human rights, has been incorporated into international law, national constitutions or domestic law?</w:t>
      </w:r>
    </w:p>
    <w:p w:rsidR="0089764E" w:rsidRPr="008D7785" w:rsidRDefault="0089764E" w:rsidP="008D7785">
      <w:pPr>
        <w:widowControl w:val="0"/>
        <w:autoSpaceDE w:val="0"/>
        <w:autoSpaceDN w:val="0"/>
        <w:spacing w:before="118"/>
        <w:ind w:right="-1"/>
        <w:jc w:val="both"/>
        <w:rPr>
          <w:sz w:val="24"/>
          <w:szCs w:val="24"/>
        </w:rPr>
      </w:pPr>
      <w:r w:rsidRPr="008D7785">
        <w:rPr>
          <w:sz w:val="24"/>
          <w:szCs w:val="24"/>
        </w:rPr>
        <w:t>Intergenerational justice is incorporated into Australian environmental law through the principle of ecologically sustainable development</w:t>
      </w:r>
      <w:r w:rsidR="007373F2">
        <w:rPr>
          <w:sz w:val="24"/>
          <w:szCs w:val="24"/>
        </w:rPr>
        <w:t xml:space="preserve"> (</w:t>
      </w:r>
      <w:r w:rsidR="007373F2" w:rsidRPr="007373F2">
        <w:rPr>
          <w:b/>
          <w:sz w:val="24"/>
          <w:szCs w:val="24"/>
        </w:rPr>
        <w:t>ESD</w:t>
      </w:r>
      <w:r w:rsidR="007373F2">
        <w:rPr>
          <w:sz w:val="24"/>
          <w:szCs w:val="24"/>
        </w:rPr>
        <w:t>)</w:t>
      </w:r>
      <w:r w:rsidRPr="008D7785">
        <w:rPr>
          <w:sz w:val="24"/>
          <w:szCs w:val="24"/>
        </w:rPr>
        <w:t>. In this context, it is referred to as “intergenerational equity”.</w:t>
      </w:r>
      <w:r w:rsidR="009633DF">
        <w:rPr>
          <w:rStyle w:val="FootnoteReference"/>
          <w:sz w:val="24"/>
          <w:szCs w:val="24"/>
        </w:rPr>
        <w:footnoteReference w:id="5"/>
      </w:r>
      <w:r w:rsidRPr="008D7785">
        <w:rPr>
          <w:sz w:val="24"/>
          <w:szCs w:val="24"/>
        </w:rPr>
        <w:t xml:space="preserve">  It is said to be that inter-generational equity provides that the present generation should ensure that the health, diversity and productivity of the environment are maintained or enhanced for future generations.</w:t>
      </w:r>
      <w:r w:rsidRPr="008D7785">
        <w:rPr>
          <w:rStyle w:val="FootnoteReference"/>
          <w:sz w:val="24"/>
          <w:szCs w:val="24"/>
        </w:rPr>
        <w:footnoteReference w:id="6"/>
      </w:r>
      <w:r w:rsidRPr="008D7785">
        <w:rPr>
          <w:sz w:val="24"/>
          <w:szCs w:val="24"/>
        </w:rPr>
        <w:t xml:space="preserve"> This has allowed the consideration of intergenerational justice and climate change outside the human rights context. For example</w:t>
      </w:r>
      <w:r w:rsidR="003C4045">
        <w:rPr>
          <w:sz w:val="24"/>
          <w:szCs w:val="24"/>
        </w:rPr>
        <w:t>,</w:t>
      </w:r>
      <w:r w:rsidRPr="008D7785">
        <w:rPr>
          <w:sz w:val="24"/>
          <w:szCs w:val="24"/>
        </w:rPr>
        <w:t xml:space="preserve"> in </w:t>
      </w:r>
      <w:r w:rsidRPr="008D7785">
        <w:rPr>
          <w:i/>
          <w:sz w:val="24"/>
          <w:szCs w:val="24"/>
        </w:rPr>
        <w:t>Gloucester Resources Ltd v Minister for Planning,</w:t>
      </w:r>
      <w:r w:rsidRPr="008D7785">
        <w:rPr>
          <w:rStyle w:val="FootnoteReference"/>
          <w:i/>
          <w:sz w:val="24"/>
          <w:szCs w:val="24"/>
        </w:rPr>
        <w:footnoteReference w:id="7"/>
      </w:r>
      <w:r w:rsidRPr="008D7785">
        <w:rPr>
          <w:sz w:val="24"/>
          <w:szCs w:val="24"/>
        </w:rPr>
        <w:t xml:space="preserve"> an Australian court found that the economic benefits of a coal mine would be enjoyed only by present generations while environmental impacts, including climate impacts would burden future generations.</w:t>
      </w:r>
      <w:r w:rsidRPr="008D7785">
        <w:rPr>
          <w:rStyle w:val="FootnoteReference"/>
          <w:sz w:val="24"/>
          <w:szCs w:val="24"/>
        </w:rPr>
        <w:footnoteReference w:id="8"/>
      </w:r>
    </w:p>
    <w:p w:rsidR="0089764E" w:rsidRPr="008D7785" w:rsidRDefault="0089764E" w:rsidP="008D7785">
      <w:pPr>
        <w:widowControl w:val="0"/>
        <w:autoSpaceDE w:val="0"/>
        <w:autoSpaceDN w:val="0"/>
        <w:spacing w:before="118" w:after="0" w:line="240" w:lineRule="auto"/>
        <w:ind w:right="1380"/>
        <w:jc w:val="both"/>
        <w:rPr>
          <w:b/>
          <w:bCs/>
          <w:sz w:val="24"/>
          <w:szCs w:val="24"/>
        </w:rPr>
      </w:pPr>
      <w:r w:rsidRPr="008D7785">
        <w:rPr>
          <w:b/>
          <w:bCs/>
          <w:sz w:val="24"/>
          <w:szCs w:val="24"/>
        </w:rPr>
        <w:t>How would you best define intergenerational justice in the context of climate change and human rights?</w:t>
      </w:r>
    </w:p>
    <w:p w:rsidR="0089764E" w:rsidRPr="008D7785" w:rsidRDefault="0089764E" w:rsidP="008D7785">
      <w:pPr>
        <w:widowControl w:val="0"/>
        <w:autoSpaceDE w:val="0"/>
        <w:autoSpaceDN w:val="0"/>
        <w:spacing w:before="118"/>
        <w:ind w:right="-1"/>
        <w:jc w:val="both"/>
        <w:rPr>
          <w:sz w:val="24"/>
          <w:szCs w:val="24"/>
        </w:rPr>
      </w:pPr>
      <w:r w:rsidRPr="008D7785">
        <w:rPr>
          <w:sz w:val="24"/>
          <w:szCs w:val="24"/>
        </w:rPr>
        <w:t xml:space="preserve">We consider </w:t>
      </w:r>
      <w:r w:rsidR="00AC6D5C">
        <w:rPr>
          <w:sz w:val="24"/>
          <w:szCs w:val="24"/>
        </w:rPr>
        <w:t xml:space="preserve">that </w:t>
      </w:r>
      <w:r w:rsidRPr="008D7785">
        <w:rPr>
          <w:sz w:val="24"/>
          <w:szCs w:val="24"/>
        </w:rPr>
        <w:t>intergenerational justice in the context of climate change and human rights means ensuring the Earth System is kept in a state conducive to the e</w:t>
      </w:r>
      <w:r w:rsidR="00AC6D5C">
        <w:rPr>
          <w:sz w:val="24"/>
          <w:szCs w:val="24"/>
        </w:rPr>
        <w:t>qual e</w:t>
      </w:r>
      <w:r w:rsidRPr="008D7785">
        <w:rPr>
          <w:sz w:val="24"/>
          <w:szCs w:val="24"/>
        </w:rPr>
        <w:t>njoyment of human rights. This is necessary because all human rights are dependent upon the continued ecological conditions which have existed over the time period known as the Holocene. Those that have benefited from Holocene ecological conditions do not have the right to destabilise the Earth System in full knowledge that it will lead to ecological conditions incompatible with the e</w:t>
      </w:r>
      <w:r w:rsidR="00AC6D5C">
        <w:rPr>
          <w:sz w:val="24"/>
          <w:szCs w:val="24"/>
        </w:rPr>
        <w:t>qual e</w:t>
      </w:r>
      <w:r w:rsidRPr="008D7785">
        <w:rPr>
          <w:sz w:val="24"/>
          <w:szCs w:val="24"/>
        </w:rPr>
        <w:t xml:space="preserve">njoyment of human rights in the future. </w:t>
      </w:r>
    </w:p>
    <w:p w:rsidR="0089764E" w:rsidRPr="008D7785" w:rsidRDefault="0089764E" w:rsidP="008D7785">
      <w:pPr>
        <w:widowControl w:val="0"/>
        <w:autoSpaceDE w:val="0"/>
        <w:autoSpaceDN w:val="0"/>
        <w:spacing w:before="118" w:after="0" w:line="240" w:lineRule="auto"/>
        <w:ind w:right="1380"/>
        <w:jc w:val="both"/>
        <w:rPr>
          <w:b/>
          <w:bCs/>
          <w:sz w:val="24"/>
          <w:szCs w:val="24"/>
        </w:rPr>
      </w:pPr>
      <w:r w:rsidRPr="008D7785">
        <w:rPr>
          <w:b/>
          <w:bCs/>
          <w:sz w:val="24"/>
          <w:szCs w:val="24"/>
        </w:rPr>
        <w:t>Has the concept of intergenerational justice been incorporated into climate change litigation?</w:t>
      </w:r>
    </w:p>
    <w:p w:rsidR="0089764E" w:rsidRPr="008D7785" w:rsidRDefault="0089764E" w:rsidP="008D7785">
      <w:pPr>
        <w:widowControl w:val="0"/>
        <w:autoSpaceDE w:val="0"/>
        <w:autoSpaceDN w:val="0"/>
        <w:spacing w:before="118"/>
        <w:ind w:right="-1"/>
        <w:jc w:val="both"/>
        <w:rPr>
          <w:sz w:val="24"/>
          <w:szCs w:val="24"/>
        </w:rPr>
      </w:pPr>
      <w:r w:rsidRPr="008D7785">
        <w:rPr>
          <w:sz w:val="24"/>
          <w:szCs w:val="24"/>
        </w:rPr>
        <w:t xml:space="preserve">In </w:t>
      </w:r>
      <w:r w:rsidRPr="00AC6D5C">
        <w:rPr>
          <w:i/>
          <w:iCs/>
          <w:sz w:val="24"/>
          <w:szCs w:val="24"/>
        </w:rPr>
        <w:t>Youth Verdict</w:t>
      </w:r>
      <w:r w:rsidRPr="008D7785">
        <w:rPr>
          <w:sz w:val="24"/>
          <w:szCs w:val="24"/>
        </w:rPr>
        <w:t xml:space="preserve"> the principle of intergenerational equity was applied to climate change in the context of human rights in that the rights of children</w:t>
      </w:r>
      <w:r w:rsidR="00AC6D5C">
        <w:rPr>
          <w:sz w:val="24"/>
          <w:szCs w:val="24"/>
        </w:rPr>
        <w:t>,</w:t>
      </w:r>
      <w:r w:rsidRPr="008D7785">
        <w:rPr>
          <w:sz w:val="24"/>
          <w:szCs w:val="24"/>
        </w:rPr>
        <w:t xml:space="preserve"> both living and future generations</w:t>
      </w:r>
      <w:r w:rsidR="00AC6D5C">
        <w:rPr>
          <w:sz w:val="24"/>
          <w:szCs w:val="24"/>
        </w:rPr>
        <w:t>,</w:t>
      </w:r>
      <w:r w:rsidRPr="008D7785">
        <w:rPr>
          <w:sz w:val="24"/>
          <w:szCs w:val="24"/>
        </w:rPr>
        <w:t xml:space="preserve"> needed to be taken into account. </w:t>
      </w:r>
      <w:r w:rsidR="00AC6D5C">
        <w:rPr>
          <w:sz w:val="24"/>
          <w:szCs w:val="24"/>
        </w:rPr>
        <w:t>On this point, t</w:t>
      </w:r>
      <w:r w:rsidRPr="008D7785">
        <w:rPr>
          <w:sz w:val="24"/>
          <w:szCs w:val="24"/>
        </w:rPr>
        <w:t>he Court found that the climate impact on present and future generations of children weighed against approving the mine.</w:t>
      </w:r>
      <w:r w:rsidRPr="008D7785">
        <w:rPr>
          <w:rStyle w:val="FootnoteReference"/>
          <w:sz w:val="24"/>
          <w:szCs w:val="24"/>
        </w:rPr>
        <w:footnoteReference w:id="9"/>
      </w:r>
      <w:r w:rsidRPr="008D7785">
        <w:rPr>
          <w:sz w:val="24"/>
          <w:szCs w:val="24"/>
        </w:rPr>
        <w:t xml:space="preserve"> </w:t>
      </w:r>
    </w:p>
    <w:p w:rsidR="0089764E" w:rsidRPr="008D7785" w:rsidRDefault="0089764E" w:rsidP="008D7785">
      <w:pPr>
        <w:widowControl w:val="0"/>
        <w:autoSpaceDE w:val="0"/>
        <w:autoSpaceDN w:val="0"/>
        <w:spacing w:before="118" w:after="240"/>
        <w:ind w:right="1380"/>
        <w:jc w:val="both"/>
        <w:outlineLvl w:val="1"/>
        <w:rPr>
          <w:b/>
          <w:bCs/>
          <w:sz w:val="24"/>
          <w:szCs w:val="24"/>
        </w:rPr>
      </w:pPr>
      <w:r w:rsidRPr="008D7785">
        <w:rPr>
          <w:b/>
          <w:bCs/>
          <w:sz w:val="24"/>
          <w:szCs w:val="24"/>
        </w:rPr>
        <w:t xml:space="preserve">Intergenerational justice appears </w:t>
      </w:r>
    </w:p>
    <w:p w:rsidR="0089764E" w:rsidRPr="008D7785" w:rsidRDefault="0089764E" w:rsidP="008D7785">
      <w:pPr>
        <w:widowControl w:val="0"/>
        <w:autoSpaceDE w:val="0"/>
        <w:autoSpaceDN w:val="0"/>
        <w:spacing w:before="118" w:after="240" w:line="240" w:lineRule="auto"/>
        <w:ind w:right="1380"/>
        <w:jc w:val="both"/>
        <w:outlineLvl w:val="1"/>
        <w:rPr>
          <w:b/>
          <w:bCs/>
          <w:sz w:val="24"/>
          <w:szCs w:val="24"/>
        </w:rPr>
      </w:pPr>
      <w:r w:rsidRPr="008D7785">
        <w:rPr>
          <w:b/>
          <w:bCs/>
          <w:sz w:val="24"/>
          <w:szCs w:val="24"/>
        </w:rPr>
        <w:t>How can States incorporate the concept of intergenerational justice in their national constitutions and legislation? What are some good practices in that respect?</w:t>
      </w:r>
    </w:p>
    <w:p w:rsidR="0089764E" w:rsidRPr="008D7785" w:rsidRDefault="0089764E" w:rsidP="008D7785">
      <w:pPr>
        <w:widowControl w:val="0"/>
        <w:autoSpaceDE w:val="0"/>
        <w:autoSpaceDN w:val="0"/>
        <w:spacing w:before="118" w:after="240"/>
        <w:ind w:right="1380"/>
        <w:jc w:val="both"/>
        <w:outlineLvl w:val="1"/>
        <w:rPr>
          <w:sz w:val="24"/>
          <w:szCs w:val="24"/>
        </w:rPr>
      </w:pPr>
      <w:r w:rsidRPr="008D7785">
        <w:rPr>
          <w:sz w:val="24"/>
          <w:szCs w:val="24"/>
        </w:rPr>
        <w:t>The concept of intergenerational justice has entered Australian law through the common law as part of the principle of ESD.</w:t>
      </w:r>
      <w:r w:rsidRPr="008D7785">
        <w:rPr>
          <w:rStyle w:val="FootnoteReference"/>
          <w:sz w:val="24"/>
          <w:szCs w:val="24"/>
        </w:rPr>
        <w:footnoteReference w:id="10"/>
      </w:r>
      <w:r w:rsidRPr="008D7785">
        <w:rPr>
          <w:sz w:val="24"/>
          <w:szCs w:val="24"/>
        </w:rPr>
        <w:t xml:space="preserve"> </w:t>
      </w:r>
    </w:p>
    <w:p w:rsidR="007871C3" w:rsidRDefault="0089764E" w:rsidP="008D7785">
      <w:pPr>
        <w:widowControl w:val="0"/>
        <w:autoSpaceDE w:val="0"/>
        <w:autoSpaceDN w:val="0"/>
        <w:spacing w:before="118" w:after="240"/>
        <w:ind w:right="1380"/>
        <w:jc w:val="both"/>
        <w:outlineLvl w:val="1"/>
        <w:rPr>
          <w:sz w:val="24"/>
          <w:szCs w:val="24"/>
        </w:rPr>
      </w:pPr>
      <w:r w:rsidRPr="008D7785">
        <w:rPr>
          <w:sz w:val="24"/>
          <w:szCs w:val="24"/>
        </w:rPr>
        <w:t xml:space="preserve">In some jurisdictions such as NSW, ESD has been enshrined in legislation. For example the </w:t>
      </w:r>
      <w:r w:rsidRPr="000A5030">
        <w:rPr>
          <w:i/>
          <w:iCs/>
          <w:sz w:val="24"/>
          <w:szCs w:val="24"/>
        </w:rPr>
        <w:t>P</w:t>
      </w:r>
      <w:r w:rsidR="00AC6D5C" w:rsidRPr="000A5030">
        <w:rPr>
          <w:i/>
          <w:iCs/>
          <w:sz w:val="24"/>
          <w:szCs w:val="24"/>
        </w:rPr>
        <w:t xml:space="preserve">rotect of the </w:t>
      </w:r>
      <w:r w:rsidRPr="000A5030">
        <w:rPr>
          <w:i/>
          <w:iCs/>
          <w:sz w:val="24"/>
          <w:szCs w:val="24"/>
        </w:rPr>
        <w:t>E</w:t>
      </w:r>
      <w:r w:rsidR="00AC6D5C" w:rsidRPr="000A5030">
        <w:rPr>
          <w:i/>
          <w:iCs/>
          <w:sz w:val="24"/>
          <w:szCs w:val="24"/>
        </w:rPr>
        <w:t>nvironment</w:t>
      </w:r>
      <w:r w:rsidR="000A5030" w:rsidRPr="000A5030">
        <w:rPr>
          <w:i/>
          <w:iCs/>
          <w:sz w:val="24"/>
          <w:szCs w:val="24"/>
        </w:rPr>
        <w:t xml:space="preserve"> </w:t>
      </w:r>
      <w:r w:rsidRPr="000A5030">
        <w:rPr>
          <w:i/>
          <w:iCs/>
          <w:sz w:val="24"/>
          <w:szCs w:val="24"/>
        </w:rPr>
        <w:t>A</w:t>
      </w:r>
      <w:r w:rsidR="000A5030" w:rsidRPr="000A5030">
        <w:rPr>
          <w:i/>
          <w:iCs/>
          <w:sz w:val="24"/>
          <w:szCs w:val="24"/>
        </w:rPr>
        <w:t>dministration Act 1991</w:t>
      </w:r>
      <w:r w:rsidRPr="008D7785">
        <w:rPr>
          <w:sz w:val="24"/>
          <w:szCs w:val="24"/>
        </w:rPr>
        <w:t xml:space="preserve"> provides that the NSW Environmental Protection Agency </w:t>
      </w:r>
      <w:r w:rsidR="007373F2">
        <w:rPr>
          <w:sz w:val="24"/>
          <w:szCs w:val="24"/>
        </w:rPr>
        <w:t>(</w:t>
      </w:r>
      <w:r w:rsidR="007373F2" w:rsidRPr="007373F2">
        <w:rPr>
          <w:b/>
          <w:sz w:val="24"/>
          <w:szCs w:val="24"/>
        </w:rPr>
        <w:t>EPA</w:t>
      </w:r>
      <w:r w:rsidR="007373F2">
        <w:rPr>
          <w:sz w:val="24"/>
          <w:szCs w:val="24"/>
        </w:rPr>
        <w:t xml:space="preserve">) </w:t>
      </w:r>
      <w:r w:rsidRPr="008D7785">
        <w:rPr>
          <w:sz w:val="24"/>
          <w:szCs w:val="24"/>
        </w:rPr>
        <w:t>should have regard</w:t>
      </w:r>
      <w:r w:rsidR="000A5030">
        <w:rPr>
          <w:sz w:val="24"/>
          <w:szCs w:val="24"/>
        </w:rPr>
        <w:t>,</w:t>
      </w:r>
      <w:r w:rsidRPr="008D7785">
        <w:rPr>
          <w:sz w:val="24"/>
          <w:szCs w:val="24"/>
        </w:rPr>
        <w:t xml:space="preserve"> when carrying out its regulatory functions</w:t>
      </w:r>
      <w:r w:rsidR="000A5030">
        <w:rPr>
          <w:sz w:val="24"/>
          <w:szCs w:val="24"/>
        </w:rPr>
        <w:t>,</w:t>
      </w:r>
      <w:r w:rsidRPr="008D7785">
        <w:rPr>
          <w:sz w:val="24"/>
          <w:szCs w:val="24"/>
        </w:rPr>
        <w:t xml:space="preserve"> to the need to maintain ESD, including by taking into account the principle of intergenerational equity.</w:t>
      </w:r>
      <w:r w:rsidRPr="008D7785">
        <w:rPr>
          <w:rStyle w:val="FootnoteReference"/>
          <w:sz w:val="24"/>
          <w:szCs w:val="24"/>
        </w:rPr>
        <w:footnoteReference w:id="11"/>
      </w:r>
      <w:r w:rsidRPr="008D7785">
        <w:rPr>
          <w:sz w:val="24"/>
          <w:szCs w:val="24"/>
        </w:rPr>
        <w:t xml:space="preserve"> </w:t>
      </w:r>
      <w:r w:rsidR="007871C3">
        <w:rPr>
          <w:sz w:val="24"/>
          <w:szCs w:val="24"/>
        </w:rPr>
        <w:t xml:space="preserve">Intergenerational equity is defined in this legislation as: </w:t>
      </w:r>
    </w:p>
    <w:p w:rsidR="007871C3" w:rsidRDefault="007871C3" w:rsidP="007871C3">
      <w:pPr>
        <w:widowControl w:val="0"/>
        <w:autoSpaceDE w:val="0"/>
        <w:autoSpaceDN w:val="0"/>
        <w:spacing w:before="118" w:after="240"/>
        <w:ind w:left="720" w:right="1380"/>
        <w:jc w:val="both"/>
        <w:outlineLvl w:val="1"/>
        <w:rPr>
          <w:sz w:val="24"/>
          <w:szCs w:val="24"/>
        </w:rPr>
      </w:pPr>
      <w:r w:rsidRPr="007871C3">
        <w:rPr>
          <w:color w:val="000000"/>
          <w:sz w:val="24"/>
          <w:szCs w:val="24"/>
          <w:shd w:val="clear" w:color="auto" w:fill="FFFFFF"/>
        </w:rPr>
        <w:t>that the present generation should ensure that the health, diversity and productivity of the environment are maintained or enhanced for the benefit of future generations</w:t>
      </w:r>
    </w:p>
    <w:p w:rsidR="0089764E" w:rsidRPr="002E4D48" w:rsidRDefault="007373F2" w:rsidP="008D7785">
      <w:pPr>
        <w:widowControl w:val="0"/>
        <w:autoSpaceDE w:val="0"/>
        <w:autoSpaceDN w:val="0"/>
        <w:spacing w:before="118" w:after="240"/>
        <w:ind w:right="1380"/>
        <w:jc w:val="both"/>
        <w:outlineLvl w:val="1"/>
        <w:rPr>
          <w:sz w:val="24"/>
          <w:szCs w:val="24"/>
        </w:rPr>
      </w:pPr>
      <w:r w:rsidRPr="002E4D48">
        <w:rPr>
          <w:sz w:val="24"/>
          <w:szCs w:val="24"/>
        </w:rPr>
        <w:t xml:space="preserve">In </w:t>
      </w:r>
      <w:r w:rsidR="007871C3" w:rsidRPr="002E4D48">
        <w:rPr>
          <w:bCs/>
          <w:i/>
          <w:sz w:val="24"/>
          <w:szCs w:val="24"/>
        </w:rPr>
        <w:t>Bushfire Survivors for Climate Action Incorporated v Environment Protection Authority</w:t>
      </w:r>
      <w:r w:rsidR="007871C3" w:rsidRPr="002E4D48">
        <w:rPr>
          <w:bCs/>
          <w:sz w:val="24"/>
          <w:szCs w:val="24"/>
        </w:rPr>
        <w:t>,</w:t>
      </w:r>
      <w:r w:rsidR="002E4D48">
        <w:rPr>
          <w:rStyle w:val="FootnoteReference"/>
          <w:bCs/>
          <w:sz w:val="24"/>
          <w:szCs w:val="24"/>
        </w:rPr>
        <w:footnoteReference w:id="12"/>
      </w:r>
      <w:r w:rsidR="007871C3" w:rsidRPr="002E4D48">
        <w:rPr>
          <w:bCs/>
          <w:sz w:val="24"/>
          <w:szCs w:val="24"/>
        </w:rPr>
        <w:t xml:space="preserve"> the court found that the EPA’s objects</w:t>
      </w:r>
      <w:r w:rsidR="002E4D48" w:rsidRPr="002E4D48">
        <w:rPr>
          <w:bCs/>
          <w:sz w:val="24"/>
          <w:szCs w:val="24"/>
        </w:rPr>
        <w:t xml:space="preserve"> to maintain ESD necessarily includes protecting the environment from climate change.</w:t>
      </w:r>
      <w:r w:rsidR="002E4D48">
        <w:rPr>
          <w:rStyle w:val="FootnoteReference"/>
          <w:bCs/>
          <w:sz w:val="24"/>
          <w:szCs w:val="24"/>
        </w:rPr>
        <w:footnoteReference w:id="13"/>
      </w:r>
      <w:r w:rsidR="002E4D48" w:rsidRPr="002E4D48">
        <w:rPr>
          <w:bCs/>
          <w:sz w:val="24"/>
          <w:szCs w:val="24"/>
        </w:rPr>
        <w:t xml:space="preserve"> This formed part of the reasoning that led the Court to order that the EPA implement policies to protect the </w:t>
      </w:r>
      <w:r w:rsidR="002E4D48">
        <w:rPr>
          <w:bCs/>
          <w:sz w:val="24"/>
          <w:szCs w:val="24"/>
        </w:rPr>
        <w:t xml:space="preserve">NSW </w:t>
      </w:r>
      <w:r w:rsidR="002E4D48" w:rsidRPr="002E4D48">
        <w:rPr>
          <w:bCs/>
          <w:sz w:val="24"/>
          <w:szCs w:val="24"/>
        </w:rPr>
        <w:t xml:space="preserve">environment from climate change.  </w:t>
      </w:r>
    </w:p>
    <w:p w:rsidR="00203592" w:rsidRDefault="0089764E" w:rsidP="0041624B">
      <w:pPr>
        <w:tabs>
          <w:tab w:val="left" w:pos="6746"/>
        </w:tabs>
        <w:spacing w:after="0" w:line="240" w:lineRule="auto"/>
        <w:ind w:hanging="2"/>
        <w:jc w:val="both"/>
        <w:rPr>
          <w:rFonts w:eastAsia="Arial" w:cs="Arial"/>
        </w:rPr>
      </w:pPr>
      <w:r>
        <w:rPr>
          <w:rFonts w:eastAsia="Arial" w:cs="Arial"/>
        </w:rPr>
        <w:t>This submission was prepared by Jay Gillieatt.</w:t>
      </w:r>
      <w:r w:rsidR="00076895">
        <w:rPr>
          <w:rFonts w:eastAsia="Arial" w:cs="Arial"/>
        </w:rPr>
        <w:t xml:space="preserve"> We trust that it assists.</w:t>
      </w:r>
    </w:p>
    <w:p w:rsidR="00203592" w:rsidRDefault="00203592" w:rsidP="006A273F">
      <w:pPr>
        <w:tabs>
          <w:tab w:val="left" w:pos="6746"/>
        </w:tabs>
        <w:spacing w:after="0" w:line="240" w:lineRule="auto"/>
        <w:rPr>
          <w:rFonts w:eastAsia="Arial" w:cs="Arial"/>
        </w:rPr>
      </w:pPr>
    </w:p>
    <w:p w:rsidR="00203592" w:rsidRDefault="00F319A6">
      <w:pPr>
        <w:tabs>
          <w:tab w:val="left" w:pos="6746"/>
        </w:tabs>
        <w:spacing w:after="0" w:line="240" w:lineRule="auto"/>
        <w:ind w:hanging="2"/>
        <w:rPr>
          <w:rFonts w:eastAsia="Arial" w:cs="Arial"/>
        </w:rPr>
      </w:pPr>
      <w:r>
        <w:rPr>
          <w:rFonts w:eastAsia="Arial" w:cs="Arial"/>
        </w:rPr>
        <w:t xml:space="preserve">Yours sincerely, </w:t>
      </w:r>
    </w:p>
    <w:p w:rsidR="00203592" w:rsidRDefault="00F319A6">
      <w:pPr>
        <w:tabs>
          <w:tab w:val="left" w:pos="6746"/>
        </w:tabs>
        <w:spacing w:after="0" w:line="240" w:lineRule="auto"/>
        <w:ind w:hanging="2"/>
        <w:rPr>
          <w:rFonts w:eastAsia="Arial" w:cs="Arial"/>
        </w:rPr>
      </w:pPr>
      <w:r>
        <w:rPr>
          <w:rFonts w:eastAsia="Arial" w:cs="Arial"/>
        </w:rPr>
        <w:br/>
      </w:r>
    </w:p>
    <w:p w:rsidR="00203592" w:rsidRDefault="006A273F">
      <w:pPr>
        <w:tabs>
          <w:tab w:val="left" w:pos="6746"/>
        </w:tabs>
        <w:spacing w:after="0" w:line="240" w:lineRule="auto"/>
        <w:ind w:hanging="2"/>
        <w:rPr>
          <w:rFonts w:eastAsia="Arial" w:cs="Arial"/>
        </w:rPr>
      </w:pPr>
      <w:r>
        <w:rPr>
          <w:rFonts w:eastAsia="Arial" w:cs="Arial"/>
          <w:noProof/>
        </w:rPr>
        <w:drawing>
          <wp:inline distT="0" distB="0" distL="0" distR="0" wp14:anchorId="76AD01B3" wp14:editId="2C710CA3">
            <wp:extent cx="1110202" cy="689426"/>
            <wp:effectExtent l="0" t="0" r="0" b="0"/>
            <wp:docPr id="1115183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83756" name="Picture 111518375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4202" cy="698120"/>
                    </a:xfrm>
                    <a:prstGeom prst="rect">
                      <a:avLst/>
                    </a:prstGeom>
                  </pic:spPr>
                </pic:pic>
              </a:graphicData>
            </a:graphic>
          </wp:inline>
        </w:drawing>
      </w:r>
    </w:p>
    <w:p w:rsidR="00203592" w:rsidRDefault="00203592">
      <w:pPr>
        <w:tabs>
          <w:tab w:val="left" w:pos="6746"/>
        </w:tabs>
        <w:spacing w:after="0" w:line="240" w:lineRule="auto"/>
        <w:ind w:hanging="2"/>
        <w:rPr>
          <w:rFonts w:eastAsia="Arial" w:cs="Arial"/>
        </w:rPr>
      </w:pPr>
    </w:p>
    <w:p w:rsidR="00203592" w:rsidRDefault="00706E73">
      <w:pPr>
        <w:tabs>
          <w:tab w:val="left" w:pos="6746"/>
        </w:tabs>
        <w:spacing w:after="0" w:line="240" w:lineRule="auto"/>
        <w:ind w:hanging="2"/>
        <w:rPr>
          <w:rFonts w:eastAsia="Arial" w:cs="Arial"/>
          <w:b/>
        </w:rPr>
      </w:pPr>
      <w:r>
        <w:rPr>
          <w:rFonts w:eastAsia="Arial" w:cs="Arial"/>
          <w:b/>
        </w:rPr>
        <w:t>Josh Pallas</w:t>
      </w:r>
    </w:p>
    <w:p w:rsidR="00706E73" w:rsidRDefault="00706E73">
      <w:pPr>
        <w:tabs>
          <w:tab w:val="left" w:pos="6746"/>
        </w:tabs>
        <w:spacing w:after="0" w:line="240" w:lineRule="auto"/>
        <w:ind w:hanging="2"/>
        <w:rPr>
          <w:rFonts w:eastAsia="Arial" w:cs="Arial"/>
        </w:rPr>
      </w:pPr>
      <w:r>
        <w:rPr>
          <w:rFonts w:eastAsia="Arial" w:cs="Arial"/>
          <w:b/>
        </w:rPr>
        <w:t>President</w:t>
      </w:r>
    </w:p>
    <w:p w:rsidR="00203592" w:rsidRDefault="00F319A6">
      <w:pPr>
        <w:tabs>
          <w:tab w:val="left" w:pos="6746"/>
        </w:tabs>
        <w:spacing w:after="0" w:line="240" w:lineRule="auto"/>
        <w:ind w:hanging="2"/>
        <w:rPr>
          <w:rFonts w:eastAsia="Arial" w:cs="Arial"/>
        </w:rPr>
      </w:pPr>
      <w:r>
        <w:rPr>
          <w:rFonts w:eastAsia="Arial" w:cs="Arial"/>
          <w:b/>
        </w:rPr>
        <w:t xml:space="preserve">NSW Council for Civil Liberties </w:t>
      </w:r>
    </w:p>
    <w:p w:rsidR="00203592" w:rsidRDefault="00203592">
      <w:pPr>
        <w:tabs>
          <w:tab w:val="left" w:pos="6746"/>
        </w:tabs>
        <w:spacing w:after="0" w:line="240" w:lineRule="auto"/>
        <w:ind w:hanging="2"/>
        <w:rPr>
          <w:rFonts w:eastAsia="Arial" w:cs="Arial"/>
        </w:rPr>
      </w:pPr>
    </w:p>
    <w:p w:rsidR="00203592" w:rsidRDefault="00F319A6">
      <w:pPr>
        <w:tabs>
          <w:tab w:val="left" w:pos="6746"/>
        </w:tabs>
        <w:spacing w:after="0" w:line="240" w:lineRule="auto"/>
        <w:ind w:hanging="2"/>
        <w:rPr>
          <w:rFonts w:eastAsia="Arial" w:cs="Arial"/>
        </w:rPr>
      </w:pPr>
      <w:r>
        <w:rPr>
          <w:rFonts w:eastAsia="Arial" w:cs="Arial"/>
        </w:rPr>
        <w:t xml:space="preserve">Contact in relation to this submission: </w:t>
      </w:r>
      <w:r w:rsidR="006A273F">
        <w:rPr>
          <w:rFonts w:eastAsia="Arial" w:cs="Arial"/>
        </w:rPr>
        <w:t>Josh Pallas</w:t>
      </w:r>
    </w:p>
    <w:p w:rsidR="00203592" w:rsidRDefault="00F319A6">
      <w:pPr>
        <w:tabs>
          <w:tab w:val="left" w:pos="6746"/>
        </w:tabs>
        <w:spacing w:after="0" w:line="240" w:lineRule="auto"/>
        <w:ind w:hanging="2"/>
        <w:rPr>
          <w:rFonts w:eastAsia="Arial" w:cs="Arial"/>
          <w:b/>
        </w:rPr>
      </w:pPr>
      <w:r>
        <w:rPr>
          <w:rFonts w:eastAsia="Arial" w:cs="Arial"/>
        </w:rPr>
        <w:t xml:space="preserve">Email: </w:t>
      </w:r>
      <w:hyperlink r:id="rId14" w:history="1">
        <w:r w:rsidR="006A273F" w:rsidRPr="0001755C">
          <w:rPr>
            <w:rStyle w:val="Hyperlink"/>
            <w:rFonts w:eastAsia="Arial" w:cs="Arial"/>
          </w:rPr>
          <w:t>josh.pallas@nswccl.org.au</w:t>
        </w:r>
      </w:hyperlink>
      <w:r w:rsidR="006A273F">
        <w:rPr>
          <w:rFonts w:eastAsia="Arial" w:cs="Arial"/>
        </w:rPr>
        <w:t xml:space="preserve"> </w:t>
      </w:r>
      <w:r>
        <w:rPr>
          <w:rFonts w:eastAsia="Arial" w:cs="Arial"/>
        </w:rPr>
        <w:t xml:space="preserve">Mobile: </w:t>
      </w:r>
      <w:r w:rsidR="006A273F">
        <w:rPr>
          <w:rFonts w:eastAsia="Arial" w:cs="Arial"/>
        </w:rPr>
        <w:t>0458 605 281</w:t>
      </w:r>
    </w:p>
    <w:sectPr w:rsidR="00203592">
      <w:headerReference w:type="even" r:id="rId15"/>
      <w:headerReference w:type="default" r:id="rId16"/>
      <w:footerReference w:type="even" r:id="rId17"/>
      <w:footerReference w:type="default" r:id="rId18"/>
      <w:headerReference w:type="first" r:id="rId19"/>
      <w:footerReference w:type="first" r:id="rId20"/>
      <w:pgSz w:w="11906" w:h="16838"/>
      <w:pgMar w:top="945" w:right="907" w:bottom="907" w:left="907" w:header="0" w:footer="1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376" w:rsidRDefault="00280376">
      <w:pPr>
        <w:spacing w:after="0" w:line="240" w:lineRule="auto"/>
      </w:pPr>
      <w:r>
        <w:separator/>
      </w:r>
    </w:p>
  </w:endnote>
  <w:endnote w:type="continuationSeparator" w:id="0">
    <w:p w:rsidR="00280376" w:rsidRDefault="0028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216" w:rsidRDefault="0025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3592" w:rsidRDefault="00F319A6">
    <w:pPr>
      <w:pBdr>
        <w:top w:val="nil"/>
        <w:left w:val="nil"/>
        <w:bottom w:val="nil"/>
        <w:right w:val="nil"/>
        <w:between w:val="nil"/>
      </w:pBdr>
      <w:tabs>
        <w:tab w:val="center" w:pos="4513"/>
        <w:tab w:val="right" w:pos="9026"/>
      </w:tabs>
      <w:spacing w:after="0" w:line="240" w:lineRule="auto"/>
      <w:ind w:left="270"/>
      <w:jc w:val="center"/>
      <w:rPr>
        <w:color w:val="000000"/>
        <w:sz w:val="18"/>
        <w:szCs w:val="18"/>
      </w:rPr>
    </w:pPr>
    <w:r>
      <w:rPr>
        <w:noProof/>
      </w:rPr>
      <w:drawing>
        <wp:anchor distT="0" distB="0" distL="0" distR="0" simplePos="0" relativeHeight="251660288" behindDoc="0" locked="0" layoutInCell="1" hidden="0" allowOverlap="1" wp14:anchorId="2DBB62B0" wp14:editId="08C5BCDA">
          <wp:simplePos x="0" y="0"/>
          <wp:positionH relativeFrom="column">
            <wp:posOffset>6519863</wp:posOffset>
          </wp:positionH>
          <wp:positionV relativeFrom="paragraph">
            <wp:posOffset>0</wp:posOffset>
          </wp:positionV>
          <wp:extent cx="328295" cy="327025"/>
          <wp:effectExtent l="0" t="0" r="0" b="0"/>
          <wp:wrapNone/>
          <wp:docPr id="243" name="image3.pn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srcRect/>
                  <a:stretch>
                    <a:fillRect/>
                  </a:stretch>
                </pic:blipFill>
                <pic:spPr>
                  <a:xfrm>
                    <a:off x="0" y="0"/>
                    <a:ext cx="328295" cy="327025"/>
                  </a:xfrm>
                  <a:prstGeom prst="rect">
                    <a:avLst/>
                  </a:prstGeom>
                  <a:ln/>
                </pic:spPr>
              </pic:pic>
            </a:graphicData>
          </a:graphic>
        </wp:anchor>
      </w:drawing>
    </w:r>
  </w:p>
  <w:p w:rsidR="00203592" w:rsidRDefault="00F319A6">
    <w:pPr>
      <w:tabs>
        <w:tab w:val="center" w:pos="4513"/>
        <w:tab w:val="right" w:pos="9026"/>
      </w:tabs>
      <w:spacing w:after="0" w:line="240" w:lineRule="auto"/>
      <w:ind w:left="270"/>
      <w:jc w:val="center"/>
    </w:pPr>
    <w:r>
      <w:fldChar w:fldCharType="begin"/>
    </w:r>
    <w:r>
      <w:instrText>PAGE</w:instrText>
    </w:r>
    <w:r>
      <w:fldChar w:fldCharType="separate"/>
    </w:r>
    <w:r w:rsidR="00AD595C">
      <w:rPr>
        <w:noProof/>
      </w:rPr>
      <w:t>5</w:t>
    </w:r>
    <w:r>
      <w:fldChar w:fldCharType="end"/>
    </w:r>
  </w:p>
  <w:p w:rsidR="00203592" w:rsidRDefault="00F319A6">
    <w:pPr>
      <w:rPr>
        <w:sz w:val="16"/>
        <w:szCs w:val="16"/>
      </w:rPr>
    </w:pPr>
    <w:r>
      <w:rPr>
        <w:noProof/>
      </w:rPr>
      <w:drawing>
        <wp:anchor distT="0" distB="0" distL="0" distR="0" simplePos="0" relativeHeight="251661312" behindDoc="1" locked="0" layoutInCell="1" hidden="0" allowOverlap="1" wp14:anchorId="24EAB28A" wp14:editId="5AD02C93">
          <wp:simplePos x="0" y="0"/>
          <wp:positionH relativeFrom="column">
            <wp:posOffset>-571496</wp:posOffset>
          </wp:positionH>
          <wp:positionV relativeFrom="paragraph">
            <wp:posOffset>129504</wp:posOffset>
          </wp:positionV>
          <wp:extent cx="7571232" cy="212364"/>
          <wp:effectExtent l="0" t="0" r="0" b="0"/>
          <wp:wrapNone/>
          <wp:docPr id="246" name="image2.pn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
                  <a:srcRect/>
                  <a:stretch>
                    <a:fillRect/>
                  </a:stretch>
                </pic:blipFill>
                <pic:spPr>
                  <a:xfrm>
                    <a:off x="0" y="0"/>
                    <a:ext cx="7571232" cy="212364"/>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3592" w:rsidRDefault="00F319A6">
    <w:pPr>
      <w:pBdr>
        <w:top w:val="nil"/>
        <w:left w:val="nil"/>
        <w:bottom w:val="nil"/>
        <w:right w:val="nil"/>
        <w:between w:val="nil"/>
      </w:pBdr>
      <w:tabs>
        <w:tab w:val="center" w:pos="4513"/>
        <w:tab w:val="right" w:pos="9026"/>
        <w:tab w:val="left" w:pos="2730"/>
      </w:tabs>
      <w:spacing w:after="0" w:line="240" w:lineRule="auto"/>
      <w:rPr>
        <w:color w:val="000000"/>
      </w:rPr>
    </w:pPr>
    <w:r>
      <w:rPr>
        <w:noProof/>
      </w:rPr>
      <w:drawing>
        <wp:anchor distT="0" distB="0" distL="0" distR="0" simplePos="0" relativeHeight="251662336" behindDoc="1" locked="0" layoutInCell="1" hidden="0" allowOverlap="1" wp14:anchorId="16918D06" wp14:editId="68DBE888">
          <wp:simplePos x="0" y="0"/>
          <wp:positionH relativeFrom="column">
            <wp:posOffset>-581022</wp:posOffset>
          </wp:positionH>
          <wp:positionV relativeFrom="paragraph">
            <wp:posOffset>57150</wp:posOffset>
          </wp:positionV>
          <wp:extent cx="7571232" cy="210566"/>
          <wp:effectExtent l="0" t="0" r="0" b="0"/>
          <wp:wrapNone/>
          <wp:docPr id="248" name="image2.pn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srcRect/>
                  <a:stretch>
                    <a:fillRect/>
                  </a:stretch>
                </pic:blipFill>
                <pic:spPr>
                  <a:xfrm>
                    <a:off x="0" y="0"/>
                    <a:ext cx="7571232" cy="210566"/>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774A2F0" wp14:editId="309BC2DB">
          <wp:simplePos x="0" y="0"/>
          <wp:positionH relativeFrom="column">
            <wp:posOffset>-582291</wp:posOffset>
          </wp:positionH>
          <wp:positionV relativeFrom="paragraph">
            <wp:posOffset>3301365</wp:posOffset>
          </wp:positionV>
          <wp:extent cx="7604640" cy="219600"/>
          <wp:effectExtent l="0" t="0" r="0" b="0"/>
          <wp:wrapNone/>
          <wp:docPr id="245" name="image5.pn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
                  <a:srcRect/>
                  <a:stretch>
                    <a:fillRect/>
                  </a:stretch>
                </pic:blipFill>
                <pic:spPr>
                  <a:xfrm>
                    <a:off x="0" y="0"/>
                    <a:ext cx="7604640" cy="219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376" w:rsidRDefault="00280376">
      <w:pPr>
        <w:spacing w:after="0" w:line="240" w:lineRule="auto"/>
      </w:pPr>
      <w:r>
        <w:separator/>
      </w:r>
    </w:p>
  </w:footnote>
  <w:footnote w:type="continuationSeparator" w:id="0">
    <w:p w:rsidR="00280376" w:rsidRDefault="00280376">
      <w:pPr>
        <w:spacing w:after="0" w:line="240" w:lineRule="auto"/>
      </w:pPr>
      <w:r>
        <w:continuationSeparator/>
      </w:r>
    </w:p>
  </w:footnote>
  <w:footnote w:id="1">
    <w:p w:rsidR="00930F18" w:rsidRDefault="00930F18">
      <w:pPr>
        <w:pStyle w:val="FootnoteText"/>
      </w:pPr>
      <w:r>
        <w:rPr>
          <w:rStyle w:val="FootnoteReference"/>
        </w:rPr>
        <w:footnoteRef/>
      </w:r>
      <w:r>
        <w:t xml:space="preserve"> </w:t>
      </w:r>
      <w:r w:rsidR="009633DF">
        <w:rPr>
          <w:rStyle w:val="None"/>
          <w:rFonts w:ascii="Helvetica" w:hAnsi="Helvetica"/>
        </w:rPr>
        <w:t>Climate Action Tracker, ‘Australia’ (2 August 2022) &lt;</w:t>
      </w:r>
      <w:hyperlink r:id="rId1" w:history="1">
        <w:r w:rsidR="009633DF">
          <w:rPr>
            <w:rStyle w:val="Hyperlink1"/>
            <w:rFonts w:ascii="Helvetica" w:hAnsi="Helvetica"/>
          </w:rPr>
          <w:t>https://climateactiontracker.org/countries/australia/targets/</w:t>
        </w:r>
      </w:hyperlink>
      <w:r w:rsidR="009633DF">
        <w:rPr>
          <w:rStyle w:val="None"/>
          <w:rFonts w:ascii="Helvetica" w:hAnsi="Helvetica"/>
        </w:rPr>
        <w:t xml:space="preserve">&gt;. </w:t>
      </w:r>
    </w:p>
  </w:footnote>
  <w:footnote w:id="2">
    <w:p w:rsidR="009633DF" w:rsidRDefault="009633DF">
      <w:pPr>
        <w:pStyle w:val="FootnoteText"/>
      </w:pPr>
      <w:r>
        <w:rPr>
          <w:rStyle w:val="FootnoteReference"/>
        </w:rPr>
        <w:footnoteRef/>
      </w:r>
      <w:r>
        <w:t xml:space="preserve"> See </w:t>
      </w:r>
      <w:r w:rsidRPr="009633DF">
        <w:t xml:space="preserve">Waratah Coal Pty Ltd v Youth Verdict Ltd &amp; </w:t>
      </w:r>
      <w:r w:rsidRPr="009633DF">
        <w:t>Ors (No 6) [2022] QLC 21</w:t>
      </w:r>
      <w:r>
        <w:t>, [1603].</w:t>
      </w:r>
    </w:p>
  </w:footnote>
  <w:footnote w:id="3">
    <w:p w:rsidR="0089764E" w:rsidRPr="0039517E" w:rsidRDefault="0089764E" w:rsidP="0089764E">
      <w:pPr>
        <w:pStyle w:val="FootnoteText"/>
      </w:pPr>
      <w:r>
        <w:rPr>
          <w:rStyle w:val="FootnoteReference"/>
        </w:rPr>
        <w:footnoteRef/>
      </w:r>
      <w:r>
        <w:t xml:space="preserve"> </w:t>
      </w:r>
      <w:r w:rsidRPr="00EA5155">
        <w:t xml:space="preserve">Human Rights Committee, Views: Communication No 3624/2019, 135th </w:t>
      </w:r>
      <w:r w:rsidRPr="00EA5155">
        <w:t>sess, UN Doc CCPR/C/135/D/3624/2019 (21 July 2022)</w:t>
      </w:r>
      <w:r w:rsidR="002E4D48">
        <w:t>.</w:t>
      </w:r>
    </w:p>
  </w:footnote>
  <w:footnote w:id="4">
    <w:p w:rsidR="009633DF" w:rsidRPr="009633DF" w:rsidRDefault="009633DF">
      <w:pPr>
        <w:pStyle w:val="FootnoteText"/>
        <w:rPr>
          <w:b/>
        </w:rPr>
      </w:pPr>
      <w:r>
        <w:rPr>
          <w:rStyle w:val="FootnoteReference"/>
        </w:rPr>
        <w:footnoteRef/>
      </w:r>
      <w:r>
        <w:t xml:space="preserve"> </w:t>
      </w:r>
      <w:r w:rsidRPr="00EA5155">
        <w:t xml:space="preserve">Human Rights Committee, Views: Communication No 3624/2019, 135th </w:t>
      </w:r>
      <w:r w:rsidRPr="00EA5155">
        <w:t>sess, UN Doc CCPR/C/135/D/3624/2019 (21 July 2022) [8.12].</w:t>
      </w:r>
    </w:p>
  </w:footnote>
  <w:footnote w:id="5">
    <w:p w:rsidR="009633DF" w:rsidRDefault="009633DF">
      <w:pPr>
        <w:pStyle w:val="FootnoteText"/>
      </w:pPr>
      <w:r>
        <w:rPr>
          <w:rStyle w:val="FootnoteReference"/>
        </w:rPr>
        <w:footnoteRef/>
      </w:r>
      <w:r>
        <w:t xml:space="preserve"> See for example, </w:t>
      </w:r>
      <w:r w:rsidRPr="00E608D3">
        <w:rPr>
          <w:i/>
        </w:rPr>
        <w:t>Protection of the Environment Administration Act 1991</w:t>
      </w:r>
      <w:r>
        <w:t xml:space="preserve"> s 6(2)(b).</w:t>
      </w:r>
    </w:p>
  </w:footnote>
  <w:footnote w:id="6">
    <w:p w:rsidR="0089764E" w:rsidRPr="006F43AB" w:rsidRDefault="0089764E" w:rsidP="0089764E">
      <w:pPr>
        <w:pStyle w:val="FootnoteText"/>
      </w:pPr>
      <w:r>
        <w:rPr>
          <w:rStyle w:val="FootnoteReference"/>
        </w:rPr>
        <w:footnoteRef/>
      </w:r>
      <w:r>
        <w:t xml:space="preserve"> </w:t>
      </w:r>
      <w:r w:rsidRPr="006F43AB">
        <w:rPr>
          <w:i/>
        </w:rPr>
        <w:t>Gloucester Resources Ltd v Minister for Planning</w:t>
      </w:r>
      <w:r>
        <w:t xml:space="preserve"> (2019) 234 LGERA 257, [398]-[399]</w:t>
      </w:r>
      <w:r w:rsidR="002E4D48">
        <w:t>.</w:t>
      </w:r>
    </w:p>
  </w:footnote>
  <w:footnote w:id="7">
    <w:p w:rsidR="0089764E" w:rsidRPr="007436F2" w:rsidRDefault="0089764E" w:rsidP="0089764E">
      <w:pPr>
        <w:pStyle w:val="FootnoteText"/>
      </w:pPr>
      <w:r>
        <w:rPr>
          <w:rStyle w:val="FootnoteReference"/>
        </w:rPr>
        <w:footnoteRef/>
      </w:r>
      <w:r>
        <w:t xml:space="preserve"> </w:t>
      </w:r>
      <w:r w:rsidR="007373F2">
        <w:t>(2019) 234 LGERA 257.</w:t>
      </w:r>
    </w:p>
  </w:footnote>
  <w:footnote w:id="8">
    <w:p w:rsidR="0089764E" w:rsidRPr="007436F2" w:rsidRDefault="0089764E" w:rsidP="0089764E">
      <w:pPr>
        <w:pStyle w:val="FootnoteText"/>
      </w:pPr>
      <w:r>
        <w:rPr>
          <w:rStyle w:val="FootnoteReference"/>
        </w:rPr>
        <w:footnoteRef/>
      </w:r>
      <w:r w:rsidR="007373F2">
        <w:t xml:space="preserve"> </w:t>
      </w:r>
      <w:r w:rsidR="007373F2" w:rsidRPr="006F43AB">
        <w:rPr>
          <w:i/>
        </w:rPr>
        <w:t>Gloucester Resources Ltd v Minister for Planning</w:t>
      </w:r>
      <w:r w:rsidR="007373F2">
        <w:t xml:space="preserve"> (2019) 234 LGERA 257,</w:t>
      </w:r>
      <w:r>
        <w:t xml:space="preserve"> [415]</w:t>
      </w:r>
      <w:r w:rsidR="007373F2">
        <w:t>.</w:t>
      </w:r>
    </w:p>
  </w:footnote>
  <w:footnote w:id="9">
    <w:p w:rsidR="0089764E" w:rsidRPr="007F2842" w:rsidRDefault="0089764E" w:rsidP="0089764E">
      <w:pPr>
        <w:pStyle w:val="FootnoteText"/>
      </w:pPr>
      <w:r>
        <w:rPr>
          <w:rStyle w:val="FootnoteReference"/>
        </w:rPr>
        <w:footnoteRef/>
      </w:r>
      <w:r>
        <w:t xml:space="preserve"> </w:t>
      </w:r>
      <w:r w:rsidR="007373F2" w:rsidRPr="006F43AB">
        <w:rPr>
          <w:i/>
        </w:rPr>
        <w:t>Gloucester Resources Ltd v Minister for Planning</w:t>
      </w:r>
      <w:r w:rsidR="007373F2">
        <w:t xml:space="preserve"> (2019) 234 LGERA 257, </w:t>
      </w:r>
      <w:r>
        <w:t>[1603]</w:t>
      </w:r>
      <w:r w:rsidR="007373F2">
        <w:t>.</w:t>
      </w:r>
    </w:p>
  </w:footnote>
  <w:footnote w:id="10">
    <w:p w:rsidR="0089764E" w:rsidRPr="008B1227" w:rsidRDefault="0089764E" w:rsidP="0089764E">
      <w:pPr>
        <w:pStyle w:val="FootnoteText"/>
      </w:pPr>
      <w:r>
        <w:rPr>
          <w:rStyle w:val="FootnoteReference"/>
        </w:rPr>
        <w:footnoteRef/>
      </w:r>
      <w:r>
        <w:t xml:space="preserve"> </w:t>
      </w:r>
      <w:r w:rsidR="007373F2" w:rsidRPr="007373F2">
        <w:t>Telstra Corporation Limited v Hornsby Shire Council [2006] NSWLEC 133</w:t>
      </w:r>
      <w:r w:rsidR="007373F2">
        <w:t xml:space="preserve">, [183]. </w:t>
      </w:r>
    </w:p>
  </w:footnote>
  <w:footnote w:id="11">
    <w:p w:rsidR="0089764E" w:rsidRPr="008B1227" w:rsidRDefault="0089764E" w:rsidP="0089764E">
      <w:pPr>
        <w:pStyle w:val="FootnoteText"/>
      </w:pPr>
      <w:r>
        <w:rPr>
          <w:rStyle w:val="FootnoteReference"/>
        </w:rPr>
        <w:footnoteRef/>
      </w:r>
      <w:r>
        <w:t xml:space="preserve">  </w:t>
      </w:r>
      <w:r w:rsidRPr="00E608D3">
        <w:rPr>
          <w:i/>
        </w:rPr>
        <w:t>Protection of the Environment Administration Act 1991</w:t>
      </w:r>
      <w:r>
        <w:t xml:space="preserve"> s 6. </w:t>
      </w:r>
    </w:p>
  </w:footnote>
  <w:footnote w:id="12">
    <w:p w:rsidR="002E4D48" w:rsidRPr="002E4D48" w:rsidRDefault="002E4D48">
      <w:pPr>
        <w:pStyle w:val="FootnoteText"/>
        <w:rPr>
          <w:b/>
        </w:rPr>
      </w:pPr>
      <w:r>
        <w:rPr>
          <w:rStyle w:val="FootnoteReference"/>
        </w:rPr>
        <w:footnoteRef/>
      </w:r>
      <w:r>
        <w:t xml:space="preserve"> </w:t>
      </w:r>
      <w:r w:rsidRPr="002E4D48">
        <w:rPr>
          <w:rStyle w:val="Strong"/>
          <w:rFonts w:cs="Arial"/>
          <w:b w:val="0"/>
          <w:color w:val="263238"/>
        </w:rPr>
        <w:t> [2021] NSWLEC 92.</w:t>
      </w:r>
    </w:p>
  </w:footnote>
  <w:footnote w:id="13">
    <w:p w:rsidR="002E4D48" w:rsidRDefault="002E4D48">
      <w:pPr>
        <w:pStyle w:val="FootnoteText"/>
      </w:pPr>
      <w:r>
        <w:rPr>
          <w:rStyle w:val="FootnoteReference"/>
        </w:rPr>
        <w:footnoteRef/>
      </w:r>
      <w:r>
        <w:t xml:space="preserve"> </w:t>
      </w:r>
      <w:r>
        <w:rPr>
          <w:rStyle w:val="Strong"/>
          <w:rFonts w:cs="Arial"/>
          <w:color w:val="263238"/>
        </w:rPr>
        <w:t> </w:t>
      </w:r>
      <w:r w:rsidRPr="002E4D48">
        <w:rPr>
          <w:rStyle w:val="Strong"/>
          <w:rFonts w:cs="Arial"/>
          <w:b w:val="0"/>
          <w:color w:val="263238"/>
        </w:rPr>
        <w:t>[2021] NSWLEC 92, [61].</w:t>
      </w:r>
      <w:r>
        <w:rPr>
          <w:rStyle w:val="Strong"/>
          <w:rFonts w:cs="Arial"/>
          <w:color w:val="26323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216" w:rsidRDefault="00252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216" w:rsidRDefault="00252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3592" w:rsidRDefault="00F319A6">
    <w:pPr>
      <w:widowControl w:val="0"/>
      <w:pBdr>
        <w:top w:val="nil"/>
        <w:left w:val="nil"/>
        <w:bottom w:val="nil"/>
        <w:right w:val="nil"/>
        <w:between w:val="nil"/>
      </w:pBdr>
      <w:spacing w:after="0" w:line="14" w:lineRule="auto"/>
      <w:rPr>
        <w:color w:val="FFFFFF"/>
        <w:sz w:val="20"/>
        <w:szCs w:val="20"/>
      </w:rPr>
    </w:pPr>
    <w:r>
      <w:rPr>
        <w:noProof/>
        <w:color w:val="FFFFFF"/>
        <w:sz w:val="20"/>
        <w:szCs w:val="20"/>
      </w:rPr>
      <w:drawing>
        <wp:anchor distT="0" distB="0" distL="114300" distR="114300" simplePos="0" relativeHeight="251658240" behindDoc="0" locked="0" layoutInCell="1" hidden="0" allowOverlap="1" wp14:anchorId="7F4AF870" wp14:editId="7A29D63F">
          <wp:simplePos x="0" y="0"/>
          <wp:positionH relativeFrom="page">
            <wp:posOffset>4032503</wp:posOffset>
          </wp:positionH>
          <wp:positionV relativeFrom="page">
            <wp:posOffset>-130170</wp:posOffset>
          </wp:positionV>
          <wp:extent cx="3482510" cy="771525"/>
          <wp:effectExtent l="0" t="0" r="0" b="0"/>
          <wp:wrapNone/>
          <wp:docPr id="249" name="image4.pn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srcRect r="3335"/>
                  <a:stretch>
                    <a:fillRect/>
                  </a:stretch>
                </pic:blipFill>
                <pic:spPr>
                  <a:xfrm>
                    <a:off x="0" y="0"/>
                    <a:ext cx="3482510" cy="771525"/>
                  </a:xfrm>
                  <a:prstGeom prst="rect">
                    <a:avLst/>
                  </a:prstGeom>
                  <a:ln/>
                </pic:spPr>
              </pic:pic>
            </a:graphicData>
          </a:graphic>
        </wp:anchor>
      </w:drawing>
    </w:r>
  </w:p>
  <w:p w:rsidR="00203592" w:rsidRDefault="00F319A6">
    <w:pPr>
      <w:pBdr>
        <w:top w:val="nil"/>
        <w:left w:val="nil"/>
        <w:bottom w:val="nil"/>
        <w:right w:val="nil"/>
        <w:between w:val="nil"/>
      </w:pBdr>
      <w:tabs>
        <w:tab w:val="center" w:pos="4513"/>
        <w:tab w:val="right" w:pos="9026"/>
      </w:tabs>
      <w:spacing w:after="0" w:line="240" w:lineRule="auto"/>
      <w:ind w:left="-1474"/>
      <w:rPr>
        <w:color w:val="000000"/>
      </w:rPr>
    </w:pPr>
    <w:r>
      <w:rPr>
        <w:noProof/>
        <w:color w:val="FFFFFF"/>
      </w:rPr>
      <w:drawing>
        <wp:anchor distT="0" distB="0" distL="0" distR="0" simplePos="0" relativeHeight="251659264" behindDoc="1" locked="0" layoutInCell="1" hidden="0" allowOverlap="1" wp14:anchorId="320D2EF1" wp14:editId="3ECE975C">
          <wp:simplePos x="0" y="0"/>
          <wp:positionH relativeFrom="page">
            <wp:posOffset>269875</wp:posOffset>
          </wp:positionH>
          <wp:positionV relativeFrom="page">
            <wp:posOffset>286385</wp:posOffset>
          </wp:positionV>
          <wp:extent cx="941705" cy="937895"/>
          <wp:effectExtent l="0" t="0" r="0" b="0"/>
          <wp:wrapNone/>
          <wp:docPr id="244" name="image3.pn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
                  <a:srcRect/>
                  <a:stretch>
                    <a:fillRect/>
                  </a:stretch>
                </pic:blipFill>
                <pic:spPr>
                  <a:xfrm>
                    <a:off x="0" y="0"/>
                    <a:ext cx="941705" cy="9378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A9D"/>
    <w:multiLevelType w:val="multilevel"/>
    <w:tmpl w:val="00DAEEC2"/>
    <w:lvl w:ilvl="0">
      <w:start w:val="1"/>
      <w:numFmt w:val="decimal"/>
      <w:pStyle w:val="level1"/>
      <w:lvlText w:val="%1"/>
      <w:lvlJc w:val="left"/>
      <w:pPr>
        <w:tabs>
          <w:tab w:val="num" w:pos="709"/>
        </w:tabs>
        <w:ind w:left="709" w:hanging="709"/>
      </w:pPr>
      <w:rPr>
        <w:rFonts w:hint="default"/>
        <w:b/>
        <w:bCs/>
      </w:rPr>
    </w:lvl>
    <w:lvl w:ilvl="1">
      <w:start w:val="1"/>
      <w:numFmt w:val="decimal"/>
      <w:pStyle w:val="level2"/>
      <w:lvlText w:val="%1.%2"/>
      <w:lvlJc w:val="left"/>
      <w:pPr>
        <w:tabs>
          <w:tab w:val="num" w:pos="709"/>
        </w:tabs>
        <w:ind w:left="709" w:hanging="709"/>
      </w:pPr>
      <w:rPr>
        <w:rFonts w:hint="default"/>
        <w:i w:val="0"/>
        <w:iCs w:val="0"/>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21329BB"/>
    <w:multiLevelType w:val="multilevel"/>
    <w:tmpl w:val="DEEC7F82"/>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2" w15:restartNumberingAfterBreak="0">
    <w:nsid w:val="18B162D4"/>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91DF7"/>
    <w:multiLevelType w:val="hybridMultilevel"/>
    <w:tmpl w:val="638AFD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15488950">
    <w:abstractNumId w:val="2"/>
  </w:num>
  <w:num w:numId="2" w16cid:durableId="67768892">
    <w:abstractNumId w:val="1"/>
  </w:num>
  <w:num w:numId="3" w16cid:durableId="1557625635">
    <w:abstractNumId w:val="0"/>
  </w:num>
  <w:num w:numId="4" w16cid:durableId="267660572">
    <w:abstractNumId w:val="4"/>
  </w:num>
  <w:num w:numId="5" w16cid:durableId="1904369785">
    <w:abstractNumId w:val="0"/>
  </w:num>
  <w:num w:numId="6" w16cid:durableId="1668362265">
    <w:abstractNumId w:val="0"/>
  </w:num>
  <w:num w:numId="7" w16cid:durableId="1464889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92"/>
    <w:rsid w:val="000038EB"/>
    <w:rsid w:val="00003D18"/>
    <w:rsid w:val="00014B73"/>
    <w:rsid w:val="0003447E"/>
    <w:rsid w:val="00076895"/>
    <w:rsid w:val="000A5030"/>
    <w:rsid w:val="0012004B"/>
    <w:rsid w:val="001311BF"/>
    <w:rsid w:val="00150225"/>
    <w:rsid w:val="001713B1"/>
    <w:rsid w:val="00172BDF"/>
    <w:rsid w:val="001B5977"/>
    <w:rsid w:val="00203592"/>
    <w:rsid w:val="002229E9"/>
    <w:rsid w:val="00227395"/>
    <w:rsid w:val="00235FB0"/>
    <w:rsid w:val="00252216"/>
    <w:rsid w:val="002625CC"/>
    <w:rsid w:val="002636CC"/>
    <w:rsid w:val="00273818"/>
    <w:rsid w:val="00280376"/>
    <w:rsid w:val="0028270F"/>
    <w:rsid w:val="002B22E9"/>
    <w:rsid w:val="002C77F0"/>
    <w:rsid w:val="002E2C2F"/>
    <w:rsid w:val="002E4D48"/>
    <w:rsid w:val="003444C6"/>
    <w:rsid w:val="0038273F"/>
    <w:rsid w:val="00387120"/>
    <w:rsid w:val="003907DC"/>
    <w:rsid w:val="003B3DEF"/>
    <w:rsid w:val="003C4045"/>
    <w:rsid w:val="003D1A2F"/>
    <w:rsid w:val="003D32D0"/>
    <w:rsid w:val="003D4BB4"/>
    <w:rsid w:val="003F0022"/>
    <w:rsid w:val="003F3273"/>
    <w:rsid w:val="0041624B"/>
    <w:rsid w:val="00417376"/>
    <w:rsid w:val="00426A57"/>
    <w:rsid w:val="00457A74"/>
    <w:rsid w:val="00457C19"/>
    <w:rsid w:val="004B38A2"/>
    <w:rsid w:val="004B3A93"/>
    <w:rsid w:val="004C3F69"/>
    <w:rsid w:val="00502D0C"/>
    <w:rsid w:val="0052785D"/>
    <w:rsid w:val="00542794"/>
    <w:rsid w:val="00552F50"/>
    <w:rsid w:val="005C0C68"/>
    <w:rsid w:val="005E4CB9"/>
    <w:rsid w:val="005F70A3"/>
    <w:rsid w:val="00613BFB"/>
    <w:rsid w:val="0063298F"/>
    <w:rsid w:val="00633071"/>
    <w:rsid w:val="00640F00"/>
    <w:rsid w:val="006A273F"/>
    <w:rsid w:val="006A3FD5"/>
    <w:rsid w:val="006A695F"/>
    <w:rsid w:val="006D69C5"/>
    <w:rsid w:val="006E032D"/>
    <w:rsid w:val="007018BB"/>
    <w:rsid w:val="00704DFE"/>
    <w:rsid w:val="00706E73"/>
    <w:rsid w:val="007220C2"/>
    <w:rsid w:val="00727204"/>
    <w:rsid w:val="00735797"/>
    <w:rsid w:val="007373F2"/>
    <w:rsid w:val="007871C3"/>
    <w:rsid w:val="00795978"/>
    <w:rsid w:val="007B118A"/>
    <w:rsid w:val="008109DD"/>
    <w:rsid w:val="00863A83"/>
    <w:rsid w:val="008858B1"/>
    <w:rsid w:val="00887DD3"/>
    <w:rsid w:val="0089764E"/>
    <w:rsid w:val="008B651C"/>
    <w:rsid w:val="008C499D"/>
    <w:rsid w:val="008D7785"/>
    <w:rsid w:val="00930F18"/>
    <w:rsid w:val="00932EE8"/>
    <w:rsid w:val="009633DF"/>
    <w:rsid w:val="009748AD"/>
    <w:rsid w:val="009C462B"/>
    <w:rsid w:val="00A22403"/>
    <w:rsid w:val="00A32133"/>
    <w:rsid w:val="00A508F5"/>
    <w:rsid w:val="00A71252"/>
    <w:rsid w:val="00AA5F50"/>
    <w:rsid w:val="00AC6D5C"/>
    <w:rsid w:val="00AD09ED"/>
    <w:rsid w:val="00AD595C"/>
    <w:rsid w:val="00AF1395"/>
    <w:rsid w:val="00B2358B"/>
    <w:rsid w:val="00B301A0"/>
    <w:rsid w:val="00B46D8F"/>
    <w:rsid w:val="00B47B5F"/>
    <w:rsid w:val="00BC0293"/>
    <w:rsid w:val="00C6616B"/>
    <w:rsid w:val="00C67D69"/>
    <w:rsid w:val="00C87EFC"/>
    <w:rsid w:val="00C92DBC"/>
    <w:rsid w:val="00CA52D7"/>
    <w:rsid w:val="00CC4F3A"/>
    <w:rsid w:val="00CD1526"/>
    <w:rsid w:val="00D30957"/>
    <w:rsid w:val="00D34914"/>
    <w:rsid w:val="00D3757E"/>
    <w:rsid w:val="00D44F7F"/>
    <w:rsid w:val="00D621C7"/>
    <w:rsid w:val="00D96176"/>
    <w:rsid w:val="00D962C6"/>
    <w:rsid w:val="00DD5587"/>
    <w:rsid w:val="00DE5CC0"/>
    <w:rsid w:val="00DE7DC3"/>
    <w:rsid w:val="00E32A92"/>
    <w:rsid w:val="00E362EC"/>
    <w:rsid w:val="00E4366F"/>
    <w:rsid w:val="00E85CE5"/>
    <w:rsid w:val="00EA036F"/>
    <w:rsid w:val="00EF7AD5"/>
    <w:rsid w:val="00F319A6"/>
    <w:rsid w:val="00FD549A"/>
    <w:rsid w:val="00FE7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8ABC"/>
  <w15:docId w15:val="{FA886BC0-063B-4597-80B1-B5637744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D0"/>
    <w:rPr>
      <w:rFonts w:ascii="Arial" w:hAnsi="Arial"/>
    </w:rPr>
  </w:style>
  <w:style w:type="paragraph" w:styleId="Heading1">
    <w:name w:val="heading 1"/>
    <w:basedOn w:val="Normal"/>
    <w:next w:val="Normal"/>
    <w:link w:val="Heading1Char"/>
    <w:uiPriority w:val="9"/>
    <w:qFormat/>
    <w:rsid w:val="005562AE"/>
    <w:pPr>
      <w:keepNext/>
      <w:numPr>
        <w:numId w:val="1"/>
      </w:numPr>
      <w:spacing w:after="240"/>
      <w:outlineLvl w:val="0"/>
    </w:pPr>
    <w:rPr>
      <w:rFonts w:cs="Arial"/>
      <w:b/>
    </w:rPr>
  </w:style>
  <w:style w:type="paragraph" w:styleId="Heading2">
    <w:name w:val="heading 2"/>
    <w:basedOn w:val="Normal"/>
    <w:next w:val="Normal"/>
    <w:link w:val="Heading2Char"/>
    <w:uiPriority w:val="9"/>
    <w:semiHidden/>
    <w:unhideWhenUsed/>
    <w:qFormat/>
    <w:rsid w:val="00BE63F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numPr>
        <w:ilvl w:val="2"/>
        <w:numId w:val="1"/>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1"/>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1"/>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D32D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D32D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32D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uiPriority w:val="99"/>
    <w:semiHidden/>
    <w:unhideWhenUsed/>
    <w:rsid w:val="00A12C87"/>
    <w:pPr>
      <w:framePr w:w="7920" w:h="1980" w:hRule="exact" w:hSpace="180" w:wrap="auto" w:hAnchor="page" w:xAlign="center" w:yAlign="bottom"/>
      <w:spacing w:after="0" w:line="240" w:lineRule="auto"/>
      <w:ind w:left="2880"/>
    </w:pPr>
    <w:rPr>
      <w:rFonts w:eastAsiaTheme="majorEastAsia" w:cstheme="majorBidi"/>
      <w:b/>
      <w:sz w:val="28"/>
      <w:szCs w:val="24"/>
    </w:rPr>
  </w:style>
  <w:style w:type="paragraph" w:styleId="EnvelopeReturn">
    <w:name w:val="envelope return"/>
    <w:basedOn w:val="Normal"/>
    <w:uiPriority w:val="99"/>
    <w:semiHidden/>
    <w:unhideWhenUsed/>
    <w:rsid w:val="00A12C87"/>
    <w:pPr>
      <w:spacing w:after="0" w:line="240" w:lineRule="auto"/>
    </w:pPr>
    <w:rPr>
      <w:rFonts w:eastAsiaTheme="majorEastAsia" w:cstheme="majorBidi"/>
      <w:sz w:val="20"/>
      <w:szCs w:val="20"/>
    </w:rPr>
  </w:style>
  <w:style w:type="paragraph" w:styleId="Header">
    <w:name w:val="header"/>
    <w:basedOn w:val="Normal"/>
    <w:link w:val="HeaderChar"/>
    <w:uiPriority w:val="99"/>
    <w:unhideWhenUsed/>
    <w:rsid w:val="00F64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914"/>
  </w:style>
  <w:style w:type="paragraph" w:styleId="Footer">
    <w:name w:val="footer"/>
    <w:basedOn w:val="Normal"/>
    <w:link w:val="FooterChar"/>
    <w:uiPriority w:val="99"/>
    <w:unhideWhenUsed/>
    <w:rsid w:val="00F64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914"/>
  </w:style>
  <w:style w:type="paragraph" w:styleId="ListParagraph">
    <w:name w:val="List Paragraph"/>
    <w:basedOn w:val="Normal"/>
    <w:uiPriority w:val="34"/>
    <w:qFormat/>
    <w:rsid w:val="00F64914"/>
    <w:pPr>
      <w:ind w:left="720"/>
      <w:contextualSpacing/>
    </w:pPr>
  </w:style>
  <w:style w:type="table" w:styleId="TableGrid">
    <w:name w:val="Table Grid"/>
    <w:basedOn w:val="TableNormal"/>
    <w:uiPriority w:val="59"/>
    <w:rsid w:val="00B76D7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2AE"/>
    <w:rPr>
      <w:rFonts w:ascii="Arial" w:hAnsi="Arial" w:cs="Arial"/>
      <w:b/>
    </w:rPr>
  </w:style>
  <w:style w:type="paragraph" w:styleId="BodyText">
    <w:name w:val="Body Text"/>
    <w:basedOn w:val="Normal"/>
    <w:link w:val="BodyTextChar"/>
    <w:uiPriority w:val="1"/>
    <w:qFormat/>
    <w:rsid w:val="0022359B"/>
    <w:pPr>
      <w:widowControl w:val="0"/>
      <w:autoSpaceDE w:val="0"/>
      <w:autoSpaceDN w:val="0"/>
      <w:spacing w:after="0" w:line="240" w:lineRule="auto"/>
    </w:pPr>
    <w:rPr>
      <w:i/>
      <w:lang w:val="en-US"/>
    </w:rPr>
  </w:style>
  <w:style w:type="character" w:customStyle="1" w:styleId="BodyTextChar">
    <w:name w:val="Body Text Char"/>
    <w:basedOn w:val="DefaultParagraphFont"/>
    <w:link w:val="BodyText"/>
    <w:uiPriority w:val="1"/>
    <w:rsid w:val="0022359B"/>
    <w:rPr>
      <w:rFonts w:ascii="Calibri" w:eastAsia="Calibri" w:hAnsi="Calibri" w:cs="Calibri"/>
      <w:i/>
      <w:lang w:val="en-US"/>
    </w:rPr>
  </w:style>
  <w:style w:type="character" w:customStyle="1" w:styleId="Heading2Char">
    <w:name w:val="Heading 2 Char"/>
    <w:basedOn w:val="DefaultParagraphFont"/>
    <w:link w:val="Heading2"/>
    <w:uiPriority w:val="9"/>
    <w:semiHidden/>
    <w:rsid w:val="00BE63F0"/>
    <w:rPr>
      <w:rFonts w:asciiTheme="majorHAnsi" w:eastAsiaTheme="majorEastAsia" w:hAnsiTheme="majorHAnsi" w:cstheme="majorBidi"/>
      <w:color w:val="2E74B5" w:themeColor="accent1" w:themeShade="BF"/>
      <w:sz w:val="26"/>
      <w:szCs w:val="26"/>
    </w:rPr>
  </w:style>
  <w:style w:type="paragraph" w:customStyle="1" w:styleId="02Website">
    <w:name w:val="02 Website"/>
    <w:basedOn w:val="Normal"/>
    <w:uiPriority w:val="99"/>
    <w:rsid w:val="00F245C0"/>
    <w:pPr>
      <w:tabs>
        <w:tab w:val="left" w:pos="128"/>
        <w:tab w:val="left" w:pos="198"/>
      </w:tabs>
      <w:suppressAutoHyphens/>
      <w:autoSpaceDE w:val="0"/>
      <w:autoSpaceDN w:val="0"/>
      <w:adjustRightInd w:val="0"/>
      <w:spacing w:after="0" w:line="160" w:lineRule="atLeast"/>
      <w:textAlignment w:val="center"/>
    </w:pPr>
    <w:rPr>
      <w:rFonts w:ascii="Lato" w:hAnsi="Lato" w:cs="Lato"/>
      <w:color w:val="414042"/>
      <w:spacing w:val="-1"/>
      <w:sz w:val="14"/>
      <w:szCs w:val="14"/>
      <w:lang w:val="en-US"/>
    </w:rPr>
  </w:style>
  <w:style w:type="paragraph" w:customStyle="1" w:styleId="01AddressPhoneEmail">
    <w:name w:val="01 Address/Phone/Email"/>
    <w:basedOn w:val="Normal"/>
    <w:uiPriority w:val="99"/>
    <w:rsid w:val="00F245C0"/>
    <w:pPr>
      <w:tabs>
        <w:tab w:val="left" w:pos="128"/>
        <w:tab w:val="left" w:pos="198"/>
      </w:tabs>
      <w:suppressAutoHyphens/>
      <w:autoSpaceDE w:val="0"/>
      <w:autoSpaceDN w:val="0"/>
      <w:adjustRightInd w:val="0"/>
      <w:spacing w:after="0" w:line="160" w:lineRule="atLeast"/>
      <w:textAlignment w:val="center"/>
    </w:pPr>
    <w:rPr>
      <w:rFonts w:ascii="Lato Light" w:hAnsi="Lato Light" w:cs="Lato Light"/>
      <w:color w:val="414042"/>
      <w:spacing w:val="-1"/>
      <w:sz w:val="14"/>
      <w:szCs w:val="1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semiHidden/>
    <w:rsid w:val="003D32D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D32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32D0"/>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rsid w:val="00B46D8F"/>
    <w:pPr>
      <w:spacing w:before="220" w:after="120" w:line="288" w:lineRule="auto"/>
      <w:ind w:left="709"/>
    </w:pPr>
    <w:rPr>
      <w:rFonts w:eastAsia="Times New Roman" w:cs="Times New Roman"/>
      <w:szCs w:val="20"/>
      <w:lang w:eastAsia="en-US"/>
    </w:rPr>
  </w:style>
  <w:style w:type="paragraph" w:customStyle="1" w:styleId="Bullet1">
    <w:name w:val="Bullet 1"/>
    <w:basedOn w:val="Normal"/>
    <w:qFormat/>
    <w:rsid w:val="003D32D0"/>
    <w:pPr>
      <w:numPr>
        <w:numId w:val="2"/>
      </w:numPr>
      <w:spacing w:before="100" w:after="0" w:line="288" w:lineRule="auto"/>
    </w:pPr>
    <w:rPr>
      <w:rFonts w:eastAsia="Times New Roman" w:cs="Times New Roman"/>
      <w:sz w:val="20"/>
      <w:szCs w:val="20"/>
    </w:rPr>
  </w:style>
  <w:style w:type="paragraph" w:customStyle="1" w:styleId="Bullet2">
    <w:name w:val="Bullet 2"/>
    <w:basedOn w:val="Normal"/>
    <w:qFormat/>
    <w:rsid w:val="00B46D8F"/>
    <w:pPr>
      <w:numPr>
        <w:ilvl w:val="1"/>
        <w:numId w:val="2"/>
      </w:numPr>
      <w:spacing w:before="220" w:after="120" w:line="288" w:lineRule="auto"/>
    </w:pPr>
    <w:rPr>
      <w:rFonts w:eastAsia="Times New Roman" w:cs="Times New Roman"/>
      <w:szCs w:val="20"/>
      <w:lang w:eastAsia="en-US"/>
    </w:rPr>
  </w:style>
  <w:style w:type="paragraph" w:customStyle="1" w:styleId="Bullet3">
    <w:name w:val="Bullet 3"/>
    <w:basedOn w:val="Normal"/>
    <w:qFormat/>
    <w:rsid w:val="003D32D0"/>
    <w:pPr>
      <w:numPr>
        <w:ilvl w:val="2"/>
        <w:numId w:val="2"/>
      </w:numPr>
      <w:spacing w:before="100" w:after="0" w:line="288" w:lineRule="auto"/>
    </w:pPr>
    <w:rPr>
      <w:rFonts w:eastAsia="Times New Roman" w:cs="Times New Roman"/>
      <w:sz w:val="20"/>
      <w:szCs w:val="20"/>
      <w:lang w:eastAsia="en-US"/>
    </w:rPr>
  </w:style>
  <w:style w:type="paragraph" w:customStyle="1" w:styleId="level1">
    <w:name w:val="level1"/>
    <w:basedOn w:val="Normal"/>
    <w:qFormat/>
    <w:rsid w:val="003D32D0"/>
    <w:pPr>
      <w:numPr>
        <w:numId w:val="3"/>
      </w:numPr>
      <w:spacing w:before="220" w:after="120" w:line="288" w:lineRule="auto"/>
    </w:pPr>
    <w:rPr>
      <w:rFonts w:eastAsia="Times New Roman" w:cs="Times New Roman"/>
      <w:szCs w:val="20"/>
    </w:rPr>
  </w:style>
  <w:style w:type="paragraph" w:customStyle="1" w:styleId="level2">
    <w:name w:val="level2"/>
    <w:basedOn w:val="Normal"/>
    <w:qFormat/>
    <w:rsid w:val="003D32D0"/>
    <w:pPr>
      <w:numPr>
        <w:ilvl w:val="1"/>
        <w:numId w:val="3"/>
      </w:numPr>
      <w:spacing w:before="220" w:after="120" w:line="288" w:lineRule="auto"/>
    </w:pPr>
    <w:rPr>
      <w:rFonts w:eastAsia="Times New Roman" w:cs="Times New Roman"/>
      <w:szCs w:val="20"/>
    </w:rPr>
  </w:style>
  <w:style w:type="paragraph" w:customStyle="1" w:styleId="level3">
    <w:name w:val="level3"/>
    <w:basedOn w:val="Normal"/>
    <w:qFormat/>
    <w:rsid w:val="003D32D0"/>
    <w:pPr>
      <w:numPr>
        <w:ilvl w:val="2"/>
        <w:numId w:val="3"/>
      </w:numPr>
      <w:spacing w:before="220" w:after="120" w:line="288" w:lineRule="auto"/>
    </w:pPr>
    <w:rPr>
      <w:rFonts w:eastAsia="Times New Roman" w:cs="Times New Roman"/>
      <w:szCs w:val="20"/>
    </w:rPr>
  </w:style>
  <w:style w:type="paragraph" w:customStyle="1" w:styleId="level4">
    <w:name w:val="level4"/>
    <w:basedOn w:val="Normal"/>
    <w:qFormat/>
    <w:rsid w:val="003D32D0"/>
    <w:pPr>
      <w:numPr>
        <w:ilvl w:val="3"/>
        <w:numId w:val="3"/>
      </w:numPr>
      <w:spacing w:before="220" w:after="120" w:line="288" w:lineRule="auto"/>
    </w:pPr>
    <w:rPr>
      <w:rFonts w:eastAsia="Times New Roman" w:cs="Times New Roman"/>
      <w:szCs w:val="20"/>
    </w:rPr>
  </w:style>
  <w:style w:type="paragraph" w:customStyle="1" w:styleId="level5">
    <w:name w:val="level5"/>
    <w:basedOn w:val="Normal"/>
    <w:qFormat/>
    <w:rsid w:val="003D32D0"/>
    <w:pPr>
      <w:numPr>
        <w:ilvl w:val="4"/>
        <w:numId w:val="3"/>
      </w:numPr>
      <w:spacing w:before="220" w:after="120" w:line="288" w:lineRule="auto"/>
    </w:pPr>
    <w:rPr>
      <w:rFonts w:eastAsia="Times New Roman" w:cs="Times New Roman"/>
      <w:szCs w:val="20"/>
    </w:rPr>
  </w:style>
  <w:style w:type="paragraph" w:customStyle="1" w:styleId="level6">
    <w:name w:val="level6"/>
    <w:basedOn w:val="Normal"/>
    <w:qFormat/>
    <w:rsid w:val="003D32D0"/>
    <w:pPr>
      <w:numPr>
        <w:ilvl w:val="5"/>
        <w:numId w:val="3"/>
      </w:numPr>
      <w:spacing w:before="220" w:after="120" w:line="288" w:lineRule="auto"/>
    </w:pPr>
    <w:rPr>
      <w:rFonts w:eastAsia="Times New Roman" w:cs="Times New Roman"/>
      <w:szCs w:val="20"/>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nhideWhenUsed/>
    <w:qFormat/>
    <w:rsid w:val="003D32D0"/>
    <w:pPr>
      <w:spacing w:after="0" w:line="240" w:lineRule="auto"/>
    </w:pPr>
    <w:rPr>
      <w:rFonts w:eastAsia="Times New Roman" w:cs="Times New Roman"/>
      <w:sz w:val="16"/>
      <w:szCs w:val="20"/>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rsid w:val="003D32D0"/>
    <w:rPr>
      <w:rFonts w:ascii="Arial" w:eastAsia="Times New Roman" w:hAnsi="Arial" w:cs="Times New Roman"/>
      <w:sz w:val="16"/>
      <w:szCs w:val="20"/>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basedOn w:val="DefaultParagraphFont"/>
    <w:link w:val="BVIfnrCharCharCharCharCharCharCharZchnCharCharCharCharCharChar"/>
    <w:unhideWhenUsed/>
    <w:qFormat/>
    <w:rsid w:val="003D32D0"/>
    <w:rPr>
      <w:vertAlign w:val="superscript"/>
    </w:rPr>
  </w:style>
  <w:style w:type="paragraph" w:styleId="Revision">
    <w:name w:val="Revision"/>
    <w:hidden/>
    <w:uiPriority w:val="99"/>
    <w:semiHidden/>
    <w:rsid w:val="00150225"/>
    <w:pPr>
      <w:spacing w:after="0" w:line="240" w:lineRule="auto"/>
    </w:pPr>
    <w:rPr>
      <w:rFonts w:ascii="Arial" w:hAnsi="Arial"/>
    </w:rPr>
  </w:style>
  <w:style w:type="character" w:styleId="CommentReference">
    <w:name w:val="annotation reference"/>
    <w:basedOn w:val="DefaultParagraphFont"/>
    <w:uiPriority w:val="99"/>
    <w:semiHidden/>
    <w:unhideWhenUsed/>
    <w:rsid w:val="006E032D"/>
    <w:rPr>
      <w:sz w:val="16"/>
      <w:szCs w:val="16"/>
    </w:rPr>
  </w:style>
  <w:style w:type="paragraph" w:styleId="CommentText">
    <w:name w:val="annotation text"/>
    <w:basedOn w:val="Normal"/>
    <w:link w:val="CommentTextChar"/>
    <w:uiPriority w:val="99"/>
    <w:unhideWhenUsed/>
    <w:rsid w:val="006E032D"/>
    <w:pPr>
      <w:spacing w:line="240" w:lineRule="auto"/>
    </w:pPr>
    <w:rPr>
      <w:sz w:val="20"/>
      <w:szCs w:val="20"/>
    </w:rPr>
  </w:style>
  <w:style w:type="character" w:customStyle="1" w:styleId="CommentTextChar">
    <w:name w:val="Comment Text Char"/>
    <w:basedOn w:val="DefaultParagraphFont"/>
    <w:link w:val="CommentText"/>
    <w:uiPriority w:val="99"/>
    <w:rsid w:val="006E03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032D"/>
    <w:rPr>
      <w:b/>
      <w:bCs/>
    </w:rPr>
  </w:style>
  <w:style w:type="character" w:customStyle="1" w:styleId="CommentSubjectChar">
    <w:name w:val="Comment Subject Char"/>
    <w:basedOn w:val="CommentTextChar"/>
    <w:link w:val="CommentSubject"/>
    <w:uiPriority w:val="99"/>
    <w:semiHidden/>
    <w:rsid w:val="006E032D"/>
    <w:rPr>
      <w:rFonts w:ascii="Arial" w:hAnsi="Arial"/>
      <w:b/>
      <w:bCs/>
      <w:sz w:val="20"/>
      <w:szCs w:val="20"/>
    </w:rPr>
  </w:style>
  <w:style w:type="character" w:styleId="Hyperlink">
    <w:name w:val="Hyperlink"/>
    <w:basedOn w:val="DefaultParagraphFont"/>
    <w:uiPriority w:val="99"/>
    <w:unhideWhenUsed/>
    <w:rsid w:val="002B22E9"/>
    <w:rPr>
      <w:color w:val="0563C1" w:themeColor="hyperlink"/>
      <w:u w:val="single"/>
    </w:rPr>
  </w:style>
  <w:style w:type="character" w:customStyle="1" w:styleId="UnresolvedMention1">
    <w:name w:val="Unresolved Mention1"/>
    <w:basedOn w:val="DefaultParagraphFont"/>
    <w:uiPriority w:val="99"/>
    <w:semiHidden/>
    <w:unhideWhenUsed/>
    <w:rsid w:val="002B22E9"/>
    <w:rPr>
      <w:color w:val="605E5C"/>
      <w:shd w:val="clear" w:color="auto" w:fill="E1DFDD"/>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89764E"/>
    <w:pPr>
      <w:spacing w:line="240" w:lineRule="exact"/>
    </w:pPr>
    <w:rPr>
      <w:rFonts w:ascii="Calibri" w:hAnsi="Calibri"/>
      <w:vertAlign w:val="superscript"/>
    </w:rPr>
  </w:style>
  <w:style w:type="paragraph" w:styleId="BalloonText">
    <w:name w:val="Balloon Text"/>
    <w:basedOn w:val="Normal"/>
    <w:link w:val="BalloonTextChar"/>
    <w:uiPriority w:val="99"/>
    <w:semiHidden/>
    <w:unhideWhenUsed/>
    <w:rsid w:val="00930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18"/>
    <w:rPr>
      <w:rFonts w:ascii="Segoe UI" w:hAnsi="Segoe UI" w:cs="Segoe UI"/>
      <w:sz w:val="18"/>
      <w:szCs w:val="18"/>
    </w:rPr>
  </w:style>
  <w:style w:type="character" w:customStyle="1" w:styleId="None">
    <w:name w:val="None"/>
    <w:rsid w:val="009633DF"/>
  </w:style>
  <w:style w:type="character" w:customStyle="1" w:styleId="Hyperlink1">
    <w:name w:val="Hyperlink.1"/>
    <w:basedOn w:val="None"/>
    <w:rsid w:val="009633DF"/>
    <w:rPr>
      <w:outline w:val="0"/>
      <w:color w:val="0000FF"/>
      <w:u w:val="single" w:color="0000FF"/>
      <w:lang w:val="en-US"/>
      <w14:textOutline w14:w="12700" w14:cap="flat" w14:cmpd="sng" w14:algn="ctr">
        <w14:noFill/>
        <w14:prstDash w14:val="solid"/>
        <w14:miter w14:lim="400000"/>
      </w14:textOutline>
    </w:rPr>
  </w:style>
  <w:style w:type="character" w:styleId="Strong">
    <w:name w:val="Strong"/>
    <w:basedOn w:val="DefaultParagraphFont"/>
    <w:uiPriority w:val="22"/>
    <w:qFormat/>
    <w:rsid w:val="00787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6710">
      <w:bodyDiv w:val="1"/>
      <w:marLeft w:val="0"/>
      <w:marRight w:val="0"/>
      <w:marTop w:val="0"/>
      <w:marBottom w:val="0"/>
      <w:divBdr>
        <w:top w:val="none" w:sz="0" w:space="0" w:color="auto"/>
        <w:left w:val="none" w:sz="0" w:space="0" w:color="auto"/>
        <w:bottom w:val="none" w:sz="0" w:space="0" w:color="auto"/>
        <w:right w:val="none" w:sz="0" w:space="0" w:color="auto"/>
      </w:divBdr>
    </w:div>
    <w:div w:id="359165377">
      <w:bodyDiv w:val="1"/>
      <w:marLeft w:val="0"/>
      <w:marRight w:val="0"/>
      <w:marTop w:val="0"/>
      <w:marBottom w:val="0"/>
      <w:divBdr>
        <w:top w:val="none" w:sz="0" w:space="0" w:color="auto"/>
        <w:left w:val="none" w:sz="0" w:space="0" w:color="auto"/>
        <w:bottom w:val="none" w:sz="0" w:space="0" w:color="auto"/>
        <w:right w:val="none" w:sz="0" w:space="0" w:color="auto"/>
      </w:divBdr>
    </w:div>
    <w:div w:id="714544561">
      <w:bodyDiv w:val="1"/>
      <w:marLeft w:val="0"/>
      <w:marRight w:val="0"/>
      <w:marTop w:val="0"/>
      <w:marBottom w:val="0"/>
      <w:divBdr>
        <w:top w:val="none" w:sz="0" w:space="0" w:color="auto"/>
        <w:left w:val="none" w:sz="0" w:space="0" w:color="auto"/>
        <w:bottom w:val="none" w:sz="0" w:space="0" w:color="auto"/>
        <w:right w:val="none" w:sz="0" w:space="0" w:color="auto"/>
      </w:divBdr>
    </w:div>
    <w:div w:id="1069571076">
      <w:bodyDiv w:val="1"/>
      <w:marLeft w:val="0"/>
      <w:marRight w:val="0"/>
      <w:marTop w:val="0"/>
      <w:marBottom w:val="0"/>
      <w:divBdr>
        <w:top w:val="none" w:sz="0" w:space="0" w:color="auto"/>
        <w:left w:val="none" w:sz="0" w:space="0" w:color="auto"/>
        <w:bottom w:val="none" w:sz="0" w:space="0" w:color="auto"/>
        <w:right w:val="none" w:sz="0" w:space="0" w:color="auto"/>
      </w:divBdr>
    </w:div>
    <w:div w:id="1290355445">
      <w:bodyDiv w:val="1"/>
      <w:marLeft w:val="0"/>
      <w:marRight w:val="0"/>
      <w:marTop w:val="0"/>
      <w:marBottom w:val="0"/>
      <w:divBdr>
        <w:top w:val="none" w:sz="0" w:space="0" w:color="auto"/>
        <w:left w:val="none" w:sz="0" w:space="0" w:color="auto"/>
        <w:bottom w:val="none" w:sz="0" w:space="0" w:color="auto"/>
        <w:right w:val="none" w:sz="0" w:space="0" w:color="auto"/>
      </w:divBdr>
    </w:div>
    <w:div w:id="1630817015">
      <w:bodyDiv w:val="1"/>
      <w:marLeft w:val="0"/>
      <w:marRight w:val="0"/>
      <w:marTop w:val="0"/>
      <w:marBottom w:val="0"/>
      <w:divBdr>
        <w:top w:val="none" w:sz="0" w:space="0" w:color="auto"/>
        <w:left w:val="none" w:sz="0" w:space="0" w:color="auto"/>
        <w:bottom w:val="none" w:sz="0" w:space="0" w:color="auto"/>
        <w:right w:val="none" w:sz="0" w:space="0" w:color="auto"/>
      </w:divBdr>
    </w:div>
    <w:div w:id="1824736020">
      <w:bodyDiv w:val="1"/>
      <w:marLeft w:val="0"/>
      <w:marRight w:val="0"/>
      <w:marTop w:val="0"/>
      <w:marBottom w:val="0"/>
      <w:divBdr>
        <w:top w:val="none" w:sz="0" w:space="0" w:color="auto"/>
        <w:left w:val="none" w:sz="0" w:space="0" w:color="auto"/>
        <w:bottom w:val="none" w:sz="0" w:space="0" w:color="auto"/>
        <w:right w:val="none" w:sz="0" w:space="0" w:color="auto"/>
      </w:divBdr>
    </w:div>
    <w:div w:id="1882209108">
      <w:bodyDiv w:val="1"/>
      <w:marLeft w:val="0"/>
      <w:marRight w:val="0"/>
      <w:marTop w:val="0"/>
      <w:marBottom w:val="0"/>
      <w:divBdr>
        <w:top w:val="none" w:sz="0" w:space="0" w:color="auto"/>
        <w:left w:val="none" w:sz="0" w:space="0" w:color="auto"/>
        <w:bottom w:val="none" w:sz="0" w:space="0" w:color="auto"/>
        <w:right w:val="none" w:sz="0" w:space="0" w:color="auto"/>
      </w:divBdr>
    </w:div>
    <w:div w:id="2089575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office@nswccl.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wccl.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sh.pallas@nswccl.org.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climateactiontracker.org/countries/australia/targe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48nUdO3mMwh8cWsT0jlaPz9eQ==">AMUW2mW20IRW77q35Dr1km6K51aRQnzGmKJ8+l6farx9/jHtvmsYFhzMowLtJM0F+Wyb+Rte4dtQy5jg2v1GBqm/IXF7up41qOLlyPQYVaj/BNSCK2opYvJqC4juxXV1k3fh4DYz45hroooumvfyhRLwk6B3E6B/2llK0ALtIk7lYNkXHieCbgw9Iz+tpHmKSUBqckkViZQE775TYskuauluJtNBO31vmE0jWThc/LfCCvyn7ykJoE1n8SgWLhCz0khBwDrQba4e8SrO9EzMvGBTtj/fkzCs417ZeT7fuegf31vxPlGCpXf+uJQhyolxEK3kYJcu1i6AIljGsvuTDmULMTBVbQPE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 D M S ! 8 0 4 5 9 6 5 0 1 . 6 < / d o c u m e n t i d >  
     < s e n d e r i d > K P Z S < / s e n d e r i d >  
     < s e n d e r e m a i l > K I R B Y . P E A R S O N @ A L L E N S . C O M . A U < / s e n d e r e m a i l >  
     < l a s t m o d i f i e d > 2 0 2 3 - 0 4 - 2 1 T 1 2 : 2 2 : 0 0 . 0 0 0 0 0 0 0 + 1 0 : 0 0 < / l a s t m o d i f i e d >  
     < d a t a b a s e > D M S < / d a t a b a s e >  
 < / 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3EE394-7C3A-4BD7-8E66-F54750EA3E9D}">
  <ds:schemaRefs>
    <ds:schemaRef ds:uri="http://schemas.openxmlformats.org/officeDocument/2006/bibliography"/>
  </ds:schemaRefs>
</ds:datastoreItem>
</file>

<file path=customXml/itemProps3.xml><?xml version="1.0" encoding="utf-8"?>
<ds:datastoreItem xmlns:ds="http://schemas.openxmlformats.org/officeDocument/2006/customXml" ds:itemID="{EE251B99-C163-4CE2-9A46-9102012634E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joshpallas2@gmail.com</dc:creator>
  <cp:lastModifiedBy>BOURQUE Frederique</cp:lastModifiedBy>
  <cp:revision>1</cp:revision>
  <dcterms:created xsi:type="dcterms:W3CDTF">2023-07-05T15:23:00Z</dcterms:created>
  <dcterms:modified xsi:type="dcterms:W3CDTF">2023-07-05T15:23:00Z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Footer">
    <vt:lpwstr>KPZS 804596501v6 121164174</vt:lpwstr>
  </property>
  <property fmtid="{D5CDD505-2E9C-101B-9397-08002B2CF9AE}" pid="3" name="iManageDocNum">
    <vt:lpwstr>804596501</vt:lpwstr>
  </property>
  <property fmtid="{D5CDD505-2E9C-101B-9397-08002B2CF9AE}" pid="4" name="iManageAuthorID">
    <vt:lpwstr>KPZS</vt:lpwstr>
  </property>
  <property fmtid="{D5CDD505-2E9C-101B-9397-08002B2CF9AE}" pid="5" name="iManageVersion">
    <vt:lpwstr>6</vt:lpwstr>
  </property>
  <property fmtid="{D5CDD505-2E9C-101B-9397-08002B2CF9AE}" pid="6" name="iManageFileName">
    <vt:lpwstr>DRAFT - Voice 'Words' Inquiry Submission - Inquiry into the Aboriginal and Torres Strait Islander Voice Referendum</vt:lpwstr>
  </property>
  <property fmtid="{D5CDD505-2E9C-101B-9397-08002B2CF9AE}" pid="7" name="iManageMatterNumber">
    <vt:lpwstr>121164174</vt:lpwstr>
  </property>
  <property fmtid="{D5CDD505-2E9C-101B-9397-08002B2CF9AE}" pid="8" name="iManageDocumentID">
    <vt:lpwstr>DMS!804596501.6</vt:lpwstr>
  </property>
  <property fmtid="{D5CDD505-2E9C-101B-9397-08002B2CF9AE}" pid="9" name="iManageIsCheckedOut">
    <vt:lpwstr>-1</vt:lpwstr>
  </property>
</Properties>
</file>