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5EBC" w:rsidRDefault="00331DC5" w:rsidP="00275EBC">
      <w:pPr>
        <w:jc w:val="center"/>
        <w:rPr>
          <w:rFonts w:ascii="Times New Roman" w:eastAsia="Times New Roman" w:hAnsi="Times New Roman" w:cs="Times New Roman"/>
          <w:b/>
          <w:bCs/>
          <w:spacing w:val="-2"/>
        </w:rPr>
      </w:pPr>
      <w:r w:rsidRPr="00AD4908">
        <w:rPr>
          <w:rFonts w:ascii="Times New Roman" w:eastAsia="Times New Roman" w:hAnsi="Times New Roman" w:cs="Times New Roman"/>
          <w:noProof/>
          <w:sz w:val="16"/>
          <w:szCs w:val="16"/>
          <w14:ligatures w14:val="standardContextual"/>
        </w:rPr>
        <w:drawing>
          <wp:anchor distT="0" distB="0" distL="114300" distR="114300" simplePos="0" relativeHeight="251658240" behindDoc="0" locked="0" layoutInCell="1" allowOverlap="1" wp14:anchorId="17671CFA" wp14:editId="76E46643">
            <wp:simplePos x="0" y="0"/>
            <wp:positionH relativeFrom="column">
              <wp:posOffset>-70831</wp:posOffset>
            </wp:positionH>
            <wp:positionV relativeFrom="paragraph">
              <wp:posOffset>0</wp:posOffset>
            </wp:positionV>
            <wp:extent cx="914400" cy="914400"/>
            <wp:effectExtent l="0" t="0" r="0" b="0"/>
            <wp:wrapSquare wrapText="bothSides"/>
            <wp:docPr id="1981125881" name="Picture 1" descr="A picture containing graphics, art, circle, graphic desig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25881" name="Picture 1" descr="A picture containing graphics, art, circle, graphic design&#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275EBC" w:rsidRPr="00515713">
        <w:rPr>
          <w:rFonts w:ascii="Times New Roman" w:eastAsia="Times New Roman" w:hAnsi="Times New Roman" w:cs="Times New Roman"/>
          <w:noProof/>
        </w:rPr>
        <w:drawing>
          <wp:anchor distT="0" distB="0" distL="114300" distR="114300" simplePos="0" relativeHeight="251659264" behindDoc="0" locked="0" layoutInCell="1" allowOverlap="1" wp14:anchorId="2F7AB514" wp14:editId="73948C9F">
            <wp:simplePos x="0" y="0"/>
            <wp:positionH relativeFrom="column">
              <wp:posOffset>5203536</wp:posOffset>
            </wp:positionH>
            <wp:positionV relativeFrom="paragraph">
              <wp:posOffset>0</wp:posOffset>
            </wp:positionV>
            <wp:extent cx="720725" cy="914400"/>
            <wp:effectExtent l="0" t="0" r="3175" b="0"/>
            <wp:wrapSquare wrapText="bothSides"/>
            <wp:docPr id="1" name="Picture 1" descr="Logo, company name&#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725" cy="914400"/>
                    </a:xfrm>
                    <a:prstGeom prst="rect">
                      <a:avLst/>
                    </a:prstGeom>
                  </pic:spPr>
                </pic:pic>
              </a:graphicData>
            </a:graphic>
            <wp14:sizeRelH relativeFrom="page">
              <wp14:pctWidth>0</wp14:pctWidth>
            </wp14:sizeRelH>
            <wp14:sizeRelV relativeFrom="page">
              <wp14:pctHeight>0</wp14:pctHeight>
            </wp14:sizeRelV>
          </wp:anchor>
        </w:drawing>
      </w:r>
      <w:r w:rsidR="00275EBC" w:rsidRPr="00275EBC">
        <w:rPr>
          <w:rFonts w:ascii="Times New Roman" w:eastAsia="Times New Roman" w:hAnsi="Times New Roman" w:cs="Times New Roman"/>
          <w:b/>
          <w:bCs/>
          <w:spacing w:val="-2"/>
        </w:rPr>
        <w:t xml:space="preserve"> </w:t>
      </w:r>
    </w:p>
    <w:p w:rsidR="00275EBC" w:rsidRPr="00331DC5" w:rsidRDefault="00275EBC" w:rsidP="00331DC5">
      <w:pPr>
        <w:ind w:left="720" w:right="720"/>
        <w:jc w:val="center"/>
        <w:rPr>
          <w:rFonts w:ascii="Times New Roman" w:eastAsia="Times New Roman" w:hAnsi="Times New Roman" w:cs="Times New Roman"/>
          <w:b/>
          <w:bCs/>
          <w:lang w:val="en-AU"/>
        </w:rPr>
      </w:pPr>
      <w:r w:rsidRPr="00331DC5">
        <w:rPr>
          <w:rFonts w:ascii="Times New Roman" w:eastAsia="Times New Roman" w:hAnsi="Times New Roman" w:cs="Times New Roman"/>
          <w:b/>
          <w:bCs/>
        </w:rPr>
        <w:t xml:space="preserve">Submission to the UN </w:t>
      </w:r>
      <w:r w:rsidRPr="00331DC5">
        <w:rPr>
          <w:rFonts w:ascii="Times New Roman" w:eastAsia="Times New Roman" w:hAnsi="Times New Roman" w:cs="Times New Roman"/>
          <w:b/>
          <w:bCs/>
          <w:lang w:val="en-AU"/>
        </w:rPr>
        <w:t xml:space="preserve">Special Rapporteur on the promotion and protection of human rights in the context of climate change </w:t>
      </w:r>
      <w:r w:rsidRPr="00331DC5">
        <w:rPr>
          <w:rFonts w:ascii="Times New Roman" w:eastAsia="Times New Roman" w:hAnsi="Times New Roman" w:cs="Times New Roman"/>
          <w:b/>
          <w:bCs/>
        </w:rPr>
        <w:t>by Fast Action on Climate to Ensure Intergenerational Justice and the Center for Human Rights &amp; Environment</w:t>
      </w:r>
    </w:p>
    <w:p w:rsidR="00EC3798" w:rsidRDefault="00EC3798" w:rsidP="00275EBC">
      <w:pPr>
        <w:rPr>
          <w:rFonts w:ascii="Times New Roman" w:eastAsia="Times New Roman" w:hAnsi="Times New Roman" w:cs="Times New Roman"/>
          <w:b/>
          <w:bCs/>
          <w:spacing w:val="-2"/>
          <w:lang w:val="en-AU"/>
        </w:rPr>
      </w:pPr>
    </w:p>
    <w:p w:rsidR="00EC3798" w:rsidRPr="001551E5" w:rsidRDefault="00EC3798" w:rsidP="001551E5">
      <w:pPr>
        <w:jc w:val="center"/>
        <w:rPr>
          <w:rFonts w:ascii="Times New Roman" w:eastAsia="Times New Roman" w:hAnsi="Times New Roman" w:cs="Times New Roman"/>
          <w:b/>
          <w:bCs/>
          <w:spacing w:val="-2"/>
          <w:lang w:val="en-AU"/>
        </w:rPr>
      </w:pPr>
      <w:r>
        <w:rPr>
          <w:rFonts w:ascii="Times New Roman" w:eastAsia="Times New Roman" w:hAnsi="Times New Roman" w:cs="Times New Roman"/>
        </w:rPr>
        <w:t>25 May 2023</w:t>
      </w:r>
    </w:p>
    <w:p w:rsidR="008F5741" w:rsidRDefault="008F5741" w:rsidP="00A263E2">
      <w:pPr>
        <w:jc w:val="both"/>
        <w:rPr>
          <w:rFonts w:ascii="Times New Roman" w:eastAsia="Times New Roman" w:hAnsi="Times New Roman" w:cs="Times New Roman"/>
          <w:u w:val="single"/>
        </w:rPr>
      </w:pPr>
    </w:p>
    <w:p w:rsidR="00F07577" w:rsidRPr="001559AE" w:rsidRDefault="00F07577" w:rsidP="00A263E2">
      <w:pPr>
        <w:jc w:val="both"/>
        <w:rPr>
          <w:rFonts w:ascii="Times New Roman" w:eastAsia="Times New Roman" w:hAnsi="Times New Roman" w:cs="Times New Roman"/>
        </w:rPr>
      </w:pPr>
      <w:r w:rsidRPr="001559AE">
        <w:rPr>
          <w:rFonts w:ascii="Times New Roman" w:eastAsia="Times New Roman" w:hAnsi="Times New Roman" w:cs="Times New Roman"/>
        </w:rPr>
        <w:t>To: Mr. Ian Fry, United Nations Special Rapporteur</w:t>
      </w:r>
    </w:p>
    <w:p w:rsidR="00F07577" w:rsidRDefault="00F07577" w:rsidP="00A263E2">
      <w:pPr>
        <w:jc w:val="both"/>
        <w:rPr>
          <w:rFonts w:ascii="Times New Roman" w:eastAsia="Times New Roman" w:hAnsi="Times New Roman" w:cs="Times New Roman"/>
          <w:u w:val="single"/>
        </w:rPr>
      </w:pPr>
    </w:p>
    <w:p w:rsidR="00645A37" w:rsidRPr="00A263E2" w:rsidRDefault="00F07577" w:rsidP="00A263E2">
      <w:pPr>
        <w:jc w:val="both"/>
        <w:rPr>
          <w:rFonts w:ascii="Times New Roman" w:eastAsia="Times New Roman" w:hAnsi="Times New Roman" w:cs="Times New Roman"/>
          <w:u w:val="single"/>
        </w:rPr>
      </w:pPr>
      <w:r>
        <w:rPr>
          <w:rFonts w:ascii="Times New Roman" w:eastAsia="Times New Roman" w:hAnsi="Times New Roman" w:cs="Times New Roman"/>
          <w:u w:val="single"/>
        </w:rPr>
        <w:t>Re</w:t>
      </w:r>
      <w:r w:rsidR="00645A37" w:rsidRPr="00A263E2">
        <w:rPr>
          <w:rFonts w:ascii="Times New Roman" w:eastAsia="Times New Roman" w:hAnsi="Times New Roman" w:cs="Times New Roman"/>
          <w:u w:val="single"/>
        </w:rPr>
        <w:t>: Call for inputs on enhancing climate change legislation, support for climate change litigation and advancement of the principle of intergenerational justice</w:t>
      </w:r>
    </w:p>
    <w:p w:rsidR="00645A37" w:rsidRPr="00515713" w:rsidRDefault="00645A37" w:rsidP="00645A37">
      <w:pPr>
        <w:jc w:val="both"/>
        <w:rPr>
          <w:rFonts w:ascii="Times New Roman" w:eastAsia="Times New Roman" w:hAnsi="Times New Roman" w:cs="Times New Roman"/>
        </w:rPr>
      </w:pPr>
    </w:p>
    <w:p w:rsidR="00B05E64" w:rsidRDefault="00645A37" w:rsidP="00645A37">
      <w:pPr>
        <w:jc w:val="both"/>
        <w:rPr>
          <w:rFonts w:ascii="Times New Roman" w:eastAsia="Times New Roman" w:hAnsi="Times New Roman" w:cs="Times New Roman"/>
        </w:rPr>
      </w:pPr>
      <w:r w:rsidRPr="00515713">
        <w:rPr>
          <w:rFonts w:ascii="Times New Roman" w:eastAsia="Times New Roman" w:hAnsi="Times New Roman" w:cs="Times New Roman"/>
        </w:rPr>
        <w:t xml:space="preserve">We are grateful to the </w:t>
      </w:r>
      <w:r w:rsidR="009B4718">
        <w:rPr>
          <w:rFonts w:ascii="Times New Roman" w:eastAsia="Times New Roman" w:hAnsi="Times New Roman" w:cs="Times New Roman"/>
        </w:rPr>
        <w:t>Special Rapporteur</w:t>
      </w:r>
      <w:r w:rsidRPr="00515713">
        <w:rPr>
          <w:rFonts w:ascii="Times New Roman" w:eastAsia="Times New Roman" w:hAnsi="Times New Roman" w:cs="Times New Roman"/>
        </w:rPr>
        <w:t xml:space="preserve"> for the opportunity to submit </w:t>
      </w:r>
      <w:r w:rsidR="00A70013">
        <w:rPr>
          <w:rFonts w:ascii="Times New Roman" w:eastAsia="Times New Roman" w:hAnsi="Times New Roman" w:cs="Times New Roman"/>
        </w:rPr>
        <w:t xml:space="preserve">comments </w:t>
      </w:r>
      <w:r w:rsidR="00331DC5">
        <w:rPr>
          <w:rFonts w:ascii="Times New Roman" w:eastAsia="Times New Roman" w:hAnsi="Times New Roman" w:cs="Times New Roman"/>
        </w:rPr>
        <w:t>on the</w:t>
      </w:r>
      <w:r w:rsidRPr="00515713">
        <w:rPr>
          <w:rFonts w:ascii="Times New Roman" w:eastAsia="Times New Roman" w:hAnsi="Times New Roman" w:cs="Times New Roman"/>
        </w:rPr>
        <w:t xml:space="preserve"> </w:t>
      </w:r>
      <w:r w:rsidR="00A70013">
        <w:rPr>
          <w:rFonts w:ascii="Times New Roman" w:eastAsia="Times New Roman" w:hAnsi="Times New Roman" w:cs="Times New Roman"/>
        </w:rPr>
        <w:t>protection of</w:t>
      </w:r>
      <w:r w:rsidR="009B4718">
        <w:rPr>
          <w:rFonts w:ascii="Times New Roman" w:eastAsia="Times New Roman" w:hAnsi="Times New Roman" w:cs="Times New Roman"/>
        </w:rPr>
        <w:t xml:space="preserve"> human rights in</w:t>
      </w:r>
      <w:r w:rsidR="004C070E">
        <w:rPr>
          <w:rFonts w:ascii="Times New Roman" w:eastAsia="Times New Roman" w:hAnsi="Times New Roman" w:cs="Times New Roman"/>
        </w:rPr>
        <w:t xml:space="preserve"> </w:t>
      </w:r>
      <w:r w:rsidR="00331DC5">
        <w:rPr>
          <w:rFonts w:ascii="Times New Roman" w:eastAsia="Times New Roman" w:hAnsi="Times New Roman" w:cs="Times New Roman"/>
        </w:rPr>
        <w:t>a</w:t>
      </w:r>
      <w:r w:rsidR="009B4718">
        <w:rPr>
          <w:rFonts w:ascii="Times New Roman" w:eastAsia="Times New Roman" w:hAnsi="Times New Roman" w:cs="Times New Roman"/>
        </w:rPr>
        <w:t xml:space="preserve"> climate emergency and to </w:t>
      </w:r>
      <w:r w:rsidR="00331DC5">
        <w:rPr>
          <w:rFonts w:ascii="Times New Roman" w:eastAsia="Times New Roman" w:hAnsi="Times New Roman" w:cs="Times New Roman"/>
        </w:rPr>
        <w:t xml:space="preserve">promote </w:t>
      </w:r>
      <w:r w:rsidR="009B4718">
        <w:rPr>
          <w:rFonts w:ascii="Times New Roman" w:eastAsia="Times New Roman" w:hAnsi="Times New Roman" w:cs="Times New Roman"/>
        </w:rPr>
        <w:t xml:space="preserve">intergenerational </w:t>
      </w:r>
      <w:r w:rsidR="00331DC5">
        <w:rPr>
          <w:rFonts w:ascii="Times New Roman" w:eastAsia="Times New Roman" w:hAnsi="Times New Roman" w:cs="Times New Roman"/>
        </w:rPr>
        <w:t xml:space="preserve">climate </w:t>
      </w:r>
      <w:r w:rsidR="009B4718">
        <w:rPr>
          <w:rFonts w:ascii="Times New Roman" w:eastAsia="Times New Roman" w:hAnsi="Times New Roman" w:cs="Times New Roman"/>
        </w:rPr>
        <w:t xml:space="preserve">justice. We submit this comment on behalf of </w:t>
      </w:r>
      <w:hyperlink r:id="rId12" w:history="1">
        <w:r w:rsidR="001B02C7" w:rsidRPr="001B02C7">
          <w:rPr>
            <w:rStyle w:val="Hyperlink"/>
            <w:rFonts w:ascii="Times New Roman" w:eastAsia="Times New Roman" w:hAnsi="Times New Roman" w:cs="Times New Roman"/>
          </w:rPr>
          <w:t>Fast Action on Climate to Ensure Intergenerational Justice</w:t>
        </w:r>
      </w:hyperlink>
      <w:r w:rsidR="00A70013">
        <w:rPr>
          <w:rFonts w:ascii="Times New Roman" w:eastAsia="Times New Roman" w:hAnsi="Times New Roman" w:cs="Times New Roman"/>
        </w:rPr>
        <w:t xml:space="preserve"> (FACE Intergenerational Justice)</w:t>
      </w:r>
      <w:r w:rsidR="001B02C7">
        <w:rPr>
          <w:rFonts w:ascii="Times New Roman" w:eastAsia="Times New Roman" w:hAnsi="Times New Roman" w:cs="Times New Roman"/>
        </w:rPr>
        <w:t xml:space="preserve">, </w:t>
      </w:r>
      <w:r w:rsidR="009B4718">
        <w:rPr>
          <w:rFonts w:ascii="Times New Roman" w:eastAsia="Times New Roman" w:hAnsi="Times New Roman" w:cs="Times New Roman"/>
        </w:rPr>
        <w:t xml:space="preserve">a youth-led initiative hosted by </w:t>
      </w:r>
      <w:r w:rsidRPr="00515713">
        <w:rPr>
          <w:rFonts w:ascii="Times New Roman" w:eastAsia="Times New Roman" w:hAnsi="Times New Roman" w:cs="Times New Roman"/>
        </w:rPr>
        <w:t xml:space="preserve">the </w:t>
      </w:r>
      <w:hyperlink r:id="rId13" w:history="1">
        <w:r w:rsidRPr="004F1A1C">
          <w:rPr>
            <w:rStyle w:val="Hyperlink"/>
            <w:rFonts w:ascii="Times New Roman" w:eastAsia="Times New Roman" w:hAnsi="Times New Roman" w:cs="Times New Roman"/>
          </w:rPr>
          <w:t>Center for Human Rights &amp; Environment</w:t>
        </w:r>
      </w:hyperlink>
      <w:r w:rsidR="00EC3798">
        <w:rPr>
          <w:rFonts w:ascii="Times New Roman" w:eastAsia="Times New Roman" w:hAnsi="Times New Roman" w:cs="Times New Roman"/>
        </w:rPr>
        <w:t xml:space="preserve"> (CHRE)</w:t>
      </w:r>
      <w:r w:rsidRPr="00515713">
        <w:rPr>
          <w:rFonts w:ascii="Times New Roman" w:eastAsia="Times New Roman" w:hAnsi="Times New Roman" w:cs="Times New Roman"/>
        </w:rPr>
        <w:t xml:space="preserve"> and the </w:t>
      </w:r>
      <w:hyperlink r:id="rId14" w:history="1">
        <w:r w:rsidRPr="004F1A1C">
          <w:rPr>
            <w:rStyle w:val="Hyperlink"/>
            <w:rFonts w:ascii="Times New Roman" w:eastAsia="Times New Roman" w:hAnsi="Times New Roman" w:cs="Times New Roman"/>
          </w:rPr>
          <w:t>Institute for Governance &amp; Sustainable Development</w:t>
        </w:r>
      </w:hyperlink>
      <w:r w:rsidR="00EC3798">
        <w:rPr>
          <w:rFonts w:ascii="Times New Roman" w:eastAsia="Times New Roman" w:hAnsi="Times New Roman" w:cs="Times New Roman"/>
        </w:rPr>
        <w:t xml:space="preserve"> (IGSD)</w:t>
      </w:r>
      <w:r w:rsidRPr="00515713">
        <w:rPr>
          <w:rFonts w:ascii="Times New Roman" w:eastAsia="Times New Roman" w:hAnsi="Times New Roman" w:cs="Times New Roman"/>
        </w:rPr>
        <w:t xml:space="preserve">. </w:t>
      </w:r>
    </w:p>
    <w:p w:rsidR="001551E5" w:rsidRDefault="001551E5" w:rsidP="00645A37">
      <w:pPr>
        <w:jc w:val="both"/>
        <w:rPr>
          <w:rFonts w:ascii="Times New Roman" w:eastAsia="Times New Roman" w:hAnsi="Times New Roman" w:cs="Times New Roman"/>
        </w:rPr>
      </w:pPr>
    </w:p>
    <w:p w:rsidR="001551E5" w:rsidRDefault="001551E5" w:rsidP="001551E5">
      <w:pPr>
        <w:jc w:val="both"/>
        <w:rPr>
          <w:rFonts w:ascii="Times New Roman" w:eastAsia="Times New Roman" w:hAnsi="Times New Roman" w:cs="Times New Roman"/>
          <w:lang w:val="en"/>
        </w:rPr>
      </w:pPr>
      <w:r w:rsidRPr="00A70013">
        <w:rPr>
          <w:rFonts w:ascii="Times New Roman" w:eastAsia="Times New Roman" w:hAnsi="Times New Roman" w:cs="Times New Roman"/>
          <w:lang w:val="en"/>
        </w:rPr>
        <w:t xml:space="preserve">Young people will bear the brunt of the climate crisis in the decades to come, impacting </w:t>
      </w:r>
      <w:r>
        <w:rPr>
          <w:rFonts w:ascii="Times New Roman" w:eastAsia="Times New Roman" w:hAnsi="Times New Roman" w:cs="Times New Roman"/>
          <w:lang w:val="en"/>
        </w:rPr>
        <w:t xml:space="preserve">their </w:t>
      </w:r>
      <w:r w:rsidRPr="00A70013">
        <w:rPr>
          <w:rFonts w:ascii="Times New Roman" w:eastAsia="Times New Roman" w:hAnsi="Times New Roman" w:cs="Times New Roman"/>
          <w:lang w:val="en"/>
        </w:rPr>
        <w:t>livelihoods, security, and health.</w:t>
      </w:r>
      <w:r w:rsidRPr="00A70013">
        <w:rPr>
          <w:rFonts w:ascii="Times New Roman" w:eastAsia="Times New Roman" w:hAnsi="Times New Roman" w:cs="Times New Roman"/>
          <w:vertAlign w:val="superscript"/>
          <w:lang w:val="en"/>
        </w:rPr>
        <w:endnoteReference w:id="1"/>
      </w:r>
      <w:r w:rsidRPr="00A70013">
        <w:rPr>
          <w:rFonts w:ascii="Times New Roman" w:eastAsia="Times New Roman" w:hAnsi="Times New Roman" w:cs="Times New Roman"/>
          <w:lang w:val="en"/>
        </w:rPr>
        <w:t xml:space="preserve"> </w:t>
      </w:r>
      <w:r w:rsidRPr="007742A4">
        <w:rPr>
          <w:rFonts w:ascii="Times New Roman" w:eastAsia="Times New Roman" w:hAnsi="Times New Roman" w:cs="Times New Roman"/>
          <w:lang w:val="en"/>
        </w:rPr>
        <w:t>Decisionmakers have historically excluded young people from decisionmaking processes that impact them and their future, overlooking their capacity for leadership and innovation. Despite this injustice, young people have been some of the strongest voices advocating for fast action to address the climate emergency</w:t>
      </w:r>
      <w:r w:rsidRPr="00A70013">
        <w:rPr>
          <w:rFonts w:ascii="Times New Roman" w:eastAsia="Times New Roman" w:hAnsi="Times New Roman" w:cs="Times New Roman"/>
          <w:lang w:val="en"/>
        </w:rPr>
        <w:t xml:space="preserve">. Meaningfully engaging youth in climate action through advocacy, awareness raising, and education can ensure the sustainability and equity of solutions for generations to come. </w:t>
      </w:r>
      <w:r w:rsidRPr="00F21456">
        <w:rPr>
          <w:rFonts w:ascii="Times New Roman" w:eastAsia="Times New Roman" w:hAnsi="Times New Roman" w:cs="Times New Roman"/>
        </w:rPr>
        <w:t xml:space="preserve">The window of time for climate action is quickly closing, and </w:t>
      </w:r>
      <w:r>
        <w:rPr>
          <w:rFonts w:ascii="Times New Roman" w:eastAsia="Times New Roman" w:hAnsi="Times New Roman" w:cs="Times New Roman"/>
        </w:rPr>
        <w:t>we</w:t>
      </w:r>
      <w:r w:rsidRPr="00F21456">
        <w:rPr>
          <w:rFonts w:ascii="Times New Roman" w:eastAsia="Times New Roman" w:hAnsi="Times New Roman" w:cs="Times New Roman"/>
        </w:rPr>
        <w:t xml:space="preserve"> need climate solutions today.</w:t>
      </w:r>
    </w:p>
    <w:p w:rsidR="004F1A1C" w:rsidRDefault="004F1A1C" w:rsidP="00645A37">
      <w:pPr>
        <w:jc w:val="both"/>
        <w:rPr>
          <w:rFonts w:ascii="Times New Roman" w:eastAsia="Times New Roman" w:hAnsi="Times New Roman" w:cs="Times New Roman"/>
        </w:rPr>
      </w:pPr>
    </w:p>
    <w:p w:rsidR="004F1A1C" w:rsidRDefault="004F1A1C" w:rsidP="00645A37">
      <w:pPr>
        <w:jc w:val="both"/>
        <w:rPr>
          <w:rFonts w:ascii="Times New Roman" w:eastAsia="Times New Roman" w:hAnsi="Times New Roman" w:cs="Times New Roman"/>
        </w:rPr>
      </w:pPr>
      <w:r>
        <w:rPr>
          <w:rFonts w:ascii="Times New Roman" w:eastAsia="Times New Roman" w:hAnsi="Times New Roman" w:cs="Times New Roman"/>
        </w:rPr>
        <w:t xml:space="preserve">We are the last generation that can do something </w:t>
      </w:r>
      <w:r w:rsidRPr="00EC3798">
        <w:rPr>
          <w:rFonts w:ascii="Times New Roman" w:eastAsia="Times New Roman" w:hAnsi="Times New Roman" w:cs="Times New Roman"/>
          <w:i/>
          <w:iCs/>
        </w:rPr>
        <w:t>now</w:t>
      </w:r>
      <w:r>
        <w:rPr>
          <w:rFonts w:ascii="Times New Roman" w:eastAsia="Times New Roman" w:hAnsi="Times New Roman" w:cs="Times New Roman"/>
        </w:rPr>
        <w:t xml:space="preserve"> to prevent surpassing the </w:t>
      </w:r>
      <w:r w:rsidRPr="00515713">
        <w:rPr>
          <w:rFonts w:ascii="Times New Roman" w:eastAsia="Times New Roman" w:hAnsi="Times New Roman" w:cs="Times New Roman"/>
        </w:rPr>
        <w:t>1.5°C</w:t>
      </w:r>
      <w:r>
        <w:rPr>
          <w:rFonts w:ascii="Times New Roman" w:eastAsia="Times New Roman" w:hAnsi="Times New Roman" w:cs="Times New Roman"/>
        </w:rPr>
        <w:t xml:space="preserve"> guardrail and keep the planet livable for current and future generations. However, with current policies, we are not acting fast enough to meet the climate emergency and </w:t>
      </w:r>
      <w:r w:rsidR="00275EBC">
        <w:rPr>
          <w:rFonts w:ascii="Times New Roman" w:eastAsia="Times New Roman" w:hAnsi="Times New Roman" w:cs="Times New Roman"/>
        </w:rPr>
        <w:t>are failing</w:t>
      </w:r>
      <w:r>
        <w:rPr>
          <w:rFonts w:ascii="Times New Roman" w:eastAsia="Times New Roman" w:hAnsi="Times New Roman" w:cs="Times New Roman"/>
        </w:rPr>
        <w:t xml:space="preserve"> to </w:t>
      </w:r>
      <w:r w:rsidR="00275EBC">
        <w:rPr>
          <w:rFonts w:ascii="Times New Roman" w:eastAsia="Times New Roman" w:hAnsi="Times New Roman" w:cs="Times New Roman"/>
        </w:rPr>
        <w:t>ensure</w:t>
      </w:r>
      <w:r>
        <w:rPr>
          <w:rFonts w:ascii="Times New Roman" w:eastAsia="Times New Roman" w:hAnsi="Times New Roman" w:cs="Times New Roman"/>
        </w:rPr>
        <w:t xml:space="preserve"> intergenerational climate justice, as climate </w:t>
      </w:r>
      <w:r w:rsidRPr="00EC3798">
        <w:rPr>
          <w:rFonts w:ascii="Times New Roman" w:eastAsia="Times New Roman" w:hAnsi="Times New Roman" w:cs="Times New Roman"/>
        </w:rPr>
        <w:t>commitments remain voluntary, action plans remain undefined, and we hurtle closer</w:t>
      </w:r>
      <w:r>
        <w:rPr>
          <w:rFonts w:ascii="Times New Roman" w:eastAsia="Times New Roman" w:hAnsi="Times New Roman" w:cs="Times New Roman"/>
        </w:rPr>
        <w:t xml:space="preserve"> </w:t>
      </w:r>
      <w:r w:rsidRPr="00EC3798">
        <w:rPr>
          <w:rFonts w:ascii="Times New Roman" w:eastAsia="Times New Roman" w:hAnsi="Times New Roman" w:cs="Times New Roman"/>
        </w:rPr>
        <w:t xml:space="preserve">to </w:t>
      </w:r>
      <w:r>
        <w:rPr>
          <w:rFonts w:ascii="Times New Roman" w:eastAsia="Times New Roman" w:hAnsi="Times New Roman" w:cs="Times New Roman"/>
        </w:rPr>
        <w:t xml:space="preserve">breaching </w:t>
      </w:r>
      <w:r w:rsidRPr="00EC3798">
        <w:rPr>
          <w:rFonts w:ascii="Times New Roman" w:eastAsia="Times New Roman" w:hAnsi="Times New Roman" w:cs="Times New Roman"/>
        </w:rPr>
        <w:t>1.5°C.</w:t>
      </w:r>
      <w:r>
        <w:rPr>
          <w:rFonts w:ascii="Times New Roman" w:eastAsia="Times New Roman" w:hAnsi="Times New Roman" w:cs="Times New Roman"/>
        </w:rPr>
        <w:t xml:space="preserve"> Failing to act quickly on climate</w:t>
      </w:r>
      <w:r w:rsidR="001551E5">
        <w:rPr>
          <w:rFonts w:ascii="Times New Roman" w:eastAsia="Times New Roman" w:hAnsi="Times New Roman" w:cs="Times New Roman"/>
        </w:rPr>
        <w:t xml:space="preserve"> violates the principle of intergenerational equity and breaches international, regional, and domestic law. Therefore, climate action requires near-term solutions that </w:t>
      </w:r>
      <w:r>
        <w:rPr>
          <w:rFonts w:ascii="Times New Roman" w:eastAsia="Times New Roman" w:hAnsi="Times New Roman" w:cs="Times New Roman"/>
        </w:rPr>
        <w:t>include immediate cuts to super pollutants, like reducing 45% of methane emissions by 2030,</w:t>
      </w:r>
      <w:r w:rsidRPr="004F1A1C">
        <w:rPr>
          <w:rFonts w:ascii="Times New Roman" w:eastAsia="Times New Roman" w:hAnsi="Times New Roman" w:cs="Times New Roman"/>
          <w:vertAlign w:val="superscript"/>
        </w:rPr>
        <w:endnoteReference w:id="2"/>
      </w:r>
      <w:r>
        <w:rPr>
          <w:rFonts w:ascii="Times New Roman" w:eastAsia="Times New Roman" w:hAnsi="Times New Roman" w:cs="Times New Roman"/>
        </w:rPr>
        <w:t xml:space="preserve"> and protecting sinks, like halting deforestation by 2030</w:t>
      </w:r>
      <w:r w:rsidR="001551E5">
        <w:rPr>
          <w:rFonts w:ascii="Times New Roman" w:eastAsia="Times New Roman" w:hAnsi="Times New Roman" w:cs="Times New Roman"/>
        </w:rPr>
        <w:t>.</w:t>
      </w:r>
      <w:r w:rsidRPr="004F1A1C">
        <w:rPr>
          <w:rFonts w:ascii="Times New Roman" w:eastAsia="Times New Roman" w:hAnsi="Times New Roman" w:cs="Times New Roman"/>
          <w:vertAlign w:val="superscript"/>
        </w:rPr>
        <w:endnoteReference w:id="3"/>
      </w:r>
    </w:p>
    <w:p w:rsidR="00B05E64" w:rsidRDefault="00B05E64" w:rsidP="00645A37">
      <w:pPr>
        <w:jc w:val="both"/>
        <w:rPr>
          <w:rFonts w:ascii="Times New Roman" w:eastAsia="Times New Roman" w:hAnsi="Times New Roman" w:cs="Times New Roman"/>
        </w:rPr>
      </w:pPr>
    </w:p>
    <w:p w:rsidR="001551E5" w:rsidRDefault="00645A37" w:rsidP="00645A37">
      <w:pPr>
        <w:jc w:val="both"/>
        <w:rPr>
          <w:rFonts w:ascii="Times New Roman" w:hAnsi="Times New Roman" w:cs="Times New Roman"/>
          <w:vertAlign w:val="superscript"/>
        </w:rPr>
      </w:pPr>
      <w:r w:rsidRPr="00515713">
        <w:rPr>
          <w:rFonts w:ascii="Times New Roman" w:eastAsia="Times New Roman" w:hAnsi="Times New Roman" w:cs="Times New Roman"/>
        </w:rPr>
        <w:t xml:space="preserve">The climate crisis is an unprecedented, escalating human rights emergency that hits </w:t>
      </w:r>
      <w:r w:rsidR="00AD4908">
        <w:rPr>
          <w:rFonts w:ascii="Times New Roman" w:eastAsia="Times New Roman" w:hAnsi="Times New Roman" w:cs="Times New Roman"/>
        </w:rPr>
        <w:t>vulnerable frontline</w:t>
      </w:r>
      <w:r w:rsidRPr="00515713">
        <w:rPr>
          <w:rFonts w:ascii="Times New Roman" w:eastAsia="Times New Roman" w:hAnsi="Times New Roman" w:cs="Times New Roman"/>
        </w:rPr>
        <w:t xml:space="preserve"> communities the hardest, with </w:t>
      </w:r>
      <w:proofErr w:type="gramStart"/>
      <w:r w:rsidR="001551E5">
        <w:rPr>
          <w:rFonts w:ascii="Times New Roman" w:eastAsia="Times New Roman" w:hAnsi="Times New Roman" w:cs="Times New Roman"/>
        </w:rPr>
        <w:t>particular</w:t>
      </w:r>
      <w:r w:rsidRPr="00515713">
        <w:rPr>
          <w:rFonts w:ascii="Times New Roman" w:eastAsia="Times New Roman" w:hAnsi="Times New Roman" w:cs="Times New Roman"/>
        </w:rPr>
        <w:t xml:space="preserve"> impacts</w:t>
      </w:r>
      <w:proofErr w:type="gramEnd"/>
      <w:r w:rsidRPr="00515713">
        <w:rPr>
          <w:rFonts w:ascii="Times New Roman" w:eastAsia="Times New Roman" w:hAnsi="Times New Roman" w:cs="Times New Roman"/>
        </w:rPr>
        <w:t xml:space="preserve"> on </w:t>
      </w:r>
      <w:r w:rsidR="004C070E">
        <w:rPr>
          <w:rFonts w:ascii="Times New Roman" w:eastAsia="Times New Roman" w:hAnsi="Times New Roman" w:cs="Times New Roman"/>
        </w:rPr>
        <w:t xml:space="preserve">young people’s </w:t>
      </w:r>
      <w:r w:rsidR="001B02C7">
        <w:rPr>
          <w:rFonts w:ascii="Times New Roman" w:eastAsia="Times New Roman" w:hAnsi="Times New Roman" w:cs="Times New Roman"/>
        </w:rPr>
        <w:t xml:space="preserve">rights to life, health, </w:t>
      </w:r>
      <w:r w:rsidR="00AD4908">
        <w:rPr>
          <w:rFonts w:ascii="Times New Roman" w:eastAsia="Times New Roman" w:hAnsi="Times New Roman" w:cs="Times New Roman"/>
        </w:rPr>
        <w:t>equal protection, and a healthy environment</w:t>
      </w:r>
      <w:r w:rsidRPr="00515713">
        <w:rPr>
          <w:rFonts w:ascii="Times New Roman" w:eastAsia="Times New Roman" w:hAnsi="Times New Roman" w:cs="Times New Roman"/>
        </w:rPr>
        <w:t>.</w:t>
      </w:r>
      <w:r w:rsidR="00B05E64">
        <w:rPr>
          <w:rFonts w:ascii="Times New Roman" w:eastAsia="Times New Roman" w:hAnsi="Times New Roman" w:cs="Times New Roman"/>
        </w:rPr>
        <w:t xml:space="preserve"> </w:t>
      </w:r>
      <w:r w:rsidRPr="00515713">
        <w:rPr>
          <w:rFonts w:ascii="Times New Roman" w:eastAsia="Times New Roman" w:hAnsi="Times New Roman" w:cs="Times New Roman"/>
        </w:rPr>
        <w:t>Limiting warming to 1.5°C above pre-industrial levels with little or no overshoot in the near</w:t>
      </w:r>
      <w:r w:rsidR="00AD4908">
        <w:rPr>
          <w:rFonts w:ascii="Times New Roman" w:eastAsia="Times New Roman" w:hAnsi="Times New Roman" w:cs="Times New Roman"/>
        </w:rPr>
        <w:t>-</w:t>
      </w:r>
      <w:r w:rsidRPr="00515713">
        <w:rPr>
          <w:rFonts w:ascii="Times New Roman" w:eastAsia="Times New Roman" w:hAnsi="Times New Roman" w:cs="Times New Roman"/>
        </w:rPr>
        <w:t>term is necessary to limit risks to vulnerable and threatened human and natural systems</w:t>
      </w:r>
      <w:r w:rsidR="004C070E">
        <w:rPr>
          <w:rFonts w:ascii="Times New Roman" w:eastAsia="Times New Roman" w:hAnsi="Times New Roman" w:cs="Times New Roman"/>
        </w:rPr>
        <w:t>,</w:t>
      </w:r>
      <w:r w:rsidRPr="00515713">
        <w:rPr>
          <w:rFonts w:ascii="Times New Roman" w:eastAsia="Times New Roman" w:hAnsi="Times New Roman" w:cs="Times New Roman"/>
        </w:rPr>
        <w:t xml:space="preserve"> </w:t>
      </w:r>
      <w:r w:rsidR="004C070E">
        <w:rPr>
          <w:rFonts w:ascii="Times New Roman" w:eastAsia="Times New Roman" w:hAnsi="Times New Roman" w:cs="Times New Roman"/>
        </w:rPr>
        <w:t>slow</w:t>
      </w:r>
      <w:r w:rsidRPr="00515713">
        <w:rPr>
          <w:rFonts w:ascii="Times New Roman" w:eastAsia="Times New Roman" w:hAnsi="Times New Roman" w:cs="Times New Roman"/>
        </w:rPr>
        <w:t xml:space="preserve"> climate feedbacks and </w:t>
      </w:r>
      <w:r w:rsidR="004C070E">
        <w:rPr>
          <w:rFonts w:ascii="Times New Roman" w:eastAsia="Times New Roman" w:hAnsi="Times New Roman" w:cs="Times New Roman"/>
        </w:rPr>
        <w:t xml:space="preserve">avoid </w:t>
      </w:r>
      <w:r w:rsidRPr="00515713">
        <w:rPr>
          <w:rFonts w:ascii="Times New Roman" w:eastAsia="Times New Roman" w:hAnsi="Times New Roman" w:cs="Times New Roman"/>
        </w:rPr>
        <w:t xml:space="preserve">crossing irreversible </w:t>
      </w:r>
      <w:r w:rsidR="004C070E">
        <w:rPr>
          <w:rFonts w:ascii="Times New Roman" w:eastAsia="Times New Roman" w:hAnsi="Times New Roman" w:cs="Times New Roman"/>
        </w:rPr>
        <w:t xml:space="preserve">climate </w:t>
      </w:r>
      <w:r w:rsidRPr="00515713">
        <w:rPr>
          <w:rFonts w:ascii="Times New Roman" w:eastAsia="Times New Roman" w:hAnsi="Times New Roman" w:cs="Times New Roman"/>
        </w:rPr>
        <w:t>tipping points.</w:t>
      </w:r>
      <w:r w:rsidRPr="00515713">
        <w:rPr>
          <w:rFonts w:ascii="Times New Roman" w:eastAsia="Calibri" w:hAnsi="Times New Roman" w:cs="Times New Roman"/>
          <w:vertAlign w:val="superscript"/>
        </w:rPr>
        <w:endnoteReference w:id="4"/>
      </w:r>
      <w:r w:rsidRPr="00515713">
        <w:rPr>
          <w:rFonts w:ascii="Times New Roman" w:eastAsia="Times New Roman" w:hAnsi="Times New Roman" w:cs="Times New Roman"/>
        </w:rPr>
        <w:t xml:space="preserve"> Beyond 1.5°C, these risks increase, including the risk of triggering a cascade of tipping points committing human and natural systems to abrupt and irreversible changes. T</w:t>
      </w:r>
      <w:r w:rsidRPr="004C070E">
        <w:rPr>
          <w:rFonts w:ascii="Times New Roman" w:eastAsia="Times New Roman" w:hAnsi="Times New Roman" w:cs="Times New Roman"/>
        </w:rPr>
        <w:t xml:space="preserve">he magnitude and rate of these changes may exceed the capacity of </w:t>
      </w:r>
      <w:r w:rsidR="00AD4908" w:rsidRPr="004C070E">
        <w:rPr>
          <w:rFonts w:ascii="Times New Roman" w:eastAsia="Times New Roman" w:hAnsi="Times New Roman" w:cs="Times New Roman"/>
        </w:rPr>
        <w:t>eco</w:t>
      </w:r>
      <w:r w:rsidRPr="004C070E">
        <w:rPr>
          <w:rFonts w:ascii="Times New Roman" w:eastAsia="Times New Roman" w:hAnsi="Times New Roman" w:cs="Times New Roman"/>
        </w:rPr>
        <w:t>systems</w:t>
      </w:r>
      <w:r w:rsidR="00AD4908" w:rsidRPr="004C070E">
        <w:rPr>
          <w:rFonts w:ascii="Times New Roman" w:eastAsia="Times New Roman" w:hAnsi="Times New Roman" w:cs="Times New Roman"/>
        </w:rPr>
        <w:t xml:space="preserve"> and communities</w:t>
      </w:r>
      <w:r w:rsidRPr="004C070E">
        <w:rPr>
          <w:rFonts w:ascii="Times New Roman" w:eastAsia="Times New Roman" w:hAnsi="Times New Roman" w:cs="Times New Roman"/>
        </w:rPr>
        <w:t xml:space="preserve"> to adapt</w:t>
      </w:r>
      <w:r w:rsidR="006D6346">
        <w:rPr>
          <w:rFonts w:ascii="Times New Roman" w:eastAsia="Times New Roman" w:hAnsi="Times New Roman" w:cs="Times New Roman"/>
        </w:rPr>
        <w:t>,</w:t>
      </w:r>
      <w:r w:rsidR="004C070E" w:rsidRPr="004C070E">
        <w:rPr>
          <w:rFonts w:ascii="Times New Roman" w:eastAsia="Calibri" w:hAnsi="Times New Roman" w:cs="Times New Roman"/>
          <w:vertAlign w:val="superscript"/>
        </w:rPr>
        <w:endnoteReference w:id="5"/>
      </w:r>
      <w:r w:rsidR="004C070E" w:rsidRPr="004C070E">
        <w:rPr>
          <w:rFonts w:ascii="Times New Roman" w:eastAsia="Times New Roman" w:hAnsi="Times New Roman" w:cs="Times New Roman"/>
        </w:rPr>
        <w:t xml:space="preserve"> even if warming is reduced after temporary overshoot</w:t>
      </w:r>
      <w:r w:rsidR="004C070E" w:rsidRPr="006D6346">
        <w:rPr>
          <w:rFonts w:ascii="Times New Roman" w:hAnsi="Times New Roman" w:cs="Times New Roman"/>
        </w:rPr>
        <w:t>.</w:t>
      </w:r>
      <w:hyperlink w:anchor="_bookmark66" w:history="1">
        <w:r w:rsidR="004C070E" w:rsidRPr="006D6346">
          <w:rPr>
            <w:rFonts w:ascii="Times New Roman" w:hAnsi="Times New Roman" w:cs="Times New Roman"/>
            <w:vertAlign w:val="superscript"/>
          </w:rPr>
          <w:t>27</w:t>
        </w:r>
      </w:hyperlink>
    </w:p>
    <w:p w:rsidR="00EC3798" w:rsidRDefault="00B05E64" w:rsidP="00645A37">
      <w:pPr>
        <w:jc w:val="both"/>
        <w:rPr>
          <w:rFonts w:ascii="Times New Roman" w:eastAsia="Times New Roman" w:hAnsi="Times New Roman" w:cs="Times New Roman"/>
        </w:rPr>
      </w:pPr>
      <w:r w:rsidRPr="00B05E64">
        <w:rPr>
          <w:rFonts w:ascii="Times New Roman" w:eastAsia="Times New Roman" w:hAnsi="Times New Roman" w:cs="Times New Roman"/>
        </w:rPr>
        <w:t>Meeting the climate emergency requires a climate justice-</w:t>
      </w:r>
      <w:r w:rsidR="00AD4908">
        <w:rPr>
          <w:rFonts w:ascii="Times New Roman" w:eastAsia="Times New Roman" w:hAnsi="Times New Roman" w:cs="Times New Roman"/>
        </w:rPr>
        <w:t>centered</w:t>
      </w:r>
      <w:r w:rsidRPr="00B05E64">
        <w:rPr>
          <w:rFonts w:ascii="Times New Roman" w:eastAsia="Times New Roman" w:hAnsi="Times New Roman" w:cs="Times New Roman"/>
        </w:rPr>
        <w:t xml:space="preserve"> approach, which includes strengthening human </w:t>
      </w:r>
      <w:r w:rsidR="00AD4908">
        <w:rPr>
          <w:rFonts w:ascii="Times New Roman" w:eastAsia="Times New Roman" w:hAnsi="Times New Roman" w:cs="Times New Roman"/>
        </w:rPr>
        <w:t>rights and climate protection</w:t>
      </w:r>
      <w:r w:rsidRPr="00B05E64">
        <w:rPr>
          <w:rFonts w:ascii="Times New Roman" w:eastAsia="Times New Roman" w:hAnsi="Times New Roman" w:cs="Times New Roman"/>
        </w:rPr>
        <w:t>. Climate change is a threat multiplier and is connected to all forms of justice</w:t>
      </w:r>
      <w:r w:rsidR="00AD4908">
        <w:rPr>
          <w:rFonts w:ascii="Times New Roman" w:eastAsia="Times New Roman" w:hAnsi="Times New Roman" w:cs="Times New Roman"/>
        </w:rPr>
        <w:t>, with</w:t>
      </w:r>
      <w:r w:rsidRPr="00B05E64">
        <w:rPr>
          <w:rFonts w:ascii="Times New Roman" w:eastAsia="Times New Roman" w:hAnsi="Times New Roman" w:cs="Times New Roman"/>
        </w:rPr>
        <w:t xml:space="preserve"> impacts </w:t>
      </w:r>
      <w:r w:rsidR="00AD4908">
        <w:rPr>
          <w:rFonts w:ascii="Times New Roman" w:eastAsia="Times New Roman" w:hAnsi="Times New Roman" w:cs="Times New Roman"/>
        </w:rPr>
        <w:t xml:space="preserve">that </w:t>
      </w:r>
      <w:r w:rsidRPr="00B05E64">
        <w:rPr>
          <w:rFonts w:ascii="Times New Roman" w:eastAsia="Times New Roman" w:hAnsi="Times New Roman" w:cs="Times New Roman"/>
        </w:rPr>
        <w:t>are unequally distributed and affect the most vulnerable frontline communities first and worst. Many communities are experiencing the early impacts of climate change, such as extreme heatwaves, droughts, and other weather events that exacerbate already-existing</w:t>
      </w:r>
      <w:r w:rsidR="00275EBC">
        <w:rPr>
          <w:rFonts w:ascii="Times New Roman" w:eastAsia="Times New Roman" w:hAnsi="Times New Roman" w:cs="Times New Roman"/>
        </w:rPr>
        <w:t xml:space="preserve"> human</w:t>
      </w:r>
      <w:r w:rsidRPr="00B05E64">
        <w:rPr>
          <w:rFonts w:ascii="Times New Roman" w:eastAsia="Times New Roman" w:hAnsi="Times New Roman" w:cs="Times New Roman"/>
        </w:rPr>
        <w:t xml:space="preserve"> health risks.</w:t>
      </w:r>
      <w:r>
        <w:rPr>
          <w:rStyle w:val="EndnoteReference"/>
          <w:rFonts w:ascii="Times New Roman" w:eastAsia="Times New Roman" w:hAnsi="Times New Roman" w:cs="Times New Roman"/>
        </w:rPr>
        <w:endnoteReference w:id="6"/>
      </w:r>
      <w:r w:rsidRPr="00B05E64">
        <w:rPr>
          <w:rFonts w:ascii="Times New Roman" w:eastAsia="Times New Roman" w:hAnsi="Times New Roman" w:cs="Times New Roman"/>
        </w:rPr>
        <w:t xml:space="preserve"> </w:t>
      </w:r>
    </w:p>
    <w:p w:rsidR="008F5741" w:rsidRPr="00515713" w:rsidRDefault="008F5741" w:rsidP="00645A37">
      <w:pPr>
        <w:jc w:val="both"/>
        <w:rPr>
          <w:rFonts w:ascii="Times New Roman" w:eastAsia="Times New Roman" w:hAnsi="Times New Roman" w:cs="Times New Roman"/>
        </w:rPr>
      </w:pPr>
    </w:p>
    <w:p w:rsidR="00645A37" w:rsidRPr="00A70013" w:rsidRDefault="00645A37" w:rsidP="00645A37">
      <w:pPr>
        <w:jc w:val="both"/>
        <w:rPr>
          <w:rFonts w:ascii="Times New Roman" w:eastAsia="Times New Roman" w:hAnsi="Times New Roman" w:cs="Times New Roman"/>
        </w:rPr>
      </w:pPr>
      <w:r w:rsidRPr="00A70013">
        <w:rPr>
          <w:rFonts w:ascii="Times New Roman" w:eastAsia="Times New Roman" w:hAnsi="Times New Roman" w:cs="Times New Roman"/>
        </w:rPr>
        <w:t xml:space="preserve">Climate mitigation </w:t>
      </w:r>
      <w:r w:rsidR="00AD4908" w:rsidRPr="00A70013">
        <w:rPr>
          <w:rFonts w:ascii="Times New Roman" w:eastAsia="Times New Roman" w:hAnsi="Times New Roman" w:cs="Times New Roman"/>
        </w:rPr>
        <w:t>policies</w:t>
      </w:r>
      <w:r w:rsidRPr="00A70013">
        <w:rPr>
          <w:rFonts w:ascii="Times New Roman" w:eastAsia="Times New Roman" w:hAnsi="Times New Roman" w:cs="Times New Roman"/>
        </w:rPr>
        <w:t xml:space="preserve"> have </w:t>
      </w:r>
      <w:r w:rsidR="00AD4908" w:rsidRPr="00A70013">
        <w:rPr>
          <w:rFonts w:ascii="Times New Roman" w:eastAsia="Times New Roman" w:hAnsi="Times New Roman" w:cs="Times New Roman"/>
        </w:rPr>
        <w:t>primarily</w:t>
      </w:r>
      <w:r w:rsidRPr="00A70013">
        <w:rPr>
          <w:rFonts w:ascii="Times New Roman" w:eastAsia="Times New Roman" w:hAnsi="Times New Roman" w:cs="Times New Roman"/>
        </w:rPr>
        <w:t xml:space="preserve"> focused on reducing emissions of carbon dioxide (CO</w:t>
      </w:r>
      <w:r w:rsidRPr="00A70013">
        <w:rPr>
          <w:rFonts w:ascii="Times New Roman" w:eastAsia="Times New Roman" w:hAnsi="Times New Roman" w:cs="Times New Roman"/>
          <w:vertAlign w:val="subscript"/>
        </w:rPr>
        <w:t>2</w:t>
      </w:r>
      <w:r w:rsidRPr="00A70013">
        <w:rPr>
          <w:rFonts w:ascii="Times New Roman" w:eastAsia="Times New Roman" w:hAnsi="Times New Roman" w:cs="Times New Roman"/>
        </w:rPr>
        <w:t>).</w:t>
      </w:r>
      <w:r w:rsidR="00A70013" w:rsidRPr="00A70013">
        <w:rPr>
          <w:rFonts w:ascii="Times New Roman" w:eastAsia="Times New Roman" w:hAnsi="Times New Roman" w:cs="Times New Roman"/>
        </w:rPr>
        <w:t xml:space="preserve"> While net-zero CO</w:t>
      </w:r>
      <w:r w:rsidR="00A70013" w:rsidRPr="00A70013">
        <w:rPr>
          <w:rFonts w:ascii="Times New Roman" w:eastAsia="Times New Roman" w:hAnsi="Times New Roman" w:cs="Times New Roman"/>
          <w:vertAlign w:val="subscript"/>
        </w:rPr>
        <w:t>2</w:t>
      </w:r>
      <w:r w:rsidR="00A70013" w:rsidRPr="00A70013">
        <w:rPr>
          <w:rFonts w:ascii="Times New Roman" w:eastAsia="Times New Roman" w:hAnsi="Times New Roman" w:cs="Times New Roman"/>
        </w:rPr>
        <w:t xml:space="preserve"> goals are essential to stabilize the climate</w:t>
      </w:r>
      <w:r w:rsidRPr="00A70013">
        <w:rPr>
          <w:rFonts w:ascii="Times New Roman" w:eastAsia="Times New Roman" w:hAnsi="Times New Roman" w:cs="Times New Roman"/>
        </w:rPr>
        <w:t xml:space="preserve">, decarbonization strategies alone cannot keep us </w:t>
      </w:r>
      <w:r w:rsidR="001551E5">
        <w:rPr>
          <w:rFonts w:ascii="Times New Roman" w:eastAsia="Times New Roman" w:hAnsi="Times New Roman" w:cs="Times New Roman"/>
        </w:rPr>
        <w:t>from passing</w:t>
      </w:r>
      <w:r w:rsidRPr="00A70013">
        <w:rPr>
          <w:rFonts w:ascii="Times New Roman" w:eastAsia="Times New Roman" w:hAnsi="Times New Roman" w:cs="Times New Roman"/>
        </w:rPr>
        <w:t xml:space="preserve"> </w:t>
      </w:r>
      <w:r w:rsidR="001551E5">
        <w:rPr>
          <w:rFonts w:ascii="Times New Roman" w:eastAsia="Times New Roman" w:hAnsi="Times New Roman" w:cs="Times New Roman"/>
        </w:rPr>
        <w:t xml:space="preserve">the </w:t>
      </w:r>
      <w:r w:rsidRPr="00A70013">
        <w:rPr>
          <w:rFonts w:ascii="Times New Roman" w:eastAsia="Times New Roman" w:hAnsi="Times New Roman" w:cs="Times New Roman"/>
        </w:rPr>
        <w:t xml:space="preserve">1.5°C </w:t>
      </w:r>
      <w:r w:rsidR="001551E5">
        <w:rPr>
          <w:rFonts w:ascii="Times New Roman" w:eastAsia="Times New Roman" w:hAnsi="Times New Roman" w:cs="Times New Roman"/>
        </w:rPr>
        <w:t>goal</w:t>
      </w:r>
      <w:r w:rsidRPr="00A70013">
        <w:rPr>
          <w:rFonts w:ascii="Times New Roman" w:eastAsia="Times New Roman" w:hAnsi="Times New Roman" w:cs="Times New Roman"/>
        </w:rPr>
        <w:t>.</w:t>
      </w:r>
      <w:r w:rsidRPr="00A70013">
        <w:rPr>
          <w:rFonts w:ascii="Times New Roman" w:eastAsia="Times New Roman" w:hAnsi="Times New Roman" w:cs="Times New Roman"/>
          <w:vertAlign w:val="superscript"/>
        </w:rPr>
        <w:endnoteReference w:id="7"/>
      </w:r>
      <w:r w:rsidRPr="00A70013">
        <w:rPr>
          <w:rFonts w:ascii="Times New Roman" w:eastAsia="Times New Roman" w:hAnsi="Times New Roman" w:cs="Times New Roman"/>
        </w:rPr>
        <w:t xml:space="preserve"> </w:t>
      </w:r>
      <w:r w:rsidR="00A70013" w:rsidRPr="00A70013">
        <w:rPr>
          <w:rFonts w:ascii="Times New Roman" w:eastAsia="Times New Roman" w:hAnsi="Times New Roman" w:cs="Times New Roman"/>
        </w:rPr>
        <w:t xml:space="preserve">The </w:t>
      </w:r>
      <w:r w:rsidR="00A70013">
        <w:rPr>
          <w:rFonts w:ascii="Times New Roman" w:eastAsia="Times New Roman" w:hAnsi="Times New Roman" w:cs="Times New Roman"/>
        </w:rPr>
        <w:t xml:space="preserve">latest </w:t>
      </w:r>
      <w:r w:rsidR="00210334">
        <w:rPr>
          <w:rFonts w:ascii="Times New Roman" w:eastAsia="Times New Roman" w:hAnsi="Times New Roman" w:cs="Times New Roman"/>
        </w:rPr>
        <w:t>reports by the Intergovernmental Panel on Climate Change</w:t>
      </w:r>
      <w:r w:rsidR="00A70013" w:rsidRPr="00A70013">
        <w:rPr>
          <w:rFonts w:ascii="Times New Roman" w:eastAsia="Times New Roman" w:hAnsi="Times New Roman" w:cs="Times New Roman"/>
        </w:rPr>
        <w:t xml:space="preserve"> confirm that cutting fossil fuel emissions––the main source of </w:t>
      </w:r>
      <w:r w:rsidR="00A70013" w:rsidRPr="00A70013">
        <w:rPr>
          <w:rFonts w:ascii="Times New Roman" w:eastAsia="Times New Roman" w:hAnsi="Times New Roman" w:cs="Times New Roman"/>
          <w:lang w:val="en-GB"/>
        </w:rPr>
        <w:t>CO</w:t>
      </w:r>
      <w:r w:rsidR="00A70013" w:rsidRPr="00A70013">
        <w:rPr>
          <w:rFonts w:ascii="Times New Roman" w:eastAsia="Times New Roman" w:hAnsi="Times New Roman" w:cs="Times New Roman"/>
          <w:vertAlign w:val="subscript"/>
          <w:lang w:val="en-GB"/>
        </w:rPr>
        <w:t>2</w:t>
      </w:r>
      <w:r w:rsidR="00A70013" w:rsidRPr="00A70013">
        <w:rPr>
          <w:rFonts w:ascii="Times New Roman" w:eastAsia="Times New Roman" w:hAnsi="Times New Roman" w:cs="Times New Roman"/>
        </w:rPr>
        <w:t>––in isolation, actually makes global warming worse in the short term</w:t>
      </w:r>
      <w:r w:rsidR="001551E5">
        <w:rPr>
          <w:rFonts w:ascii="Times New Roman" w:eastAsia="Times New Roman" w:hAnsi="Times New Roman" w:cs="Times New Roman"/>
        </w:rPr>
        <w:t xml:space="preserve">, </w:t>
      </w:r>
      <w:r w:rsidR="00A70013" w:rsidRPr="00A70013">
        <w:rPr>
          <w:rFonts w:ascii="Times New Roman" w:eastAsia="Times New Roman" w:hAnsi="Times New Roman" w:cs="Times New Roman"/>
        </w:rPr>
        <w:t xml:space="preserve">because burning fossil fuels also creates sulfate aerosols, which act to cool the climate. These cooling sulfates fall out of the atmosphere fast, while </w:t>
      </w:r>
      <w:r w:rsidR="00A70013" w:rsidRPr="00A70013">
        <w:rPr>
          <w:rFonts w:ascii="Times New Roman" w:eastAsia="Times New Roman" w:hAnsi="Times New Roman" w:cs="Times New Roman"/>
          <w:lang w:val="en-GB"/>
        </w:rPr>
        <w:t>CO</w:t>
      </w:r>
      <w:r w:rsidR="00A70013" w:rsidRPr="00A70013">
        <w:rPr>
          <w:rFonts w:ascii="Times New Roman" w:eastAsia="Times New Roman" w:hAnsi="Times New Roman" w:cs="Times New Roman"/>
          <w:vertAlign w:val="subscript"/>
          <w:lang w:val="en-GB"/>
        </w:rPr>
        <w:t>2</w:t>
      </w:r>
      <w:r w:rsidR="00A70013" w:rsidRPr="00A70013">
        <w:rPr>
          <w:rFonts w:ascii="Times New Roman" w:eastAsia="Times New Roman" w:hAnsi="Times New Roman" w:cs="Times New Roman"/>
          <w:lang w:val="en-GB"/>
        </w:rPr>
        <w:t xml:space="preserve"> </w:t>
      </w:r>
      <w:r w:rsidR="00A70013" w:rsidRPr="00A70013">
        <w:rPr>
          <w:rFonts w:ascii="Times New Roman" w:eastAsia="Times New Roman" w:hAnsi="Times New Roman" w:cs="Times New Roman"/>
        </w:rPr>
        <w:t>lasts much longer, thus leading to overall warming for the first decade or two.</w:t>
      </w:r>
      <w:r w:rsidR="00A70013" w:rsidRPr="00A70013">
        <w:rPr>
          <w:rFonts w:ascii="Times New Roman" w:eastAsia="Times New Roman" w:hAnsi="Times New Roman" w:cs="Times New Roman"/>
          <w:vertAlign w:val="superscript"/>
        </w:rPr>
        <w:endnoteReference w:id="8"/>
      </w:r>
    </w:p>
    <w:p w:rsidR="00AD4908" w:rsidRPr="00515713" w:rsidRDefault="00AD4908" w:rsidP="00645A37">
      <w:pPr>
        <w:jc w:val="both"/>
        <w:rPr>
          <w:rFonts w:ascii="Times New Roman" w:eastAsia="Times New Roman" w:hAnsi="Times New Roman" w:cs="Times New Roman"/>
        </w:rPr>
      </w:pPr>
    </w:p>
    <w:p w:rsidR="00210334" w:rsidRDefault="00645A37" w:rsidP="00645A37">
      <w:pPr>
        <w:jc w:val="both"/>
        <w:rPr>
          <w:rFonts w:ascii="Times New Roman" w:eastAsia="Times New Roman" w:hAnsi="Times New Roman" w:cs="Times New Roman"/>
        </w:rPr>
      </w:pPr>
      <w:r w:rsidRPr="00515713">
        <w:rPr>
          <w:rFonts w:ascii="Times New Roman" w:eastAsia="Times New Roman" w:hAnsi="Times New Roman" w:cs="Times New Roman"/>
          <w:lang w:val="en-CA"/>
        </w:rPr>
        <w:t xml:space="preserve">The </w:t>
      </w:r>
      <w:r w:rsidR="004C070E">
        <w:rPr>
          <w:rFonts w:ascii="Times New Roman" w:eastAsia="Times New Roman" w:hAnsi="Times New Roman" w:cs="Times New Roman"/>
          <w:lang w:val="en-CA"/>
        </w:rPr>
        <w:t>only known</w:t>
      </w:r>
      <w:r w:rsidR="004C070E" w:rsidRPr="00515713">
        <w:rPr>
          <w:rFonts w:ascii="Times New Roman" w:eastAsia="Times New Roman" w:hAnsi="Times New Roman" w:cs="Times New Roman"/>
          <w:lang w:val="en-CA"/>
        </w:rPr>
        <w:t xml:space="preserve"> </w:t>
      </w:r>
      <w:r w:rsidR="004C070E">
        <w:rPr>
          <w:rFonts w:ascii="Times New Roman" w:eastAsia="Times New Roman" w:hAnsi="Times New Roman" w:cs="Times New Roman"/>
          <w:lang w:val="en-CA"/>
        </w:rPr>
        <w:t>near</w:t>
      </w:r>
      <w:r w:rsidRPr="00515713">
        <w:rPr>
          <w:rFonts w:ascii="Times New Roman" w:eastAsia="Times New Roman" w:hAnsi="Times New Roman" w:cs="Times New Roman"/>
          <w:lang w:val="en-CA"/>
        </w:rPr>
        <w:t>-term strategy t</w:t>
      </w:r>
      <w:r w:rsidR="004C070E">
        <w:rPr>
          <w:rFonts w:ascii="Times New Roman" w:eastAsia="Times New Roman" w:hAnsi="Times New Roman" w:cs="Times New Roman"/>
          <w:lang w:val="en-CA"/>
        </w:rPr>
        <w:t>hat can</w:t>
      </w:r>
      <w:r w:rsidRPr="00515713">
        <w:rPr>
          <w:rFonts w:ascii="Times New Roman" w:eastAsia="Times New Roman" w:hAnsi="Times New Roman" w:cs="Times New Roman"/>
          <w:lang w:val="en-CA"/>
        </w:rPr>
        <w:t xml:space="preserve"> complement </w:t>
      </w:r>
      <w:r w:rsidR="004C070E">
        <w:rPr>
          <w:rFonts w:ascii="Times New Roman" w:eastAsia="Times New Roman" w:hAnsi="Times New Roman" w:cs="Times New Roman"/>
          <w:lang w:val="en-CA"/>
        </w:rPr>
        <w:t>longer-term decarbonization</w:t>
      </w:r>
      <w:r w:rsidRPr="00515713">
        <w:rPr>
          <w:rFonts w:ascii="Times New Roman" w:eastAsia="Times New Roman" w:hAnsi="Times New Roman" w:cs="Times New Roman"/>
          <w:lang w:val="en-CA"/>
        </w:rPr>
        <w:t xml:space="preserve"> and avoid the most warming by 2030 is to reduce short-lived climate pollutants (SLCPs, or super pollutants) as quickly as possible. SLCPs include methane, tropospheric ozone (smog), black carbon (soot), and hydrofluorocarbon</w:t>
      </w:r>
      <w:r w:rsidR="006D7FE3">
        <w:rPr>
          <w:rFonts w:ascii="Times New Roman" w:eastAsia="Times New Roman" w:hAnsi="Times New Roman" w:cs="Times New Roman"/>
          <w:lang w:val="en-CA"/>
        </w:rPr>
        <w:t>s</w:t>
      </w:r>
      <w:r w:rsidRPr="00515713">
        <w:rPr>
          <w:rFonts w:ascii="Times New Roman" w:eastAsia="Times New Roman" w:hAnsi="Times New Roman" w:cs="Times New Roman"/>
          <w:lang w:val="en-CA"/>
        </w:rPr>
        <w:t xml:space="preserve"> (dirty refrigerants). Focusing on SLCPs is an important </w:t>
      </w:r>
      <w:r w:rsidR="004C070E">
        <w:rPr>
          <w:rFonts w:ascii="Times New Roman" w:eastAsia="Times New Roman" w:hAnsi="Times New Roman" w:cs="Times New Roman"/>
          <w:lang w:val="en-CA"/>
        </w:rPr>
        <w:t>near</w:t>
      </w:r>
      <w:r w:rsidRPr="00515713">
        <w:rPr>
          <w:rFonts w:ascii="Times New Roman" w:eastAsia="Times New Roman" w:hAnsi="Times New Roman" w:cs="Times New Roman"/>
          <w:lang w:val="en-CA"/>
        </w:rPr>
        <w:t xml:space="preserve">-term strategy because of their high global warming potentials and short atmospheric life, and if cut quickly, can quickly reduce warming. </w:t>
      </w:r>
      <w:r w:rsidR="001B02C7" w:rsidRPr="001B02C7">
        <w:rPr>
          <w:rFonts w:ascii="Times New Roman" w:eastAsia="Times New Roman" w:hAnsi="Times New Roman" w:cs="Times New Roman"/>
        </w:rPr>
        <w:t xml:space="preserve">In contrast to the limited amount of warming reduced </w:t>
      </w:r>
      <w:proofErr w:type="gramStart"/>
      <w:r w:rsidR="001B02C7" w:rsidRPr="001B02C7">
        <w:rPr>
          <w:rFonts w:ascii="Times New Roman" w:eastAsia="Times New Roman" w:hAnsi="Times New Roman" w:cs="Times New Roman"/>
        </w:rPr>
        <w:t>at</w:t>
      </w:r>
      <w:proofErr w:type="gramEnd"/>
      <w:r w:rsidR="001B02C7" w:rsidRPr="001B02C7">
        <w:rPr>
          <w:rFonts w:ascii="Times New Roman" w:eastAsia="Times New Roman" w:hAnsi="Times New Roman" w:cs="Times New Roman"/>
        </w:rPr>
        <w:t xml:space="preserve"> 2050 by cutting CO</w:t>
      </w:r>
      <w:r w:rsidR="001B02C7" w:rsidRPr="001B02C7">
        <w:rPr>
          <w:rFonts w:ascii="Times New Roman" w:eastAsia="Times New Roman" w:hAnsi="Times New Roman" w:cs="Times New Roman"/>
          <w:vertAlign w:val="subscript"/>
        </w:rPr>
        <w:t xml:space="preserve">2 </w:t>
      </w:r>
      <w:r w:rsidR="001B02C7" w:rsidRPr="001B02C7">
        <w:rPr>
          <w:rFonts w:ascii="Times New Roman" w:eastAsia="Times New Roman" w:hAnsi="Times New Roman" w:cs="Times New Roman"/>
        </w:rPr>
        <w:t>from fossil fuel emissions, fast cuts to SLCPs could avoid up to 0.6°C of warming by 2050, and up to 1.2°C by 2100,</w:t>
      </w:r>
      <w:r w:rsidR="001B02C7" w:rsidRPr="001B02C7">
        <w:rPr>
          <w:rFonts w:ascii="Times New Roman" w:eastAsia="Times New Roman" w:hAnsi="Times New Roman" w:cs="Times New Roman"/>
          <w:vertAlign w:val="superscript"/>
        </w:rPr>
        <w:endnoteReference w:id="9"/>
      </w:r>
      <w:r w:rsidR="001B02C7" w:rsidRPr="001B02C7">
        <w:rPr>
          <w:rFonts w:ascii="Times New Roman" w:eastAsia="Times New Roman" w:hAnsi="Times New Roman" w:cs="Times New Roman"/>
        </w:rPr>
        <w:t xml:space="preserve"> which would reduce projected warming in the Arctic by two-thirds and the rate of global warming by half.</w:t>
      </w:r>
      <w:r w:rsidR="001B02C7" w:rsidRPr="001B02C7">
        <w:rPr>
          <w:rFonts w:ascii="Times New Roman" w:eastAsia="Times New Roman" w:hAnsi="Times New Roman" w:cs="Times New Roman"/>
          <w:vertAlign w:val="superscript"/>
        </w:rPr>
        <w:endnoteReference w:id="10"/>
      </w:r>
      <w:r w:rsidR="006D7FE3">
        <w:rPr>
          <w:rFonts w:ascii="Times New Roman" w:eastAsia="Times New Roman" w:hAnsi="Times New Roman" w:cs="Times New Roman"/>
        </w:rPr>
        <w:t xml:space="preserve"> </w:t>
      </w:r>
      <w:r w:rsidR="004E3B94">
        <w:rPr>
          <w:rFonts w:ascii="Times New Roman" w:eastAsia="Times New Roman" w:hAnsi="Times New Roman" w:cs="Times New Roman"/>
        </w:rPr>
        <w:t>For frontline communities, there is no time to delay action.</w:t>
      </w:r>
    </w:p>
    <w:p w:rsidR="00210334" w:rsidRDefault="00210334" w:rsidP="00645A37">
      <w:pPr>
        <w:jc w:val="both"/>
        <w:rPr>
          <w:rFonts w:ascii="Times New Roman" w:eastAsia="Times New Roman" w:hAnsi="Times New Roman" w:cs="Times New Roman"/>
        </w:rPr>
      </w:pPr>
    </w:p>
    <w:p w:rsidR="001551E5" w:rsidRPr="00B05E64" w:rsidRDefault="001551E5" w:rsidP="001551E5">
      <w:pPr>
        <w:jc w:val="both"/>
        <w:rPr>
          <w:rFonts w:ascii="Times New Roman" w:eastAsia="Times New Roman" w:hAnsi="Times New Roman" w:cs="Times New Roman"/>
        </w:rPr>
      </w:pPr>
      <w:r w:rsidRPr="00B05E64">
        <w:rPr>
          <w:rFonts w:ascii="Times New Roman" w:eastAsia="Times New Roman" w:hAnsi="Times New Roman" w:cs="Times New Roman"/>
        </w:rPr>
        <w:t xml:space="preserve">A fast-acting climate mitigation strategy includes: </w:t>
      </w:r>
    </w:p>
    <w:p w:rsidR="001551E5" w:rsidRPr="00B05E64" w:rsidRDefault="001551E5" w:rsidP="001551E5">
      <w:pPr>
        <w:pStyle w:val="ListParagraph"/>
        <w:numPr>
          <w:ilvl w:val="0"/>
          <w:numId w:val="3"/>
        </w:numPr>
        <w:jc w:val="both"/>
        <w:rPr>
          <w:rFonts w:ascii="Times New Roman" w:eastAsia="Times New Roman" w:hAnsi="Times New Roman" w:cs="Times New Roman"/>
        </w:rPr>
      </w:pPr>
      <w:r w:rsidRPr="00B05E64">
        <w:rPr>
          <w:rFonts w:ascii="Times New Roman" w:eastAsia="Times New Roman" w:hAnsi="Times New Roman" w:cs="Times New Roman"/>
        </w:rPr>
        <w:t xml:space="preserve">Quickly cutting </w:t>
      </w:r>
      <w:r>
        <w:rPr>
          <w:rFonts w:ascii="Times New Roman" w:eastAsia="Times New Roman" w:hAnsi="Times New Roman" w:cs="Times New Roman"/>
        </w:rPr>
        <w:t xml:space="preserve">SLCP </w:t>
      </w:r>
      <w:r w:rsidRPr="00B05E64">
        <w:rPr>
          <w:rFonts w:ascii="Times New Roman" w:eastAsia="Times New Roman" w:hAnsi="Times New Roman" w:cs="Times New Roman"/>
        </w:rPr>
        <w:t>emissions by 2030</w:t>
      </w:r>
      <w:r>
        <w:rPr>
          <w:rFonts w:ascii="Times New Roman" w:eastAsia="Times New Roman" w:hAnsi="Times New Roman" w:cs="Times New Roman"/>
        </w:rPr>
        <w:t>, particularly methane</w:t>
      </w:r>
      <w:r w:rsidRPr="00B05E64">
        <w:rPr>
          <w:rFonts w:ascii="Times New Roman" w:eastAsia="Times New Roman" w:hAnsi="Times New Roman" w:cs="Times New Roman"/>
        </w:rPr>
        <w:t xml:space="preserve"> (“sprint to 2030”); </w:t>
      </w:r>
      <w:r w:rsidRPr="00B05E64">
        <w:rPr>
          <w:rFonts w:ascii="Times New Roman" w:eastAsia="Times New Roman" w:hAnsi="Times New Roman" w:cs="Times New Roman"/>
          <w:i/>
          <w:iCs/>
        </w:rPr>
        <w:t>while</w:t>
      </w:r>
    </w:p>
    <w:p w:rsidR="001551E5" w:rsidRPr="00B05E64" w:rsidRDefault="001551E5" w:rsidP="001551E5">
      <w:pPr>
        <w:pStyle w:val="ListParagraph"/>
        <w:numPr>
          <w:ilvl w:val="0"/>
          <w:numId w:val="3"/>
        </w:numPr>
        <w:jc w:val="both"/>
        <w:rPr>
          <w:rFonts w:ascii="Times New Roman" w:eastAsia="Times New Roman" w:hAnsi="Times New Roman" w:cs="Times New Roman"/>
        </w:rPr>
      </w:pPr>
      <w:r w:rsidRPr="00B05E64">
        <w:rPr>
          <w:rFonts w:ascii="Times New Roman" w:eastAsia="Times New Roman" w:hAnsi="Times New Roman" w:cs="Times New Roman"/>
        </w:rPr>
        <w:t xml:space="preserve">Working towards longer-term decarbonization goals by 2050 (“marathon to 2050”); </w:t>
      </w:r>
      <w:r w:rsidRPr="00B05E64">
        <w:rPr>
          <w:rFonts w:ascii="Times New Roman" w:eastAsia="Times New Roman" w:hAnsi="Times New Roman" w:cs="Times New Roman"/>
          <w:i/>
          <w:iCs/>
        </w:rPr>
        <w:t>and</w:t>
      </w:r>
    </w:p>
    <w:p w:rsidR="001551E5" w:rsidRPr="00B05E64" w:rsidRDefault="001551E5" w:rsidP="001551E5">
      <w:pPr>
        <w:pStyle w:val="ListParagraph"/>
        <w:numPr>
          <w:ilvl w:val="0"/>
          <w:numId w:val="3"/>
        </w:numPr>
        <w:jc w:val="both"/>
        <w:rPr>
          <w:rFonts w:ascii="Times New Roman" w:eastAsia="Times New Roman" w:hAnsi="Times New Roman" w:cs="Times New Roman"/>
        </w:rPr>
      </w:pPr>
      <w:r w:rsidRPr="00B05E64">
        <w:rPr>
          <w:rFonts w:ascii="Times New Roman" w:eastAsia="Times New Roman" w:hAnsi="Times New Roman" w:cs="Times New Roman"/>
        </w:rPr>
        <w:t xml:space="preserve">Focusing on additional fast-acting and justice-centered strategies, including protecting </w:t>
      </w:r>
      <w:r>
        <w:rPr>
          <w:rFonts w:ascii="Times New Roman" w:eastAsia="Times New Roman" w:hAnsi="Times New Roman" w:cs="Times New Roman"/>
        </w:rPr>
        <w:t xml:space="preserve">carbon </w:t>
      </w:r>
      <w:r w:rsidRPr="00B05E64">
        <w:rPr>
          <w:rFonts w:ascii="Times New Roman" w:eastAsia="Times New Roman" w:hAnsi="Times New Roman" w:cs="Times New Roman"/>
        </w:rPr>
        <w:t>sinks</w:t>
      </w:r>
      <w:r>
        <w:rPr>
          <w:rFonts w:ascii="Times New Roman" w:eastAsia="Times New Roman" w:hAnsi="Times New Roman" w:cs="Times New Roman"/>
        </w:rPr>
        <w:t xml:space="preserve"> and land rights</w:t>
      </w:r>
      <w:r w:rsidRPr="00B05E64">
        <w:rPr>
          <w:rFonts w:ascii="Times New Roman" w:eastAsia="Times New Roman" w:hAnsi="Times New Roman" w:cs="Times New Roman"/>
        </w:rPr>
        <w:t xml:space="preserve"> and </w:t>
      </w:r>
      <w:r w:rsidR="004E3B94">
        <w:rPr>
          <w:rFonts w:ascii="Times New Roman" w:eastAsia="Times New Roman" w:hAnsi="Times New Roman" w:cs="Times New Roman"/>
        </w:rPr>
        <w:t xml:space="preserve">focusing on </w:t>
      </w:r>
      <w:r w:rsidRPr="00B05E64">
        <w:rPr>
          <w:rFonts w:ascii="Times New Roman" w:eastAsia="Times New Roman" w:hAnsi="Times New Roman" w:cs="Times New Roman"/>
        </w:rPr>
        <w:t>adaptation and resilience.</w:t>
      </w:r>
    </w:p>
    <w:p w:rsidR="001551E5" w:rsidRDefault="001551E5" w:rsidP="00645A37">
      <w:pPr>
        <w:jc w:val="both"/>
        <w:rPr>
          <w:rFonts w:ascii="Times New Roman" w:eastAsia="Times New Roman" w:hAnsi="Times New Roman" w:cs="Times New Roman"/>
        </w:rPr>
      </w:pPr>
    </w:p>
    <w:p w:rsidR="00DB71AF" w:rsidRPr="00515713" w:rsidRDefault="00210334" w:rsidP="004F1A1C">
      <w:pPr>
        <w:jc w:val="both"/>
        <w:rPr>
          <w:rFonts w:ascii="Times New Roman" w:eastAsia="Times New Roman" w:hAnsi="Times New Roman" w:cs="Times New Roman"/>
        </w:rPr>
      </w:pPr>
      <w:r w:rsidRPr="00515713">
        <w:rPr>
          <w:rFonts w:ascii="Times New Roman" w:eastAsia="Times New Roman" w:hAnsi="Times New Roman" w:cs="Times New Roman"/>
        </w:rPr>
        <w:t xml:space="preserve">A </w:t>
      </w:r>
      <w:r w:rsidR="004E3B94">
        <w:rPr>
          <w:rFonts w:ascii="Times New Roman" w:eastAsia="Times New Roman" w:hAnsi="Times New Roman" w:cs="Times New Roman"/>
        </w:rPr>
        <w:t>fast-acting climate mitigation strategy would</w:t>
      </w:r>
      <w:r w:rsidRPr="00515713">
        <w:rPr>
          <w:rFonts w:ascii="Times New Roman" w:eastAsia="Times New Roman" w:hAnsi="Times New Roman" w:cs="Times New Roman"/>
        </w:rPr>
        <w:t xml:space="preserve"> </w:t>
      </w:r>
      <w:r>
        <w:rPr>
          <w:rFonts w:ascii="Times New Roman" w:eastAsia="Times New Roman" w:hAnsi="Times New Roman" w:cs="Times New Roman"/>
        </w:rPr>
        <w:t>help</w:t>
      </w:r>
      <w:r w:rsidRPr="00515713">
        <w:rPr>
          <w:rFonts w:ascii="Times New Roman" w:eastAsia="Times New Roman" w:hAnsi="Times New Roman" w:cs="Times New Roman"/>
        </w:rPr>
        <w:t xml:space="preserve"> the </w:t>
      </w:r>
      <w:r>
        <w:rPr>
          <w:rFonts w:ascii="Times New Roman" w:eastAsia="Times New Roman" w:hAnsi="Times New Roman" w:cs="Times New Roman"/>
        </w:rPr>
        <w:t>climate system</w:t>
      </w:r>
      <w:r w:rsidRPr="00515713">
        <w:rPr>
          <w:rFonts w:ascii="Times New Roman" w:eastAsia="Times New Roman" w:hAnsi="Times New Roman" w:cs="Times New Roman"/>
        </w:rPr>
        <w:t xml:space="preserve"> stay below 1.5°C and provide immediate local and global health benefits</w:t>
      </w:r>
      <w:r>
        <w:rPr>
          <w:rFonts w:ascii="Times New Roman" w:eastAsia="Times New Roman" w:hAnsi="Times New Roman" w:cs="Times New Roman"/>
        </w:rPr>
        <w:t xml:space="preserve">, avoid crossing critical tipping points, reduce stress on the planetary system, and ensure a safe climate for </w:t>
      </w:r>
      <w:r w:rsidR="001551E5">
        <w:rPr>
          <w:rFonts w:ascii="Times New Roman" w:eastAsia="Times New Roman" w:hAnsi="Times New Roman" w:cs="Times New Roman"/>
        </w:rPr>
        <w:t xml:space="preserve">present and </w:t>
      </w:r>
      <w:r>
        <w:rPr>
          <w:rFonts w:ascii="Times New Roman" w:eastAsia="Times New Roman" w:hAnsi="Times New Roman" w:cs="Times New Roman"/>
        </w:rPr>
        <w:t>future generations</w:t>
      </w:r>
      <w:r w:rsidRPr="00515713">
        <w:rPr>
          <w:rFonts w:ascii="Times New Roman" w:eastAsia="Times New Roman" w:hAnsi="Times New Roman" w:cs="Times New Roman"/>
        </w:rPr>
        <w:t>.</w:t>
      </w:r>
      <w:r>
        <w:rPr>
          <w:rStyle w:val="EndnoteReference"/>
          <w:rFonts w:ascii="Times New Roman" w:eastAsia="Times New Roman" w:hAnsi="Times New Roman" w:cs="Times New Roman"/>
        </w:rPr>
        <w:endnoteReference w:id="11"/>
      </w:r>
      <w:r w:rsidR="001551E5">
        <w:rPr>
          <w:rFonts w:ascii="Times New Roman" w:eastAsia="Times New Roman" w:hAnsi="Times New Roman" w:cs="Times New Roman"/>
        </w:rPr>
        <w:t xml:space="preserve"> </w:t>
      </w:r>
      <w:r w:rsidR="00DB71AF">
        <w:rPr>
          <w:rFonts w:ascii="Times New Roman" w:eastAsia="Times New Roman" w:hAnsi="Times New Roman" w:cs="Times New Roman"/>
        </w:rPr>
        <w:t>Understanding the temporal dimensions of climate harms––immediate harms (ex: flooding, droughts), future harms from inaction or delay (ex: sea level rise), and intergenerational harm (ex: the long-term impacts of climate change on future generations)––is a critical part of establishing the principle of intergenerational equity and climate action now.</w:t>
      </w:r>
      <w:r w:rsidR="00DB71AF" w:rsidRPr="00515713">
        <w:rPr>
          <w:rFonts w:ascii="Times New Roman" w:eastAsia="Times New Roman" w:hAnsi="Times New Roman" w:cs="Times New Roman"/>
        </w:rPr>
        <w:t xml:space="preserve"> </w:t>
      </w:r>
      <w:r w:rsidR="001551E5">
        <w:rPr>
          <w:rFonts w:ascii="Times New Roman" w:eastAsia="Times New Roman" w:hAnsi="Times New Roman" w:cs="Times New Roman"/>
        </w:rPr>
        <w:t>In a climate emergency, w</w:t>
      </w:r>
      <w:r w:rsidR="004F1A1C">
        <w:rPr>
          <w:rFonts w:ascii="Times New Roman" w:eastAsia="Times New Roman" w:hAnsi="Times New Roman" w:cs="Times New Roman"/>
        </w:rPr>
        <w:t>e</w:t>
      </w:r>
      <w:r w:rsidR="004F1A1C" w:rsidRPr="00515713">
        <w:rPr>
          <w:rFonts w:ascii="Times New Roman" w:eastAsia="Times New Roman" w:hAnsi="Times New Roman" w:cs="Times New Roman"/>
        </w:rPr>
        <w:t xml:space="preserve"> must act now to ensure </w:t>
      </w:r>
      <w:r w:rsidR="00DD0A63">
        <w:rPr>
          <w:rFonts w:ascii="Times New Roman" w:eastAsia="Times New Roman" w:hAnsi="Times New Roman" w:cs="Times New Roman"/>
        </w:rPr>
        <w:t xml:space="preserve">the </w:t>
      </w:r>
      <w:r w:rsidR="004F1A1C" w:rsidRPr="00515713">
        <w:rPr>
          <w:rFonts w:ascii="Times New Roman" w:eastAsia="Times New Roman" w:hAnsi="Times New Roman" w:cs="Times New Roman"/>
        </w:rPr>
        <w:t>protection of human rights</w:t>
      </w:r>
      <w:r w:rsidR="004F1A1C">
        <w:rPr>
          <w:rFonts w:ascii="Times New Roman" w:eastAsia="Times New Roman" w:hAnsi="Times New Roman" w:cs="Times New Roman"/>
        </w:rPr>
        <w:t xml:space="preserve"> and intergenerational justice.</w:t>
      </w:r>
    </w:p>
    <w:p w:rsidR="004F1A1C" w:rsidRDefault="004F1A1C" w:rsidP="00645A37">
      <w:pPr>
        <w:jc w:val="both"/>
        <w:rPr>
          <w:rFonts w:ascii="Times New Roman" w:eastAsia="Times New Roman" w:hAnsi="Times New Roman" w:cs="Times New Roman"/>
        </w:rPr>
      </w:pPr>
    </w:p>
    <w:p w:rsidR="00645A37" w:rsidRPr="00160EBA" w:rsidRDefault="00AD4908" w:rsidP="00645A37">
      <w:pPr>
        <w:jc w:val="both"/>
        <w:rPr>
          <w:rFonts w:ascii="Times New Roman" w:eastAsia="Times New Roman" w:hAnsi="Times New Roman" w:cs="Times New Roman"/>
        </w:rPr>
      </w:pPr>
      <w:r w:rsidRPr="00160EBA">
        <w:rPr>
          <w:rFonts w:ascii="Times New Roman" w:eastAsia="Times New Roman" w:hAnsi="Times New Roman" w:cs="Times New Roman"/>
        </w:rPr>
        <w:t>In the following pages</w:t>
      </w:r>
      <w:r w:rsidR="00FD2AA9">
        <w:rPr>
          <w:rFonts w:ascii="Times New Roman" w:eastAsia="Times New Roman" w:hAnsi="Times New Roman" w:cs="Times New Roman"/>
        </w:rPr>
        <w:t>,</w:t>
      </w:r>
      <w:r w:rsidRPr="00160EBA">
        <w:rPr>
          <w:rFonts w:ascii="Times New Roman" w:eastAsia="Times New Roman" w:hAnsi="Times New Roman" w:cs="Times New Roman"/>
        </w:rPr>
        <w:t xml:space="preserve"> we will respond to the questions posed by the Special Rapporteur regarding the advancement of the principle of intergenerational justice.</w:t>
      </w:r>
    </w:p>
    <w:p w:rsidR="00F07577" w:rsidRDefault="00F07577" w:rsidP="00645A37">
      <w:pPr>
        <w:jc w:val="both"/>
        <w:rPr>
          <w:rFonts w:ascii="Times New Roman" w:eastAsia="Times New Roman" w:hAnsi="Times New Roman" w:cs="Times New Roman"/>
        </w:rPr>
      </w:pPr>
    </w:p>
    <w:p w:rsidR="00F07577" w:rsidRDefault="00645A37" w:rsidP="00160EBA">
      <w:pPr>
        <w:jc w:val="both"/>
        <w:rPr>
          <w:rFonts w:ascii="Times New Roman" w:eastAsia="Times New Roman" w:hAnsi="Times New Roman" w:cs="Times New Roman"/>
        </w:rPr>
      </w:pPr>
      <w:r w:rsidRPr="00053456">
        <w:rPr>
          <w:rFonts w:ascii="Times New Roman" w:eastAsia="Times New Roman" w:hAnsi="Times New Roman" w:cs="Times New Roman"/>
          <w:i/>
          <w:iCs/>
        </w:rPr>
        <w:t>Sincerely</w:t>
      </w:r>
      <w:r>
        <w:rPr>
          <w:rFonts w:ascii="Times New Roman" w:eastAsia="Times New Roman" w:hAnsi="Times New Roman" w:cs="Times New Roman"/>
        </w:rPr>
        <w:t xml:space="preserve">, </w:t>
      </w:r>
    </w:p>
    <w:p w:rsidR="00F07577" w:rsidRDefault="00F07577" w:rsidP="00160EBA">
      <w:pPr>
        <w:jc w:val="both"/>
        <w:rPr>
          <w:rFonts w:ascii="Times New Roman" w:eastAsia="Times New Roman" w:hAnsi="Times New Roman" w:cs="Times New Roman"/>
        </w:rPr>
      </w:pPr>
    </w:p>
    <w:p w:rsidR="00210334" w:rsidRDefault="00A70013" w:rsidP="00F13CB4">
      <w:pPr>
        <w:jc w:val="both"/>
        <w:rPr>
          <w:rFonts w:ascii="Times New Roman" w:eastAsia="Times New Roman" w:hAnsi="Times New Roman" w:cs="Times New Roman"/>
        </w:rPr>
      </w:pPr>
      <w:r>
        <w:rPr>
          <w:rFonts w:ascii="Times New Roman" w:eastAsia="Times New Roman" w:hAnsi="Times New Roman" w:cs="Times New Roman"/>
        </w:rPr>
        <w:t>FACE Intergenerational Justice</w:t>
      </w:r>
      <w:r w:rsidR="00210334">
        <w:rPr>
          <w:rFonts w:ascii="Times New Roman" w:eastAsia="Times New Roman" w:hAnsi="Times New Roman" w:cs="Times New Roman"/>
        </w:rPr>
        <w:t xml:space="preserve"> and the </w:t>
      </w:r>
      <w:r w:rsidR="00F07577">
        <w:rPr>
          <w:rFonts w:ascii="Times New Roman" w:eastAsia="Times New Roman" w:hAnsi="Times New Roman" w:cs="Times New Roman"/>
        </w:rPr>
        <w:t>Center for Human Rights &amp; Environmen</w:t>
      </w:r>
      <w:r w:rsidR="00210334">
        <w:rPr>
          <w:rFonts w:ascii="Times New Roman" w:eastAsia="Times New Roman" w:hAnsi="Times New Roman" w:cs="Times New Roman"/>
        </w:rPr>
        <w:t>t</w:t>
      </w:r>
    </w:p>
    <w:p w:rsidR="00645A37" w:rsidRPr="00210334" w:rsidRDefault="00F13CB4" w:rsidP="00F13CB4">
      <w:pPr>
        <w:jc w:val="both"/>
        <w:rPr>
          <w:rFonts w:ascii="Times New Roman" w:eastAsia="Times New Roman" w:hAnsi="Times New Roman" w:cs="Times New Roman"/>
          <w:b/>
          <w:bCs/>
          <w:u w:val="single"/>
          <w:lang w:val="en-AU"/>
        </w:rPr>
      </w:pPr>
      <w:r w:rsidRPr="00210334">
        <w:rPr>
          <w:rFonts w:ascii="Times New Roman" w:eastAsia="Times New Roman" w:hAnsi="Times New Roman" w:cs="Times New Roman"/>
          <w:b/>
          <w:bCs/>
          <w:u w:val="single"/>
          <w:lang w:val="en-AU"/>
        </w:rPr>
        <w:t xml:space="preserve">13) </w:t>
      </w:r>
      <w:r w:rsidR="00645A37" w:rsidRPr="00210334">
        <w:rPr>
          <w:rFonts w:ascii="Times New Roman" w:eastAsia="Times New Roman" w:hAnsi="Times New Roman" w:cs="Times New Roman"/>
          <w:b/>
          <w:bCs/>
          <w:u w:val="single"/>
          <w:lang w:val="en-AU"/>
        </w:rPr>
        <w:t xml:space="preserve">How would you best define </w:t>
      </w:r>
      <w:r w:rsidR="00210334" w:rsidRPr="00210334">
        <w:rPr>
          <w:rFonts w:ascii="Times New Roman" w:eastAsia="Times New Roman" w:hAnsi="Times New Roman" w:cs="Times New Roman"/>
          <w:b/>
          <w:bCs/>
          <w:u w:val="single"/>
          <w:lang w:val="en-AU"/>
        </w:rPr>
        <w:t>IJ</w:t>
      </w:r>
      <w:r w:rsidR="00645A37" w:rsidRPr="00210334">
        <w:rPr>
          <w:rFonts w:ascii="Times New Roman" w:eastAsia="Times New Roman" w:hAnsi="Times New Roman" w:cs="Times New Roman"/>
          <w:b/>
          <w:bCs/>
          <w:u w:val="single"/>
          <w:lang w:val="en-AU"/>
        </w:rPr>
        <w:t xml:space="preserve"> in the context of climate change and human rights?</w:t>
      </w:r>
    </w:p>
    <w:p w:rsidR="00F13CB4" w:rsidRDefault="00F13CB4" w:rsidP="00F13CB4">
      <w:pPr>
        <w:jc w:val="both"/>
        <w:rPr>
          <w:rFonts w:ascii="Times New Roman" w:eastAsia="Times New Roman" w:hAnsi="Times New Roman" w:cs="Times New Roman"/>
          <w:lang w:val="en-AU"/>
        </w:rPr>
      </w:pPr>
    </w:p>
    <w:p w:rsidR="008C77C4" w:rsidRDefault="008C77C4" w:rsidP="00F13CB4">
      <w:pPr>
        <w:jc w:val="both"/>
        <w:rPr>
          <w:rFonts w:ascii="Times New Roman" w:eastAsia="Times New Roman" w:hAnsi="Times New Roman" w:cs="Times New Roman"/>
          <w:lang w:val="en-AU"/>
        </w:rPr>
      </w:pPr>
      <w:r>
        <w:rPr>
          <w:rFonts w:ascii="Times New Roman" w:eastAsia="Times New Roman" w:hAnsi="Times New Roman" w:cs="Times New Roman"/>
          <w:lang w:val="en-AU"/>
        </w:rPr>
        <w:t>Intergenerational justice</w:t>
      </w:r>
      <w:r w:rsidR="00210334">
        <w:rPr>
          <w:rFonts w:ascii="Times New Roman" w:eastAsia="Times New Roman" w:hAnsi="Times New Roman" w:cs="Times New Roman"/>
          <w:lang w:val="en-AU"/>
        </w:rPr>
        <w:t xml:space="preserve"> (IJ)</w:t>
      </w:r>
      <w:r>
        <w:rPr>
          <w:rFonts w:ascii="Times New Roman" w:eastAsia="Times New Roman" w:hAnsi="Times New Roman" w:cs="Times New Roman"/>
          <w:lang w:val="en-AU"/>
        </w:rPr>
        <w:t xml:space="preserve"> in the context of climate change and human rights means ensuring a healthy, clean, and sustainable planet for current and future generations while recognizing and redressing the unequal distribution of climate impacts. Within this process, all youth voices must be heard, listened to, and incorporated in</w:t>
      </w:r>
      <w:r w:rsidR="00DD0A63">
        <w:rPr>
          <w:rFonts w:ascii="Times New Roman" w:eastAsia="Times New Roman" w:hAnsi="Times New Roman" w:cs="Times New Roman"/>
          <w:lang w:val="en-AU"/>
        </w:rPr>
        <w:t>to</w:t>
      </w:r>
      <w:r>
        <w:rPr>
          <w:rFonts w:ascii="Times New Roman" w:eastAsia="Times New Roman" w:hAnsi="Times New Roman" w:cs="Times New Roman"/>
          <w:lang w:val="en-AU"/>
        </w:rPr>
        <w:t xml:space="preserve"> all </w:t>
      </w:r>
      <w:r w:rsidR="004C070E">
        <w:rPr>
          <w:rFonts w:ascii="Times New Roman" w:eastAsia="Times New Roman" w:hAnsi="Times New Roman" w:cs="Times New Roman"/>
          <w:lang w:val="en-AU"/>
        </w:rPr>
        <w:t>decisionmaking</w:t>
      </w:r>
      <w:r>
        <w:rPr>
          <w:rFonts w:ascii="Times New Roman" w:eastAsia="Times New Roman" w:hAnsi="Times New Roman" w:cs="Times New Roman"/>
          <w:lang w:val="en-AU"/>
        </w:rPr>
        <w:t xml:space="preserve"> processes regarding our shared future. Climate justice is </w:t>
      </w:r>
      <w:r w:rsidR="004C070E">
        <w:rPr>
          <w:rFonts w:ascii="Times New Roman" w:eastAsia="Times New Roman" w:hAnsi="Times New Roman" w:cs="Times New Roman"/>
          <w:lang w:val="en-AU"/>
        </w:rPr>
        <w:t>centred</w:t>
      </w:r>
      <w:r>
        <w:rPr>
          <w:rFonts w:ascii="Times New Roman" w:eastAsia="Times New Roman" w:hAnsi="Times New Roman" w:cs="Times New Roman"/>
          <w:lang w:val="en-AU"/>
        </w:rPr>
        <w:t xml:space="preserve"> in all forms of justice and must be recognized as such.  </w:t>
      </w:r>
    </w:p>
    <w:p w:rsidR="00367476" w:rsidRPr="00367476" w:rsidRDefault="00367476" w:rsidP="00F13CB4">
      <w:pPr>
        <w:jc w:val="both"/>
        <w:rPr>
          <w:rFonts w:ascii="Times New Roman" w:eastAsia="Times New Roman" w:hAnsi="Times New Roman" w:cs="Times New Roman"/>
          <w:lang w:val="en-AU"/>
        </w:rPr>
      </w:pPr>
    </w:p>
    <w:p w:rsidR="00645A37" w:rsidRPr="00210334" w:rsidRDefault="00F13CB4" w:rsidP="00F13CB4">
      <w:pPr>
        <w:jc w:val="both"/>
        <w:rPr>
          <w:rFonts w:ascii="Times New Roman" w:eastAsia="Times New Roman" w:hAnsi="Times New Roman" w:cs="Times New Roman"/>
          <w:b/>
          <w:bCs/>
          <w:u w:val="single"/>
          <w:lang w:val="en-AU"/>
        </w:rPr>
      </w:pPr>
      <w:r w:rsidRPr="00210334">
        <w:rPr>
          <w:rFonts w:ascii="Times New Roman" w:eastAsia="Times New Roman" w:hAnsi="Times New Roman" w:cs="Times New Roman"/>
          <w:b/>
          <w:bCs/>
          <w:u w:val="single"/>
          <w:lang w:val="en-AU"/>
        </w:rPr>
        <w:t xml:space="preserve">14) </w:t>
      </w:r>
      <w:r w:rsidR="00645A37" w:rsidRPr="00210334">
        <w:rPr>
          <w:rFonts w:ascii="Times New Roman" w:eastAsia="Times New Roman" w:hAnsi="Times New Roman" w:cs="Times New Roman"/>
          <w:b/>
          <w:bCs/>
          <w:u w:val="single"/>
          <w:lang w:val="en-AU"/>
        </w:rPr>
        <w:t xml:space="preserve">Has the concept of </w:t>
      </w:r>
      <w:r w:rsidR="00210334" w:rsidRPr="00210334">
        <w:rPr>
          <w:rFonts w:ascii="Times New Roman" w:eastAsia="Times New Roman" w:hAnsi="Times New Roman" w:cs="Times New Roman"/>
          <w:b/>
          <w:bCs/>
          <w:u w:val="single"/>
          <w:lang w:val="en-AU"/>
        </w:rPr>
        <w:t>IJ</w:t>
      </w:r>
      <w:r w:rsidR="00645A37" w:rsidRPr="00210334">
        <w:rPr>
          <w:rFonts w:ascii="Times New Roman" w:eastAsia="Times New Roman" w:hAnsi="Times New Roman" w:cs="Times New Roman"/>
          <w:b/>
          <w:bCs/>
          <w:u w:val="single"/>
          <w:lang w:val="en-AU"/>
        </w:rPr>
        <w:t xml:space="preserve"> been incorporated into climate change litigation?</w:t>
      </w:r>
    </w:p>
    <w:p w:rsidR="00F13CB4" w:rsidRDefault="00F13CB4" w:rsidP="00F13CB4">
      <w:pPr>
        <w:jc w:val="both"/>
        <w:rPr>
          <w:rFonts w:ascii="Times New Roman" w:eastAsia="Times New Roman" w:hAnsi="Times New Roman" w:cs="Times New Roman"/>
          <w:lang w:val="en-GB"/>
        </w:rPr>
      </w:pPr>
    </w:p>
    <w:p w:rsidR="00367476" w:rsidRDefault="00367476" w:rsidP="00F13CB4">
      <w:pPr>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The recent proliferation of youth-led climate cases </w:t>
      </w:r>
      <w:r w:rsidR="009073AF">
        <w:rPr>
          <w:rFonts w:ascii="Times New Roman" w:eastAsia="Times New Roman" w:hAnsi="Times New Roman" w:cs="Times New Roman"/>
          <w:lang w:val="en-AU"/>
        </w:rPr>
        <w:t>is strengthening</w:t>
      </w:r>
      <w:r>
        <w:rPr>
          <w:rFonts w:ascii="Times New Roman" w:eastAsia="Times New Roman" w:hAnsi="Times New Roman" w:cs="Times New Roman"/>
          <w:lang w:val="en-AU"/>
        </w:rPr>
        <w:t xml:space="preserve"> the principle of intergenerational equity. </w:t>
      </w:r>
      <w:r w:rsidR="00505775">
        <w:rPr>
          <w:rFonts w:ascii="Times New Roman" w:eastAsia="Times New Roman" w:hAnsi="Times New Roman" w:cs="Times New Roman"/>
          <w:lang w:val="en-AU"/>
        </w:rPr>
        <w:t>In these cases, t</w:t>
      </w:r>
      <w:r>
        <w:rPr>
          <w:rFonts w:ascii="Times New Roman" w:eastAsia="Times New Roman" w:hAnsi="Times New Roman" w:cs="Times New Roman"/>
          <w:lang w:val="en-AU"/>
        </w:rPr>
        <w:t xml:space="preserve">he most </w:t>
      </w:r>
      <w:proofErr w:type="gramStart"/>
      <w:r>
        <w:rPr>
          <w:rFonts w:ascii="Times New Roman" w:eastAsia="Times New Roman" w:hAnsi="Times New Roman" w:cs="Times New Roman"/>
          <w:lang w:val="en-AU"/>
        </w:rPr>
        <w:t>commonly-invoked</w:t>
      </w:r>
      <w:proofErr w:type="gramEnd"/>
      <w:r>
        <w:rPr>
          <w:rFonts w:ascii="Times New Roman" w:eastAsia="Times New Roman" w:hAnsi="Times New Roman" w:cs="Times New Roman"/>
          <w:lang w:val="en-AU"/>
        </w:rPr>
        <w:t xml:space="preserve"> rights include: </w:t>
      </w:r>
    </w:p>
    <w:p w:rsidR="001E1F4D" w:rsidRDefault="001E1F4D" w:rsidP="00F13CB4">
      <w:pPr>
        <w:jc w:val="both"/>
        <w:rPr>
          <w:rFonts w:ascii="Times New Roman" w:eastAsia="Times New Roman" w:hAnsi="Times New Roman" w:cs="Times New Roman"/>
          <w:lang w:val="en-AU"/>
        </w:rPr>
      </w:pPr>
    </w:p>
    <w:p w:rsidR="001E1F4D" w:rsidRPr="007362B9" w:rsidRDefault="00367476" w:rsidP="00505775">
      <w:pPr>
        <w:pStyle w:val="ListParagraph"/>
        <w:numPr>
          <w:ilvl w:val="0"/>
          <w:numId w:val="4"/>
        </w:numPr>
        <w:spacing w:after="140"/>
        <w:contextualSpacing w:val="0"/>
        <w:jc w:val="both"/>
        <w:rPr>
          <w:rFonts w:ascii="Times New Roman" w:eastAsia="Times New Roman" w:hAnsi="Times New Roman" w:cs="Times New Roman"/>
          <w:lang w:val="en-AU"/>
        </w:rPr>
      </w:pPr>
      <w:r w:rsidRPr="00367476">
        <w:rPr>
          <w:rFonts w:ascii="Times New Roman" w:eastAsia="Times New Roman" w:hAnsi="Times New Roman" w:cs="Times New Roman"/>
          <w:u w:val="single"/>
          <w:lang w:val="en-AU"/>
        </w:rPr>
        <w:t>Right to life</w:t>
      </w:r>
      <w:r>
        <w:rPr>
          <w:rFonts w:ascii="Times New Roman" w:eastAsia="Times New Roman" w:hAnsi="Times New Roman" w:cs="Times New Roman"/>
          <w:lang w:val="en-AU"/>
        </w:rPr>
        <w:t xml:space="preserve">. </w:t>
      </w:r>
      <w:r w:rsidR="00505775">
        <w:rPr>
          <w:rFonts w:ascii="Times New Roman" w:eastAsia="Times New Roman" w:hAnsi="Times New Roman" w:cs="Times New Roman"/>
          <w:lang w:val="en-AU"/>
        </w:rPr>
        <w:t>Young people</w:t>
      </w:r>
      <w:r>
        <w:rPr>
          <w:rFonts w:ascii="Times New Roman" w:eastAsia="Times New Roman" w:hAnsi="Times New Roman" w:cs="Times New Roman"/>
          <w:lang w:val="en-AU"/>
        </w:rPr>
        <w:t xml:space="preserve"> are disproportionately harmed by both the near- and long-term impacts of climate change and environmental degradation. Within </w:t>
      </w:r>
      <w:r w:rsidR="002A17CA">
        <w:rPr>
          <w:rFonts w:ascii="Times New Roman" w:eastAsia="Times New Roman" w:hAnsi="Times New Roman" w:cs="Times New Roman"/>
          <w:lang w:val="en-AU"/>
        </w:rPr>
        <w:t xml:space="preserve">this </w:t>
      </w:r>
      <w:proofErr w:type="gramStart"/>
      <w:r w:rsidR="002A17CA">
        <w:rPr>
          <w:rFonts w:ascii="Times New Roman" w:eastAsia="Times New Roman" w:hAnsi="Times New Roman" w:cs="Times New Roman"/>
          <w:lang w:val="en-AU"/>
        </w:rPr>
        <w:t>universally-recognized</w:t>
      </w:r>
      <w:proofErr w:type="gramEnd"/>
      <w:r>
        <w:rPr>
          <w:rFonts w:ascii="Times New Roman" w:eastAsia="Times New Roman" w:hAnsi="Times New Roman" w:cs="Times New Roman"/>
          <w:lang w:val="en-AU"/>
        </w:rPr>
        <w:t xml:space="preserve"> right to life, States are obligated to ensure that young people can enjoy their right to life by minimizing the impacts of climate change</w:t>
      </w:r>
      <w:r w:rsidR="004C070E">
        <w:rPr>
          <w:rFonts w:ascii="Times New Roman" w:eastAsia="Times New Roman" w:hAnsi="Times New Roman" w:cs="Times New Roman"/>
          <w:lang w:val="en-AU"/>
        </w:rPr>
        <w:t xml:space="preserve"> and local environmental pollution,</w:t>
      </w:r>
      <w:r>
        <w:rPr>
          <w:rFonts w:ascii="Times New Roman" w:eastAsia="Times New Roman" w:hAnsi="Times New Roman" w:cs="Times New Roman"/>
          <w:lang w:val="en-AU"/>
        </w:rPr>
        <w:t xml:space="preserve"> by acting quickly to reduce </w:t>
      </w:r>
      <w:r w:rsidR="004C070E">
        <w:rPr>
          <w:rFonts w:ascii="Times New Roman" w:eastAsia="Times New Roman" w:hAnsi="Times New Roman" w:cs="Times New Roman"/>
          <w:lang w:val="en-AU"/>
        </w:rPr>
        <w:t>emissions, slow feedbacks, and avoid tipping points</w:t>
      </w:r>
      <w:r>
        <w:rPr>
          <w:rFonts w:ascii="Times New Roman" w:eastAsia="Times New Roman" w:hAnsi="Times New Roman" w:cs="Times New Roman"/>
          <w:lang w:val="en-AU"/>
        </w:rPr>
        <w:t xml:space="preserve">, and </w:t>
      </w:r>
      <w:r w:rsidR="009073AF">
        <w:rPr>
          <w:rFonts w:ascii="Times New Roman" w:eastAsia="Times New Roman" w:hAnsi="Times New Roman" w:cs="Times New Roman"/>
          <w:lang w:val="en-AU"/>
        </w:rPr>
        <w:t>by proactively taking measures to protect young people’s right to life</w:t>
      </w:r>
      <w:r>
        <w:rPr>
          <w:rFonts w:ascii="Times New Roman" w:eastAsia="Times New Roman" w:hAnsi="Times New Roman" w:cs="Times New Roman"/>
          <w:lang w:val="en-AU"/>
        </w:rPr>
        <w:t xml:space="preserve">. </w:t>
      </w:r>
    </w:p>
    <w:p w:rsidR="001E1F4D" w:rsidRPr="007362B9" w:rsidRDefault="002A17CA" w:rsidP="00505775">
      <w:pPr>
        <w:pStyle w:val="ListParagraph"/>
        <w:numPr>
          <w:ilvl w:val="0"/>
          <w:numId w:val="4"/>
        </w:numPr>
        <w:spacing w:after="140"/>
        <w:contextualSpacing w:val="0"/>
        <w:jc w:val="both"/>
        <w:rPr>
          <w:rFonts w:ascii="Times New Roman" w:eastAsia="Times New Roman" w:hAnsi="Times New Roman" w:cs="Times New Roman"/>
          <w:lang w:val="en-AU"/>
        </w:rPr>
      </w:pPr>
      <w:r w:rsidRPr="00367476">
        <w:rPr>
          <w:rFonts w:ascii="Times New Roman" w:eastAsia="Times New Roman" w:hAnsi="Times New Roman" w:cs="Times New Roman"/>
          <w:u w:val="single"/>
          <w:lang w:val="en-AU"/>
        </w:rPr>
        <w:t>Right to respect for private and family life</w:t>
      </w:r>
      <w:r>
        <w:rPr>
          <w:rFonts w:ascii="Times New Roman" w:eastAsia="Times New Roman" w:hAnsi="Times New Roman" w:cs="Times New Roman"/>
          <w:lang w:val="en-AU"/>
        </w:rPr>
        <w:t>. The climate emergency creates instability in private and family life for all, affecting children and youth first and worst</w:t>
      </w:r>
      <w:r w:rsidR="00DD0A63">
        <w:rPr>
          <w:rFonts w:ascii="Times New Roman" w:eastAsia="Times New Roman" w:hAnsi="Times New Roman" w:cs="Times New Roman"/>
          <w:lang w:val="en-AU"/>
        </w:rPr>
        <w:t>,</w:t>
      </w:r>
      <w:r>
        <w:rPr>
          <w:rFonts w:ascii="Times New Roman" w:eastAsia="Times New Roman" w:hAnsi="Times New Roman" w:cs="Times New Roman"/>
          <w:lang w:val="en-AU"/>
        </w:rPr>
        <w:t xml:space="preserve"> with negative consequences on their health (including mental health</w:t>
      </w:r>
      <w:r w:rsidR="00505775">
        <w:rPr>
          <w:rFonts w:ascii="Times New Roman" w:eastAsia="Times New Roman" w:hAnsi="Times New Roman" w:cs="Times New Roman"/>
          <w:lang w:val="en-AU"/>
        </w:rPr>
        <w:t>) and security</w:t>
      </w:r>
      <w:r>
        <w:rPr>
          <w:rFonts w:ascii="Times New Roman" w:eastAsia="Times New Roman" w:hAnsi="Times New Roman" w:cs="Times New Roman"/>
          <w:lang w:val="en-AU"/>
        </w:rPr>
        <w:t xml:space="preserve">. States are obligated to protect against these impacts to ensure </w:t>
      </w:r>
      <w:r w:rsidR="00505775">
        <w:rPr>
          <w:rFonts w:ascii="Times New Roman" w:eastAsia="Times New Roman" w:hAnsi="Times New Roman" w:cs="Times New Roman"/>
          <w:lang w:val="en-AU"/>
        </w:rPr>
        <w:t>young people’s</w:t>
      </w:r>
      <w:r>
        <w:rPr>
          <w:rFonts w:ascii="Times New Roman" w:eastAsia="Times New Roman" w:hAnsi="Times New Roman" w:cs="Times New Roman"/>
          <w:lang w:val="en-AU"/>
        </w:rPr>
        <w:t xml:space="preserve"> rights to private and family life.</w:t>
      </w:r>
    </w:p>
    <w:p w:rsidR="001E1F4D" w:rsidRPr="007362B9" w:rsidRDefault="002A17CA" w:rsidP="00505775">
      <w:pPr>
        <w:pStyle w:val="ListParagraph"/>
        <w:numPr>
          <w:ilvl w:val="0"/>
          <w:numId w:val="4"/>
        </w:numPr>
        <w:spacing w:after="140"/>
        <w:contextualSpacing w:val="0"/>
        <w:jc w:val="both"/>
        <w:rPr>
          <w:rFonts w:ascii="Times New Roman" w:eastAsia="Times New Roman" w:hAnsi="Times New Roman" w:cs="Times New Roman"/>
          <w:lang w:val="en-AU"/>
        </w:rPr>
      </w:pPr>
      <w:r w:rsidRPr="00160EBA">
        <w:rPr>
          <w:rFonts w:ascii="Times New Roman" w:eastAsia="Times New Roman" w:hAnsi="Times New Roman" w:cs="Times New Roman"/>
          <w:u w:val="single"/>
          <w:lang w:val="en-AU"/>
        </w:rPr>
        <w:t>Right to health</w:t>
      </w:r>
      <w:r w:rsidRPr="00160EBA">
        <w:rPr>
          <w:rFonts w:ascii="Times New Roman" w:eastAsia="Times New Roman" w:hAnsi="Times New Roman" w:cs="Times New Roman"/>
          <w:lang w:val="en-AU"/>
        </w:rPr>
        <w:t xml:space="preserve">. Children and youth face disproportionate health impacts caused by a rapidly warming world. For example, </w:t>
      </w:r>
      <w:r w:rsidR="00160EBA" w:rsidRPr="00160EBA">
        <w:rPr>
          <w:rFonts w:ascii="Times New Roman" w:eastAsia="Helvetica Neue" w:hAnsi="Times New Roman" w:cs="Times New Roman"/>
        </w:rPr>
        <w:t>air pollution has a disproportionate impact on youth, with 98% of children in low- and middle-income countries breathing polluted air,</w:t>
      </w:r>
      <w:r w:rsidR="00160EBA" w:rsidRPr="00160EBA">
        <w:rPr>
          <w:rStyle w:val="EndnoteReference"/>
          <w:rFonts w:ascii="Times New Roman" w:eastAsia="Helvetica Neue" w:hAnsi="Times New Roman" w:cs="Times New Roman"/>
        </w:rPr>
        <w:endnoteReference w:id="12"/>
      </w:r>
      <w:r w:rsidR="00160EBA" w:rsidRPr="00160EBA">
        <w:rPr>
          <w:rFonts w:ascii="Times New Roman" w:eastAsia="Helvetica Neue" w:hAnsi="Times New Roman" w:cs="Times New Roman"/>
        </w:rPr>
        <w:t xml:space="preserve"> killing one in ten children or permanently stunting children’s development.</w:t>
      </w:r>
      <w:r w:rsidR="00160EBA" w:rsidRPr="00160EBA">
        <w:rPr>
          <w:rStyle w:val="EndnoteReference"/>
          <w:rFonts w:ascii="Times New Roman" w:eastAsia="Helvetica Neue" w:hAnsi="Times New Roman" w:cs="Times New Roman"/>
        </w:rPr>
        <w:endnoteReference w:id="13"/>
      </w:r>
      <w:r w:rsidR="00160EBA">
        <w:rPr>
          <w:rFonts w:ascii="Times New Roman" w:eastAsia="Helvetica Neue" w:hAnsi="Times New Roman" w:cs="Times New Roman"/>
        </w:rPr>
        <w:t xml:space="preserve"> If the planet reaches </w:t>
      </w:r>
      <w:r w:rsidR="00160EBA" w:rsidRPr="00D45CB0">
        <w:rPr>
          <w:rFonts w:ascii="Times New Roman" w:eastAsia="Helvetica Neue" w:hAnsi="Times New Roman" w:cs="Times New Roman"/>
          <w:bCs/>
        </w:rPr>
        <w:t>2.4</w:t>
      </w:r>
      <w:r w:rsidR="00160EBA" w:rsidRPr="006244F8">
        <w:rPr>
          <w:rFonts w:ascii="Times New Roman" w:eastAsia="Helvetica Neue" w:hAnsi="Times New Roman" w:cs="Times New Roman"/>
          <w:bCs/>
        </w:rPr>
        <w:t>°</w:t>
      </w:r>
      <w:r w:rsidR="00160EBA">
        <w:rPr>
          <w:rFonts w:ascii="Times New Roman" w:eastAsia="Helvetica Neue" w:hAnsi="Times New Roman" w:cs="Times New Roman"/>
          <w:bCs/>
        </w:rPr>
        <w:t>C of warming</w:t>
      </w:r>
      <w:r w:rsidRPr="00160EBA">
        <w:rPr>
          <w:rFonts w:ascii="Times New Roman" w:eastAsia="Times New Roman" w:hAnsi="Times New Roman" w:cs="Times New Roman"/>
          <w:lang w:val="en-AU"/>
        </w:rPr>
        <w:t xml:space="preserve"> </w:t>
      </w:r>
      <w:r w:rsidR="00160EBA">
        <w:rPr>
          <w:rFonts w:ascii="Times New Roman" w:eastAsia="Times New Roman" w:hAnsi="Times New Roman" w:cs="Times New Roman"/>
          <w:lang w:val="en-AU"/>
        </w:rPr>
        <w:t>at 2050, as compared to 1.7</w:t>
      </w:r>
      <w:r w:rsidR="00160EBA" w:rsidRPr="006244F8">
        <w:rPr>
          <w:rFonts w:ascii="Times New Roman" w:eastAsia="Helvetica Neue" w:hAnsi="Times New Roman" w:cs="Times New Roman"/>
          <w:bCs/>
        </w:rPr>
        <w:t>°</w:t>
      </w:r>
      <w:r w:rsidR="00160EBA">
        <w:rPr>
          <w:rFonts w:ascii="Times New Roman" w:eastAsia="Times New Roman" w:hAnsi="Times New Roman" w:cs="Times New Roman"/>
          <w:lang w:val="en-AU"/>
        </w:rPr>
        <w:t>C, 370 million more children will be exposed to long-lasting heatwaves</w:t>
      </w:r>
      <w:r w:rsidR="00505775">
        <w:rPr>
          <w:rFonts w:ascii="Times New Roman" w:eastAsia="Times New Roman" w:hAnsi="Times New Roman" w:cs="Times New Roman"/>
          <w:lang w:val="en-AU"/>
        </w:rPr>
        <w:t>.</w:t>
      </w:r>
      <w:r w:rsidR="00160EBA">
        <w:rPr>
          <w:rStyle w:val="EndnoteReference"/>
          <w:rFonts w:ascii="Times New Roman" w:eastAsia="Helvetica Neue" w:hAnsi="Times New Roman" w:cs="Times New Roman"/>
          <w:bCs/>
        </w:rPr>
        <w:endnoteReference w:id="14"/>
      </w:r>
      <w:r w:rsidR="00160EBA">
        <w:rPr>
          <w:rFonts w:ascii="Times New Roman" w:eastAsia="Times New Roman" w:hAnsi="Times New Roman" w:cs="Times New Roman"/>
          <w:lang w:val="en-AU"/>
        </w:rPr>
        <w:t xml:space="preserve"> </w:t>
      </w:r>
      <w:r w:rsidRPr="00160EBA">
        <w:rPr>
          <w:rFonts w:ascii="Times New Roman" w:eastAsia="Times New Roman" w:hAnsi="Times New Roman" w:cs="Times New Roman"/>
          <w:lang w:val="en-AU"/>
        </w:rPr>
        <w:t xml:space="preserve">States are obligated to ensure that </w:t>
      </w:r>
      <w:r w:rsidR="00210334">
        <w:rPr>
          <w:rFonts w:ascii="Times New Roman" w:eastAsia="Times New Roman" w:hAnsi="Times New Roman" w:cs="Times New Roman"/>
          <w:lang w:val="en-AU"/>
        </w:rPr>
        <w:t>young people</w:t>
      </w:r>
      <w:r w:rsidRPr="00160EBA">
        <w:rPr>
          <w:rFonts w:ascii="Times New Roman" w:eastAsia="Times New Roman" w:hAnsi="Times New Roman" w:cs="Times New Roman"/>
          <w:lang w:val="en-AU"/>
        </w:rPr>
        <w:t xml:space="preserve"> can enjoy their right to health. </w:t>
      </w:r>
    </w:p>
    <w:p w:rsidR="001E1F4D" w:rsidRPr="007362B9" w:rsidRDefault="00367476" w:rsidP="00505775">
      <w:pPr>
        <w:pStyle w:val="ListParagraph"/>
        <w:numPr>
          <w:ilvl w:val="0"/>
          <w:numId w:val="4"/>
        </w:numPr>
        <w:spacing w:after="140"/>
        <w:contextualSpacing w:val="0"/>
        <w:jc w:val="both"/>
        <w:rPr>
          <w:rFonts w:ascii="Times New Roman" w:eastAsia="Times New Roman" w:hAnsi="Times New Roman" w:cs="Times New Roman"/>
          <w:lang w:val="en-AU"/>
        </w:rPr>
      </w:pPr>
      <w:r w:rsidRPr="00367476">
        <w:rPr>
          <w:rFonts w:ascii="Times New Roman" w:eastAsia="Times New Roman" w:hAnsi="Times New Roman" w:cs="Times New Roman"/>
          <w:u w:val="single"/>
          <w:lang w:val="en-AU"/>
        </w:rPr>
        <w:t>Right</w:t>
      </w:r>
      <w:r w:rsidR="002A17CA">
        <w:rPr>
          <w:rFonts w:ascii="Times New Roman" w:eastAsia="Times New Roman" w:hAnsi="Times New Roman" w:cs="Times New Roman"/>
          <w:u w:val="single"/>
          <w:lang w:val="en-AU"/>
        </w:rPr>
        <w:t>s</w:t>
      </w:r>
      <w:r w:rsidRPr="00367476">
        <w:rPr>
          <w:rFonts w:ascii="Times New Roman" w:eastAsia="Times New Roman" w:hAnsi="Times New Roman" w:cs="Times New Roman"/>
          <w:u w:val="single"/>
          <w:lang w:val="en-AU"/>
        </w:rPr>
        <w:t xml:space="preserve"> to self-determination</w:t>
      </w:r>
      <w:r w:rsidR="002A17CA">
        <w:rPr>
          <w:rFonts w:ascii="Times New Roman" w:eastAsia="Times New Roman" w:hAnsi="Times New Roman" w:cs="Times New Roman"/>
          <w:u w:val="single"/>
          <w:lang w:val="en-AU"/>
        </w:rPr>
        <w:t xml:space="preserve"> and information</w:t>
      </w:r>
      <w:r>
        <w:rPr>
          <w:rFonts w:ascii="Times New Roman" w:eastAsia="Times New Roman" w:hAnsi="Times New Roman" w:cs="Times New Roman"/>
          <w:lang w:val="en-AU"/>
        </w:rPr>
        <w:t xml:space="preserve">. As part of a constituency </w:t>
      </w:r>
      <w:r w:rsidR="00DD0A63">
        <w:rPr>
          <w:rFonts w:ascii="Times New Roman" w:eastAsia="Times New Roman" w:hAnsi="Times New Roman" w:cs="Times New Roman"/>
          <w:lang w:val="en-AU"/>
        </w:rPr>
        <w:t>with</w:t>
      </w:r>
      <w:r>
        <w:rPr>
          <w:rFonts w:ascii="Times New Roman" w:eastAsia="Times New Roman" w:hAnsi="Times New Roman" w:cs="Times New Roman"/>
          <w:lang w:val="en-AU"/>
        </w:rPr>
        <w:t xml:space="preserve"> no voting power, </w:t>
      </w:r>
      <w:r w:rsidR="00505775">
        <w:rPr>
          <w:rFonts w:ascii="Times New Roman" w:eastAsia="Times New Roman" w:hAnsi="Times New Roman" w:cs="Times New Roman"/>
          <w:lang w:val="en-AU"/>
        </w:rPr>
        <w:t>young people</w:t>
      </w:r>
      <w:r w:rsidR="002A17CA">
        <w:rPr>
          <w:rFonts w:ascii="Times New Roman" w:eastAsia="Times New Roman" w:hAnsi="Times New Roman" w:cs="Times New Roman"/>
          <w:lang w:val="en-AU"/>
        </w:rPr>
        <w:t xml:space="preserve"> under the national voting age</w:t>
      </w:r>
      <w:r>
        <w:rPr>
          <w:rFonts w:ascii="Times New Roman" w:eastAsia="Times New Roman" w:hAnsi="Times New Roman" w:cs="Times New Roman"/>
          <w:lang w:val="en-AU"/>
        </w:rPr>
        <w:t xml:space="preserve"> are excluded from key decision processes that impact their present and future.</w:t>
      </w:r>
      <w:r w:rsidR="002A17CA">
        <w:rPr>
          <w:rFonts w:ascii="Times New Roman" w:eastAsia="Times New Roman" w:hAnsi="Times New Roman" w:cs="Times New Roman"/>
          <w:lang w:val="en-AU"/>
        </w:rPr>
        <w:t xml:space="preserve"> </w:t>
      </w:r>
      <w:r>
        <w:rPr>
          <w:rFonts w:ascii="Times New Roman" w:eastAsia="Times New Roman" w:hAnsi="Times New Roman" w:cs="Times New Roman"/>
          <w:lang w:val="en-AU"/>
        </w:rPr>
        <w:t>States are obligated to ensure all people’s right</w:t>
      </w:r>
      <w:r w:rsidR="00505775">
        <w:rPr>
          <w:rFonts w:ascii="Times New Roman" w:eastAsia="Times New Roman" w:hAnsi="Times New Roman" w:cs="Times New Roman"/>
          <w:lang w:val="en-AU"/>
        </w:rPr>
        <w:t>s</w:t>
      </w:r>
      <w:r>
        <w:rPr>
          <w:rFonts w:ascii="Times New Roman" w:eastAsia="Times New Roman" w:hAnsi="Times New Roman" w:cs="Times New Roman"/>
          <w:lang w:val="en-AU"/>
        </w:rPr>
        <w:t xml:space="preserve"> to participate</w:t>
      </w:r>
      <w:r w:rsidR="00505775">
        <w:rPr>
          <w:rFonts w:ascii="Times New Roman" w:eastAsia="Times New Roman" w:hAnsi="Times New Roman" w:cs="Times New Roman"/>
          <w:lang w:val="en-AU"/>
        </w:rPr>
        <w:t xml:space="preserve">, </w:t>
      </w:r>
      <w:r>
        <w:rPr>
          <w:rFonts w:ascii="Times New Roman" w:eastAsia="Times New Roman" w:hAnsi="Times New Roman" w:cs="Times New Roman"/>
          <w:lang w:val="en-AU"/>
        </w:rPr>
        <w:t>be heard in society</w:t>
      </w:r>
      <w:r w:rsidR="00505775">
        <w:rPr>
          <w:rFonts w:ascii="Times New Roman" w:eastAsia="Times New Roman" w:hAnsi="Times New Roman" w:cs="Times New Roman"/>
          <w:lang w:val="en-AU"/>
        </w:rPr>
        <w:t>,</w:t>
      </w:r>
      <w:r>
        <w:rPr>
          <w:rFonts w:ascii="Times New Roman" w:eastAsia="Times New Roman" w:hAnsi="Times New Roman" w:cs="Times New Roman"/>
          <w:lang w:val="en-AU"/>
        </w:rPr>
        <w:t xml:space="preserve"> and </w:t>
      </w:r>
      <w:r w:rsidR="00505775">
        <w:rPr>
          <w:rFonts w:ascii="Times New Roman" w:eastAsia="Times New Roman" w:hAnsi="Times New Roman" w:cs="Times New Roman"/>
          <w:lang w:val="en-AU"/>
        </w:rPr>
        <w:t>be protected</w:t>
      </w:r>
      <w:r>
        <w:rPr>
          <w:rFonts w:ascii="Times New Roman" w:eastAsia="Times New Roman" w:hAnsi="Times New Roman" w:cs="Times New Roman"/>
          <w:lang w:val="en-AU"/>
        </w:rPr>
        <w:t xml:space="preserve">. </w:t>
      </w:r>
      <w:r w:rsidR="002A17CA">
        <w:rPr>
          <w:rFonts w:ascii="Times New Roman" w:eastAsia="Times New Roman" w:hAnsi="Times New Roman" w:cs="Times New Roman"/>
          <w:lang w:val="en-AU"/>
        </w:rPr>
        <w:t xml:space="preserve">Further, States are obligated to ensure their right to participate by </w:t>
      </w:r>
      <w:r w:rsidR="00505775">
        <w:rPr>
          <w:rFonts w:ascii="Times New Roman" w:eastAsia="Times New Roman" w:hAnsi="Times New Roman" w:cs="Times New Roman"/>
          <w:lang w:val="en-AU"/>
        </w:rPr>
        <w:t xml:space="preserve">protecting activists, </w:t>
      </w:r>
      <w:r w:rsidR="002A17CA">
        <w:rPr>
          <w:rFonts w:ascii="Times New Roman" w:eastAsia="Times New Roman" w:hAnsi="Times New Roman" w:cs="Times New Roman"/>
          <w:lang w:val="en-AU"/>
        </w:rPr>
        <w:t xml:space="preserve">providing information to the public on environmental risks and hazards, </w:t>
      </w:r>
      <w:r w:rsidR="00505775">
        <w:rPr>
          <w:rFonts w:ascii="Times New Roman" w:eastAsia="Times New Roman" w:hAnsi="Times New Roman" w:cs="Times New Roman"/>
          <w:lang w:val="en-AU"/>
        </w:rPr>
        <w:t>and</w:t>
      </w:r>
      <w:r w:rsidR="002A17CA">
        <w:rPr>
          <w:rFonts w:ascii="Times New Roman" w:eastAsia="Times New Roman" w:hAnsi="Times New Roman" w:cs="Times New Roman"/>
          <w:lang w:val="en-AU"/>
        </w:rPr>
        <w:t xml:space="preserve"> establishing participatory mechanisms for decisionmaking processes that includes and empowers youth voices.</w:t>
      </w:r>
    </w:p>
    <w:p w:rsidR="001E1F4D" w:rsidRPr="007362B9" w:rsidRDefault="00367476" w:rsidP="00505775">
      <w:pPr>
        <w:pStyle w:val="ListParagraph"/>
        <w:numPr>
          <w:ilvl w:val="0"/>
          <w:numId w:val="4"/>
        </w:numPr>
        <w:spacing w:after="140"/>
        <w:contextualSpacing w:val="0"/>
        <w:jc w:val="both"/>
        <w:rPr>
          <w:rFonts w:ascii="Times New Roman" w:eastAsia="Times New Roman" w:hAnsi="Times New Roman" w:cs="Times New Roman"/>
          <w:lang w:val="en-AU"/>
        </w:rPr>
      </w:pPr>
      <w:r w:rsidRPr="00367476">
        <w:rPr>
          <w:rFonts w:ascii="Times New Roman" w:eastAsia="Times New Roman" w:hAnsi="Times New Roman" w:cs="Times New Roman"/>
          <w:u w:val="single"/>
          <w:lang w:val="en-AU"/>
        </w:rPr>
        <w:t>Right to equal protection</w:t>
      </w:r>
      <w:r>
        <w:rPr>
          <w:rFonts w:ascii="Times New Roman" w:eastAsia="Times New Roman" w:hAnsi="Times New Roman" w:cs="Times New Roman"/>
          <w:lang w:val="en-AU"/>
        </w:rPr>
        <w:t xml:space="preserve">. </w:t>
      </w:r>
      <w:r w:rsidR="002A17CA">
        <w:rPr>
          <w:rFonts w:ascii="Times New Roman" w:eastAsia="Times New Roman" w:hAnsi="Times New Roman" w:cs="Times New Roman"/>
          <w:lang w:val="en-AU"/>
        </w:rPr>
        <w:t>The near- and long-term impacts of climate change have unique consequences that are experienced by children and youth, who are susceptible to its impacts now and in their future. States are obligated to ensure that children and youth do not face age-based discrimination and are equally protected under national laws.</w:t>
      </w:r>
    </w:p>
    <w:p w:rsidR="001E1F4D" w:rsidRPr="007362B9" w:rsidRDefault="00367476" w:rsidP="00505775">
      <w:pPr>
        <w:pStyle w:val="ListParagraph"/>
        <w:numPr>
          <w:ilvl w:val="0"/>
          <w:numId w:val="4"/>
        </w:numPr>
        <w:spacing w:after="140"/>
        <w:contextualSpacing w:val="0"/>
        <w:jc w:val="both"/>
        <w:rPr>
          <w:rFonts w:ascii="Times New Roman" w:eastAsia="Times New Roman" w:hAnsi="Times New Roman" w:cs="Times New Roman"/>
          <w:lang w:val="en-AU"/>
        </w:rPr>
      </w:pPr>
      <w:r w:rsidRPr="00367476">
        <w:rPr>
          <w:rFonts w:ascii="Times New Roman" w:eastAsia="Times New Roman" w:hAnsi="Times New Roman" w:cs="Times New Roman"/>
          <w:u w:val="single"/>
          <w:lang w:val="en-AU"/>
        </w:rPr>
        <w:t>Right to an effective legal remedy</w:t>
      </w:r>
      <w:r>
        <w:rPr>
          <w:rFonts w:ascii="Times New Roman" w:eastAsia="Times New Roman" w:hAnsi="Times New Roman" w:cs="Times New Roman"/>
          <w:lang w:val="en-AU"/>
        </w:rPr>
        <w:t xml:space="preserve">. </w:t>
      </w:r>
      <w:r w:rsidR="002A17CA">
        <w:rPr>
          <w:rFonts w:ascii="Times New Roman" w:eastAsia="Times New Roman" w:hAnsi="Times New Roman" w:cs="Times New Roman"/>
          <w:lang w:val="en-AU"/>
        </w:rPr>
        <w:t xml:space="preserve">For </w:t>
      </w:r>
      <w:r w:rsidR="00210334">
        <w:rPr>
          <w:rFonts w:ascii="Times New Roman" w:eastAsia="Times New Roman" w:hAnsi="Times New Roman" w:cs="Times New Roman"/>
          <w:lang w:val="en-AU"/>
        </w:rPr>
        <w:t>young people</w:t>
      </w:r>
      <w:r w:rsidR="002A17CA">
        <w:rPr>
          <w:rFonts w:ascii="Times New Roman" w:eastAsia="Times New Roman" w:hAnsi="Times New Roman" w:cs="Times New Roman"/>
          <w:lang w:val="en-AU"/>
        </w:rPr>
        <w:t xml:space="preserve">, it is more difficult to access legal remedies when their rights have been violated. States are obligated to provide remedies and reparations for victims of human rights violations, which must consider youth. </w:t>
      </w:r>
    </w:p>
    <w:p w:rsidR="00367476" w:rsidRPr="00367476" w:rsidRDefault="00367476" w:rsidP="00367476">
      <w:pPr>
        <w:pStyle w:val="ListParagraph"/>
        <w:numPr>
          <w:ilvl w:val="0"/>
          <w:numId w:val="4"/>
        </w:numPr>
        <w:jc w:val="both"/>
        <w:rPr>
          <w:rFonts w:ascii="Times New Roman" w:eastAsia="Times New Roman" w:hAnsi="Times New Roman" w:cs="Times New Roman"/>
          <w:lang w:val="en-AU"/>
        </w:rPr>
      </w:pPr>
      <w:r w:rsidRPr="00367476">
        <w:rPr>
          <w:rFonts w:ascii="Times New Roman" w:eastAsia="Times New Roman" w:hAnsi="Times New Roman" w:cs="Times New Roman"/>
          <w:u w:val="single"/>
          <w:lang w:val="en-AU"/>
        </w:rPr>
        <w:t>Right to a healthy environment</w:t>
      </w:r>
      <w:r>
        <w:rPr>
          <w:rFonts w:ascii="Times New Roman" w:eastAsia="Times New Roman" w:hAnsi="Times New Roman" w:cs="Times New Roman"/>
          <w:lang w:val="en-AU"/>
        </w:rPr>
        <w:t xml:space="preserve">. </w:t>
      </w:r>
      <w:r w:rsidR="002A17CA">
        <w:rPr>
          <w:rFonts w:ascii="Times New Roman" w:eastAsia="Times New Roman" w:hAnsi="Times New Roman" w:cs="Times New Roman"/>
          <w:lang w:val="en-AU"/>
        </w:rPr>
        <w:t xml:space="preserve">Children and youth face disproportionate health, economic, and social impacts due to the near-term impacts of climate change. As future inheritors of the planet, States are obligated to ensure children and youth can enjoy their right to a healthy and sustainable environment. </w:t>
      </w:r>
    </w:p>
    <w:p w:rsidR="00367476" w:rsidRPr="00367476" w:rsidRDefault="00367476" w:rsidP="00F13CB4">
      <w:pPr>
        <w:jc w:val="both"/>
        <w:rPr>
          <w:rFonts w:ascii="Times New Roman" w:eastAsia="Times New Roman" w:hAnsi="Times New Roman" w:cs="Times New Roman"/>
          <w:lang w:val="en-GB"/>
        </w:rPr>
      </w:pPr>
    </w:p>
    <w:p w:rsidR="00645A37" w:rsidRPr="00210334" w:rsidRDefault="00F13CB4" w:rsidP="00F13CB4">
      <w:pPr>
        <w:jc w:val="both"/>
        <w:rPr>
          <w:rFonts w:ascii="Times New Roman" w:eastAsia="Times New Roman" w:hAnsi="Times New Roman" w:cs="Times New Roman"/>
          <w:b/>
          <w:bCs/>
          <w:u w:val="single"/>
          <w:lang w:val="en-GB"/>
        </w:rPr>
      </w:pPr>
      <w:r w:rsidRPr="00210334">
        <w:rPr>
          <w:rFonts w:ascii="Times New Roman" w:eastAsia="Times New Roman" w:hAnsi="Times New Roman" w:cs="Times New Roman"/>
          <w:b/>
          <w:bCs/>
          <w:u w:val="single"/>
          <w:lang w:val="en-GB"/>
        </w:rPr>
        <w:t xml:space="preserve">15) </w:t>
      </w:r>
      <w:r w:rsidR="00645A37" w:rsidRPr="00210334">
        <w:rPr>
          <w:rFonts w:ascii="Times New Roman" w:eastAsia="Times New Roman" w:hAnsi="Times New Roman" w:cs="Times New Roman"/>
          <w:b/>
          <w:bCs/>
          <w:u w:val="single"/>
          <w:lang w:val="en-GB"/>
        </w:rPr>
        <w:t xml:space="preserve">What options are available for enshrining the principle of </w:t>
      </w:r>
      <w:r w:rsidR="00210334" w:rsidRPr="00210334">
        <w:rPr>
          <w:rFonts w:ascii="Times New Roman" w:eastAsia="Times New Roman" w:hAnsi="Times New Roman" w:cs="Times New Roman"/>
          <w:b/>
          <w:bCs/>
          <w:u w:val="single"/>
          <w:lang w:val="en-GB"/>
        </w:rPr>
        <w:t>IJ</w:t>
      </w:r>
      <w:r w:rsidR="00645A37" w:rsidRPr="00210334">
        <w:rPr>
          <w:rFonts w:ascii="Times New Roman" w:eastAsia="Times New Roman" w:hAnsi="Times New Roman" w:cs="Times New Roman"/>
          <w:b/>
          <w:bCs/>
          <w:u w:val="single"/>
          <w:lang w:val="en-GB"/>
        </w:rPr>
        <w:t xml:space="preserve"> in international law?</w:t>
      </w:r>
    </w:p>
    <w:p w:rsidR="00BE5EC7" w:rsidRDefault="00BE5EC7" w:rsidP="00F13CB4">
      <w:pPr>
        <w:jc w:val="both"/>
        <w:rPr>
          <w:rFonts w:ascii="Times New Roman" w:eastAsia="Times New Roman" w:hAnsi="Times New Roman" w:cs="Times New Roman"/>
        </w:rPr>
      </w:pPr>
    </w:p>
    <w:p w:rsidR="00BE5EC7" w:rsidRDefault="00BE5EC7" w:rsidP="00BE5EC7">
      <w:pPr>
        <w:jc w:val="both"/>
        <w:rPr>
          <w:rFonts w:ascii="Times New Roman" w:eastAsia="Times New Roman" w:hAnsi="Times New Roman" w:cs="Times New Roman"/>
        </w:rPr>
      </w:pPr>
      <w:r>
        <w:rPr>
          <w:rFonts w:ascii="Times New Roman" w:eastAsia="Times New Roman" w:hAnsi="Times New Roman" w:cs="Times New Roman"/>
        </w:rPr>
        <w:t xml:space="preserve">We identify four major gaps </w:t>
      </w:r>
      <w:r w:rsidR="005F409E">
        <w:rPr>
          <w:rFonts w:ascii="Times New Roman" w:eastAsia="Times New Roman" w:hAnsi="Times New Roman" w:cs="Times New Roman"/>
        </w:rPr>
        <w:t xml:space="preserve">that impede efforts to protect the principle of </w:t>
      </w:r>
      <w:r w:rsidR="00210334">
        <w:rPr>
          <w:rFonts w:ascii="Times New Roman" w:eastAsia="Times New Roman" w:hAnsi="Times New Roman" w:cs="Times New Roman"/>
        </w:rPr>
        <w:t>IJ</w:t>
      </w:r>
      <w:r w:rsidR="005F409E">
        <w:rPr>
          <w:rFonts w:ascii="Times New Roman" w:eastAsia="Times New Roman" w:hAnsi="Times New Roman" w:cs="Times New Roman"/>
        </w:rPr>
        <w:t>, in both international and national laws:</w:t>
      </w:r>
      <w:r>
        <w:rPr>
          <w:rFonts w:ascii="Times New Roman" w:eastAsia="Times New Roman" w:hAnsi="Times New Roman" w:cs="Times New Roman"/>
        </w:rPr>
        <w:t xml:space="preserve"> the foundation of </w:t>
      </w:r>
      <w:r w:rsidR="00210334">
        <w:rPr>
          <w:rFonts w:ascii="Times New Roman" w:eastAsia="Times New Roman" w:hAnsi="Times New Roman" w:cs="Times New Roman"/>
        </w:rPr>
        <w:t>IJ</w:t>
      </w:r>
      <w:r>
        <w:rPr>
          <w:rFonts w:ascii="Times New Roman" w:eastAsia="Times New Roman" w:hAnsi="Times New Roman" w:cs="Times New Roman"/>
        </w:rPr>
        <w:t xml:space="preserve"> claims, representation of young people, implementation of </w:t>
      </w:r>
      <w:r w:rsidR="005F409E">
        <w:rPr>
          <w:rFonts w:ascii="Times New Roman" w:eastAsia="Times New Roman" w:hAnsi="Times New Roman" w:cs="Times New Roman"/>
        </w:rPr>
        <w:t>climate law</w:t>
      </w:r>
      <w:r>
        <w:rPr>
          <w:rFonts w:ascii="Times New Roman" w:eastAsia="Times New Roman" w:hAnsi="Times New Roman" w:cs="Times New Roman"/>
        </w:rPr>
        <w:t xml:space="preserve">, and protection of rights. </w:t>
      </w:r>
    </w:p>
    <w:p w:rsidR="00BE5EC7" w:rsidRDefault="00BE5EC7" w:rsidP="00BE5EC7">
      <w:pPr>
        <w:jc w:val="both"/>
        <w:rPr>
          <w:rFonts w:ascii="Times New Roman" w:eastAsia="Times New Roman" w:hAnsi="Times New Roman" w:cs="Times New Roman"/>
        </w:rPr>
      </w:pPr>
    </w:p>
    <w:p w:rsidR="00BE5EC7" w:rsidRDefault="00BE5EC7" w:rsidP="00BE5EC7">
      <w:pPr>
        <w:jc w:val="both"/>
        <w:rPr>
          <w:rFonts w:ascii="Times New Roman" w:eastAsia="Times New Roman" w:hAnsi="Times New Roman" w:cs="Times New Roman"/>
        </w:rPr>
      </w:pPr>
      <w:r w:rsidRPr="0028454F">
        <w:rPr>
          <w:rFonts w:ascii="Times New Roman" w:eastAsia="Times New Roman" w:hAnsi="Times New Roman" w:cs="Times New Roman"/>
          <w:b/>
          <w:bCs/>
          <w:u w:val="single"/>
        </w:rPr>
        <w:t>Foundation</w:t>
      </w:r>
      <w:r>
        <w:rPr>
          <w:rFonts w:ascii="Times New Roman" w:eastAsia="Times New Roman" w:hAnsi="Times New Roman" w:cs="Times New Roman"/>
        </w:rPr>
        <w:t>:</w:t>
      </w:r>
      <w:r>
        <w:rPr>
          <w:rFonts w:ascii="Times New Roman" w:eastAsia="Times New Roman" w:hAnsi="Times New Roman" w:cs="Times New Roman"/>
          <w:b/>
          <w:bCs/>
        </w:rPr>
        <w:t xml:space="preserve"> </w:t>
      </w:r>
      <w:r w:rsidRPr="0028454F">
        <w:rPr>
          <w:rFonts w:ascii="Times New Roman" w:eastAsia="Times New Roman" w:hAnsi="Times New Roman" w:cs="Times New Roman"/>
          <w:b/>
          <w:bCs/>
        </w:rPr>
        <w:t>There is no broad mandate that</w:t>
      </w:r>
      <w:r>
        <w:rPr>
          <w:rFonts w:ascii="Times New Roman" w:eastAsia="Times New Roman" w:hAnsi="Times New Roman" w:cs="Times New Roman"/>
          <w:b/>
          <w:bCs/>
        </w:rPr>
        <w:t xml:space="preserve"> directly</w:t>
      </w:r>
      <w:r w:rsidRPr="0028454F">
        <w:rPr>
          <w:rFonts w:ascii="Times New Roman" w:eastAsia="Times New Roman" w:hAnsi="Times New Roman" w:cs="Times New Roman"/>
          <w:b/>
          <w:bCs/>
        </w:rPr>
        <w:t xml:space="preserve"> protects the principle of </w:t>
      </w:r>
      <w:r w:rsidR="00210334">
        <w:rPr>
          <w:rFonts w:ascii="Times New Roman" w:eastAsia="Times New Roman" w:hAnsi="Times New Roman" w:cs="Times New Roman"/>
          <w:b/>
          <w:bCs/>
        </w:rPr>
        <w:t>IJ</w:t>
      </w:r>
      <w:r w:rsidRPr="0028454F">
        <w:rPr>
          <w:rFonts w:ascii="Times New Roman" w:eastAsia="Times New Roman" w:hAnsi="Times New Roman" w:cs="Times New Roman"/>
          <w:b/>
          <w:bCs/>
        </w:rPr>
        <w:t xml:space="preserve"> that includes present and future young people</w:t>
      </w:r>
      <w:r>
        <w:rPr>
          <w:rFonts w:ascii="Times New Roman" w:eastAsia="Times New Roman" w:hAnsi="Times New Roman" w:cs="Times New Roman"/>
        </w:rPr>
        <w:t xml:space="preserve">. The principle of intergenerational equity is often invoked through its components, which include the rights to life, respect for private and family life, health, self-determination, information, equal protection, effective legal remedy, and recently, a healthy environment. While many international treaties and domestic laws protect some or most of these individual rights, the right to intergenerational equity more broadly is often excluded. The </w:t>
      </w:r>
      <w:hyperlink r:id="rId15" w:history="1">
        <w:r w:rsidRPr="00656A86">
          <w:rPr>
            <w:rStyle w:val="Hyperlink"/>
            <w:rFonts w:ascii="Times New Roman" w:eastAsia="Times New Roman" w:hAnsi="Times New Roman" w:cs="Times New Roman"/>
          </w:rPr>
          <w:t>Convention on the Rights of the Child</w:t>
        </w:r>
      </w:hyperlink>
      <w:r>
        <w:rPr>
          <w:rFonts w:ascii="Times New Roman" w:eastAsia="Times New Roman" w:hAnsi="Times New Roman" w:cs="Times New Roman"/>
        </w:rPr>
        <w:t xml:space="preserve"> provides a legal framework for the protection of children’s rights, but even this is limited to those under 18 years old. </w:t>
      </w:r>
      <w:r w:rsidRPr="00743879">
        <w:rPr>
          <w:rFonts w:ascii="Times New Roman" w:eastAsia="Times New Roman" w:hAnsi="Times New Roman" w:cs="Times New Roman"/>
          <w:i/>
          <w:iCs/>
        </w:rPr>
        <w:t>T</w:t>
      </w:r>
      <w:r w:rsidR="00210334">
        <w:rPr>
          <w:rFonts w:ascii="Times New Roman" w:eastAsia="Times New Roman" w:hAnsi="Times New Roman" w:cs="Times New Roman"/>
          <w:i/>
          <w:iCs/>
        </w:rPr>
        <w:t>herefore, t</w:t>
      </w:r>
      <w:r w:rsidRPr="00743879">
        <w:rPr>
          <w:rFonts w:ascii="Times New Roman" w:eastAsia="Times New Roman" w:hAnsi="Times New Roman" w:cs="Times New Roman"/>
          <w:i/>
          <w:iCs/>
        </w:rPr>
        <w:t xml:space="preserve">he Special Rapporteur should recommend that the principle of </w:t>
      </w:r>
      <w:r w:rsidR="00210334">
        <w:rPr>
          <w:rFonts w:ascii="Times New Roman" w:eastAsia="Times New Roman" w:hAnsi="Times New Roman" w:cs="Times New Roman"/>
          <w:i/>
          <w:iCs/>
        </w:rPr>
        <w:t>IJ</w:t>
      </w:r>
      <w:r w:rsidRPr="00743879">
        <w:rPr>
          <w:rFonts w:ascii="Times New Roman" w:eastAsia="Times New Roman" w:hAnsi="Times New Roman" w:cs="Times New Roman"/>
          <w:i/>
          <w:iCs/>
        </w:rPr>
        <w:t xml:space="preserve"> should be a right enforced in all domestic laws and international commitments</w:t>
      </w:r>
      <w:r>
        <w:rPr>
          <w:rFonts w:ascii="Times New Roman" w:eastAsia="Times New Roman" w:hAnsi="Times New Roman" w:cs="Times New Roman"/>
        </w:rPr>
        <w:t xml:space="preserve">. </w:t>
      </w:r>
    </w:p>
    <w:p w:rsidR="00BE5EC7" w:rsidRDefault="00BE5EC7" w:rsidP="00BE5EC7">
      <w:pPr>
        <w:jc w:val="both"/>
        <w:rPr>
          <w:rFonts w:ascii="Times New Roman" w:eastAsia="Times New Roman" w:hAnsi="Times New Roman" w:cs="Times New Roman"/>
          <w:lang w:val="en-AU"/>
        </w:rPr>
      </w:pPr>
    </w:p>
    <w:p w:rsidR="00BE5EC7" w:rsidRPr="00743879" w:rsidRDefault="00BE5EC7" w:rsidP="00BE5EC7">
      <w:pPr>
        <w:jc w:val="both"/>
        <w:rPr>
          <w:rFonts w:ascii="Times New Roman" w:eastAsia="Times New Roman" w:hAnsi="Times New Roman" w:cs="Times New Roman"/>
          <w:lang w:val="en"/>
        </w:rPr>
      </w:pPr>
      <w:r w:rsidRPr="0028454F">
        <w:rPr>
          <w:rFonts w:ascii="Times New Roman" w:eastAsia="Times New Roman" w:hAnsi="Times New Roman" w:cs="Times New Roman"/>
          <w:b/>
          <w:bCs/>
          <w:u w:val="single"/>
          <w:lang w:val="en-AU"/>
        </w:rPr>
        <w:t>Representation</w:t>
      </w:r>
      <w:r>
        <w:rPr>
          <w:rFonts w:ascii="Times New Roman" w:eastAsia="Times New Roman" w:hAnsi="Times New Roman" w:cs="Times New Roman"/>
          <w:lang w:val="en-AU"/>
        </w:rPr>
        <w:t xml:space="preserve">: </w:t>
      </w:r>
      <w:r w:rsidRPr="0028454F">
        <w:rPr>
          <w:rFonts w:ascii="Times New Roman" w:eastAsia="Times New Roman" w:hAnsi="Times New Roman" w:cs="Times New Roman"/>
          <w:b/>
          <w:bCs/>
          <w:lang w:val="en-AU"/>
        </w:rPr>
        <w:t xml:space="preserve">While there are several efforts underway to include youth, commitments remain voluntary and </w:t>
      </w:r>
      <w:r w:rsidR="00FF26DA">
        <w:rPr>
          <w:rFonts w:ascii="Times New Roman" w:eastAsia="Times New Roman" w:hAnsi="Times New Roman" w:cs="Times New Roman"/>
          <w:b/>
          <w:bCs/>
          <w:lang w:val="en-AU"/>
        </w:rPr>
        <w:t>young people remain tokenized or an afterthought</w:t>
      </w:r>
      <w:r>
        <w:rPr>
          <w:rFonts w:ascii="Times New Roman" w:eastAsia="Times New Roman" w:hAnsi="Times New Roman" w:cs="Times New Roman"/>
        </w:rPr>
        <w:t>.</w:t>
      </w:r>
      <w:r>
        <w:rPr>
          <w:rFonts w:ascii="Times New Roman" w:eastAsia="Times New Roman" w:hAnsi="Times New Roman" w:cs="Times New Roman"/>
          <w:lang w:val="en"/>
        </w:rPr>
        <w:t xml:space="preserve"> </w:t>
      </w:r>
      <w:r w:rsidR="00FF26DA">
        <w:rPr>
          <w:rFonts w:ascii="Times New Roman" w:eastAsia="Times New Roman" w:hAnsi="Times New Roman" w:cs="Times New Roman"/>
          <w:lang w:val="en"/>
        </w:rPr>
        <w:t>While</w:t>
      </w:r>
      <w:r>
        <w:rPr>
          <w:rFonts w:ascii="Times New Roman" w:eastAsia="Times New Roman" w:hAnsi="Times New Roman" w:cs="Times New Roman"/>
          <w:lang w:val="en"/>
        </w:rPr>
        <w:t xml:space="preserve"> t</w:t>
      </w:r>
      <w:r w:rsidRPr="007742A4">
        <w:rPr>
          <w:rFonts w:ascii="Times New Roman" w:eastAsia="Times New Roman" w:hAnsi="Times New Roman" w:cs="Times New Roman"/>
          <w:lang w:val="en"/>
        </w:rPr>
        <w:t xml:space="preserve">he </w:t>
      </w:r>
      <w:r w:rsidR="00FF26DA">
        <w:rPr>
          <w:rFonts w:ascii="Times New Roman" w:eastAsia="Times New Roman" w:hAnsi="Times New Roman" w:cs="Times New Roman"/>
          <w:lang w:val="en-AU"/>
        </w:rPr>
        <w:t>NDC</w:t>
      </w:r>
      <w:r>
        <w:rPr>
          <w:rFonts w:ascii="Times New Roman" w:eastAsia="Times New Roman" w:hAnsi="Times New Roman" w:cs="Times New Roman"/>
          <w:lang w:val="en-AU"/>
        </w:rPr>
        <w:t xml:space="preserve"> </w:t>
      </w:r>
      <w:r w:rsidRPr="007742A4">
        <w:rPr>
          <w:rFonts w:ascii="Times New Roman" w:eastAsia="Times New Roman" w:hAnsi="Times New Roman" w:cs="Times New Roman"/>
          <w:lang w:val="en"/>
        </w:rPr>
        <w:t>partnership established a Youth Engagement Plan for increased, meaningful engagement of young people in the NDC Partnership’s work</w:t>
      </w:r>
      <w:r>
        <w:rPr>
          <w:rFonts w:ascii="Times New Roman" w:eastAsia="Times New Roman" w:hAnsi="Times New Roman" w:cs="Times New Roman"/>
          <w:lang w:val="en"/>
        </w:rPr>
        <w:t>, all 166 NDCs submitted failed the Climate Change Education Ambition Report Card</w:t>
      </w:r>
      <w:r w:rsidRPr="007742A4">
        <w:rPr>
          <w:rFonts w:ascii="Times New Roman" w:eastAsia="Times New Roman" w:hAnsi="Times New Roman" w:cs="Times New Roman"/>
          <w:lang w:val="en"/>
        </w:rPr>
        <w:t>.</w:t>
      </w:r>
      <w:r>
        <w:rPr>
          <w:rStyle w:val="EndnoteReference"/>
          <w:rFonts w:ascii="Times New Roman" w:eastAsia="Times New Roman" w:hAnsi="Times New Roman" w:cs="Times New Roman"/>
          <w:lang w:val="en"/>
        </w:rPr>
        <w:endnoteReference w:id="15"/>
      </w:r>
      <w:r w:rsidRPr="007742A4">
        <w:rPr>
          <w:rFonts w:ascii="Times New Roman" w:eastAsia="Times New Roman" w:hAnsi="Times New Roman" w:cs="Times New Roman"/>
          <w:lang w:val="en"/>
        </w:rPr>
        <w:t xml:space="preserve"> </w:t>
      </w:r>
      <w:r w:rsidR="00FF26DA">
        <w:rPr>
          <w:rFonts w:ascii="Times New Roman" w:eastAsia="Times New Roman" w:hAnsi="Times New Roman" w:cs="Times New Roman"/>
          <w:lang w:val="en"/>
        </w:rPr>
        <w:t>Judicial</w:t>
      </w:r>
      <w:r w:rsidRPr="00743879">
        <w:rPr>
          <w:rFonts w:ascii="Times New Roman" w:eastAsia="Times New Roman" w:hAnsi="Times New Roman" w:cs="Times New Roman"/>
        </w:rPr>
        <w:t xml:space="preserve"> systems </w:t>
      </w:r>
      <w:r w:rsidR="00FF26DA">
        <w:rPr>
          <w:rFonts w:ascii="Times New Roman" w:eastAsia="Times New Roman" w:hAnsi="Times New Roman" w:cs="Times New Roman"/>
        </w:rPr>
        <w:t xml:space="preserve">also can </w:t>
      </w:r>
      <w:r w:rsidRPr="00743879">
        <w:rPr>
          <w:rFonts w:ascii="Times New Roman" w:eastAsia="Times New Roman" w:hAnsi="Times New Roman" w:cs="Times New Roman"/>
        </w:rPr>
        <w:t>impede efforts by young people to be heard, represented, and protected by the courts due to logistical challenges and the issue of standing</w:t>
      </w:r>
      <w:r w:rsidR="007362B9">
        <w:rPr>
          <w:rFonts w:ascii="Times New Roman" w:eastAsia="Times New Roman" w:hAnsi="Times New Roman" w:cs="Times New Roman"/>
        </w:rPr>
        <w:t xml:space="preserve"> (which relate to the lack of explicit foundation for IJ)</w:t>
      </w:r>
      <w:r w:rsidRPr="00743879">
        <w:rPr>
          <w:rFonts w:ascii="Times New Roman" w:eastAsia="Times New Roman" w:hAnsi="Times New Roman" w:cs="Times New Roman"/>
        </w:rPr>
        <w:t>.</w:t>
      </w:r>
      <w:r w:rsidRPr="00743879">
        <w:rPr>
          <w:rFonts w:ascii="Times New Roman" w:eastAsia="Times New Roman" w:hAnsi="Times New Roman" w:cs="Times New Roman"/>
          <w:lang w:val="en-AU"/>
        </w:rPr>
        <w:t xml:space="preserve"> </w:t>
      </w:r>
      <w:r>
        <w:rPr>
          <w:rFonts w:ascii="Times New Roman" w:eastAsia="Times New Roman" w:hAnsi="Times New Roman" w:cs="Times New Roman"/>
          <w:lang w:val="en-AU"/>
        </w:rPr>
        <w:t xml:space="preserve">In Latin America, </w:t>
      </w:r>
      <w:r>
        <w:rPr>
          <w:rFonts w:ascii="Times New Roman" w:eastAsia="Times New Roman" w:hAnsi="Times New Roman" w:cs="Times New Roman"/>
          <w:i/>
          <w:iCs/>
          <w:lang w:val="en-AU"/>
        </w:rPr>
        <w:t>a</w:t>
      </w:r>
      <w:r w:rsidRPr="00C72E09">
        <w:rPr>
          <w:rFonts w:ascii="Times New Roman" w:eastAsia="Times New Roman" w:hAnsi="Times New Roman" w:cs="Times New Roman"/>
          <w:i/>
          <w:iCs/>
          <w:lang w:val="en-AU"/>
        </w:rPr>
        <w:t>mparos</w:t>
      </w:r>
      <w:r>
        <w:rPr>
          <w:rFonts w:ascii="Times New Roman" w:eastAsia="Times New Roman" w:hAnsi="Times New Roman" w:cs="Times New Roman"/>
          <w:lang w:val="en-AU"/>
        </w:rPr>
        <w:t xml:space="preserve"> or </w:t>
      </w:r>
      <w:proofErr w:type="spellStart"/>
      <w:r w:rsidRPr="00C72E09">
        <w:rPr>
          <w:rFonts w:ascii="Times New Roman" w:eastAsia="Times New Roman" w:hAnsi="Times New Roman" w:cs="Times New Roman"/>
          <w:i/>
          <w:iCs/>
          <w:lang w:val="en-AU"/>
        </w:rPr>
        <w:t>tutelas</w:t>
      </w:r>
      <w:proofErr w:type="spellEnd"/>
      <w:r>
        <w:rPr>
          <w:rFonts w:ascii="Times New Roman" w:eastAsia="Times New Roman" w:hAnsi="Times New Roman" w:cs="Times New Roman"/>
          <w:lang w:val="en-AU"/>
        </w:rPr>
        <w:t xml:space="preserve"> </w:t>
      </w:r>
      <w:r w:rsidR="00FF26DA">
        <w:rPr>
          <w:rFonts w:ascii="Times New Roman" w:eastAsia="Times New Roman" w:hAnsi="Times New Roman" w:cs="Times New Roman"/>
          <w:lang w:val="en-AU"/>
        </w:rPr>
        <w:t xml:space="preserve">can </w:t>
      </w:r>
      <w:r>
        <w:rPr>
          <w:rFonts w:ascii="Times New Roman" w:eastAsia="Times New Roman" w:hAnsi="Times New Roman" w:cs="Times New Roman"/>
          <w:lang w:val="en-AU"/>
        </w:rPr>
        <w:t>serve as a powerful and accessible legal remedy and have been used by youth to demand rights under the principle of intergenerational equity.</w:t>
      </w:r>
      <w:r>
        <w:rPr>
          <w:rStyle w:val="EndnoteReference"/>
          <w:rFonts w:ascii="Times New Roman" w:eastAsia="Times New Roman" w:hAnsi="Times New Roman" w:cs="Times New Roman"/>
          <w:lang w:val="en-AU"/>
        </w:rPr>
        <w:endnoteReference w:id="16"/>
      </w:r>
      <w:r>
        <w:rPr>
          <w:rFonts w:ascii="Times New Roman" w:eastAsia="Times New Roman" w:hAnsi="Times New Roman" w:cs="Times New Roman"/>
          <w:lang w:val="en-AU"/>
        </w:rPr>
        <w:t xml:space="preserve"> This was successfully used by youth plaintiffs i</w:t>
      </w:r>
      <w:r w:rsidR="007362B9">
        <w:rPr>
          <w:rFonts w:ascii="Times New Roman" w:eastAsia="Times New Roman" w:hAnsi="Times New Roman" w:cs="Times New Roman"/>
          <w:lang w:val="en-AU"/>
        </w:rPr>
        <w:t>n 2018</w:t>
      </w:r>
      <w:r w:rsidRPr="00C72E09">
        <w:rPr>
          <w:rFonts w:ascii="Times New Roman" w:eastAsia="Times New Roman" w:hAnsi="Times New Roman" w:cs="Times New Roman"/>
        </w:rPr>
        <w:t>,</w:t>
      </w:r>
      <w:r w:rsidRPr="00C72E09">
        <w:rPr>
          <w:rFonts w:ascii="Times New Roman" w:eastAsia="Times New Roman" w:hAnsi="Times New Roman" w:cs="Times New Roman"/>
          <w:vertAlign w:val="superscript"/>
        </w:rPr>
        <w:endnoteReference w:id="17"/>
      </w:r>
      <w:r w:rsidRPr="00C72E09">
        <w:rPr>
          <w:rFonts w:ascii="Times New Roman" w:eastAsia="Times New Roman" w:hAnsi="Times New Roman" w:cs="Times New Roman"/>
        </w:rPr>
        <w:t xml:space="preserve"> </w:t>
      </w:r>
      <w:r w:rsidR="007362B9">
        <w:rPr>
          <w:rFonts w:ascii="Times New Roman" w:eastAsia="Times New Roman" w:hAnsi="Times New Roman" w:cs="Times New Roman"/>
        </w:rPr>
        <w:t>when</w:t>
      </w:r>
      <w:r>
        <w:rPr>
          <w:rFonts w:ascii="Times New Roman" w:eastAsia="Times New Roman" w:hAnsi="Times New Roman" w:cs="Times New Roman"/>
        </w:rPr>
        <w:t xml:space="preserve"> </w:t>
      </w:r>
      <w:r w:rsidRPr="00C72E09">
        <w:rPr>
          <w:rFonts w:ascii="Times New Roman" w:eastAsia="Times New Roman" w:hAnsi="Times New Roman" w:cs="Times New Roman"/>
        </w:rPr>
        <w:t>the Supreme Court of Colombia ordered the government to immediately create and implement plans to reduce deforestation in the Colombian Amazon as part of its national and international obligations.</w:t>
      </w:r>
      <w:r>
        <w:rPr>
          <w:rFonts w:ascii="Times New Roman" w:eastAsia="Times New Roman" w:hAnsi="Times New Roman" w:cs="Times New Roman"/>
        </w:rPr>
        <w:t xml:space="preserve"> However, in many countries, there is no judicial system that is built to address </w:t>
      </w:r>
      <w:r w:rsidR="00210334">
        <w:rPr>
          <w:rFonts w:ascii="Times New Roman" w:eastAsia="Times New Roman" w:hAnsi="Times New Roman" w:cs="Times New Roman"/>
        </w:rPr>
        <w:t>IJ</w:t>
      </w:r>
      <w:r>
        <w:rPr>
          <w:rFonts w:ascii="Times New Roman" w:eastAsia="Times New Roman" w:hAnsi="Times New Roman" w:cs="Times New Roman"/>
        </w:rPr>
        <w:t xml:space="preserve">, </w:t>
      </w:r>
      <w:r w:rsidR="00FF26DA">
        <w:rPr>
          <w:rFonts w:ascii="Times New Roman" w:eastAsia="Times New Roman" w:hAnsi="Times New Roman" w:cs="Times New Roman"/>
        </w:rPr>
        <w:t xml:space="preserve">and </w:t>
      </w:r>
      <w:r>
        <w:rPr>
          <w:rFonts w:ascii="Times New Roman" w:eastAsia="Times New Roman" w:hAnsi="Times New Roman" w:cs="Times New Roman"/>
        </w:rPr>
        <w:t>young people</w:t>
      </w:r>
      <w:r w:rsidR="00FF26DA">
        <w:rPr>
          <w:rFonts w:ascii="Times New Roman" w:eastAsia="Times New Roman" w:hAnsi="Times New Roman" w:cs="Times New Roman"/>
        </w:rPr>
        <w:t xml:space="preserve"> remain underrepresented</w:t>
      </w:r>
      <w:r>
        <w:rPr>
          <w:rFonts w:ascii="Times New Roman" w:eastAsia="Times New Roman" w:hAnsi="Times New Roman" w:cs="Times New Roman"/>
        </w:rPr>
        <w:t xml:space="preserve"> in decisions regarding their future. </w:t>
      </w:r>
      <w:r w:rsidRPr="00743879">
        <w:rPr>
          <w:rFonts w:ascii="Times New Roman" w:eastAsia="Times New Roman" w:hAnsi="Times New Roman" w:cs="Times New Roman"/>
          <w:i/>
          <w:iCs/>
          <w:lang w:val="en"/>
        </w:rPr>
        <w:t xml:space="preserve">The Special Rapporteur should </w:t>
      </w:r>
      <w:r>
        <w:rPr>
          <w:rFonts w:ascii="Times New Roman" w:eastAsia="Times New Roman" w:hAnsi="Times New Roman" w:cs="Times New Roman"/>
          <w:i/>
          <w:iCs/>
          <w:lang w:val="en"/>
        </w:rPr>
        <w:t xml:space="preserve">(i) recommend that NDCs involve youth through financing, education, and opportunities for representation, (ii) </w:t>
      </w:r>
      <w:r w:rsidRPr="00743879">
        <w:rPr>
          <w:rFonts w:ascii="Times New Roman" w:eastAsia="Times New Roman" w:hAnsi="Times New Roman" w:cs="Times New Roman"/>
          <w:i/>
          <w:iCs/>
          <w:lang w:val="en"/>
        </w:rPr>
        <w:t xml:space="preserve">recommend </w:t>
      </w:r>
      <w:r>
        <w:rPr>
          <w:rFonts w:ascii="Times New Roman" w:eastAsia="Times New Roman" w:hAnsi="Times New Roman" w:cs="Times New Roman"/>
          <w:i/>
          <w:iCs/>
          <w:lang w:val="en"/>
        </w:rPr>
        <w:t>that</w:t>
      </w:r>
      <w:r w:rsidRPr="00743879">
        <w:rPr>
          <w:rFonts w:ascii="Times New Roman" w:eastAsia="Times New Roman" w:hAnsi="Times New Roman" w:cs="Times New Roman"/>
          <w:i/>
          <w:iCs/>
          <w:lang w:val="en"/>
        </w:rPr>
        <w:t xml:space="preserve"> the judicial system </w:t>
      </w:r>
      <w:r>
        <w:rPr>
          <w:rFonts w:ascii="Times New Roman" w:eastAsia="Times New Roman" w:hAnsi="Times New Roman" w:cs="Times New Roman"/>
          <w:i/>
          <w:iCs/>
          <w:lang w:val="en"/>
        </w:rPr>
        <w:t>should</w:t>
      </w:r>
      <w:r w:rsidRPr="00743879">
        <w:rPr>
          <w:rFonts w:ascii="Times New Roman" w:eastAsia="Times New Roman" w:hAnsi="Times New Roman" w:cs="Times New Roman"/>
          <w:i/>
          <w:iCs/>
          <w:lang w:val="en"/>
        </w:rPr>
        <w:t xml:space="preserve"> </w:t>
      </w:r>
      <w:r>
        <w:rPr>
          <w:rFonts w:ascii="Times New Roman" w:eastAsia="Times New Roman" w:hAnsi="Times New Roman" w:cs="Times New Roman"/>
          <w:i/>
          <w:iCs/>
          <w:lang w:val="en"/>
        </w:rPr>
        <w:t>create more accessible legal avenues to justice</w:t>
      </w:r>
      <w:r w:rsidR="005A1A00">
        <w:rPr>
          <w:rFonts w:ascii="Times New Roman" w:eastAsia="Times New Roman" w:hAnsi="Times New Roman" w:cs="Times New Roman"/>
          <w:i/>
          <w:iCs/>
          <w:lang w:val="en"/>
        </w:rPr>
        <w:t xml:space="preserve"> for youth</w:t>
      </w:r>
      <w:r>
        <w:rPr>
          <w:rFonts w:ascii="Times New Roman" w:eastAsia="Times New Roman" w:hAnsi="Times New Roman" w:cs="Times New Roman"/>
          <w:i/>
          <w:iCs/>
          <w:lang w:val="en"/>
        </w:rPr>
        <w:t xml:space="preserve"> to </w:t>
      </w:r>
      <w:r w:rsidRPr="00743879">
        <w:rPr>
          <w:rFonts w:ascii="Times New Roman" w:eastAsia="Times New Roman" w:hAnsi="Times New Roman" w:cs="Times New Roman"/>
          <w:i/>
          <w:iCs/>
          <w:lang w:val="en"/>
        </w:rPr>
        <w:t xml:space="preserve">guarantee </w:t>
      </w:r>
      <w:r w:rsidR="00210334">
        <w:rPr>
          <w:rFonts w:ascii="Times New Roman" w:eastAsia="Times New Roman" w:hAnsi="Times New Roman" w:cs="Times New Roman"/>
          <w:i/>
          <w:iCs/>
          <w:lang w:val="en"/>
        </w:rPr>
        <w:t>IJ</w:t>
      </w:r>
      <w:r>
        <w:rPr>
          <w:rFonts w:ascii="Times New Roman" w:eastAsia="Times New Roman" w:hAnsi="Times New Roman" w:cs="Times New Roman"/>
          <w:i/>
          <w:iCs/>
          <w:lang w:val="en"/>
        </w:rPr>
        <w:t>, and (iii) explore options for specific courts that can allow youth voices to be heard</w:t>
      </w:r>
      <w:r>
        <w:rPr>
          <w:rFonts w:ascii="Times New Roman" w:eastAsia="Times New Roman" w:hAnsi="Times New Roman" w:cs="Times New Roman"/>
          <w:lang w:val="en"/>
        </w:rPr>
        <w:t>.</w:t>
      </w:r>
    </w:p>
    <w:p w:rsidR="00BE5EC7" w:rsidRDefault="00BE5EC7" w:rsidP="00BE5EC7">
      <w:pPr>
        <w:jc w:val="both"/>
        <w:rPr>
          <w:rFonts w:ascii="Times New Roman" w:eastAsia="Times New Roman" w:hAnsi="Times New Roman" w:cs="Times New Roman"/>
        </w:rPr>
      </w:pPr>
    </w:p>
    <w:p w:rsidR="005A1A00" w:rsidRPr="00505775" w:rsidRDefault="00BE5EC7" w:rsidP="005A1A00">
      <w:pPr>
        <w:jc w:val="both"/>
        <w:rPr>
          <w:rFonts w:ascii="Times New Roman" w:hAnsi="Times New Roman" w:cs="Times New Roman"/>
        </w:rPr>
      </w:pPr>
      <w:r w:rsidRPr="0028454F">
        <w:rPr>
          <w:rFonts w:ascii="Times New Roman" w:eastAsia="Times New Roman" w:hAnsi="Times New Roman" w:cs="Times New Roman"/>
          <w:b/>
          <w:bCs/>
          <w:u w:val="single"/>
        </w:rPr>
        <w:t>Implementation</w:t>
      </w:r>
      <w:r>
        <w:rPr>
          <w:rFonts w:ascii="Times New Roman" w:eastAsia="Times New Roman" w:hAnsi="Times New Roman" w:cs="Times New Roman"/>
        </w:rPr>
        <w:t xml:space="preserve">: </w:t>
      </w:r>
      <w:r w:rsidRPr="0028454F">
        <w:rPr>
          <w:rFonts w:ascii="Times New Roman" w:eastAsia="Times New Roman" w:hAnsi="Times New Roman" w:cs="Times New Roman"/>
          <w:b/>
          <w:bCs/>
        </w:rPr>
        <w:t>Even in favorable judgments for youth plaintiffs in climate change cases, or commitments to include young people in decisionmaking processes, there is a gap in the execution of rulings and commitments that disregards the urgency of acting on the climate emergency</w:t>
      </w:r>
      <w:r>
        <w:rPr>
          <w:rFonts w:ascii="Times New Roman" w:eastAsia="Times New Roman" w:hAnsi="Times New Roman" w:cs="Times New Roman"/>
        </w:rPr>
        <w:t xml:space="preserve">. For example, </w:t>
      </w:r>
      <w:r w:rsidR="00B65D04">
        <w:rPr>
          <w:rFonts w:ascii="Times New Roman" w:eastAsia="Times New Roman" w:hAnsi="Times New Roman" w:cs="Times New Roman"/>
        </w:rPr>
        <w:t>even after the</w:t>
      </w:r>
      <w:r w:rsidR="007362B9">
        <w:rPr>
          <w:rFonts w:ascii="Times New Roman" w:eastAsia="Times New Roman" w:hAnsi="Times New Roman" w:cs="Times New Roman"/>
        </w:rPr>
        <w:t xml:space="preserve"> 2018 Colombian Supreme Court</w:t>
      </w:r>
      <w:r>
        <w:rPr>
          <w:rFonts w:ascii="Times New Roman" w:eastAsia="Times New Roman" w:hAnsi="Times New Roman" w:cs="Times New Roman"/>
        </w:rPr>
        <w:t xml:space="preserve"> </w:t>
      </w:r>
      <w:r w:rsidR="00B65D04">
        <w:rPr>
          <w:rFonts w:ascii="Times New Roman" w:eastAsia="Times New Roman" w:hAnsi="Times New Roman" w:cs="Times New Roman"/>
        </w:rPr>
        <w:t xml:space="preserve">decision </w:t>
      </w:r>
      <w:r>
        <w:rPr>
          <w:rFonts w:ascii="Times New Roman" w:eastAsia="Times New Roman" w:hAnsi="Times New Roman" w:cs="Times New Roman"/>
        </w:rPr>
        <w:t>(</w:t>
      </w:r>
      <w:r w:rsidRPr="0028454F">
        <w:rPr>
          <w:rFonts w:ascii="Times New Roman" w:eastAsia="Times New Roman" w:hAnsi="Times New Roman" w:cs="Times New Roman"/>
          <w:i/>
          <w:iCs/>
        </w:rPr>
        <w:t>supra</w:t>
      </w:r>
      <w:r>
        <w:rPr>
          <w:rFonts w:ascii="Times New Roman" w:eastAsia="Times New Roman" w:hAnsi="Times New Roman" w:cs="Times New Roman"/>
        </w:rPr>
        <w:t xml:space="preserve">), </w:t>
      </w:r>
      <w:r w:rsidR="00B65D04">
        <w:rPr>
          <w:rFonts w:ascii="Times New Roman" w:eastAsia="Times New Roman" w:hAnsi="Times New Roman" w:cs="Times New Roman"/>
        </w:rPr>
        <w:t>deforestation in Colombia continues to increase</w:t>
      </w:r>
      <w:r>
        <w:rPr>
          <w:rFonts w:ascii="Times New Roman" w:eastAsia="Times New Roman" w:hAnsi="Times New Roman" w:cs="Times New Roman"/>
        </w:rPr>
        <w:t>.</w:t>
      </w:r>
      <w:r w:rsidR="00B65D04">
        <w:rPr>
          <w:rStyle w:val="EndnoteReference"/>
          <w:rFonts w:ascii="Times New Roman" w:eastAsia="Times New Roman" w:hAnsi="Times New Roman" w:cs="Times New Roman"/>
        </w:rPr>
        <w:endnoteReference w:id="18"/>
      </w:r>
      <w:r>
        <w:rPr>
          <w:rFonts w:ascii="Times New Roman" w:eastAsia="Times New Roman" w:hAnsi="Times New Roman" w:cs="Times New Roman"/>
        </w:rPr>
        <w:t xml:space="preserve"> </w:t>
      </w:r>
      <w:r>
        <w:rPr>
          <w:rFonts w:ascii="Times New Roman" w:eastAsia="Times New Roman" w:hAnsi="Times New Roman" w:cs="Times New Roman"/>
          <w:lang w:val="en"/>
        </w:rPr>
        <w:t xml:space="preserve">Country commitments at the national and international level also do not effectively protect </w:t>
      </w:r>
      <w:r w:rsidR="00210334">
        <w:rPr>
          <w:rFonts w:ascii="Times New Roman" w:eastAsia="Times New Roman" w:hAnsi="Times New Roman" w:cs="Times New Roman"/>
          <w:lang w:val="en"/>
        </w:rPr>
        <w:t>IJ</w:t>
      </w:r>
      <w:r>
        <w:rPr>
          <w:rFonts w:ascii="Times New Roman" w:eastAsia="Times New Roman" w:hAnsi="Times New Roman" w:cs="Times New Roman"/>
          <w:lang w:val="en"/>
        </w:rPr>
        <w:t>––</w:t>
      </w:r>
      <w:r>
        <w:rPr>
          <w:rFonts w:ascii="Times New Roman" w:eastAsia="Times New Roman" w:hAnsi="Times New Roman" w:cs="Times New Roman"/>
          <w:lang w:val="en-AU"/>
        </w:rPr>
        <w:t>commitments remain voluntary and do not focus on the urgency of climate action</w:t>
      </w:r>
      <w:r>
        <w:rPr>
          <w:rFonts w:ascii="Times New Roman" w:eastAsia="Times New Roman" w:hAnsi="Times New Roman" w:cs="Times New Roman"/>
        </w:rPr>
        <w:t>.</w:t>
      </w:r>
      <w:r>
        <w:rPr>
          <w:rFonts w:ascii="Times New Roman" w:eastAsia="Times New Roman" w:hAnsi="Times New Roman" w:cs="Times New Roman"/>
          <w:lang w:val="en"/>
        </w:rPr>
        <w:t xml:space="preserve"> Even in a best case scenario, full implementation of all NDCs submitted before COP27 would only reduce GHG emissions by 3.6% below 2019 levels by 2030––the IPCC states that GHG emissions must be reduced by 43% below 2019 levels by 2030 to limit warming to </w:t>
      </w:r>
      <w:r w:rsidRPr="00515713">
        <w:rPr>
          <w:rFonts w:ascii="Times New Roman" w:eastAsia="Times New Roman" w:hAnsi="Times New Roman" w:cs="Times New Roman"/>
        </w:rPr>
        <w:t>1.5°C</w:t>
      </w:r>
      <w:r>
        <w:rPr>
          <w:rFonts w:ascii="Times New Roman" w:eastAsia="Times New Roman" w:hAnsi="Times New Roman" w:cs="Times New Roman"/>
        </w:rPr>
        <w:t xml:space="preserve"> with limited or no overshoot.</w:t>
      </w:r>
      <w:r>
        <w:rPr>
          <w:rStyle w:val="EndnoteReference"/>
          <w:rFonts w:ascii="Times New Roman" w:eastAsia="Times New Roman" w:hAnsi="Times New Roman" w:cs="Times New Roman"/>
        </w:rPr>
        <w:endnoteReference w:id="19"/>
      </w:r>
      <w:r>
        <w:rPr>
          <w:rFonts w:ascii="Times New Roman" w:eastAsia="Times New Roman" w:hAnsi="Times New Roman" w:cs="Times New Roman"/>
        </w:rPr>
        <w:t xml:space="preserve"> Based on current NDCs, the global emissions gap remains high.</w:t>
      </w:r>
      <w:r>
        <w:rPr>
          <w:rStyle w:val="EndnoteReference"/>
          <w:rFonts w:ascii="Times New Roman" w:eastAsia="Times New Roman" w:hAnsi="Times New Roman" w:cs="Times New Roman"/>
        </w:rPr>
        <w:endnoteReference w:id="20"/>
      </w:r>
      <w:r>
        <w:rPr>
          <w:rFonts w:ascii="Times New Roman" w:eastAsia="Times New Roman" w:hAnsi="Times New Roman" w:cs="Times New Roman"/>
        </w:rPr>
        <w:t xml:space="preserve"> Failing to implement, let alone commit to, real emissions reductions goals that can reduce near- and long-term warming violates the principle of </w:t>
      </w:r>
      <w:r w:rsidR="00210334">
        <w:rPr>
          <w:rFonts w:ascii="Times New Roman" w:eastAsia="Times New Roman" w:hAnsi="Times New Roman" w:cs="Times New Roman"/>
        </w:rPr>
        <w:t>IJ</w:t>
      </w:r>
      <w:r>
        <w:rPr>
          <w:rFonts w:ascii="Times New Roman" w:eastAsia="Times New Roman" w:hAnsi="Times New Roman" w:cs="Times New Roman"/>
        </w:rPr>
        <w:t>.</w:t>
      </w:r>
      <w:r w:rsidR="00505775">
        <w:rPr>
          <w:rFonts w:ascii="Times New Roman" w:hAnsi="Times New Roman" w:cs="Times New Roman"/>
        </w:rPr>
        <w:t xml:space="preserve"> </w:t>
      </w:r>
      <w:r w:rsidR="005A1A00" w:rsidRPr="0028454F">
        <w:rPr>
          <w:rFonts w:ascii="Times New Roman" w:eastAsia="Times New Roman" w:hAnsi="Times New Roman" w:cs="Times New Roman"/>
          <w:i/>
          <w:iCs/>
        </w:rPr>
        <w:t xml:space="preserve">The Special Rapporteur should (i) recommend that young people be involved in the implementation of </w:t>
      </w:r>
      <w:r w:rsidR="00505775">
        <w:rPr>
          <w:rFonts w:ascii="Times New Roman" w:eastAsia="Times New Roman" w:hAnsi="Times New Roman" w:cs="Times New Roman"/>
          <w:i/>
          <w:iCs/>
        </w:rPr>
        <w:t>climate-related judicial rulings</w:t>
      </w:r>
      <w:r w:rsidR="005A1A00" w:rsidRPr="0028454F">
        <w:rPr>
          <w:rFonts w:ascii="Times New Roman" w:eastAsia="Times New Roman" w:hAnsi="Times New Roman" w:cs="Times New Roman"/>
          <w:i/>
          <w:iCs/>
        </w:rPr>
        <w:t xml:space="preserve">, and (ii) </w:t>
      </w:r>
      <w:r w:rsidR="005A1A00" w:rsidRPr="0028454F">
        <w:rPr>
          <w:rFonts w:ascii="Times New Roman" w:eastAsia="Times New Roman" w:hAnsi="Times New Roman" w:cs="Times New Roman"/>
          <w:i/>
          <w:iCs/>
          <w:lang w:val="en"/>
        </w:rPr>
        <w:t xml:space="preserve">recommend that NDCs integrate </w:t>
      </w:r>
      <w:r w:rsidR="005A1A00">
        <w:rPr>
          <w:rFonts w:ascii="Times New Roman" w:eastAsia="Times New Roman" w:hAnsi="Times New Roman" w:cs="Times New Roman"/>
          <w:i/>
          <w:iCs/>
          <w:lang w:val="en"/>
        </w:rPr>
        <w:t>concrete, near-term</w:t>
      </w:r>
      <w:r w:rsidR="005A1A00" w:rsidRPr="0028454F">
        <w:rPr>
          <w:rFonts w:ascii="Times New Roman" w:eastAsia="Times New Roman" w:hAnsi="Times New Roman" w:cs="Times New Roman"/>
          <w:i/>
          <w:iCs/>
          <w:lang w:val="en"/>
        </w:rPr>
        <w:t xml:space="preserve"> target</w:t>
      </w:r>
      <w:r w:rsidR="005A1A00">
        <w:rPr>
          <w:rFonts w:ascii="Times New Roman" w:eastAsia="Times New Roman" w:hAnsi="Times New Roman" w:cs="Times New Roman"/>
          <w:i/>
          <w:iCs/>
          <w:lang w:val="en"/>
        </w:rPr>
        <w:t>s</w:t>
      </w:r>
      <w:r w:rsidR="005A1A00" w:rsidRPr="0028454F">
        <w:rPr>
          <w:rFonts w:ascii="Times New Roman" w:eastAsia="Times New Roman" w:hAnsi="Times New Roman" w:cs="Times New Roman"/>
          <w:i/>
          <w:iCs/>
          <w:lang w:val="en"/>
        </w:rPr>
        <w:t xml:space="preserve"> to meet the 1.5</w:t>
      </w:r>
      <w:r w:rsidR="005A1A00" w:rsidRPr="0028454F">
        <w:rPr>
          <w:rFonts w:ascii="Times New Roman" w:eastAsia="Times New Roman" w:hAnsi="Times New Roman" w:cs="Times New Roman"/>
          <w:i/>
          <w:iCs/>
        </w:rPr>
        <w:t>°</w:t>
      </w:r>
      <w:r w:rsidR="005A1A00" w:rsidRPr="0028454F">
        <w:rPr>
          <w:rFonts w:ascii="Times New Roman" w:eastAsia="Times New Roman" w:hAnsi="Times New Roman" w:cs="Times New Roman"/>
          <w:i/>
          <w:iCs/>
          <w:lang w:val="en"/>
        </w:rPr>
        <w:t>C guardrail</w:t>
      </w:r>
      <w:r w:rsidR="005A1A00">
        <w:rPr>
          <w:rFonts w:ascii="Times New Roman" w:eastAsia="Times New Roman" w:hAnsi="Times New Roman" w:cs="Times New Roman"/>
          <w:i/>
          <w:iCs/>
          <w:lang w:val="en"/>
        </w:rPr>
        <w:t xml:space="preserve"> this decade to protect present and future generations</w:t>
      </w:r>
      <w:r w:rsidR="005A1A00" w:rsidRPr="0028454F">
        <w:rPr>
          <w:rFonts w:ascii="Times New Roman" w:eastAsia="Times New Roman" w:hAnsi="Times New Roman" w:cs="Times New Roman"/>
          <w:i/>
          <w:iCs/>
          <w:lang w:val="en"/>
        </w:rPr>
        <w:t>.</w:t>
      </w:r>
    </w:p>
    <w:p w:rsidR="00BE5EC7" w:rsidRDefault="00BE5EC7" w:rsidP="00BE5EC7">
      <w:pPr>
        <w:jc w:val="both"/>
        <w:rPr>
          <w:rFonts w:ascii="Times New Roman" w:eastAsia="Times New Roman" w:hAnsi="Times New Roman" w:cs="Times New Roman"/>
        </w:rPr>
      </w:pPr>
    </w:p>
    <w:p w:rsidR="00D3749A" w:rsidRDefault="00BE5EC7" w:rsidP="007362B9">
      <w:pPr>
        <w:jc w:val="both"/>
        <w:rPr>
          <w:rFonts w:ascii="Times New Roman" w:eastAsia="Times New Roman" w:hAnsi="Times New Roman" w:cs="Times New Roman"/>
        </w:rPr>
      </w:pPr>
      <w:r w:rsidRPr="0028454F">
        <w:rPr>
          <w:rFonts w:ascii="Times New Roman" w:eastAsia="Times New Roman" w:hAnsi="Times New Roman" w:cs="Times New Roman"/>
          <w:b/>
          <w:bCs/>
          <w:u w:val="single"/>
        </w:rPr>
        <w:t>Protection</w:t>
      </w:r>
      <w:r>
        <w:rPr>
          <w:rFonts w:ascii="Times New Roman" w:eastAsia="Times New Roman" w:hAnsi="Times New Roman" w:cs="Times New Roman"/>
        </w:rPr>
        <w:t xml:space="preserve">: </w:t>
      </w:r>
      <w:r w:rsidRPr="0028454F">
        <w:rPr>
          <w:rFonts w:ascii="Times New Roman" w:eastAsia="Times New Roman" w:hAnsi="Times New Roman" w:cs="Times New Roman"/>
          <w:b/>
          <w:bCs/>
        </w:rPr>
        <w:t>While activism is a key tenet of the youth climate movement, the harassment, criminalization, and state-sanctioned murders of young climate activists infringe our right to participation by impeding civil disobedience</w:t>
      </w:r>
      <w:r>
        <w:rPr>
          <w:rFonts w:ascii="Times New Roman" w:eastAsia="Times New Roman" w:hAnsi="Times New Roman" w:cs="Times New Roman"/>
        </w:rPr>
        <w:t>. Young climate activists, especially women and people of color, face gender-based and racial abuse online.</w:t>
      </w:r>
      <w:r>
        <w:rPr>
          <w:rStyle w:val="EndnoteReference"/>
          <w:rFonts w:ascii="Times New Roman" w:eastAsia="Times New Roman" w:hAnsi="Times New Roman" w:cs="Times New Roman"/>
        </w:rPr>
        <w:endnoteReference w:id="21"/>
      </w:r>
      <w:r>
        <w:rPr>
          <w:rFonts w:ascii="Times New Roman" w:eastAsia="Times New Roman" w:hAnsi="Times New Roman" w:cs="Times New Roman"/>
        </w:rPr>
        <w:t xml:space="preserve"> Climate activists</w:t>
      </w:r>
      <w:r w:rsidRPr="00401EEE">
        <w:rPr>
          <w:rFonts w:ascii="Times New Roman" w:eastAsia="Times New Roman" w:hAnsi="Times New Roman" w:cs="Times New Roman"/>
        </w:rPr>
        <w:t xml:space="preserve"> are </w:t>
      </w:r>
      <w:r>
        <w:rPr>
          <w:rFonts w:ascii="Times New Roman" w:eastAsia="Times New Roman" w:hAnsi="Times New Roman" w:cs="Times New Roman"/>
        </w:rPr>
        <w:t xml:space="preserve">also </w:t>
      </w:r>
      <w:r w:rsidRPr="00401EEE">
        <w:rPr>
          <w:rFonts w:ascii="Times New Roman" w:eastAsia="Times New Roman" w:hAnsi="Times New Roman" w:cs="Times New Roman"/>
        </w:rPr>
        <w:t>criminalized by being charged with coercion, trespassing, and other criminal offenses to justify police action, or burdened with slap suits by corporate power players to dissuade activism.</w:t>
      </w:r>
      <w:r>
        <w:rPr>
          <w:rStyle w:val="EndnoteReference"/>
          <w:rFonts w:ascii="Times New Roman" w:eastAsia="Times New Roman" w:hAnsi="Times New Roman" w:cs="Times New Roman"/>
        </w:rPr>
        <w:endnoteReference w:id="22"/>
      </w:r>
      <w:r w:rsidRPr="00E12827">
        <w:rPr>
          <w:rFonts w:ascii="Times New Roman" w:eastAsia="Times New Roman" w:hAnsi="Times New Roman" w:cs="Times New Roman"/>
        </w:rPr>
        <w:t xml:space="preserve"> </w:t>
      </w:r>
      <w:r w:rsidR="00E43036">
        <w:rPr>
          <w:rFonts w:ascii="Times New Roman" w:eastAsia="Times New Roman" w:hAnsi="Times New Roman" w:cs="Times New Roman"/>
        </w:rPr>
        <w:t xml:space="preserve">Climate activists are also more likely to face violence for their activism. </w:t>
      </w:r>
      <w:r>
        <w:rPr>
          <w:rFonts w:ascii="Times New Roman" w:eastAsia="Times New Roman" w:hAnsi="Times New Roman" w:cs="Times New Roman"/>
        </w:rPr>
        <w:t>Recently, the Atlanta police murdered a young queer climate activist, Manuel “</w:t>
      </w:r>
      <w:proofErr w:type="spellStart"/>
      <w:r>
        <w:rPr>
          <w:rFonts w:ascii="Times New Roman" w:eastAsia="Times New Roman" w:hAnsi="Times New Roman" w:cs="Times New Roman"/>
        </w:rPr>
        <w:t>Tortuguita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Terán</w:t>
      </w:r>
      <w:proofErr w:type="spellEnd"/>
      <w:r>
        <w:rPr>
          <w:rFonts w:ascii="Times New Roman" w:eastAsia="Times New Roman" w:hAnsi="Times New Roman" w:cs="Times New Roman"/>
        </w:rPr>
        <w:t>, who was protesting a police training center known as “Cop City.”</w:t>
      </w:r>
      <w:r>
        <w:rPr>
          <w:rStyle w:val="EndnoteReference"/>
          <w:rFonts w:ascii="Times New Roman" w:eastAsia="Times New Roman" w:hAnsi="Times New Roman" w:cs="Times New Roman"/>
        </w:rPr>
        <w:endnoteReference w:id="23"/>
      </w:r>
      <w:r>
        <w:rPr>
          <w:rFonts w:ascii="Times New Roman" w:eastAsia="Times New Roman" w:hAnsi="Times New Roman" w:cs="Times New Roman"/>
        </w:rPr>
        <w:t xml:space="preserve"> Autopsy reports revealed that </w:t>
      </w:r>
      <w:proofErr w:type="spellStart"/>
      <w:r>
        <w:rPr>
          <w:rFonts w:ascii="Times New Roman" w:eastAsia="Times New Roman" w:hAnsi="Times New Roman" w:cs="Times New Roman"/>
        </w:rPr>
        <w:t>Tortuguita</w:t>
      </w:r>
      <w:proofErr w:type="spellEnd"/>
      <w:r>
        <w:rPr>
          <w:rFonts w:ascii="Times New Roman" w:eastAsia="Times New Roman" w:hAnsi="Times New Roman" w:cs="Times New Roman"/>
        </w:rPr>
        <w:t xml:space="preserve">, who was shot at least 14 times, was </w:t>
      </w:r>
      <w:r w:rsidRPr="008A7B99">
        <w:rPr>
          <w:rFonts w:ascii="Times New Roman" w:eastAsia="Times New Roman" w:hAnsi="Times New Roman" w:cs="Times New Roman"/>
        </w:rPr>
        <w:t>“most probably in a seated position, cross-legged</w:t>
      </w:r>
      <w:r>
        <w:rPr>
          <w:rFonts w:ascii="Times New Roman" w:eastAsia="Times New Roman" w:hAnsi="Times New Roman" w:cs="Times New Roman"/>
        </w:rPr>
        <w:t>,</w:t>
      </w:r>
      <w:r w:rsidRPr="008A7B99">
        <w:rPr>
          <w:rFonts w:ascii="Times New Roman" w:eastAsia="Times New Roman" w:hAnsi="Times New Roman" w:cs="Times New Roman"/>
        </w:rPr>
        <w:t>”</w:t>
      </w:r>
      <w:r>
        <w:rPr>
          <w:rFonts w:ascii="Times New Roman" w:eastAsia="Times New Roman" w:hAnsi="Times New Roman" w:cs="Times New Roman"/>
        </w:rPr>
        <w:t xml:space="preserve"> with their </w:t>
      </w:r>
      <w:r w:rsidRPr="008A7B99">
        <w:rPr>
          <w:rFonts w:ascii="Times New Roman" w:eastAsia="Times New Roman" w:hAnsi="Times New Roman" w:cs="Times New Roman"/>
        </w:rPr>
        <w:t>“hands and arms up and in front” of their body at the time of death.</w:t>
      </w:r>
      <w:r>
        <w:rPr>
          <w:rStyle w:val="EndnoteReference"/>
          <w:rFonts w:ascii="Times New Roman" w:eastAsia="Times New Roman" w:hAnsi="Times New Roman" w:cs="Times New Roman"/>
        </w:rPr>
        <w:endnoteReference w:id="24"/>
      </w:r>
      <w:r>
        <w:rPr>
          <w:rFonts w:ascii="Times New Roman" w:eastAsia="Times New Roman" w:hAnsi="Times New Roman" w:cs="Times New Roman"/>
        </w:rPr>
        <w:t xml:space="preserve"> In the U.S., anti-protest bills (often drafted by oil and gas industry leaders) have proliferated at both state and national levels, impeding climate activists that are often protesting extractive industries.</w:t>
      </w:r>
      <w:r>
        <w:rPr>
          <w:rStyle w:val="EndnoteReference"/>
          <w:rFonts w:ascii="Times New Roman" w:eastAsia="Times New Roman" w:hAnsi="Times New Roman" w:cs="Times New Roman"/>
        </w:rPr>
        <w:endnoteReference w:id="25"/>
      </w:r>
      <w:r>
        <w:rPr>
          <w:rFonts w:ascii="Times New Roman" w:eastAsia="Times New Roman" w:hAnsi="Times New Roman" w:cs="Times New Roman"/>
        </w:rPr>
        <w:t xml:space="preserve"> Governments must ensure that climate activists, especially youth climate activists, are protected as they demand for ambitious climate action.</w:t>
      </w:r>
      <w:r w:rsidR="00505775">
        <w:rPr>
          <w:rFonts w:ascii="Times New Roman" w:eastAsia="Times New Roman" w:hAnsi="Times New Roman" w:cs="Times New Roman"/>
        </w:rPr>
        <w:t xml:space="preserve"> </w:t>
      </w:r>
      <w:r w:rsidRPr="00743879">
        <w:rPr>
          <w:rFonts w:ascii="Times New Roman" w:eastAsia="Times New Roman" w:hAnsi="Times New Roman" w:cs="Times New Roman"/>
          <w:i/>
          <w:iCs/>
        </w:rPr>
        <w:t xml:space="preserve">The Special Rapporteur should </w:t>
      </w:r>
      <w:r>
        <w:rPr>
          <w:rFonts w:ascii="Times New Roman" w:eastAsia="Times New Roman" w:hAnsi="Times New Roman" w:cs="Times New Roman"/>
          <w:i/>
          <w:iCs/>
        </w:rPr>
        <w:t xml:space="preserve">(i) </w:t>
      </w:r>
      <w:r w:rsidRPr="00743879">
        <w:rPr>
          <w:rFonts w:ascii="Times New Roman" w:eastAsia="Times New Roman" w:hAnsi="Times New Roman" w:cs="Times New Roman"/>
          <w:i/>
          <w:iCs/>
        </w:rPr>
        <w:t xml:space="preserve">highlight and address </w:t>
      </w:r>
      <w:r>
        <w:rPr>
          <w:rFonts w:ascii="Times New Roman" w:eastAsia="Times New Roman" w:hAnsi="Times New Roman" w:cs="Times New Roman"/>
          <w:i/>
          <w:iCs/>
        </w:rPr>
        <w:t>the</w:t>
      </w:r>
      <w:r w:rsidRPr="00743879">
        <w:rPr>
          <w:rFonts w:ascii="Times New Roman" w:eastAsia="Times New Roman" w:hAnsi="Times New Roman" w:cs="Times New Roman"/>
          <w:i/>
          <w:iCs/>
        </w:rPr>
        <w:t xml:space="preserve"> issue of harassment, criminalization, and endangerment to youth climate activists</w:t>
      </w:r>
      <w:r>
        <w:rPr>
          <w:rFonts w:ascii="Times New Roman" w:eastAsia="Times New Roman" w:hAnsi="Times New Roman" w:cs="Times New Roman"/>
          <w:i/>
          <w:iCs/>
        </w:rPr>
        <w:t xml:space="preserve">, (ii) </w:t>
      </w:r>
      <w:r w:rsidRPr="00743879">
        <w:rPr>
          <w:rFonts w:ascii="Times New Roman" w:eastAsia="Times New Roman" w:hAnsi="Times New Roman" w:cs="Times New Roman"/>
          <w:i/>
          <w:iCs/>
        </w:rPr>
        <w:t xml:space="preserve">help build protections for </w:t>
      </w:r>
      <w:r>
        <w:rPr>
          <w:rFonts w:ascii="Times New Roman" w:eastAsia="Times New Roman" w:hAnsi="Times New Roman" w:cs="Times New Roman"/>
          <w:i/>
          <w:iCs/>
        </w:rPr>
        <w:t xml:space="preserve">youth </w:t>
      </w:r>
      <w:r w:rsidR="005A1A00">
        <w:rPr>
          <w:rFonts w:ascii="Times New Roman" w:eastAsia="Times New Roman" w:hAnsi="Times New Roman" w:cs="Times New Roman"/>
          <w:i/>
          <w:iCs/>
        </w:rPr>
        <w:t>climate activism</w:t>
      </w:r>
      <w:r>
        <w:rPr>
          <w:rFonts w:ascii="Times New Roman" w:eastAsia="Times New Roman" w:hAnsi="Times New Roman" w:cs="Times New Roman"/>
          <w:i/>
          <w:iCs/>
        </w:rPr>
        <w:t xml:space="preserve">, </w:t>
      </w:r>
      <w:r w:rsidR="005A1A00">
        <w:rPr>
          <w:rFonts w:ascii="Times New Roman" w:eastAsia="Times New Roman" w:hAnsi="Times New Roman" w:cs="Times New Roman"/>
          <w:i/>
          <w:iCs/>
        </w:rPr>
        <w:t xml:space="preserve">and </w:t>
      </w:r>
      <w:r>
        <w:rPr>
          <w:rFonts w:ascii="Times New Roman" w:eastAsia="Times New Roman" w:hAnsi="Times New Roman" w:cs="Times New Roman"/>
          <w:i/>
          <w:iCs/>
        </w:rPr>
        <w:t xml:space="preserve">(iii) hold companies and governments accountable for attacks on </w:t>
      </w:r>
      <w:r w:rsidR="00505775">
        <w:rPr>
          <w:rFonts w:ascii="Times New Roman" w:eastAsia="Times New Roman" w:hAnsi="Times New Roman" w:cs="Times New Roman"/>
          <w:i/>
          <w:iCs/>
        </w:rPr>
        <w:t>climate activists</w:t>
      </w:r>
      <w:r>
        <w:rPr>
          <w:rFonts w:ascii="Times New Roman" w:eastAsia="Times New Roman" w:hAnsi="Times New Roman" w:cs="Times New Roman"/>
        </w:rPr>
        <w:t xml:space="preserve">. </w:t>
      </w:r>
    </w:p>
    <w:p w:rsidR="007362B9" w:rsidRPr="007362B9" w:rsidRDefault="007362B9" w:rsidP="007362B9">
      <w:pPr>
        <w:jc w:val="both"/>
        <w:rPr>
          <w:rFonts w:ascii="Times New Roman" w:eastAsia="Times New Roman" w:hAnsi="Times New Roman" w:cs="Times New Roman"/>
        </w:rPr>
      </w:pPr>
    </w:p>
    <w:p w:rsidR="00BE5EC7" w:rsidRPr="00BE5EC7" w:rsidRDefault="00BE5EC7" w:rsidP="00BE5EC7">
      <w:pPr>
        <w:jc w:val="both"/>
        <w:rPr>
          <w:rFonts w:ascii="Times New Roman" w:hAnsi="Times New Roman" w:cs="Times New Roman"/>
          <w:b/>
          <w:bCs/>
          <w:u w:val="single"/>
          <w:lang w:val="en-GB"/>
        </w:rPr>
      </w:pPr>
      <w:r w:rsidRPr="00210334">
        <w:rPr>
          <w:rFonts w:ascii="Times New Roman" w:eastAsia="Times New Roman" w:hAnsi="Times New Roman" w:cs="Times New Roman"/>
          <w:b/>
          <w:bCs/>
          <w:u w:val="single"/>
          <w:lang w:val="en-GB"/>
        </w:rPr>
        <w:t xml:space="preserve">17) </w:t>
      </w:r>
      <w:r w:rsidRPr="00BE5EC7">
        <w:rPr>
          <w:rFonts w:ascii="Times New Roman" w:hAnsi="Times New Roman" w:cs="Times New Roman"/>
          <w:b/>
          <w:bCs/>
          <w:u w:val="single"/>
          <w:lang w:val="en-GB"/>
        </w:rPr>
        <w:t>Can you share some good practices that allow youth to be represented in courts and to have their views and concerns properly expressed in the judicial process?</w:t>
      </w:r>
    </w:p>
    <w:p w:rsidR="00BE5EC7" w:rsidRDefault="00BE5EC7" w:rsidP="00BE5EC7">
      <w:pPr>
        <w:jc w:val="both"/>
        <w:rPr>
          <w:rFonts w:ascii="Times New Roman" w:eastAsia="Times New Roman" w:hAnsi="Times New Roman" w:cs="Times New Roman"/>
        </w:rPr>
      </w:pPr>
    </w:p>
    <w:p w:rsidR="00BE5EC7" w:rsidRDefault="00BE5EC7" w:rsidP="00BE5EC7">
      <w:pPr>
        <w:jc w:val="both"/>
        <w:rPr>
          <w:rFonts w:ascii="Times New Roman" w:eastAsia="Times New Roman" w:hAnsi="Times New Roman" w:cs="Times New Roman"/>
        </w:rPr>
      </w:pPr>
      <w:r>
        <w:rPr>
          <w:rFonts w:ascii="Times New Roman" w:eastAsia="Times New Roman" w:hAnsi="Times New Roman" w:cs="Times New Roman"/>
        </w:rPr>
        <w:t>One legal avenue is through advisory</w:t>
      </w:r>
      <w:r w:rsidRPr="00F21456">
        <w:rPr>
          <w:rFonts w:ascii="Times New Roman" w:eastAsia="Times New Roman" w:hAnsi="Times New Roman" w:cs="Times New Roman"/>
        </w:rPr>
        <w:t xml:space="preserve"> opinions (AOs)</w:t>
      </w:r>
      <w:r>
        <w:rPr>
          <w:rFonts w:ascii="Times New Roman" w:eastAsia="Times New Roman" w:hAnsi="Times New Roman" w:cs="Times New Roman"/>
        </w:rPr>
        <w:t xml:space="preserve"> </w:t>
      </w:r>
      <w:r w:rsidRPr="00F21456">
        <w:rPr>
          <w:rFonts w:ascii="Times New Roman" w:eastAsia="Times New Roman" w:hAnsi="Times New Roman" w:cs="Times New Roman"/>
        </w:rPr>
        <w:t>to</w:t>
      </w:r>
      <w:r>
        <w:rPr>
          <w:rFonts w:ascii="Times New Roman" w:eastAsia="Times New Roman" w:hAnsi="Times New Roman" w:cs="Times New Roman"/>
        </w:rPr>
        <w:t xml:space="preserve"> guide States on their duties pertaining to climate change and</w:t>
      </w:r>
      <w:r w:rsidRPr="00F21456">
        <w:rPr>
          <w:rFonts w:ascii="Times New Roman" w:eastAsia="Times New Roman" w:hAnsi="Times New Roman" w:cs="Times New Roman"/>
        </w:rPr>
        <w:t xml:space="preserve"> strengthen </w:t>
      </w:r>
      <w:r>
        <w:rPr>
          <w:rFonts w:ascii="Times New Roman" w:eastAsia="Times New Roman" w:hAnsi="Times New Roman" w:cs="Times New Roman"/>
        </w:rPr>
        <w:t>environmental and human rights</w:t>
      </w:r>
      <w:r w:rsidRPr="00F21456">
        <w:rPr>
          <w:rFonts w:ascii="Times New Roman" w:eastAsia="Times New Roman" w:hAnsi="Times New Roman" w:cs="Times New Roman"/>
        </w:rPr>
        <w:t xml:space="preserve"> law.</w:t>
      </w:r>
      <w:r w:rsidRPr="00F21456">
        <w:rPr>
          <w:rFonts w:ascii="Times New Roman" w:eastAsia="Times New Roman" w:hAnsi="Times New Roman" w:cs="Times New Roman"/>
          <w:vertAlign w:val="superscript"/>
        </w:rPr>
        <w:endnoteReference w:id="26"/>
      </w:r>
      <w:r>
        <w:rPr>
          <w:rFonts w:ascii="Times New Roman" w:eastAsia="Times New Roman" w:hAnsi="Times New Roman" w:cs="Times New Roman"/>
        </w:rPr>
        <w:t xml:space="preserve"> </w:t>
      </w:r>
      <w:r w:rsidRPr="00C72E09">
        <w:rPr>
          <w:rFonts w:ascii="Times New Roman" w:eastAsia="Times New Roman" w:hAnsi="Times New Roman" w:cs="Times New Roman"/>
        </w:rPr>
        <w:t xml:space="preserve">As States have a duty of care obligation to protect its citizens, </w:t>
      </w:r>
      <w:r>
        <w:rPr>
          <w:rFonts w:ascii="Times New Roman" w:eastAsia="Times New Roman" w:hAnsi="Times New Roman" w:cs="Times New Roman"/>
        </w:rPr>
        <w:t>an authoritative AO can</w:t>
      </w:r>
      <w:r w:rsidRPr="00C72E09">
        <w:rPr>
          <w:rFonts w:ascii="Times New Roman" w:eastAsia="Times New Roman" w:hAnsi="Times New Roman" w:cs="Times New Roman"/>
        </w:rPr>
        <w:t xml:space="preserve"> provide a unique opportunity to avert a climate catastrophe and demand </w:t>
      </w:r>
      <w:r>
        <w:rPr>
          <w:rFonts w:ascii="Times New Roman" w:eastAsia="Times New Roman" w:hAnsi="Times New Roman" w:cs="Times New Roman"/>
        </w:rPr>
        <w:t xml:space="preserve">intergenerational </w:t>
      </w:r>
      <w:r w:rsidRPr="00C72E09">
        <w:rPr>
          <w:rFonts w:ascii="Times New Roman" w:eastAsia="Times New Roman" w:hAnsi="Times New Roman" w:cs="Times New Roman"/>
        </w:rPr>
        <w:t>climate justice.</w:t>
      </w:r>
      <w:r>
        <w:rPr>
          <w:rFonts w:ascii="Times New Roman" w:eastAsia="Times New Roman" w:hAnsi="Times New Roman" w:cs="Times New Roman"/>
        </w:rPr>
        <w:t xml:space="preserve"> There is currently a global movement with AO requests</w:t>
      </w:r>
      <w:r w:rsidR="00505775">
        <w:rPr>
          <w:rFonts w:ascii="Times New Roman" w:eastAsia="Times New Roman" w:hAnsi="Times New Roman" w:cs="Times New Roman"/>
        </w:rPr>
        <w:t>, led by youth, such as</w:t>
      </w:r>
      <w:r>
        <w:rPr>
          <w:rFonts w:ascii="Times New Roman" w:eastAsia="Times New Roman" w:hAnsi="Times New Roman" w:cs="Times New Roman"/>
        </w:rPr>
        <w:t xml:space="preserve"> before the Inter-American Court of Human Rights and the International Court of Justice</w:t>
      </w:r>
      <w:r w:rsidRPr="00F21456">
        <w:rPr>
          <w:rFonts w:ascii="Times New Roman" w:eastAsia="Times New Roman" w:hAnsi="Times New Roman" w:cs="Times New Roman"/>
        </w:rPr>
        <w:t xml:space="preserve">, to demand climate action in the highest courts. </w:t>
      </w:r>
    </w:p>
    <w:p w:rsidR="00BE5EC7" w:rsidRDefault="00BE5EC7" w:rsidP="00BE5EC7">
      <w:pPr>
        <w:jc w:val="both"/>
        <w:rPr>
          <w:rFonts w:ascii="Times New Roman" w:eastAsia="Times New Roman" w:hAnsi="Times New Roman" w:cs="Times New Roman"/>
        </w:rPr>
      </w:pPr>
    </w:p>
    <w:p w:rsidR="00645A37" w:rsidRPr="00D3749A" w:rsidRDefault="00BE5EC7" w:rsidP="00D3749A">
      <w:pPr>
        <w:jc w:val="both"/>
        <w:rPr>
          <w:rFonts w:ascii="Times New Roman" w:eastAsia="Times New Roman" w:hAnsi="Times New Roman" w:cs="Times New Roman"/>
        </w:rPr>
      </w:pPr>
      <w:r w:rsidRPr="00F21456">
        <w:rPr>
          <w:rFonts w:ascii="Times New Roman" w:eastAsia="Times New Roman" w:hAnsi="Times New Roman" w:cs="Times New Roman"/>
        </w:rPr>
        <w:t>An AO on climate change can clarify vague principles of international environmental law, affirm the legal use of climate science, and highlight the needed role of the Courts in climate change law and policy. AOs can also be more accessible than traditional litigation due to its broad applicability and campaign potential, providing a meaningful way for civil society and climate advocates, especially young people, to hold their governments accountable for protecting their citizens. AOs that address the climate crisis as a human rights issue are valuable tools in advancing the climate justice movement and intergenerational equity and provide a powerful legal endorsement of the best available science and scientific consensus on climate change</w:t>
      </w:r>
      <w:r>
        <w:rPr>
          <w:rFonts w:ascii="Times New Roman" w:eastAsia="Times New Roman" w:hAnsi="Times New Roman" w:cs="Times New Roman"/>
        </w:rPr>
        <w:t>.</w:t>
      </w:r>
      <w:r>
        <w:rPr>
          <w:rStyle w:val="EndnoteReference"/>
          <w:rFonts w:ascii="Times New Roman" w:eastAsia="Times New Roman" w:hAnsi="Times New Roman" w:cs="Times New Roman"/>
        </w:rPr>
        <w:endnoteReference w:id="27"/>
      </w:r>
      <w:r w:rsidR="005C6BAD">
        <w:rPr>
          <w:rFonts w:ascii="Times New Roman" w:eastAsia="Times New Roman" w:hAnsi="Times New Roman" w:cs="Times New Roman"/>
        </w:rPr>
        <w:t xml:space="preserve"> </w:t>
      </w:r>
      <w:r w:rsidR="00645A37">
        <w:br w:type="page"/>
      </w:r>
    </w:p>
    <w:p w:rsidR="00645A37" w:rsidRPr="00645A37" w:rsidRDefault="00645A37" w:rsidP="00645A37">
      <w:pPr>
        <w:rPr>
          <w:rFonts w:ascii="Times New Roman" w:hAnsi="Times New Roman" w:cs="Times New Roman"/>
        </w:rPr>
      </w:pPr>
      <w:r w:rsidRPr="00762E1B">
        <w:rPr>
          <w:rFonts w:ascii="Times New Roman" w:hAnsi="Times New Roman" w:cs="Times New Roman"/>
          <w:b/>
          <w:bCs/>
        </w:rPr>
        <w:t>References</w:t>
      </w:r>
    </w:p>
    <w:sectPr w:rsidR="00645A37" w:rsidRPr="00645A37" w:rsidSect="002C573C">
      <w:footerReference w:type="even" r:id="rId16"/>
      <w:footerReference w:type="default" r:id="rId1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08E" w:rsidRDefault="00E0308E" w:rsidP="00645A37">
      <w:r>
        <w:separator/>
      </w:r>
    </w:p>
  </w:endnote>
  <w:endnote w:type="continuationSeparator" w:id="0">
    <w:p w:rsidR="00E0308E" w:rsidRDefault="00E0308E" w:rsidP="00645A37">
      <w:r>
        <w:continuationSeparator/>
      </w:r>
    </w:p>
  </w:endnote>
  <w:endnote w:id="1">
    <w:p w:rsidR="001551E5" w:rsidRPr="00DD0A63" w:rsidRDefault="001551E5" w:rsidP="001551E5">
      <w:pPr>
        <w:jc w:val="both"/>
        <w:rPr>
          <w:rFonts w:ascii="Times New Roman" w:eastAsia="Helvetica Neue Light" w:hAnsi="Times New Roman" w:cs="Times New Roman"/>
          <w:sz w:val="20"/>
          <w:szCs w:val="20"/>
        </w:rPr>
      </w:pPr>
      <w:r w:rsidRPr="00DD0A63">
        <w:rPr>
          <w:rFonts w:ascii="Times New Roman" w:hAnsi="Times New Roman" w:cs="Times New Roman"/>
          <w:sz w:val="20"/>
          <w:szCs w:val="20"/>
          <w:vertAlign w:val="superscript"/>
        </w:rPr>
        <w:endnoteRef/>
      </w:r>
      <w:r w:rsidRPr="00DD0A63">
        <w:rPr>
          <w:rFonts w:ascii="Times New Roman" w:hAnsi="Times New Roman" w:cs="Times New Roman"/>
          <w:sz w:val="20"/>
          <w:szCs w:val="20"/>
        </w:rPr>
        <w:t xml:space="preserve"> Adaptation Fund (2022) </w:t>
      </w:r>
      <w:hyperlink r:id="rId1" w:history="1">
        <w:r w:rsidRPr="00DD0A63">
          <w:rPr>
            <w:rStyle w:val="Hyperlink"/>
            <w:rFonts w:ascii="Times New Roman" w:hAnsi="Times New Roman" w:cs="Times New Roman"/>
            <w:smallCaps/>
            <w:sz w:val="20"/>
            <w:szCs w:val="20"/>
          </w:rPr>
          <w:t>Youth Engagement in Climate Change Adaptation: Lessons from the Adaptation Fund Portfolio of Projects and Programmes</w:t>
        </w:r>
      </w:hyperlink>
      <w:r w:rsidRPr="00DD0A63">
        <w:rPr>
          <w:rFonts w:ascii="Times New Roman" w:eastAsia="Helvetica Neue Light" w:hAnsi="Times New Roman" w:cs="Times New Roman"/>
          <w:sz w:val="20"/>
          <w:szCs w:val="20"/>
        </w:rPr>
        <w:t>.</w:t>
      </w:r>
    </w:p>
    <w:p w:rsidR="001551E5" w:rsidRPr="00DD0A63" w:rsidRDefault="001551E5" w:rsidP="001551E5">
      <w:pPr>
        <w:jc w:val="both"/>
        <w:rPr>
          <w:rFonts w:ascii="Times New Roman" w:hAnsi="Times New Roman" w:cs="Times New Roman"/>
          <w:sz w:val="20"/>
          <w:szCs w:val="20"/>
        </w:rPr>
      </w:pPr>
    </w:p>
  </w:endnote>
  <w:endnote w:id="2">
    <w:p w:rsidR="004F1A1C" w:rsidRPr="00DD0A63" w:rsidRDefault="004F1A1C" w:rsidP="00DD0A63">
      <w:pPr>
        <w:pStyle w:val="EndnoteText"/>
      </w:pPr>
      <w:r w:rsidRPr="00DD0A63">
        <w:rPr>
          <w:rStyle w:val="EndnoteReference"/>
        </w:rPr>
        <w:endnoteRef/>
      </w:r>
      <w:r w:rsidRPr="00DD0A63">
        <w:t xml:space="preserve"> United Nations Environment Programme &amp; Climate &amp; Clean Air Coalition (2021) </w:t>
      </w:r>
      <w:hyperlink r:id="rId2" w:history="1">
        <w:r w:rsidRPr="00DD0A63">
          <w:rPr>
            <w:rStyle w:val="Hyperlink"/>
            <w:smallCaps/>
          </w:rPr>
          <w:t>Global Methane Assessment: Benefits and Costs of Mitigating Methane Emissions</w:t>
        </w:r>
      </w:hyperlink>
      <w:r w:rsidRPr="00DD0A63">
        <w:t xml:space="preserve">, </w:t>
      </w:r>
      <w:r w:rsidRPr="00DD0A63">
        <w:rPr>
          <w:lang w:val="en-IN"/>
        </w:rPr>
        <w:t xml:space="preserve">8 (“Reducing human-caused methane emissions is one of the most cost-effective strategies to rapidly reduce the rate of warming and contribute significantly to global efforts to limit temperature rise to 1.5°C. Available targeted methane measures, together with additional measures that contribute to priority development goals, can simultaneously reduce human-caused methane emissions by as much as 45 per cent, or 180 million tonnes a year (Mt/yr) by 2030. This will avoid nearly 0.3°C of global warming by the 2040s and complement all long-term climate change mitigation efforts. It would also, each year, prevent 255 000 premature deaths, 775 000 asthma related hospital visits, 73 billion hours of lost labour from extreme heat, and 26 million tonnes of crop losses globally.”). </w:t>
      </w:r>
    </w:p>
    <w:p w:rsidR="004F1A1C" w:rsidRPr="00DD0A63" w:rsidRDefault="004F1A1C" w:rsidP="00DD0A63">
      <w:pPr>
        <w:pStyle w:val="EndnoteText"/>
      </w:pPr>
    </w:p>
  </w:endnote>
  <w:endnote w:id="3">
    <w:p w:rsidR="004F1A1C" w:rsidRPr="00DD0A63" w:rsidRDefault="004F1A1C" w:rsidP="00DD0A63">
      <w:pPr>
        <w:pStyle w:val="EndnoteText"/>
      </w:pPr>
      <w:r w:rsidRPr="00DD0A63">
        <w:rPr>
          <w:rStyle w:val="EndnoteReference"/>
        </w:rPr>
        <w:endnoteRef/>
      </w:r>
      <w:r w:rsidRPr="00DD0A63">
        <w:t xml:space="preserve"> </w:t>
      </w:r>
      <w:r w:rsidRPr="00DD0A63">
        <w:rPr>
          <w:i/>
          <w:iCs/>
        </w:rPr>
        <w:t>See</w:t>
      </w:r>
      <w:r w:rsidRPr="00DD0A63">
        <w:t xml:space="preserve"> UN Climate Change Conference (2 November 2021) </w:t>
      </w:r>
      <w:hyperlink r:id="rId3" w:history="1">
        <w:r w:rsidRPr="00DD0A63">
          <w:rPr>
            <w:rStyle w:val="Hyperlink"/>
            <w:i/>
            <w:iCs/>
          </w:rPr>
          <w:t>Glasgow Leaders’ Declaration on Forests and Land Use</w:t>
        </w:r>
      </w:hyperlink>
      <w:r w:rsidRPr="00DD0A63">
        <w:t xml:space="preserve"> (“We therefore commit to working collectively to halt and reverse forest loss and land degradation by 2030 while delivering sustainable development and promoting an inclusive rural transformation.”); </w:t>
      </w:r>
      <w:r w:rsidRPr="00DD0A63">
        <w:rPr>
          <w:i/>
          <w:iCs/>
        </w:rPr>
        <w:t>and</w:t>
      </w:r>
      <w:r w:rsidRPr="00DD0A63">
        <w:t xml:space="preserve"> UN Climate Change Conference (2 November 2021) </w:t>
      </w:r>
      <w:hyperlink r:id="rId4" w:history="1">
        <w:r w:rsidRPr="00DD0A63">
          <w:rPr>
            <w:rStyle w:val="Hyperlink"/>
            <w:i/>
            <w:iCs/>
          </w:rPr>
          <w:t>The Global Forest Finance Pledge: Financing the protection, restoration, and sustainable management of forests</w:t>
        </w:r>
      </w:hyperlink>
      <w:r w:rsidRPr="00DD0A63">
        <w:t xml:space="preserve"> (“Here in Glasgow at COP26, we announce our intention to collectively provide US$12 billion for forest-related climate finance between 2021-2025. This will </w:t>
      </w:r>
      <w:r w:rsidRPr="00DD0A63">
        <w:t>incentivise results and support action in Official Development Assistance (ODA) eligible forest countries where increased ambition and concrete steps are shown towards ending deforestation by no later than 2030.”).</w:t>
      </w:r>
    </w:p>
    <w:p w:rsidR="004F1A1C" w:rsidRPr="00DD0A63" w:rsidRDefault="004F1A1C" w:rsidP="00DD0A63">
      <w:pPr>
        <w:pStyle w:val="EndnoteText"/>
      </w:pPr>
    </w:p>
  </w:endnote>
  <w:endnote w:id="4">
    <w:p w:rsidR="00645A37" w:rsidRPr="00DD0A63" w:rsidRDefault="00645A37" w:rsidP="00DD0A63">
      <w:pPr>
        <w:jc w:val="both"/>
        <w:rPr>
          <w:rFonts w:ascii="Times New Roman" w:hAnsi="Times New Roman" w:cs="Times New Roman"/>
          <w:color w:val="000000"/>
          <w:sz w:val="20"/>
          <w:szCs w:val="20"/>
        </w:rPr>
      </w:pPr>
      <w:r w:rsidRPr="00DD0A63">
        <w:rPr>
          <w:rStyle w:val="EndnoteReference"/>
          <w:rFonts w:ascii="Times New Roman" w:hAnsi="Times New Roman" w:cs="Times New Roman"/>
          <w:sz w:val="20"/>
          <w:szCs w:val="20"/>
        </w:rPr>
        <w:endnoteRef/>
      </w:r>
      <w:r w:rsidRPr="00DD0A63">
        <w:rPr>
          <w:rFonts w:ascii="Times New Roman" w:hAnsi="Times New Roman" w:cs="Times New Roman"/>
          <w:sz w:val="20"/>
          <w:szCs w:val="20"/>
        </w:rPr>
        <w:t xml:space="preserve"> </w:t>
      </w:r>
      <w:r w:rsidRPr="00DD0A63">
        <w:rPr>
          <w:rFonts w:ascii="Times New Roman" w:hAnsi="Times New Roman" w:cs="Times New Roman"/>
          <w:bCs/>
          <w:sz w:val="20"/>
          <w:szCs w:val="20"/>
        </w:rPr>
        <w:t xml:space="preserve">Lenton T. M., </w:t>
      </w:r>
      <w:r w:rsidRPr="00DD0A63">
        <w:rPr>
          <w:rFonts w:ascii="Times New Roman" w:hAnsi="Times New Roman" w:cs="Times New Roman"/>
          <w:sz w:val="20"/>
          <w:szCs w:val="20"/>
        </w:rPr>
        <w:t>Rockstrom J., Gaffney O., Rahmstorf S., Richardson K., Steffen W., &amp; Schellnhuber H. J.</w:t>
      </w:r>
      <w:r w:rsidRPr="00DD0A63">
        <w:rPr>
          <w:rFonts w:ascii="Times New Roman" w:hAnsi="Times New Roman" w:cs="Times New Roman"/>
          <w:bCs/>
          <w:sz w:val="20"/>
          <w:szCs w:val="20"/>
        </w:rPr>
        <w:t xml:space="preserve"> (2019) </w:t>
      </w:r>
      <w:hyperlink r:id="rId5" w:history="1">
        <w:r w:rsidRPr="00DD0A63">
          <w:rPr>
            <w:rStyle w:val="Hyperlink"/>
            <w:rFonts w:ascii="Times New Roman" w:eastAsia="DengXian Light" w:hAnsi="Times New Roman" w:cs="Times New Roman"/>
            <w:bCs/>
            <w:i/>
            <w:sz w:val="20"/>
            <w:szCs w:val="20"/>
          </w:rPr>
          <w:t>Climate tipping points—too risky to bet against</w:t>
        </w:r>
      </w:hyperlink>
      <w:r w:rsidRPr="00DD0A63">
        <w:rPr>
          <w:rFonts w:ascii="Times New Roman" w:hAnsi="Times New Roman" w:cs="Times New Roman"/>
          <w:bCs/>
          <w:sz w:val="20"/>
          <w:szCs w:val="20"/>
        </w:rPr>
        <w:t xml:space="preserve">, </w:t>
      </w:r>
      <w:r w:rsidRPr="00DD0A63">
        <w:rPr>
          <w:rFonts w:ascii="Times New Roman" w:hAnsi="Times New Roman" w:cs="Times New Roman"/>
          <w:sz w:val="20"/>
          <w:szCs w:val="20"/>
        </w:rPr>
        <w:t xml:space="preserve">Comment, </w:t>
      </w:r>
      <w:r w:rsidRPr="00DD0A63">
        <w:rPr>
          <w:rFonts w:ascii="Times New Roman" w:hAnsi="Times New Roman" w:cs="Times New Roman"/>
          <w:smallCaps/>
          <w:sz w:val="20"/>
          <w:szCs w:val="20"/>
        </w:rPr>
        <w:t>Nature</w:t>
      </w:r>
      <w:r w:rsidRPr="00DD0A63">
        <w:rPr>
          <w:rFonts w:ascii="Times New Roman" w:hAnsi="Times New Roman" w:cs="Times New Roman"/>
          <w:sz w:val="20"/>
          <w:szCs w:val="20"/>
        </w:rPr>
        <w:t xml:space="preserve"> 575(7784): 592–595</w:t>
      </w:r>
      <w:r w:rsidRPr="00DD0A63">
        <w:rPr>
          <w:rFonts w:ascii="Times New Roman" w:hAnsi="Times New Roman" w:cs="Times New Roman"/>
          <w:color w:val="000000"/>
          <w:sz w:val="20"/>
          <w:szCs w:val="20"/>
        </w:rPr>
        <w:t>, 592 (“</w:t>
      </w:r>
      <w:r w:rsidRPr="00DD0A63">
        <w:rPr>
          <w:rFonts w:ascii="Times New Roman" w:hAnsi="Times New Roman" w:cs="Times New Roman"/>
          <w:color w:val="000000"/>
          <w:sz w:val="20"/>
          <w:szCs w:val="20"/>
          <w:shd w:val="clear" w:color="auto" w:fill="FFFFFF"/>
        </w:rPr>
        <w:t>Models suggest that the Greenland ice sheet could be doomed at 1.5 °C of warming</w:t>
      </w:r>
      <w:hyperlink r:id="rId6" w:anchor="ref-CR3" w:history="1">
        <w:r w:rsidRPr="00DD0A63">
          <w:rPr>
            <w:rFonts w:ascii="Times New Roman" w:hAnsi="Times New Roman" w:cs="Times New Roman"/>
            <w:sz w:val="20"/>
            <w:szCs w:val="20"/>
          </w:rPr>
          <w:t>3</w:t>
        </w:r>
      </w:hyperlink>
      <w:r w:rsidRPr="00DD0A63">
        <w:rPr>
          <w:rFonts w:ascii="Times New Roman" w:hAnsi="Times New Roman" w:cs="Times New Roman"/>
          <w:color w:val="000000"/>
          <w:sz w:val="20"/>
          <w:szCs w:val="20"/>
          <w:shd w:val="clear" w:color="auto" w:fill="FFFFFF"/>
        </w:rPr>
        <w:t>, which could happen as soon as 2030</w:t>
      </w:r>
      <w:r w:rsidRPr="00DD0A63">
        <w:rPr>
          <w:rFonts w:ascii="Times New Roman" w:hAnsi="Times New Roman" w:cs="Times New Roman"/>
          <w:color w:val="000000"/>
          <w:sz w:val="20"/>
          <w:szCs w:val="20"/>
        </w:rPr>
        <w:t>. …</w:t>
      </w:r>
      <w:r w:rsidRPr="00DD0A63">
        <w:rPr>
          <w:rFonts w:ascii="Times New Roman" w:hAnsi="Times New Roman" w:cs="Times New Roman"/>
          <w:color w:val="000000"/>
          <w:sz w:val="20"/>
          <w:szCs w:val="20"/>
          <w:shd w:val="clear" w:color="auto" w:fill="FFFFFF"/>
        </w:rPr>
        <w:t>The world’s remaining emissions budget for a 50:50 chance of staying within 1.5 °C of warming is only about 500 gigatonnes (Gt) of CO</w:t>
      </w:r>
      <w:r w:rsidRPr="00DD0A63">
        <w:rPr>
          <w:rFonts w:ascii="Times New Roman" w:hAnsi="Times New Roman" w:cs="Times New Roman"/>
          <w:color w:val="000000"/>
          <w:sz w:val="20"/>
          <w:szCs w:val="20"/>
          <w:shd w:val="clear" w:color="auto" w:fill="FFFFFF"/>
          <w:vertAlign w:val="subscript"/>
        </w:rPr>
        <w:t>2</w:t>
      </w:r>
      <w:r w:rsidRPr="00DD0A63">
        <w:rPr>
          <w:rFonts w:ascii="Times New Roman" w:hAnsi="Times New Roman" w:cs="Times New Roman"/>
          <w:color w:val="000000"/>
          <w:sz w:val="20"/>
          <w:szCs w:val="20"/>
          <w:shd w:val="clear" w:color="auto" w:fill="FFFFFF"/>
        </w:rPr>
        <w:t>. Permafrost emissions could take an estimated 20% (100 Gt CO</w:t>
      </w:r>
      <w:r w:rsidRPr="00DD0A63">
        <w:rPr>
          <w:rFonts w:ascii="Times New Roman" w:hAnsi="Times New Roman" w:cs="Times New Roman"/>
          <w:color w:val="000000"/>
          <w:sz w:val="20"/>
          <w:szCs w:val="20"/>
          <w:shd w:val="clear" w:color="auto" w:fill="FFFFFF"/>
          <w:vertAlign w:val="subscript"/>
        </w:rPr>
        <w:t>2</w:t>
      </w:r>
      <w:r w:rsidRPr="00DD0A63">
        <w:rPr>
          <w:rFonts w:ascii="Times New Roman" w:hAnsi="Times New Roman" w:cs="Times New Roman"/>
          <w:color w:val="000000"/>
          <w:sz w:val="20"/>
          <w:szCs w:val="20"/>
          <w:shd w:val="clear" w:color="auto" w:fill="FFFFFF"/>
        </w:rPr>
        <w:t>) off this budget, and that’s without including methane from deep permafrost or undersea hydrates. If forests are close to tipping points, Amazon dieback could release another 90 Gt CO</w:t>
      </w:r>
      <w:r w:rsidRPr="00DD0A63">
        <w:rPr>
          <w:rFonts w:ascii="Times New Roman" w:hAnsi="Times New Roman" w:cs="Times New Roman"/>
          <w:color w:val="000000"/>
          <w:sz w:val="20"/>
          <w:szCs w:val="20"/>
          <w:shd w:val="clear" w:color="auto" w:fill="FFFFFF"/>
          <w:vertAlign w:val="subscript"/>
        </w:rPr>
        <w:t>2</w:t>
      </w:r>
      <w:r w:rsidRPr="00DD0A63">
        <w:rPr>
          <w:rFonts w:ascii="Times New Roman" w:hAnsi="Times New Roman" w:cs="Times New Roman"/>
          <w:color w:val="000000"/>
          <w:sz w:val="20"/>
          <w:szCs w:val="20"/>
          <w:shd w:val="clear" w:color="auto" w:fill="FFFFFF"/>
        </w:rPr>
        <w:t> and boreal forests a further 110 Gt CO</w:t>
      </w:r>
      <w:r w:rsidRPr="00DD0A63">
        <w:rPr>
          <w:rFonts w:ascii="Times New Roman" w:hAnsi="Times New Roman" w:cs="Times New Roman"/>
          <w:color w:val="000000"/>
          <w:sz w:val="20"/>
          <w:szCs w:val="20"/>
          <w:shd w:val="clear" w:color="auto" w:fill="FFFFFF"/>
          <w:vertAlign w:val="subscript"/>
        </w:rPr>
        <w:t>2</w:t>
      </w:r>
      <w:r w:rsidRPr="00DD0A63">
        <w:rPr>
          <w:rFonts w:ascii="Times New Roman" w:hAnsi="Times New Roman" w:cs="Times New Roman"/>
          <w:color w:val="000000"/>
          <w:sz w:val="20"/>
          <w:szCs w:val="20"/>
          <w:shd w:val="clear" w:color="auto" w:fill="FFFFFF"/>
        </w:rPr>
        <w:t>. With global total CO</w:t>
      </w:r>
      <w:r w:rsidRPr="00DD0A63">
        <w:rPr>
          <w:rFonts w:ascii="Times New Roman" w:hAnsi="Times New Roman" w:cs="Times New Roman"/>
          <w:color w:val="000000"/>
          <w:sz w:val="20"/>
          <w:szCs w:val="20"/>
          <w:shd w:val="clear" w:color="auto" w:fill="FFFFFF"/>
          <w:vertAlign w:val="subscript"/>
        </w:rPr>
        <w:t>2</w:t>
      </w:r>
      <w:r w:rsidRPr="00DD0A63">
        <w:rPr>
          <w:rFonts w:ascii="Times New Roman" w:hAnsi="Times New Roman" w:cs="Times New Roman"/>
          <w:color w:val="000000"/>
          <w:sz w:val="20"/>
          <w:szCs w:val="20"/>
          <w:shd w:val="clear" w:color="auto" w:fill="FFFFFF"/>
        </w:rPr>
        <w:t xml:space="preserve"> emissions still at more than 40 Gt per year, the remaining budget could be all but erased already. …We argue that the intervention time left to prevent tipping could already have shrunk towards zero, whereas the reaction time to achieve net zero emissions is 30 years at best. </w:t>
      </w:r>
      <w:r w:rsidRPr="00DD0A63">
        <w:rPr>
          <w:rFonts w:ascii="Times New Roman" w:hAnsi="Times New Roman" w:cs="Times New Roman"/>
          <w:color w:val="000000"/>
          <w:sz w:val="20"/>
          <w:szCs w:val="20"/>
          <w:shd w:val="clear" w:color="auto" w:fill="FFFFFF"/>
        </w:rPr>
        <w:t>Hence we might already have lost control of whether tipping happens. A saving grace is that the rate at which damage accumulates from tipping — and hence the risk posed — could still be under our control to some extent.</w:t>
      </w:r>
      <w:r w:rsidRPr="00DD0A63">
        <w:rPr>
          <w:rFonts w:ascii="Times New Roman" w:hAnsi="Times New Roman" w:cs="Times New Roman"/>
          <w:color w:val="000000"/>
          <w:sz w:val="20"/>
          <w:szCs w:val="20"/>
        </w:rPr>
        <w:t xml:space="preserve">”). </w:t>
      </w:r>
      <w:r w:rsidRPr="00DD0A63">
        <w:rPr>
          <w:rFonts w:ascii="Times New Roman" w:hAnsi="Times New Roman" w:cs="Times New Roman"/>
          <w:i/>
          <w:iCs/>
          <w:color w:val="000000" w:themeColor="text1"/>
          <w:sz w:val="20"/>
          <w:szCs w:val="20"/>
        </w:rPr>
        <w:t>See also</w:t>
      </w:r>
      <w:r w:rsidRPr="00DD0A63">
        <w:rPr>
          <w:rFonts w:ascii="Times New Roman" w:hAnsi="Times New Roman" w:cs="Times New Roman"/>
          <w:color w:val="000000" w:themeColor="text1"/>
          <w:sz w:val="20"/>
          <w:szCs w:val="20"/>
        </w:rPr>
        <w:t xml:space="preserve"> </w:t>
      </w:r>
      <w:r w:rsidRPr="00DD0A63">
        <w:rPr>
          <w:rFonts w:ascii="Times New Roman" w:hAnsi="Times New Roman" w:cs="Times New Roman"/>
          <w:sz w:val="20"/>
          <w:szCs w:val="20"/>
        </w:rPr>
        <w:t xml:space="preserve">Ripple W. J., Wolf C., Newsome T. M., Gregg J. W., Lenton T. M., Palomo I., Eikelboom J. A. J., Law B. E., Huq S., Duffy P. B., &amp; Rockström J. (2021) </w:t>
      </w:r>
      <w:hyperlink r:id="rId7">
        <w:r w:rsidRPr="00DD0A63">
          <w:rPr>
            <w:rStyle w:val="Hyperlink"/>
            <w:rFonts w:ascii="Times New Roman" w:hAnsi="Times New Roman" w:cs="Times New Roman"/>
            <w:i/>
            <w:iCs/>
            <w:sz w:val="20"/>
            <w:szCs w:val="20"/>
          </w:rPr>
          <w:t>World Scientists’ Warning of a Climate Emergency 2021</w:t>
        </w:r>
      </w:hyperlink>
      <w:r w:rsidRPr="00DD0A63">
        <w:rPr>
          <w:rFonts w:ascii="Times New Roman" w:hAnsi="Times New Roman" w:cs="Times New Roman"/>
          <w:sz w:val="20"/>
          <w:szCs w:val="20"/>
        </w:rPr>
        <w:t xml:space="preserve">, </w:t>
      </w:r>
      <w:r w:rsidRPr="00DD0A63">
        <w:rPr>
          <w:rFonts w:ascii="Times New Roman" w:hAnsi="Times New Roman" w:cs="Times New Roman"/>
          <w:smallCaps/>
          <w:sz w:val="20"/>
          <w:szCs w:val="20"/>
        </w:rPr>
        <w:t xml:space="preserve">BioScience: </w:t>
      </w:r>
      <w:r w:rsidRPr="00DD0A63">
        <w:rPr>
          <w:rFonts w:ascii="Times New Roman" w:hAnsi="Times New Roman" w:cs="Times New Roman"/>
          <w:sz w:val="20"/>
          <w:szCs w:val="20"/>
        </w:rPr>
        <w:t>biab079, 1–5,</w:t>
      </w:r>
      <w:r w:rsidRPr="00DD0A63">
        <w:rPr>
          <w:rFonts w:ascii="Times New Roman" w:hAnsi="Times New Roman" w:cs="Times New Roman"/>
          <w:color w:val="000000" w:themeColor="text1"/>
          <w:sz w:val="20"/>
          <w:szCs w:val="20"/>
        </w:rPr>
        <w:t xml:space="preserve"> 1 (</w:t>
      </w:r>
      <w:r w:rsidRPr="00DD0A63">
        <w:rPr>
          <w:rFonts w:ascii="Times New Roman" w:hAnsi="Times New Roman" w:cs="Times New Roman"/>
          <w:sz w:val="20"/>
          <w:szCs w:val="20"/>
        </w:rPr>
        <w:t>“There is also mounting evidence that we are nearing or have already crossed tipping points associated with critical parts of the Earth system, including the West Antarctic and Greenland ice sheets, warm-water coral reefs, and the Amazon rainforest.”).</w:t>
      </w:r>
    </w:p>
    <w:p w:rsidR="00645A37" w:rsidRPr="00DD0A63" w:rsidRDefault="00645A37" w:rsidP="00DD0A63">
      <w:pPr>
        <w:pStyle w:val="EndnoteText"/>
      </w:pPr>
    </w:p>
  </w:endnote>
  <w:endnote w:id="5">
    <w:p w:rsidR="004C070E" w:rsidRPr="00DD0A63" w:rsidRDefault="004C070E" w:rsidP="00DD0A63">
      <w:pPr>
        <w:jc w:val="both"/>
        <w:rPr>
          <w:rFonts w:ascii="Times New Roman" w:hAnsi="Times New Roman" w:cs="Times New Roman"/>
          <w:color w:val="000000"/>
          <w:sz w:val="20"/>
          <w:szCs w:val="20"/>
        </w:rPr>
      </w:pPr>
      <w:r w:rsidRPr="00DD0A63">
        <w:rPr>
          <w:rStyle w:val="EndnoteReference"/>
          <w:rFonts w:ascii="Times New Roman" w:hAnsi="Times New Roman" w:cs="Times New Roman"/>
          <w:sz w:val="20"/>
          <w:szCs w:val="20"/>
        </w:rPr>
        <w:endnoteRef/>
      </w:r>
      <w:r w:rsidRPr="00DD0A63">
        <w:rPr>
          <w:rFonts w:ascii="Times New Roman" w:hAnsi="Times New Roman" w:cs="Times New Roman"/>
          <w:sz w:val="20"/>
          <w:szCs w:val="20"/>
        </w:rPr>
        <w:t xml:space="preserve"> Intergovernmental Panel on Climate Change </w:t>
      </w:r>
      <w:r w:rsidRPr="00DD0A63">
        <w:rPr>
          <w:rFonts w:ascii="Times New Roman" w:hAnsi="Times New Roman" w:cs="Times New Roman"/>
          <w:color w:val="000000"/>
          <w:sz w:val="20"/>
          <w:szCs w:val="20"/>
        </w:rPr>
        <w:t xml:space="preserve">(2022) </w:t>
      </w:r>
      <w:hyperlink r:id="rId8" w:history="1">
        <w:r w:rsidRPr="00DD0A63">
          <w:rPr>
            <w:rFonts w:ascii="Times New Roman" w:hAnsi="Times New Roman" w:cs="Times New Roman"/>
            <w:i/>
            <w:iCs/>
            <w:color w:val="2F5496" w:themeColor="accent1" w:themeShade="BF"/>
            <w:sz w:val="20"/>
            <w:szCs w:val="20"/>
          </w:rPr>
          <w:t>Summary for Policymakers</w:t>
        </w:r>
      </w:hyperlink>
      <w:r w:rsidRPr="00DD0A63">
        <w:rPr>
          <w:rFonts w:ascii="Times New Roman" w:hAnsi="Times New Roman" w:cs="Times New Roman"/>
          <w:color w:val="000000"/>
          <w:sz w:val="20"/>
          <w:szCs w:val="20"/>
        </w:rPr>
        <w:t xml:space="preserve">, </w:t>
      </w:r>
      <w:r w:rsidRPr="00DD0A63">
        <w:rPr>
          <w:rFonts w:ascii="Times New Roman" w:hAnsi="Times New Roman" w:cs="Times New Roman"/>
          <w:i/>
          <w:iCs/>
          <w:color w:val="000000"/>
          <w:sz w:val="20"/>
          <w:szCs w:val="20"/>
        </w:rPr>
        <w:t>in</w:t>
      </w:r>
      <w:r w:rsidRPr="00DD0A63">
        <w:rPr>
          <w:rFonts w:ascii="Times New Roman" w:hAnsi="Times New Roman" w:cs="Times New Roman"/>
          <w:color w:val="000000"/>
          <w:sz w:val="20"/>
          <w:szCs w:val="20"/>
        </w:rPr>
        <w:t xml:space="preserve"> </w:t>
      </w:r>
      <w:hyperlink r:id="rId9" w:history="1">
        <w:r w:rsidRPr="00DD0A63">
          <w:rPr>
            <w:rFonts w:ascii="Times New Roman" w:hAnsi="Times New Roman" w:cs="Times New Roman"/>
            <w:smallCaps/>
            <w:color w:val="2F5496" w:themeColor="accent1" w:themeShade="BF"/>
            <w:sz w:val="20"/>
            <w:szCs w:val="20"/>
          </w:rPr>
          <w:t>Climate Change 2022: Impacts, Adaptation, and Vulnerability</w:t>
        </w:r>
      </w:hyperlink>
      <w:r w:rsidRPr="00DD0A63">
        <w:rPr>
          <w:rFonts w:ascii="Times New Roman" w:hAnsi="Times New Roman" w:cs="Times New Roman"/>
          <w:color w:val="000000"/>
          <w:sz w:val="20"/>
          <w:szCs w:val="20"/>
        </w:rPr>
        <w:t xml:space="preserve">, </w:t>
      </w:r>
      <w:r w:rsidRPr="00DD0A63">
        <w:rPr>
          <w:rFonts w:ascii="Times New Roman" w:hAnsi="Times New Roman" w:cs="Times New Roman"/>
          <w:i/>
          <w:iCs/>
          <w:color w:val="000000"/>
          <w:sz w:val="20"/>
          <w:szCs w:val="20"/>
        </w:rPr>
        <w:t>Contribution of Working Group II to the Sixth Assessment Report of the Intergovernmental Panel on Climate Change</w:t>
      </w:r>
      <w:r w:rsidRPr="00DD0A63">
        <w:rPr>
          <w:rFonts w:ascii="Times New Roman" w:hAnsi="Times New Roman" w:cs="Times New Roman"/>
          <w:sz w:val="20"/>
          <w:szCs w:val="20"/>
        </w:rPr>
        <w:t xml:space="preserve">, </w:t>
      </w:r>
      <w:r w:rsidRPr="00DD0A63">
        <w:rPr>
          <w:rFonts w:ascii="Times New Roman" w:hAnsi="Times New Roman" w:cs="Times New Roman"/>
          <w:color w:val="000000"/>
          <w:sz w:val="20"/>
          <w:szCs w:val="20"/>
        </w:rPr>
        <w:t xml:space="preserve">Pörtner H.-O., </w:t>
      </w:r>
      <w:r w:rsidRPr="00DD0A63">
        <w:rPr>
          <w:rFonts w:ascii="Times New Roman" w:hAnsi="Times New Roman" w:cs="Times New Roman"/>
          <w:i/>
          <w:iCs/>
          <w:sz w:val="20"/>
          <w:szCs w:val="20"/>
        </w:rPr>
        <w:t>et al.</w:t>
      </w:r>
      <w:r w:rsidRPr="00DD0A63">
        <w:rPr>
          <w:rFonts w:ascii="Times New Roman" w:hAnsi="Times New Roman" w:cs="Times New Roman"/>
          <w:sz w:val="20"/>
          <w:szCs w:val="20"/>
        </w:rPr>
        <w:t xml:space="preserve"> (eds.), SPM-11, SPM-13 (“Approximately 3.3 to 3.6 billion people live in contexts that are highly vulnerable to climate change (</w:t>
      </w:r>
      <w:r w:rsidRPr="00DD0A63">
        <w:rPr>
          <w:rFonts w:ascii="Times New Roman" w:hAnsi="Times New Roman" w:cs="Times New Roman"/>
          <w:i/>
          <w:iCs/>
          <w:sz w:val="20"/>
          <w:szCs w:val="20"/>
        </w:rPr>
        <w:t>high confidence</w:t>
      </w:r>
      <w:r w:rsidRPr="00DD0A63">
        <w:rPr>
          <w:rFonts w:ascii="Times New Roman" w:hAnsi="Times New Roman" w:cs="Times New Roman"/>
          <w:sz w:val="20"/>
          <w:szCs w:val="20"/>
        </w:rPr>
        <w:t>).”; “Levels of risk for all Reasons for Concern (RFC) are assessed to become high to very high at lower global warming levels than in AR5 (</w:t>
      </w:r>
      <w:r w:rsidRPr="00DD0A63">
        <w:rPr>
          <w:rFonts w:ascii="Times New Roman" w:hAnsi="Times New Roman" w:cs="Times New Roman"/>
          <w:i/>
          <w:iCs/>
          <w:sz w:val="20"/>
          <w:szCs w:val="20"/>
        </w:rPr>
        <w:t>high confidence</w:t>
      </w:r>
      <w:r w:rsidRPr="00DD0A63">
        <w:rPr>
          <w:rFonts w:ascii="Times New Roman" w:hAnsi="Times New Roman" w:cs="Times New Roman"/>
          <w:sz w:val="20"/>
          <w:szCs w:val="20"/>
        </w:rPr>
        <w:t>). Between 1.2°C and 4.5°C global warming level very high risks emerge in all five RFCs compared to just two RFCs in AR5 (</w:t>
      </w:r>
      <w:r w:rsidRPr="00DD0A63">
        <w:rPr>
          <w:rFonts w:ascii="Times New Roman" w:hAnsi="Times New Roman" w:cs="Times New Roman"/>
          <w:i/>
          <w:iCs/>
          <w:sz w:val="20"/>
          <w:szCs w:val="20"/>
        </w:rPr>
        <w:t>high confidence</w:t>
      </w:r>
      <w:r w:rsidRPr="00DD0A63">
        <w:rPr>
          <w:rFonts w:ascii="Times New Roman" w:hAnsi="Times New Roman" w:cs="Times New Roman"/>
          <w:sz w:val="20"/>
          <w:szCs w:val="20"/>
        </w:rPr>
        <w:t xml:space="preserve">). Two of these transitions from high to very high risk </w:t>
      </w:r>
      <w:r w:rsidRPr="00DD0A63">
        <w:rPr>
          <w:rFonts w:ascii="Times New Roman" w:hAnsi="Times New Roman" w:cs="Times New Roman"/>
          <w:sz w:val="20"/>
          <w:szCs w:val="20"/>
        </w:rPr>
        <w:t>are associated with near-term warming: risks to unique and threatened systems at a median value of 1.5°C [1.2 to 2.0] °C (</w:t>
      </w:r>
      <w:r w:rsidRPr="00DD0A63">
        <w:rPr>
          <w:rFonts w:ascii="Times New Roman" w:hAnsi="Times New Roman" w:cs="Times New Roman"/>
          <w:i/>
          <w:iCs/>
          <w:sz w:val="20"/>
          <w:szCs w:val="20"/>
        </w:rPr>
        <w:t>high confidence</w:t>
      </w:r>
      <w:r w:rsidRPr="00DD0A63">
        <w:rPr>
          <w:rFonts w:ascii="Times New Roman" w:hAnsi="Times New Roman" w:cs="Times New Roman"/>
          <w:sz w:val="20"/>
          <w:szCs w:val="20"/>
        </w:rPr>
        <w:t>) and risks associated with extreme weather events at a median value of 2°C [1.8 to 2.5] °C (</w:t>
      </w:r>
      <w:r w:rsidRPr="00DD0A63">
        <w:rPr>
          <w:rFonts w:ascii="Times New Roman" w:hAnsi="Times New Roman" w:cs="Times New Roman"/>
          <w:i/>
          <w:iCs/>
          <w:sz w:val="20"/>
          <w:szCs w:val="20"/>
        </w:rPr>
        <w:t>medium confidence</w:t>
      </w:r>
      <w:r w:rsidRPr="00DD0A63">
        <w:rPr>
          <w:rFonts w:ascii="Times New Roman" w:hAnsi="Times New Roman" w:cs="Times New Roman"/>
          <w:sz w:val="20"/>
          <w:szCs w:val="20"/>
        </w:rPr>
        <w:t>). Some key risks contributing to the RFCs are projected to lead to widespread, pervasive, and potentially irreversible impacts at global warming levels of 1.5–2°C if exposure and vulnerability are high and adaptation is low (</w:t>
      </w:r>
      <w:r w:rsidRPr="00DD0A63">
        <w:rPr>
          <w:rFonts w:ascii="Times New Roman" w:hAnsi="Times New Roman" w:cs="Times New Roman"/>
          <w:i/>
          <w:iCs/>
          <w:sz w:val="20"/>
          <w:szCs w:val="20"/>
        </w:rPr>
        <w:t>medium confidence</w:t>
      </w:r>
      <w:r w:rsidRPr="00DD0A63">
        <w:rPr>
          <w:rFonts w:ascii="Times New Roman" w:hAnsi="Times New Roman" w:cs="Times New Roman"/>
          <w:sz w:val="20"/>
          <w:szCs w:val="20"/>
        </w:rPr>
        <w:t xml:space="preserve">).”; </w:t>
      </w:r>
      <w:r w:rsidRPr="00DD0A63">
        <w:rPr>
          <w:rFonts w:ascii="Times New Roman" w:hAnsi="Times New Roman" w:cs="Times New Roman"/>
          <w:color w:val="000000"/>
          <w:sz w:val="20"/>
          <w:szCs w:val="20"/>
        </w:rPr>
        <w:t>“</w:t>
      </w:r>
      <w:r w:rsidRPr="00DD0A63">
        <w:rPr>
          <w:rFonts w:ascii="Times New Roman" w:hAnsi="Times New Roman" w:cs="Times New Roman"/>
          <w:b/>
          <w:bCs/>
          <w:color w:val="000000"/>
          <w:sz w:val="20"/>
          <w:szCs w:val="20"/>
        </w:rPr>
        <w:t>SPM.B.3</w:t>
      </w:r>
      <w:r w:rsidRPr="00DD0A63">
        <w:rPr>
          <w:rFonts w:ascii="Times New Roman" w:hAnsi="Times New Roman" w:cs="Times New Roman"/>
          <w:color w:val="000000"/>
          <w:sz w:val="20"/>
          <w:szCs w:val="20"/>
        </w:rPr>
        <w:t xml:space="preserve"> Global warming, reaching 1.5°C in the near-term, would cause unavoidable increases in multiple climate hazards and present multiple risks to ecosystems and humans (</w:t>
      </w:r>
      <w:r w:rsidRPr="00DD0A63">
        <w:rPr>
          <w:rFonts w:ascii="Times New Roman" w:hAnsi="Times New Roman" w:cs="Times New Roman"/>
          <w:i/>
          <w:iCs/>
          <w:color w:val="000000"/>
          <w:sz w:val="20"/>
          <w:szCs w:val="20"/>
        </w:rPr>
        <w:t>very high confidence</w:t>
      </w:r>
      <w:r w:rsidRPr="00DD0A63">
        <w:rPr>
          <w:rFonts w:ascii="Times New Roman" w:hAnsi="Times New Roman" w:cs="Times New Roman"/>
          <w:color w:val="000000"/>
          <w:sz w:val="20"/>
          <w:szCs w:val="20"/>
        </w:rPr>
        <w:t>). The level of risk will depend on concurrent near-term trends in vulnerability, exposure, level of socioeconomic development and adaptation (</w:t>
      </w:r>
      <w:r w:rsidRPr="00DD0A63">
        <w:rPr>
          <w:rFonts w:ascii="Times New Roman" w:hAnsi="Times New Roman" w:cs="Times New Roman"/>
          <w:i/>
          <w:iCs/>
          <w:color w:val="000000"/>
          <w:sz w:val="20"/>
          <w:szCs w:val="20"/>
        </w:rPr>
        <w:t>high confidence</w:t>
      </w:r>
      <w:r w:rsidRPr="00DD0A63">
        <w:rPr>
          <w:rFonts w:ascii="Times New Roman" w:hAnsi="Times New Roman" w:cs="Times New Roman"/>
          <w:color w:val="000000"/>
          <w:sz w:val="20"/>
          <w:szCs w:val="20"/>
        </w:rPr>
        <w:t>).”).</w:t>
      </w:r>
    </w:p>
    <w:p w:rsidR="004C070E" w:rsidRPr="00DD0A63" w:rsidRDefault="004C070E" w:rsidP="00DD0A63">
      <w:pPr>
        <w:jc w:val="both"/>
        <w:rPr>
          <w:rFonts w:ascii="Times New Roman" w:hAnsi="Times New Roman" w:cs="Times New Roman"/>
          <w:color w:val="000000"/>
          <w:sz w:val="20"/>
          <w:szCs w:val="20"/>
        </w:rPr>
      </w:pPr>
    </w:p>
  </w:endnote>
  <w:endnote w:id="6">
    <w:p w:rsidR="00B05E64" w:rsidRPr="00DD0A63" w:rsidRDefault="00B05E64" w:rsidP="00DD0A63">
      <w:pPr>
        <w:pStyle w:val="EndnoteText"/>
      </w:pPr>
      <w:r w:rsidRPr="00DD0A63">
        <w:rPr>
          <w:rStyle w:val="EndnoteReference"/>
        </w:rPr>
        <w:endnoteRef/>
      </w:r>
      <w:r w:rsidRPr="00DD0A63">
        <w:t xml:space="preserve"> </w:t>
      </w:r>
      <w:r w:rsidRPr="00DD0A63">
        <w:t xml:space="preserve">Romanello M., </w:t>
      </w:r>
      <w:r w:rsidRPr="00DD0A63">
        <w:rPr>
          <w:i/>
          <w:iCs/>
        </w:rPr>
        <w:t>et al.</w:t>
      </w:r>
      <w:r w:rsidRPr="00DD0A63">
        <w:t xml:space="preserve"> (2021) </w:t>
      </w:r>
      <w:hyperlink r:id="rId10" w:history="1">
        <w:r w:rsidRPr="00DD0A63">
          <w:rPr>
            <w:rStyle w:val="Hyperlink"/>
            <w:i/>
            <w:iCs/>
          </w:rPr>
          <w:t>The 2021 report of the Lancet Countdown on health and climate change: code red for a healthy future</w:t>
        </w:r>
      </w:hyperlink>
      <w:r w:rsidRPr="00DD0A63">
        <w:t xml:space="preserve">, </w:t>
      </w:r>
      <w:r w:rsidRPr="00DD0A63">
        <w:rPr>
          <w:smallCaps/>
        </w:rPr>
        <w:t>The Lancet</w:t>
      </w:r>
      <w:r w:rsidRPr="00DD0A63">
        <w:t xml:space="preserve"> 398(10311): 1619–1662, 1619–1620 (“The 44 indicators of this report expose an unabated rise in the health impacts of climate change and the current health consequences of the delayed and inconsistent response of countries around the globe—providing a clear imperative for accelerated action that puts the health of people and planet above all else…. Through these effects, rising average temperatures, and altered rainfall patterns, climate change is beginning to reverse years of progress in tackling the food and water insecurity that still affects the most underserved populations around the world, denying them an essential aspect of good health.”).</w:t>
      </w:r>
    </w:p>
    <w:p w:rsidR="00B05E64" w:rsidRPr="00DD0A63" w:rsidRDefault="00B05E64" w:rsidP="00DD0A63">
      <w:pPr>
        <w:pStyle w:val="EndnoteText"/>
      </w:pPr>
    </w:p>
  </w:endnote>
  <w:endnote w:id="7">
    <w:p w:rsidR="00645A37" w:rsidRPr="00DD0A63" w:rsidRDefault="00645A37" w:rsidP="00DD0A63">
      <w:pPr>
        <w:pStyle w:val="EndnoteText"/>
      </w:pPr>
      <w:r w:rsidRPr="00DD0A63">
        <w:rPr>
          <w:rStyle w:val="EndnoteReference"/>
        </w:rPr>
        <w:endnoteRef/>
      </w:r>
      <w:r w:rsidRPr="00DD0A63">
        <w:t xml:space="preserve"> Intergovernmental Panel on Climate Change (2022) </w:t>
      </w:r>
      <w:hyperlink r:id="rId11" w:history="1">
        <w:r w:rsidRPr="00DD0A63">
          <w:rPr>
            <w:rStyle w:val="Hyperlink"/>
            <w:i/>
            <w:iCs/>
          </w:rPr>
          <w:t>Summary for Policymakers</w:t>
        </w:r>
      </w:hyperlink>
      <w:r w:rsidRPr="00DD0A63">
        <w:t xml:space="preserve">, </w:t>
      </w:r>
      <w:r w:rsidRPr="00DD0A63">
        <w:rPr>
          <w:i/>
          <w:iCs/>
        </w:rPr>
        <w:t>in</w:t>
      </w:r>
      <w:r w:rsidRPr="00DD0A63">
        <w:t xml:space="preserve"> </w:t>
      </w:r>
      <w:hyperlink r:id="rId12" w:history="1">
        <w:r w:rsidRPr="00DD0A63">
          <w:rPr>
            <w:rStyle w:val="Hyperlink"/>
            <w:smallCaps/>
          </w:rPr>
          <w:t>Climate Change 2022: Mitigation of Climate Change</w:t>
        </w:r>
      </w:hyperlink>
      <w:r w:rsidRPr="00DD0A63">
        <w:t xml:space="preserve">, </w:t>
      </w:r>
      <w:r w:rsidRPr="00DD0A63">
        <w:rPr>
          <w:i/>
          <w:iCs/>
          <w:color w:val="000000"/>
        </w:rPr>
        <w:t>Contribution of Working Group III to the Sixth Assessment Report of the Intergovernmental Panel on Climate Change</w:t>
      </w:r>
      <w:r w:rsidRPr="00DD0A63">
        <w:rPr>
          <w:color w:val="000000"/>
        </w:rPr>
        <w:t xml:space="preserve">, </w:t>
      </w:r>
      <w:r w:rsidRPr="00DD0A63">
        <w:t xml:space="preserve">Shukla P. R., </w:t>
      </w:r>
      <w:r w:rsidRPr="00DD0A63">
        <w:rPr>
          <w:i/>
          <w:iCs/>
        </w:rPr>
        <w:t>et al.</w:t>
      </w:r>
      <w:r w:rsidRPr="00DD0A63">
        <w:t xml:space="preserve"> (eds.), SPM-31 (“In modelled global low emission pathways, the projected reduction of cooling and warming aerosol emissions over time leads to net warming in the near- to mid-term. In these mitigation pathways, the projected reductions of cooling aerosols are mostly due to reduced fossil fuel combustion that was not equipped with effective air pollution controls.”). </w:t>
      </w:r>
      <w:r w:rsidRPr="00DD0A63">
        <w:rPr>
          <w:i/>
          <w:iCs/>
        </w:rPr>
        <w:t>See also</w:t>
      </w:r>
      <w:r w:rsidRPr="00DD0A63">
        <w:t xml:space="preserve"> Naik V., </w:t>
      </w:r>
      <w:r w:rsidRPr="00DD0A63">
        <w:rPr>
          <w:i/>
          <w:iCs/>
        </w:rPr>
        <w:t>et al.</w:t>
      </w:r>
      <w:r w:rsidRPr="00DD0A63">
        <w:t xml:space="preserve"> (2021) </w:t>
      </w:r>
      <w:hyperlink r:id="rId13" w:history="1">
        <w:r w:rsidRPr="00DD0A63">
          <w:rPr>
            <w:rStyle w:val="Hyperlink"/>
            <w:i/>
            <w:iCs/>
          </w:rPr>
          <w:t>Chapter 6: Short-lived climate forcers</w:t>
        </w:r>
      </w:hyperlink>
      <w:r w:rsidRPr="00DD0A63">
        <w:t xml:space="preserve">, in </w:t>
      </w:r>
      <w:hyperlink r:id="rId14" w:history="1">
        <w:r w:rsidRPr="00DD0A63">
          <w:rPr>
            <w:rStyle w:val="Hyperlink"/>
            <w:smallCaps/>
          </w:rPr>
          <w:t>Climate Change 2021: The Physical Science Basis</w:t>
        </w:r>
      </w:hyperlink>
      <w:r w:rsidRPr="00DD0A63">
        <w:t xml:space="preserve">, </w:t>
      </w:r>
      <w:r w:rsidRPr="00DD0A63">
        <w:rPr>
          <w:i/>
          <w:iCs/>
        </w:rPr>
        <w:t>Contribution of Working Group I to the Sixth Assessment Report of the Intergovernmental Panel on Climate Change</w:t>
      </w:r>
      <w:r w:rsidRPr="00DD0A63">
        <w:t xml:space="preserve">, Masson-Delmotte V., </w:t>
      </w:r>
      <w:r w:rsidRPr="00DD0A63">
        <w:rPr>
          <w:i/>
          <w:iCs/>
        </w:rPr>
        <w:t>et al.</w:t>
      </w:r>
      <w:r w:rsidRPr="00DD0A63">
        <w:t xml:space="preserve"> (eds.), 6-8 (“Additional CH</w:t>
      </w:r>
      <w:r w:rsidRPr="00DD0A63">
        <w:rPr>
          <w:vertAlign w:val="subscript"/>
        </w:rPr>
        <w:t>4</w:t>
      </w:r>
      <w:r w:rsidRPr="00DD0A63">
        <w:t xml:space="preserve"> and BC mitigation would contribute to offsetting the additional warming associated with SO</w:t>
      </w:r>
      <w:r w:rsidRPr="00DD0A63">
        <w:rPr>
          <w:vertAlign w:val="subscript"/>
        </w:rPr>
        <w:t>2</w:t>
      </w:r>
      <w:r w:rsidRPr="00DD0A63">
        <w:t xml:space="preserve"> reductions that would accompany decarbonization (</w:t>
      </w:r>
      <w:r w:rsidRPr="00DD0A63">
        <w:rPr>
          <w:i/>
          <w:iCs/>
        </w:rPr>
        <w:t>high confidence</w:t>
      </w:r>
      <w:r w:rsidRPr="00DD0A63">
        <w:t>).”);</w:t>
      </w:r>
      <w:r w:rsidRPr="00DD0A63">
        <w:rPr>
          <w:i/>
          <w:iCs/>
        </w:rPr>
        <w:t xml:space="preserve"> </w:t>
      </w:r>
      <w:r w:rsidRPr="00DD0A63">
        <w:t xml:space="preserve">Ramanathan V. &amp; Feng Y. (2008) </w:t>
      </w:r>
      <w:hyperlink r:id="rId15" w:history="1">
        <w:r w:rsidRPr="00DD0A63">
          <w:rPr>
            <w:rStyle w:val="Hyperlink"/>
            <w:rFonts w:eastAsia="DengXian Light"/>
            <w:i/>
            <w:iCs/>
          </w:rPr>
          <w:t>On avoiding dangerous anthropogenic interference with the climate system: Formidable challenges ahead</w:t>
        </w:r>
      </w:hyperlink>
      <w:r w:rsidRPr="00DD0A63">
        <w:t xml:space="preserve">, </w:t>
      </w:r>
      <w:r w:rsidRPr="00DD0A63">
        <w:rPr>
          <w:smallCaps/>
        </w:rPr>
        <w:t>Proc. Nat’l. Acad. Sci.</w:t>
      </w:r>
      <w:r w:rsidRPr="00DD0A63">
        <w:t xml:space="preserve"> 105(38): 14245–14250, 14248 (“Switching from coal to ‘‘cleaner’’ natural gas will reduce CO</w:t>
      </w:r>
      <w:r w:rsidRPr="00DD0A63">
        <w:rPr>
          <w:vertAlign w:val="subscript"/>
        </w:rPr>
        <w:t>2</w:t>
      </w:r>
      <w:r w:rsidRPr="00DD0A63">
        <w:t xml:space="preserve"> emission and thus would be effective in minimizing future increases in the committed warming. However, because it also reduces air pollution and thus the ABC [Atmospheric Brown Cloud] masking effect, it may speed up the approach to the committed warming of 2.4°C (1.4–4.3°C).”); </w:t>
      </w:r>
      <w:r w:rsidRPr="00DD0A63">
        <w:rPr>
          <w:i/>
          <w:iCs/>
        </w:rPr>
        <w:t>and</w:t>
      </w:r>
      <w:r w:rsidRPr="00DD0A63">
        <w:t xml:space="preserve"> United Nations Environment Programme &amp; World Meteorological Organization (2011) </w:t>
      </w:r>
      <w:hyperlink r:id="rId16" w:history="1">
        <w:r w:rsidRPr="00DD0A63">
          <w:rPr>
            <w:rStyle w:val="Hyperlink"/>
            <w:smallCaps/>
          </w:rPr>
          <w:t>Integrated Assessment of Black Carbon and Tropospheric Ozone</w:t>
        </w:r>
      </w:hyperlink>
      <w:r w:rsidRPr="00DD0A63">
        <w:t xml:space="preserve">, 254 (“Evaluating global mean temperature change, it was found that the targeted measures to reduce emissions of methane and BC could greatly reduce warming rates over the next few decades (Figure 6.1; Box 6.1). When all measures are fully implemented, warming during the 2030s relative to the present would be only half as much as in the reference scenario. In contrast, even </w:t>
      </w:r>
      <w:r w:rsidRPr="00DD0A63">
        <w:t>a fairly aggressive strategy to reduce CO</w:t>
      </w:r>
      <w:r w:rsidRPr="00DD0A63">
        <w:rPr>
          <w:vertAlign w:val="subscript"/>
        </w:rPr>
        <w:t>2</w:t>
      </w:r>
      <w:r w:rsidRPr="00DD0A63">
        <w:t xml:space="preserve"> emissions, as for the CO</w:t>
      </w:r>
      <w:r w:rsidRPr="00DD0A63">
        <w:rPr>
          <w:vertAlign w:val="subscript"/>
        </w:rPr>
        <w:t>2</w:t>
      </w:r>
      <w:r w:rsidRPr="00DD0A63">
        <w:t>-measures scenario, does little to mitigate warming until after the next 20-30 years (Box 6.2). In fact, sulphur dioxide (SO</w:t>
      </w:r>
      <w:r w:rsidRPr="00DD0A63">
        <w:rPr>
          <w:vertAlign w:val="subscript"/>
        </w:rPr>
        <w:t>2</w:t>
      </w:r>
      <w:r w:rsidRPr="00DD0A63">
        <w:t>) is coemitted with CO</w:t>
      </w:r>
      <w:r w:rsidRPr="00DD0A63">
        <w:rPr>
          <w:vertAlign w:val="subscript"/>
        </w:rPr>
        <w:t>2</w:t>
      </w:r>
      <w:r w:rsidRPr="00DD0A63">
        <w:t xml:space="preserve"> in some of the most highly emitting activities, coal burning in large-scale combustion such as in power plants, for example, that are obvious targets for reduced usage under a CO</w:t>
      </w:r>
      <w:r w:rsidRPr="00DD0A63">
        <w:rPr>
          <w:vertAlign w:val="subscript"/>
        </w:rPr>
        <w:t>2</w:t>
      </w:r>
      <w:r w:rsidRPr="00DD0A63">
        <w:t>-emissions mitigation strategy. Hence such strategies can lead to additional near-term warming (Figure 6.1), in a well-known temporary effect (e.g. Raes and Seinfeld, 2009), although most of the nearterm warming is driven by CO</w:t>
      </w:r>
      <w:r w:rsidRPr="00DD0A63">
        <w:rPr>
          <w:vertAlign w:val="subscript"/>
        </w:rPr>
        <w:t>2</w:t>
      </w:r>
      <w:r w:rsidRPr="00DD0A63">
        <w:t xml:space="preserve"> emissions in the past. The CO</w:t>
      </w:r>
      <w:r w:rsidRPr="00DD0A63">
        <w:rPr>
          <w:vertAlign w:val="subscript"/>
        </w:rPr>
        <w:t>2</w:t>
      </w:r>
      <w:r w:rsidRPr="00DD0A63">
        <w:t>-measures scenario clearly leads to long-term benefits however, with a dramatically lower warming rate at 2070 under that scenario than under the scenario with only CH</w:t>
      </w:r>
      <w:r w:rsidRPr="00DD0A63">
        <w:rPr>
          <w:vertAlign w:val="subscript"/>
        </w:rPr>
        <w:t>4</w:t>
      </w:r>
      <w:r w:rsidRPr="00DD0A63">
        <w:t xml:space="preserve"> and BC measures (see Figure 6.1 and timescales in Box 6.2). Hence the near-term measures clearly cannot be substituted for measures to reduce emissions of long-lived GHGs. The near-term measures largely target different source sectors for emissions than the CO</w:t>
      </w:r>
      <w:r w:rsidRPr="00DD0A63">
        <w:rPr>
          <w:vertAlign w:val="subscript"/>
        </w:rPr>
        <w:t>2</w:t>
      </w:r>
      <w:r w:rsidRPr="00DD0A63">
        <w:t xml:space="preserve"> measures, so that the emissions reductions of the short-lived pollutants are almost identical regardless of whether the CO</w:t>
      </w:r>
      <w:r w:rsidRPr="00DD0A63">
        <w:rPr>
          <w:vertAlign w:val="subscript"/>
        </w:rPr>
        <w:t>2</w:t>
      </w:r>
      <w:r w:rsidRPr="00DD0A63">
        <w:t xml:space="preserve"> measures are implemented or not, as shown in Chapter 5. The near-term measures and the CO</w:t>
      </w:r>
      <w:r w:rsidRPr="00DD0A63">
        <w:rPr>
          <w:vertAlign w:val="subscript"/>
        </w:rPr>
        <w:t>2</w:t>
      </w:r>
      <w:r w:rsidRPr="00DD0A63">
        <w:t xml:space="preserve"> measures also impact climate change over different timescales owing to the different lifetimes of these substances. In essence, the near-term CH</w:t>
      </w:r>
      <w:r w:rsidRPr="00DD0A63">
        <w:rPr>
          <w:vertAlign w:val="subscript"/>
        </w:rPr>
        <w:t>4</w:t>
      </w:r>
      <w:r w:rsidRPr="00DD0A63">
        <w:t xml:space="preserve"> and BC measures are effectively uncoupled from CO</w:t>
      </w:r>
      <w:r w:rsidRPr="00DD0A63">
        <w:rPr>
          <w:vertAlign w:val="subscript"/>
        </w:rPr>
        <w:t>2</w:t>
      </w:r>
      <w:r w:rsidRPr="00DD0A63">
        <w:t xml:space="preserve"> measures examined here.”).</w:t>
      </w:r>
    </w:p>
    <w:p w:rsidR="00645A37" w:rsidRPr="00DD0A63" w:rsidRDefault="00645A37" w:rsidP="00DD0A63">
      <w:pPr>
        <w:pStyle w:val="EndnoteText"/>
      </w:pPr>
    </w:p>
  </w:endnote>
  <w:endnote w:id="8">
    <w:p w:rsidR="00A70013" w:rsidRPr="00DD0A63" w:rsidRDefault="00A70013" w:rsidP="00DD0A63">
      <w:pPr>
        <w:pStyle w:val="EndnoteText"/>
      </w:pPr>
      <w:r w:rsidRPr="00DD0A63">
        <w:rPr>
          <w:rStyle w:val="EndnoteReference"/>
        </w:rPr>
        <w:endnoteRef/>
      </w:r>
      <w:r w:rsidRPr="00DD0A63">
        <w:t xml:space="preserve"> Intergovernmental Panel on Climate Change (2022) </w:t>
      </w:r>
      <w:hyperlink r:id="rId17" w:history="1">
        <w:r w:rsidRPr="00DD0A63">
          <w:rPr>
            <w:rStyle w:val="Hyperlink"/>
            <w:i/>
            <w:iCs/>
          </w:rPr>
          <w:t>Summary for Policymakers</w:t>
        </w:r>
      </w:hyperlink>
      <w:r w:rsidRPr="00DD0A63">
        <w:t xml:space="preserve">, </w:t>
      </w:r>
      <w:r w:rsidRPr="00DD0A63">
        <w:rPr>
          <w:i/>
          <w:iCs/>
        </w:rPr>
        <w:t>in</w:t>
      </w:r>
      <w:r w:rsidRPr="00DD0A63">
        <w:t xml:space="preserve"> </w:t>
      </w:r>
      <w:hyperlink r:id="rId18" w:history="1">
        <w:r w:rsidRPr="00DD0A63">
          <w:rPr>
            <w:rStyle w:val="Hyperlink"/>
            <w:smallCaps/>
          </w:rPr>
          <w:t>Climate Change 2022: Mitigation of Climate Change</w:t>
        </w:r>
      </w:hyperlink>
      <w:r w:rsidRPr="00DD0A63">
        <w:t xml:space="preserve">, </w:t>
      </w:r>
      <w:r w:rsidRPr="00DD0A63">
        <w:rPr>
          <w:i/>
          <w:iCs/>
          <w:color w:val="000000"/>
        </w:rPr>
        <w:t>Contribution of Working Group III to the Sixth Assessment Report of the Intergovernmental Panel on Climate Change</w:t>
      </w:r>
      <w:r w:rsidRPr="00DD0A63">
        <w:rPr>
          <w:color w:val="000000"/>
        </w:rPr>
        <w:t xml:space="preserve">, </w:t>
      </w:r>
      <w:r w:rsidRPr="00DD0A63">
        <w:t xml:space="preserve">Shukla P. R., Skea J., Slade R., Al Khourdajie A., van Diemen R., McCollum D., Pathak M., Some S., Vyas P., Fradera R., Belkacemi M., Hasija A., Lisboa G., Luz S., &amp; Malley J. (eds.), SPM-31 (“In modelled global low emission pathways, the projected reduction of cooling and warming aerosol emissions over time leads to net warming in the near- to mid-term. In these mitigation pathways, the projected reductions of cooling aerosols are mostly due to reduced fossil fuel combustion that was not equipped with effective air pollution controls.”). </w:t>
      </w:r>
      <w:r w:rsidRPr="00DD0A63">
        <w:rPr>
          <w:i/>
          <w:iCs/>
        </w:rPr>
        <w:t>See also</w:t>
      </w:r>
      <w:r w:rsidRPr="00DD0A63">
        <w:t xml:space="preserve"> Szopa S., Naik V., Adhikary B., Artaxo P., Berntsen T., Collins W. D., Fuzzi S., Gallardo L., Kiendler-Scharr A., Klimont Z., Liao H., Unger N., &amp; Zanis P. (2021) </w:t>
      </w:r>
      <w:hyperlink r:id="rId19" w:history="1">
        <w:r w:rsidRPr="00DD0A63">
          <w:rPr>
            <w:rStyle w:val="Hyperlink"/>
            <w:i/>
            <w:iCs/>
          </w:rPr>
          <w:t>Chapter 6: Short-lived climate forcers</w:t>
        </w:r>
      </w:hyperlink>
      <w:r w:rsidRPr="00DD0A63">
        <w:t xml:space="preserve">, in </w:t>
      </w:r>
      <w:hyperlink r:id="rId20" w:history="1">
        <w:r w:rsidRPr="00DD0A63">
          <w:rPr>
            <w:rStyle w:val="Hyperlink"/>
            <w:smallCaps/>
          </w:rPr>
          <w:t>Climate Change 2021: The Physical Science Basis</w:t>
        </w:r>
      </w:hyperlink>
      <w:r w:rsidRPr="00DD0A63">
        <w:t xml:space="preserve">, </w:t>
      </w:r>
      <w:r w:rsidRPr="00DD0A63">
        <w:rPr>
          <w:i/>
          <w:iCs/>
        </w:rPr>
        <w:t>Contribution of Working Group I to the Sixth Assessment Report of the Intergovernmental Panel on Climate Change</w:t>
      </w:r>
      <w:r w:rsidRPr="00DD0A63">
        <w:t xml:space="preserve">, Masson-Delmotte V., </w:t>
      </w:r>
      <w:r w:rsidRPr="00DD0A63">
        <w:rPr>
          <w:i/>
          <w:iCs/>
        </w:rPr>
        <w:t>et al.</w:t>
      </w:r>
      <w:r w:rsidRPr="00DD0A63">
        <w:t xml:space="preserve"> (eds.), 6-8 (“Additional CH</w:t>
      </w:r>
      <w:r w:rsidRPr="00DD0A63">
        <w:rPr>
          <w:vertAlign w:val="subscript"/>
        </w:rPr>
        <w:t>4</w:t>
      </w:r>
      <w:r w:rsidRPr="00DD0A63">
        <w:t xml:space="preserve"> and BC mitigation would contribute to offsetting the additional warming associated with SO</w:t>
      </w:r>
      <w:r w:rsidRPr="00DD0A63">
        <w:rPr>
          <w:vertAlign w:val="subscript"/>
        </w:rPr>
        <w:t>2</w:t>
      </w:r>
      <w:r w:rsidRPr="00DD0A63">
        <w:t xml:space="preserve"> reductions that would accompany decarbonization (</w:t>
      </w:r>
      <w:r w:rsidRPr="00DD0A63">
        <w:rPr>
          <w:i/>
          <w:iCs/>
        </w:rPr>
        <w:t>high confidence</w:t>
      </w:r>
      <w:r w:rsidRPr="00DD0A63">
        <w:t>).”);</w:t>
      </w:r>
      <w:r w:rsidRPr="00DD0A63">
        <w:rPr>
          <w:i/>
          <w:iCs/>
        </w:rPr>
        <w:t xml:space="preserve"> </w:t>
      </w:r>
      <w:r w:rsidRPr="00DD0A63">
        <w:t xml:space="preserve">Ramanathan V. &amp; Feng Y. (2008) </w:t>
      </w:r>
      <w:hyperlink r:id="rId21" w:history="1">
        <w:r w:rsidRPr="00DD0A63">
          <w:rPr>
            <w:rStyle w:val="Hyperlink"/>
            <w:rFonts w:eastAsia="DengXian Light"/>
            <w:i/>
            <w:iCs/>
          </w:rPr>
          <w:t>On avoiding dangerous anthropogenic interference with the climate system: Formidable challenges ahead</w:t>
        </w:r>
      </w:hyperlink>
      <w:r w:rsidRPr="00DD0A63">
        <w:t xml:space="preserve">, </w:t>
      </w:r>
      <w:r w:rsidRPr="00DD0A63">
        <w:rPr>
          <w:smallCaps/>
        </w:rPr>
        <w:t>Proc. Nat’l. Acad. Sci.</w:t>
      </w:r>
      <w:r w:rsidRPr="00DD0A63">
        <w:t xml:space="preserve"> 105(38): 14245–14250, 14248 (“Switching from coal to ‘‘cleaner’’ natural gas will reduce CO</w:t>
      </w:r>
      <w:r w:rsidRPr="00DD0A63">
        <w:rPr>
          <w:vertAlign w:val="subscript"/>
        </w:rPr>
        <w:t>2</w:t>
      </w:r>
      <w:r w:rsidRPr="00DD0A63">
        <w:t xml:space="preserve"> emission and thus would be effective in minimizing future increases in the committed warming. However, because it also reduces air pollution and thus the ABC [Atmospheric Brown Cloud] masking effect, it may speed up the approach to the committed warming of 2.4°C (1.4–4.3°C).”); United Nations Environment Programme &amp; World Meteorological Organization (2011) </w:t>
      </w:r>
      <w:hyperlink r:id="rId22" w:history="1">
        <w:r w:rsidRPr="00DD0A63">
          <w:rPr>
            <w:rStyle w:val="Hyperlink"/>
            <w:smallCaps/>
          </w:rPr>
          <w:t>Integrated Assessment of Black Carbon and Tropospheric Ozone</w:t>
        </w:r>
      </w:hyperlink>
      <w:r w:rsidRPr="00DD0A63">
        <w:t xml:space="preserve">, 254 (“Evaluating global mean temperature change, it was found that the targeted measures to reduce emissions of methane and BC could greatly reduce warming rates over the next few decades (Figure 6.1; Box 6.1). When all measures are fully implemented, warming during the 2030s relative to the present would be only half as much as in the reference scenario. In contrast, even </w:t>
      </w:r>
      <w:r w:rsidRPr="00DD0A63">
        <w:t>a fairly aggressive strategy to reduce CO</w:t>
      </w:r>
      <w:r w:rsidRPr="00DD0A63">
        <w:rPr>
          <w:vertAlign w:val="subscript"/>
        </w:rPr>
        <w:t>2</w:t>
      </w:r>
      <w:r w:rsidRPr="00DD0A63">
        <w:t xml:space="preserve"> emissions, as for the CO</w:t>
      </w:r>
      <w:r w:rsidRPr="00DD0A63">
        <w:rPr>
          <w:vertAlign w:val="subscript"/>
        </w:rPr>
        <w:t>2</w:t>
      </w:r>
      <w:r w:rsidRPr="00DD0A63">
        <w:t>-measures scenario, does little to mitigate warming until after the next 20-30 years (Box 6.2). In fact, sulphur dioxide (SO</w:t>
      </w:r>
      <w:r w:rsidRPr="00DD0A63">
        <w:rPr>
          <w:vertAlign w:val="subscript"/>
        </w:rPr>
        <w:t>2</w:t>
      </w:r>
      <w:r w:rsidRPr="00DD0A63">
        <w:t>) is coemitted with CO</w:t>
      </w:r>
      <w:r w:rsidRPr="00DD0A63">
        <w:rPr>
          <w:vertAlign w:val="subscript"/>
        </w:rPr>
        <w:t>2</w:t>
      </w:r>
      <w:r w:rsidRPr="00DD0A63">
        <w:t xml:space="preserve"> in some of the most highly emitting activities, coal burning in large-scale combustion such as in power plants, for example, that are obvious targets for reduced usage under a CO</w:t>
      </w:r>
      <w:r w:rsidRPr="00DD0A63">
        <w:rPr>
          <w:vertAlign w:val="subscript"/>
        </w:rPr>
        <w:t>2</w:t>
      </w:r>
      <w:r w:rsidRPr="00DD0A63">
        <w:t>-emissions mitigation strategy. Hence such strategies can lead to additional near-term warming (Figure 6.1), in a well-known temporary effect (e.g. Raes and Seinfeld, 2009), although most of the nearterm warming is driven by CO</w:t>
      </w:r>
      <w:r w:rsidRPr="00DD0A63">
        <w:rPr>
          <w:vertAlign w:val="subscript"/>
        </w:rPr>
        <w:t>2</w:t>
      </w:r>
      <w:r w:rsidRPr="00DD0A63">
        <w:t xml:space="preserve"> emissions in the past. The CO</w:t>
      </w:r>
      <w:r w:rsidRPr="00DD0A63">
        <w:rPr>
          <w:vertAlign w:val="subscript"/>
        </w:rPr>
        <w:t>2</w:t>
      </w:r>
      <w:r w:rsidRPr="00DD0A63">
        <w:t>-measures scenario clearly leads to long-term benefits however, with a dramatically lower warming rate at 2070 under that scenario than under the scenario with only CH</w:t>
      </w:r>
      <w:r w:rsidRPr="00DD0A63">
        <w:rPr>
          <w:vertAlign w:val="subscript"/>
        </w:rPr>
        <w:t>4</w:t>
      </w:r>
      <w:r w:rsidRPr="00DD0A63">
        <w:t xml:space="preserve"> and BC measures (see Figure 6.1 and timescales in Box 6.2). Hence the near-term measures clearly cannot be substituted for measures to reduce emissions of long-lived GHGs. The near-term measures largely target different source sectors for emissions than the CO</w:t>
      </w:r>
      <w:r w:rsidRPr="00DD0A63">
        <w:rPr>
          <w:vertAlign w:val="subscript"/>
        </w:rPr>
        <w:t>2</w:t>
      </w:r>
      <w:r w:rsidRPr="00DD0A63">
        <w:t xml:space="preserve"> measures, so that the emissions reductions of the short-lived pollutants are almost identical regardless of whether the CO</w:t>
      </w:r>
      <w:r w:rsidRPr="00DD0A63">
        <w:rPr>
          <w:vertAlign w:val="subscript"/>
        </w:rPr>
        <w:t>2</w:t>
      </w:r>
      <w:r w:rsidRPr="00DD0A63">
        <w:t xml:space="preserve"> measures are implemented or not, as shown in Chapter 5. The near-term measures and the CO</w:t>
      </w:r>
      <w:r w:rsidRPr="00DD0A63">
        <w:rPr>
          <w:vertAlign w:val="subscript"/>
        </w:rPr>
        <w:t>2</w:t>
      </w:r>
      <w:r w:rsidRPr="00DD0A63">
        <w:t xml:space="preserve"> measures also impact climate change over different timescales owing to the different lifetimes of these substances. In essence, the near-term CH</w:t>
      </w:r>
      <w:r w:rsidRPr="00DD0A63">
        <w:rPr>
          <w:vertAlign w:val="subscript"/>
        </w:rPr>
        <w:t>4</w:t>
      </w:r>
      <w:r w:rsidRPr="00DD0A63">
        <w:t xml:space="preserve"> and BC measures are effectively uncoupled from CO</w:t>
      </w:r>
      <w:r w:rsidRPr="00DD0A63">
        <w:rPr>
          <w:vertAlign w:val="subscript"/>
        </w:rPr>
        <w:t>2</w:t>
      </w:r>
      <w:r w:rsidRPr="00DD0A63">
        <w:t xml:space="preserve"> measures examined here.”); </w:t>
      </w:r>
      <w:r w:rsidRPr="00DD0A63">
        <w:rPr>
          <w:i/>
          <w:iCs/>
        </w:rPr>
        <w:t>and</w:t>
      </w:r>
      <w:r w:rsidRPr="00DD0A63">
        <w:t xml:space="preserve"> Wanser K., Wong A., Karspeck A., &amp; Esguerra N. (2023) </w:t>
      </w:r>
      <w:hyperlink r:id="rId23" w:history="1">
        <w:r w:rsidRPr="00DD0A63">
          <w:rPr>
            <w:rStyle w:val="Hyperlink"/>
            <w:smallCaps/>
          </w:rPr>
          <w:t xml:space="preserve">Near-term Climate Risk and Intervention: </w:t>
        </w:r>
        <w:r w:rsidRPr="00DD0A63">
          <w:rPr>
            <w:rStyle w:val="Hyperlink"/>
            <w:i/>
            <w:iCs/>
            <w:smallCaps/>
          </w:rPr>
          <w:t>A Roadmap for Research, U.S. Research Investment, and International Scientific Cooperation</w:t>
        </w:r>
      </w:hyperlink>
      <w:r w:rsidRPr="00DD0A63">
        <w:t>, SilverLining, 12 (“Particles (i.e., aerosols) in the atmosphere generally increase the total amount of sunlight reflected to space by scattering incoming sunlight. Anthropogenic activities produce both GHGs and other particulate matter; while GHGs warm climate, aerosols have a cooling effect both by directly scattering sunlight (i.e., the aerosol direct effect) and indirectly as the aerosols interact with clouds, increasing their brightness and/or their duration (i.e., the cloud–aerosol effect) … The potential global cooling effect of all anthropogenic aerosols is estimated at 0.5–1.1℃ (see Figure 6). Thus, these effects are potentially very large while also serving as a large source of uncertainty, making reducing these uncertainties among the highest priorities for climate research, particularly in the context of assessing near-term climate risk. Particles from emissions produced by human activities are also associated with significant adverse health and environmental effects. Actions are ongoing around the world to substantially reduce them, including recent regulation to substantially reduce sulfate emissions from ships. As the world reduces these particulate emissions, the loss of this cooling “shield” could lead to rapid substantial warming.”).</w:t>
      </w:r>
    </w:p>
    <w:p w:rsidR="00A70013" w:rsidRPr="00DD0A63" w:rsidRDefault="00A70013" w:rsidP="00DD0A63">
      <w:pPr>
        <w:pStyle w:val="EndnoteText"/>
      </w:pPr>
    </w:p>
  </w:endnote>
  <w:endnote w:id="9">
    <w:p w:rsidR="001B02C7" w:rsidRPr="00DD0A63" w:rsidRDefault="001B02C7" w:rsidP="00DD0A63">
      <w:pPr>
        <w:pStyle w:val="EndnoteText"/>
        <w:rPr>
          <w:i/>
          <w:iCs/>
        </w:rPr>
      </w:pPr>
      <w:r w:rsidRPr="00DD0A63">
        <w:rPr>
          <w:rStyle w:val="EndnoteReference"/>
        </w:rPr>
        <w:endnoteRef/>
      </w:r>
      <w:r w:rsidRPr="00DD0A63">
        <w:t xml:space="preserve"> Xu Y. &amp; Ramanathan V. (2017) </w:t>
      </w:r>
      <w:hyperlink r:id="rId24" w:history="1">
        <w:r w:rsidRPr="00DD0A63">
          <w:rPr>
            <w:rStyle w:val="Hyperlink"/>
            <w:i/>
            <w:iCs/>
          </w:rPr>
          <w:t>Well below 2 °C: Mitigation strategies for avoiding dangerous to catastrophic climate changes</w:t>
        </w:r>
      </w:hyperlink>
      <w:r w:rsidRPr="00DD0A63">
        <w:t xml:space="preserve">, </w:t>
      </w:r>
      <w:r w:rsidRPr="00DD0A63">
        <w:rPr>
          <w:smallCaps/>
        </w:rPr>
        <w:t>Proc. Nat’l. Acad. Sci.</w:t>
      </w:r>
      <w:r w:rsidRPr="00DD0A63">
        <w:t xml:space="preserve"> 114(39): 10315–10323, 10321 (“The SP [super pollutant] lever targets SLCPs. Reducing SLCP emissions thins the SP blanket within few decades, given the shorter lifetimes of SLCPs (weeks for BC to about 15 years for HFCs). The mitigation potential of the SP lever with a maximum deployment of current technologies … is about 0.6 °C by 2050 and 1.2 °C by 2100 (SI Appendix, Fig. S5B and Table S1).”). </w:t>
      </w:r>
      <w:r w:rsidRPr="00DD0A63">
        <w:rPr>
          <w:i/>
          <w:iCs/>
        </w:rPr>
        <w:t xml:space="preserve">See also </w:t>
      </w:r>
      <w:r w:rsidRPr="00DD0A63">
        <w:t xml:space="preserve">Szopa S., Naik V., Adhikary B., Artaxo P., Berntsen T., Collins W. D., Fuzzi S., Gallardo L., Kiendler-Scharr A., Klimont Z., Liao H., Unger N., &amp; Zanis P. (2021) </w:t>
      </w:r>
      <w:hyperlink r:id="rId25" w:history="1">
        <w:r w:rsidRPr="00DD0A63">
          <w:rPr>
            <w:rStyle w:val="Hyperlink"/>
            <w:i/>
            <w:iCs/>
          </w:rPr>
          <w:t>Chapter 6: Short-lived climate forcers</w:t>
        </w:r>
      </w:hyperlink>
      <w:r w:rsidRPr="00DD0A63">
        <w:t xml:space="preserve">, in </w:t>
      </w:r>
      <w:hyperlink r:id="rId26" w:history="1">
        <w:r w:rsidRPr="00DD0A63">
          <w:rPr>
            <w:rStyle w:val="Hyperlink"/>
            <w:smallCaps/>
          </w:rPr>
          <w:t>Climate Change 2021: The Physical Science Basis</w:t>
        </w:r>
      </w:hyperlink>
      <w:r w:rsidRPr="00DD0A63">
        <w:t xml:space="preserve">, </w:t>
      </w:r>
      <w:r w:rsidRPr="00DD0A63">
        <w:rPr>
          <w:i/>
          <w:iCs/>
        </w:rPr>
        <w:t>Contribution of Working Group I to the Sixth Assessment Report of the Intergovernmental Panel on Climate Change</w:t>
      </w:r>
      <w:r w:rsidRPr="00DD0A63">
        <w:t xml:space="preserve">, Masson-Delmotte V., </w:t>
      </w:r>
      <w:r w:rsidRPr="00DD0A63">
        <w:rPr>
          <w:i/>
          <w:iCs/>
        </w:rPr>
        <w:t>et al.</w:t>
      </w:r>
      <w:r w:rsidRPr="00DD0A63">
        <w:t xml:space="preserve"> (eds.), </w:t>
      </w:r>
      <w:r w:rsidRPr="00DD0A63">
        <w:rPr>
          <w:rFonts w:eastAsia="Times New Roman"/>
        </w:rPr>
        <w:t>6-7 (“Across the SSPs, the collective reduction of CH</w:t>
      </w:r>
      <w:r w:rsidRPr="00DD0A63">
        <w:rPr>
          <w:rFonts w:eastAsia="Times New Roman"/>
          <w:vertAlign w:val="subscript"/>
        </w:rPr>
        <w:t>4</w:t>
      </w:r>
      <w:r w:rsidRPr="00DD0A63">
        <w:rPr>
          <w:rFonts w:eastAsia="Times New Roman"/>
        </w:rPr>
        <w:t>, ozone precursors and HFCs can make a difference of global mean surface air temperature of 0.2 with a very likely range of [0.1–0.4] °C in 2040 and 0.8 with a very likely range of [0.5–1.3] °C at the end of the 21st century (comparing SSP3-7.0 and SSP1-1.9), which is substantial in the context of the Paris Agreement. Sustained methane mitigation, wherever it occurs, stands out as an option that combines near- and long-term gains on surface temperature (</w:t>
      </w:r>
      <w:r w:rsidRPr="00DD0A63">
        <w:rPr>
          <w:rFonts w:eastAsia="Times New Roman"/>
          <w:i/>
          <w:iCs/>
        </w:rPr>
        <w:t>high confidence</w:t>
      </w:r>
      <w:r w:rsidRPr="00DD0A63">
        <w:rPr>
          <w:rFonts w:eastAsia="Times New Roman"/>
        </w:rPr>
        <w:t>) and leads to air quality benefits by reducing surface ozone levels globally (</w:t>
      </w:r>
      <w:r w:rsidRPr="00DD0A63">
        <w:rPr>
          <w:rFonts w:eastAsia="Times New Roman"/>
          <w:i/>
          <w:iCs/>
        </w:rPr>
        <w:t>high confidence</w:t>
      </w:r>
      <w:r w:rsidRPr="00DD0A63">
        <w:rPr>
          <w:rFonts w:eastAsia="Times New Roman"/>
        </w:rPr>
        <w:t>). {6.6.3, 6.7.3, 4.4.4}”).</w:t>
      </w:r>
    </w:p>
    <w:p w:rsidR="001B02C7" w:rsidRPr="00DD0A63" w:rsidRDefault="001B02C7" w:rsidP="00DD0A63">
      <w:pPr>
        <w:pStyle w:val="EndnoteText"/>
      </w:pPr>
    </w:p>
  </w:endnote>
  <w:endnote w:id="10">
    <w:p w:rsidR="001B02C7" w:rsidRPr="00DD0A63" w:rsidRDefault="001B02C7" w:rsidP="00DD0A63">
      <w:pPr>
        <w:pStyle w:val="EndnoteText"/>
      </w:pPr>
      <w:r w:rsidRPr="00DD0A63">
        <w:rPr>
          <w:rStyle w:val="EndnoteReference"/>
        </w:rPr>
        <w:endnoteRef/>
      </w:r>
      <w:r w:rsidRPr="00DD0A63">
        <w:t xml:space="preserve"> Shindell D., </w:t>
      </w:r>
      <w:r w:rsidRPr="00DD0A63">
        <w:rPr>
          <w:i/>
          <w:iCs/>
        </w:rPr>
        <w:t>et al.</w:t>
      </w:r>
      <w:r w:rsidRPr="00DD0A63">
        <w:t xml:space="preserve"> (2012) </w:t>
      </w:r>
      <w:hyperlink r:id="rId27" w:history="1">
        <w:r w:rsidRPr="00DD0A63">
          <w:rPr>
            <w:rStyle w:val="Hyperlink"/>
            <w:i/>
            <w:iCs/>
          </w:rPr>
          <w:t>Simultaneously Mitigating Near-Term Climate Change and Improving Human Health and Food Security</w:t>
        </w:r>
      </w:hyperlink>
      <w:r w:rsidRPr="00DD0A63">
        <w:t xml:space="preserve">, </w:t>
      </w:r>
      <w:r w:rsidRPr="00DD0A63">
        <w:rPr>
          <w:smallCaps/>
        </w:rPr>
        <w:t>Science</w:t>
      </w:r>
      <w:r w:rsidRPr="00DD0A63">
        <w:t xml:space="preserve"> 335(6065): 183–189, 183–185 (“The global mean response to the CH</w:t>
      </w:r>
      <w:r w:rsidRPr="00DD0A63">
        <w:rPr>
          <w:vertAlign w:val="subscript"/>
        </w:rPr>
        <w:t>4</w:t>
      </w:r>
      <w:r w:rsidRPr="00DD0A63">
        <w:t xml:space="preserve"> plus BC measures was –0.54 </w:t>
      </w:r>
      <w:r w:rsidRPr="00DD0A63">
        <w:rPr>
          <w:rFonts w:eastAsia="Symbol"/>
        </w:rPr>
        <w:t>±</w:t>
      </w:r>
      <w:r w:rsidRPr="00DD0A63">
        <w:t xml:space="preserve"> 0.05ºC in the climate model. …Roughly half the forcing is relatively evenly distributed (from the CH</w:t>
      </w:r>
      <w:r w:rsidRPr="00DD0A63">
        <w:rPr>
          <w:vertAlign w:val="subscript"/>
        </w:rPr>
        <w:t>4</w:t>
      </w:r>
      <w:r w:rsidRPr="00DD0A63">
        <w:t xml:space="preserve"> measures). The other half is highly inhomogeneous, especially the strong BC forcing, which is greatest over bright desert and snow or ice surfaces. Those areas often exhibit the largest warming mitigation, making the regional temperature response to aerosols and ozone quite distinct from the more homogeneous response to well-mixed greenhouse gases</w:t>
      </w:r>
      <w:r w:rsidRPr="00DD0A63">
        <w:t>… . BC albedo and direct forcings are large in the Himalayas, where there is an especially pronounced response in the Karakoram, and in the Arctic, where the measures reduce projected warming over the next three decades by approximately two thirds and where regional temperature response patterns correspond fairly closely to albedo forcing (for example, they are larger over the Canadian archipelago than the interior and larger over Russia than Scandinavia or the North Atlantic).</w:t>
      </w:r>
      <w:r w:rsidRPr="00DD0A63">
        <w:rPr>
          <w:bCs/>
          <w:color w:val="000000"/>
        </w:rPr>
        <w:t xml:space="preserve">”). </w:t>
      </w:r>
      <w:r w:rsidRPr="00DD0A63">
        <w:rPr>
          <w:bCs/>
          <w:i/>
          <w:color w:val="000000"/>
        </w:rPr>
        <w:t>See also</w:t>
      </w:r>
      <w:r w:rsidRPr="00DD0A63">
        <w:rPr>
          <w:bCs/>
          <w:color w:val="000000"/>
        </w:rPr>
        <w:t xml:space="preserve"> United Nations Environment Programme</w:t>
      </w:r>
      <w:r w:rsidRPr="00DD0A63">
        <w:rPr>
          <w:rFonts w:eastAsia="Times New Roman"/>
        </w:rPr>
        <w:t xml:space="preserve"> &amp; World Meteorological Organization (2011) </w:t>
      </w:r>
      <w:hyperlink r:id="rId28" w:history="1">
        <w:r w:rsidRPr="00DD0A63">
          <w:rPr>
            <w:rStyle w:val="Hyperlink"/>
            <w:rFonts w:eastAsia="Times New Roman"/>
            <w:smallCaps/>
          </w:rPr>
          <w:t>Integrated Assessment of Black Carbon and Tropospheric Ozone</w:t>
        </w:r>
      </w:hyperlink>
      <w:r w:rsidRPr="00DD0A63">
        <w:rPr>
          <w:rFonts w:eastAsia="Times New Roman"/>
        </w:rPr>
        <w:t xml:space="preserve">, </w:t>
      </w:r>
      <w:r w:rsidRPr="00DD0A63">
        <w:t xml:space="preserve">254, </w:t>
      </w:r>
      <w:r w:rsidRPr="00DD0A63">
        <w:rPr>
          <w:rFonts w:eastAsia="Times New Roman"/>
        </w:rPr>
        <w:t xml:space="preserve">262 </w:t>
      </w:r>
      <w:r w:rsidRPr="00DD0A63">
        <w:t>(“Evaluating global mean temperature change, it was found that the targeted measures to reduce emissions of methane and BC could greatly reduce warming rates over the next few decades (Figure 6.1; Box 6.1). When all measures are fully implemented, warming during the 2030s relative to the present would be only half as much as in the reference scenario. In contrast, even a fairly aggressive strategy to reduce CO</w:t>
      </w:r>
      <w:r w:rsidRPr="00DD0A63">
        <w:rPr>
          <w:vertAlign w:val="subscript"/>
        </w:rPr>
        <w:t>2</w:t>
      </w:r>
      <w:r w:rsidRPr="00DD0A63">
        <w:t xml:space="preserve"> emissions, as for the CO</w:t>
      </w:r>
      <w:r w:rsidRPr="00DD0A63">
        <w:rPr>
          <w:vertAlign w:val="subscript"/>
        </w:rPr>
        <w:t>2</w:t>
      </w:r>
      <w:r w:rsidRPr="00DD0A63">
        <w:t>-measures scenario, does little to mitigate warming until after the next 20-30 years (Box 6.2).”; “Large impacts of the measures examined here were also seen for the Arctic despite the minimal amount of emissions currently taking place there. This occurs due to the high sensitivity of the Arctic both to pollutants that are transported there from remote sources and to radiative forcing that takes place in areas of the northern hemisphere outside the Arctic. The 16 measures examined here, including the measures on pellet stoves and coal briquettes, reduce warming in the Arctic by 0.7 ºC (range 0.2 to 1.3 ºC) at 2040. This is a large portion of the 1.1 ºC (range 0.7 to 1.7 ºC) warming projected under the reference scenario for the Arctic, and hence implementation of the measures would be virtually certain to substantially slow, but not halt, the pace of Arctic climate change.”).</w:t>
      </w:r>
    </w:p>
    <w:p w:rsidR="001B02C7" w:rsidRPr="00DD0A63" w:rsidRDefault="001B02C7" w:rsidP="00DD0A63">
      <w:pPr>
        <w:pStyle w:val="EndnoteText"/>
      </w:pPr>
    </w:p>
  </w:endnote>
  <w:endnote w:id="11">
    <w:p w:rsidR="00210334" w:rsidRPr="00DD0A63" w:rsidRDefault="00210334" w:rsidP="00DD0A63">
      <w:pPr>
        <w:pStyle w:val="EndnoteText"/>
      </w:pPr>
      <w:r w:rsidRPr="00DD0A63">
        <w:rPr>
          <w:rStyle w:val="EndnoteReference"/>
        </w:rPr>
        <w:endnoteRef/>
      </w:r>
      <w:r w:rsidRPr="00DD0A63">
        <w:t xml:space="preserve"> </w:t>
      </w:r>
      <w:r w:rsidRPr="00DD0A63">
        <w:rPr>
          <w:i/>
          <w:iCs/>
        </w:rPr>
        <w:t>See</w:t>
      </w:r>
      <w:r w:rsidRPr="00DD0A63">
        <w:t xml:space="preserve"> Zaelke D., Picolotti R., Campbell K., Dreyfus G., Chiemi T., Bloomer L., Hite B., Ghosh K., &amp; Taillant D. (2022) </w:t>
      </w:r>
      <w:hyperlink r:id="rId29" w:history="1">
        <w:r w:rsidRPr="00DD0A63">
          <w:rPr>
            <w:rStyle w:val="Hyperlink"/>
            <w:smallCaps/>
          </w:rPr>
          <w:t xml:space="preserve">The Need for Fast Near-Term Climate Mitigation to Slow Feedbacks and Avoid Tipping Points: </w:t>
        </w:r>
        <w:r w:rsidRPr="00DD0A63">
          <w:rPr>
            <w:rStyle w:val="Hyperlink"/>
            <w:i/>
            <w:iCs/>
            <w:smallCaps/>
          </w:rPr>
          <w:t>Critical Role of Short-lived Super Climate Pollutants To Address the Climate Emergency</w:t>
        </w:r>
      </w:hyperlink>
      <w:r w:rsidRPr="00DD0A63">
        <w:t>, Background Note, Institute for Governance &amp; Sustainable Development &amp; Center for Human Rights &amp; Environment.</w:t>
      </w:r>
    </w:p>
    <w:p w:rsidR="00210334" w:rsidRPr="00DD0A63" w:rsidRDefault="00210334" w:rsidP="00DD0A63">
      <w:pPr>
        <w:pStyle w:val="EndnoteText"/>
      </w:pPr>
    </w:p>
  </w:endnote>
  <w:endnote w:id="12">
    <w:p w:rsidR="00160EBA" w:rsidRPr="00DD0A63" w:rsidRDefault="00160EBA" w:rsidP="00DD0A63">
      <w:pPr>
        <w:pStyle w:val="EndnoteText"/>
      </w:pPr>
      <w:r w:rsidRPr="00DD0A63">
        <w:rPr>
          <w:rStyle w:val="EndnoteReference"/>
        </w:rPr>
        <w:endnoteRef/>
      </w:r>
      <w:r w:rsidRPr="00DD0A63">
        <w:t xml:space="preserve"> Renshaw N., Adoo-Kissi-Debrah R., Kumar A., Massawudu Musah L., &amp; Burson J. (2022) </w:t>
      </w:r>
      <w:hyperlink r:id="rId30" w:history="1">
        <w:r w:rsidRPr="00DD0A63">
          <w:rPr>
            <w:rStyle w:val="Hyperlink"/>
            <w:i/>
            <w:iCs/>
          </w:rPr>
          <w:t>A healthy future for children and adolescents</w:t>
        </w:r>
      </w:hyperlink>
      <w:r w:rsidRPr="00DD0A63">
        <w:t xml:space="preserve">, </w:t>
      </w:r>
      <w:r w:rsidRPr="00DD0A63">
        <w:rPr>
          <w:smallCaps/>
        </w:rPr>
        <w:t>The Lancet</w:t>
      </w:r>
      <w:r w:rsidRPr="00DD0A63">
        <w:t xml:space="preserve"> 400(10358): 1100–1101, 1100 (“Today, over 90% of children breathe dangerously polluted air, and in low-income and middle-income countries this figure is 98%.”); </w:t>
      </w:r>
      <w:r w:rsidRPr="00DD0A63">
        <w:rPr>
          <w:i/>
          <w:iCs/>
        </w:rPr>
        <w:t>citing</w:t>
      </w:r>
      <w:r w:rsidRPr="00DD0A63">
        <w:t xml:space="preserve"> </w:t>
      </w:r>
      <w:r w:rsidR="00DD0A63">
        <w:t>World Health Organization</w:t>
      </w:r>
      <w:r w:rsidRPr="00DD0A63">
        <w:t xml:space="preserve"> (2021) </w:t>
      </w:r>
      <w:hyperlink r:id="rId31" w:history="1">
        <w:r w:rsidRPr="00DD0A63">
          <w:rPr>
            <w:rStyle w:val="Hyperlink"/>
            <w:smallCaps/>
          </w:rPr>
          <w:t>WHO global air quality guidelines: particulate matter (PM2.5 and PM10), ozone, nitrogen dioxide, sulfur dioxide and carbon monoxide</w:t>
        </w:r>
      </w:hyperlink>
      <w:r w:rsidRPr="00DD0A63">
        <w:t>.</w:t>
      </w:r>
    </w:p>
    <w:p w:rsidR="00160EBA" w:rsidRPr="00DD0A63" w:rsidRDefault="00160EBA" w:rsidP="00DD0A63">
      <w:pPr>
        <w:pStyle w:val="EndnoteText"/>
      </w:pPr>
    </w:p>
  </w:endnote>
  <w:endnote w:id="13">
    <w:p w:rsidR="00160EBA" w:rsidRPr="00DD0A63" w:rsidRDefault="00160EBA" w:rsidP="00DD0A63">
      <w:pPr>
        <w:pStyle w:val="EndnoteText"/>
      </w:pPr>
      <w:r w:rsidRPr="00DD0A63">
        <w:rPr>
          <w:rStyle w:val="EndnoteReference"/>
        </w:rPr>
        <w:endnoteRef/>
      </w:r>
      <w:r w:rsidRPr="00DD0A63">
        <w:t xml:space="preserve"> </w:t>
      </w:r>
      <w:r w:rsidR="00DD0A63">
        <w:t>World Health Organization</w:t>
      </w:r>
      <w:r w:rsidRPr="00DD0A63">
        <w:t xml:space="preserve"> (2018) </w:t>
      </w:r>
      <w:hyperlink r:id="rId32" w:history="1">
        <w:r w:rsidRPr="00DD0A63">
          <w:rPr>
            <w:rStyle w:val="Hyperlink"/>
            <w:smallCaps/>
          </w:rPr>
          <w:t>Air pollution and child health: prescribing clean air</w:t>
        </w:r>
      </w:hyperlink>
      <w:r w:rsidRPr="00DD0A63">
        <w:t>, 5, 12–13 (“• Some 543 000 deaths in children under 5 years and 52 000 deaths in children aged 5–15 years were attributed to the joint effects of ambient and household air pollution in 2016. • Together, household air pollution from cooking and ambient air pollution cause more than 50% of acute lower respiratory tract infection (ALRI) in children under 5 years in LMICs. • Of the total number of deaths attributable to the joint effects of household and ambient air pollution worldwide in 2016, 9% were in children.”; “There is strong evidence that exposure to ambient air pollution can negatively affect children’s mental and motor development…. There is robust evidence that exposure to air pollution damages children’s lung function and impedes their lung function growth, even at lower levels of exposure. Studies have found compelling evidence that prenatal exposure to air pollution is associated with impairment of lung development and lung function in childhood. Conversely, there is evidence that children experience better lung function growth in areas in which ambient air quality has improved…. There is substantial evidence that exposure to ambient air pollution increases the risk of children for developing asthma and that breathing pollutants exacerbates childhood asthma as well.”).</w:t>
      </w:r>
    </w:p>
    <w:p w:rsidR="00762E1B" w:rsidRPr="00DD0A63" w:rsidRDefault="00762E1B" w:rsidP="00DD0A63">
      <w:pPr>
        <w:pStyle w:val="EndnoteText"/>
      </w:pPr>
    </w:p>
  </w:endnote>
  <w:endnote w:id="14">
    <w:p w:rsidR="00160EBA" w:rsidRPr="00DD0A63" w:rsidRDefault="00160EBA" w:rsidP="00DD0A63">
      <w:pPr>
        <w:pStyle w:val="EndnoteText"/>
      </w:pPr>
      <w:r w:rsidRPr="00DD0A63">
        <w:rPr>
          <w:rStyle w:val="EndnoteReference"/>
        </w:rPr>
        <w:endnoteRef/>
      </w:r>
      <w:r w:rsidRPr="00DD0A63">
        <w:t xml:space="preserve"> </w:t>
      </w:r>
      <w:r w:rsidR="00DD0A63">
        <w:t xml:space="preserve">United Nations </w:t>
      </w:r>
      <w:r w:rsidR="00DD0A63" w:rsidRPr="00DD0A63">
        <w:t>International Children's Emergency Fund</w:t>
      </w:r>
      <w:r w:rsidRPr="00DD0A63">
        <w:t xml:space="preserve"> (2022) </w:t>
      </w:r>
      <w:hyperlink r:id="rId33" w:history="1">
        <w:r w:rsidRPr="00DD0A63">
          <w:rPr>
            <w:rStyle w:val="Hyperlink"/>
            <w:smallCaps/>
          </w:rPr>
          <w:t xml:space="preserve">The Coldest Year of the Rest of their Lives: </w:t>
        </w:r>
        <w:r w:rsidRPr="00DD0A63">
          <w:rPr>
            <w:rStyle w:val="Hyperlink"/>
            <w:i/>
            <w:iCs/>
            <w:smallCaps/>
          </w:rPr>
          <w:t>Protecting children from the escalating impacts of heatwaves</w:t>
        </w:r>
      </w:hyperlink>
      <w:r w:rsidRPr="00DD0A63">
        <w:t>, 24 (“There are deep and terrible effects of failing to limit global heating to 1.7 degrees. Although exposure to high heatwave duration is expected to increase in both emission scenarios, the difference in projections between low and very high emission scenarios means that by 2050, over 370 million more children will be exposed to high heatwave duration under the very high emission scenario.”).</w:t>
      </w:r>
    </w:p>
    <w:p w:rsidR="00160EBA" w:rsidRPr="00DD0A63" w:rsidRDefault="00160EBA" w:rsidP="00DD0A63">
      <w:pPr>
        <w:pStyle w:val="EndnoteText"/>
      </w:pPr>
    </w:p>
  </w:endnote>
  <w:endnote w:id="15">
    <w:p w:rsidR="00BE5EC7" w:rsidRPr="00DD0A63" w:rsidRDefault="00BE5EC7" w:rsidP="00DD0A63">
      <w:pPr>
        <w:pStyle w:val="EndnoteText"/>
      </w:pPr>
      <w:r w:rsidRPr="00DD0A63">
        <w:rPr>
          <w:rStyle w:val="EndnoteReference"/>
        </w:rPr>
        <w:endnoteRef/>
      </w:r>
      <w:r w:rsidRPr="00DD0A63">
        <w:t xml:space="preserve"> </w:t>
      </w:r>
      <w:r w:rsidRPr="00DD0A63">
        <w:t xml:space="preserve">Kwauk C. (2022) </w:t>
      </w:r>
      <w:hyperlink r:id="rId34" w:history="1">
        <w:r w:rsidRPr="00DD0A63">
          <w:rPr>
            <w:rStyle w:val="Hyperlink"/>
            <w:smallCaps/>
          </w:rPr>
          <w:t xml:space="preserve">The Climate Change Education Ambition Report Card: </w:t>
        </w:r>
        <w:r w:rsidRPr="00DD0A63">
          <w:rPr>
            <w:rStyle w:val="Hyperlink"/>
            <w:i/>
            <w:iCs/>
            <w:smallCaps/>
          </w:rPr>
          <w:t>An analysis of updated Nationally Determined Contributions submitted to the UNFCCC and National Climate Change Learning Strategies</w:t>
        </w:r>
      </w:hyperlink>
      <w:r w:rsidRPr="00DD0A63">
        <w:t>, Education International, 14 (“Overall, based on real scores: Every country failed … Graded on a 42-point curve, all but 33 countries failed”).</w:t>
      </w:r>
    </w:p>
    <w:p w:rsidR="00BE5EC7" w:rsidRPr="00DD0A63" w:rsidRDefault="00BE5EC7" w:rsidP="00DD0A63">
      <w:pPr>
        <w:pStyle w:val="EndnoteText"/>
      </w:pPr>
    </w:p>
  </w:endnote>
  <w:endnote w:id="16">
    <w:p w:rsidR="00BE5EC7" w:rsidRPr="00DD0A63" w:rsidRDefault="00BE5EC7" w:rsidP="00DD0A63">
      <w:pPr>
        <w:pStyle w:val="EndnoteText"/>
      </w:pPr>
      <w:r w:rsidRPr="00DD0A63">
        <w:rPr>
          <w:rStyle w:val="EndnoteReference"/>
        </w:rPr>
        <w:endnoteRef/>
      </w:r>
      <w:r w:rsidRPr="00DD0A63">
        <w:t xml:space="preserve"> </w:t>
      </w:r>
      <w:r w:rsidRPr="00DD0A63">
        <w:t xml:space="preserve">Auz J. (2022) </w:t>
      </w:r>
      <w:hyperlink r:id="rId35" w:history="1">
        <w:r w:rsidRPr="00DD0A63">
          <w:rPr>
            <w:rStyle w:val="Hyperlink"/>
            <w:i/>
            <w:iCs/>
          </w:rPr>
          <w:t>Human Rights-Based Climate Litigation: A Latin American Cartography</w:t>
        </w:r>
      </w:hyperlink>
      <w:r w:rsidRPr="00DD0A63">
        <w:t xml:space="preserve">, </w:t>
      </w:r>
      <w:r w:rsidRPr="00DD0A63">
        <w:rPr>
          <w:smallCaps/>
        </w:rPr>
        <w:t>J. Hum. Rights Environ</w:t>
      </w:r>
      <w:r w:rsidRPr="00DD0A63">
        <w:t>. 13: 114–136, 124 (“Constitutional reforms in the region have also created more expeditious constitutional mechanisms for preventing and redressing fundamental rights violations, such as amparos.</w:t>
      </w:r>
      <w:r w:rsidRPr="00DD0A63">
        <w:rPr>
          <w:vertAlign w:val="superscript"/>
        </w:rPr>
        <w:t>70</w:t>
      </w:r>
      <w:r w:rsidRPr="00DD0A63">
        <w:t xml:space="preserve"> The amparo proceeding or remedy is present in all Latin American constitutions. Depending on the jurisdiction, the amparo may take varying forms, but is essentially a writ to protect fundamental rights in an expedited manner, which can usually be filed against public or private actors at any time and without legal representation.</w:t>
      </w:r>
      <w:r w:rsidRPr="00DD0A63">
        <w:rPr>
          <w:vertAlign w:val="superscript"/>
        </w:rPr>
        <w:t>71</w:t>
      </w:r>
      <w:r w:rsidRPr="00DD0A63">
        <w:t xml:space="preserve"> The IACtHR has stressed that, besides constitutional recognition of the amparo, states must also address effective injunctions against human rights violations, enable appropriate redress, and ensure that all persons can exercise their rights without discrimination.</w:t>
      </w:r>
      <w:r w:rsidRPr="00DD0A63">
        <w:rPr>
          <w:vertAlign w:val="superscript"/>
        </w:rPr>
        <w:t>72</w:t>
      </w:r>
      <w:r w:rsidRPr="00DD0A63">
        <w:t xml:space="preserve"> Indeed, environment-related litigation benefits from these amparos’ characteristics, especially those cases related to generous rules of locus standi for applicants and for the enforceability of collective or diffuse rights, such as the right to a healthy environment.”).</w:t>
      </w:r>
    </w:p>
    <w:p w:rsidR="00BE5EC7" w:rsidRPr="00DD0A63" w:rsidRDefault="00BE5EC7" w:rsidP="00DD0A63">
      <w:pPr>
        <w:pStyle w:val="EndnoteText"/>
      </w:pPr>
    </w:p>
  </w:endnote>
  <w:endnote w:id="17">
    <w:p w:rsidR="00BE5EC7" w:rsidRPr="00DD0A63" w:rsidRDefault="00BE5EC7" w:rsidP="00DD0A63">
      <w:pPr>
        <w:pStyle w:val="EndnoteText"/>
      </w:pPr>
      <w:r w:rsidRPr="00DD0A63">
        <w:rPr>
          <w:rStyle w:val="EndnoteReference"/>
        </w:rPr>
        <w:endnoteRef/>
      </w:r>
      <w:r w:rsidRPr="00DD0A63">
        <w:t xml:space="preserve"> </w:t>
      </w:r>
      <w:r w:rsidRPr="00DD0A63">
        <w:rPr>
          <w:lang w:val="pt-BR"/>
        </w:rPr>
        <w:t xml:space="preserve">Corte Suprema de </w:t>
      </w:r>
      <w:r w:rsidRPr="00DD0A63">
        <w:rPr>
          <w:lang w:val="pt-BR"/>
        </w:rPr>
        <w:t xml:space="preserve">Justicia [C.S.J.] </w:t>
      </w:r>
      <w:r w:rsidRPr="00DD0A63">
        <w:t>[Supreme Court], Civil. abril 5, 2018, M.P. L. A. T. Villabona, STC4360-2018, No. 11001-22-03-000-2018-00319-01 (</w:t>
      </w:r>
      <w:hyperlink r:id="rId36" w:history="1">
        <w:r w:rsidRPr="00DD0A63">
          <w:rPr>
            <w:rStyle w:val="Hyperlink"/>
          </w:rPr>
          <w:t>Future Generations v. Ministry of the Env.</w:t>
        </w:r>
      </w:hyperlink>
      <w:r w:rsidRPr="00DD0A63">
        <w:t>) (Colom.).</w:t>
      </w:r>
    </w:p>
    <w:p w:rsidR="00BE5EC7" w:rsidRPr="00DD0A63" w:rsidRDefault="00BE5EC7" w:rsidP="00DD0A63">
      <w:pPr>
        <w:pStyle w:val="EndnoteText"/>
      </w:pPr>
    </w:p>
  </w:endnote>
  <w:endnote w:id="18">
    <w:p w:rsidR="00B65D04" w:rsidRPr="00DD0A63" w:rsidRDefault="00B65D04" w:rsidP="00DD0A63">
      <w:pPr>
        <w:pStyle w:val="EndnoteText"/>
      </w:pPr>
      <w:r w:rsidRPr="00DD0A63">
        <w:rPr>
          <w:rStyle w:val="EndnoteReference"/>
        </w:rPr>
        <w:endnoteRef/>
      </w:r>
      <w:r w:rsidRPr="00DD0A63">
        <w:t xml:space="preserve"> Climate Action Tracker (9 November 2022) </w:t>
      </w:r>
      <w:hyperlink r:id="rId37" w:history="1">
        <w:r w:rsidRPr="00DD0A63">
          <w:rPr>
            <w:rStyle w:val="Hyperlink"/>
            <w:i/>
            <w:iCs/>
          </w:rPr>
          <w:t>Colombia</w:t>
        </w:r>
      </w:hyperlink>
      <w:r w:rsidRPr="00DD0A63">
        <w:t>, Policies &amp; Action (“</w:t>
      </w:r>
      <w:r w:rsidRPr="00DD0A63">
        <w:rPr>
          <w:b/>
          <w:bCs/>
        </w:rPr>
        <w:t>Forestry:</w:t>
      </w:r>
      <w:r w:rsidRPr="00DD0A63">
        <w:t> Colombia signed the Glasgow Leaders Declaration on Forest and Land Use at COP26. Deforestation continues in Colombia continues increasing. Total deforestation in 2021 was 1.5% higher than in 2020 (</w:t>
      </w:r>
      <w:r w:rsidRPr="00DD0A63">
        <w:t>Ministerio del Ambiente y Desarrollo Sostenible, 2022), and further measures still need to be implemented more rigorously. Deforestation continues to be a major source of emissions for the country. Its updated NDC includes a commitment to reduce the rate of deforestation to 50,000 ha/year in 2030, which means reducing deforestation three times faster than current values (about 174,000 hectares in 2021). Colombia also has a complementary target of reducing deforestation of natural forests to zero ha/year in 2030 using the Article 6 mechanism. Additionally, the updated NDC integrates other policy efforts regarding deforestation such as the strategy for deforestation control and forest management. In Glasgow, Colombia committed to declaring 30% of its territory as protected areas in 2022.”).</w:t>
      </w:r>
    </w:p>
    <w:p w:rsidR="00B65D04" w:rsidRPr="00DD0A63" w:rsidRDefault="00B65D04" w:rsidP="00DD0A63">
      <w:pPr>
        <w:pStyle w:val="EndnoteText"/>
      </w:pPr>
    </w:p>
  </w:endnote>
  <w:endnote w:id="19">
    <w:p w:rsidR="00BE5EC7" w:rsidRPr="00DD0A63" w:rsidRDefault="00BE5EC7" w:rsidP="00DD0A63">
      <w:pPr>
        <w:pStyle w:val="EndnoteText"/>
      </w:pPr>
      <w:r w:rsidRPr="00DD0A63">
        <w:rPr>
          <w:rStyle w:val="EndnoteReference"/>
        </w:rPr>
        <w:endnoteRef/>
      </w:r>
      <w:r w:rsidRPr="00DD0A63">
        <w:t xml:space="preserve"> United Nations Framework Convention on Climate Change (2022) </w:t>
      </w:r>
      <w:hyperlink r:id="rId38" w:history="1">
        <w:r w:rsidRPr="00DD0A63">
          <w:rPr>
            <w:rStyle w:val="Hyperlink"/>
            <w:smallCaps/>
          </w:rPr>
          <w:t xml:space="preserve">Synthesis Report: </w:t>
        </w:r>
        <w:r w:rsidRPr="00DD0A63">
          <w:rPr>
            <w:rStyle w:val="Hyperlink"/>
            <w:i/>
            <w:iCs/>
            <w:smallCaps/>
          </w:rPr>
          <w:t>Nationally determined contributions under the Paris Agreement</w:t>
        </w:r>
      </w:hyperlink>
      <w:r w:rsidRPr="00DD0A63">
        <w:t>, FCCC/PA/CMA/2022/4, 6 (“The contribution of Working Group III to the AR613 concludes that, in scenarios of limiting warming to 1.5 °C (with over 50 per cent likelihood by 2100) with no or limited overshoot, GHG emissions are reduced by 43 (34–60) per cent by 2030 relative to the 2019 level. For the subgroup of scenarios in which net zero emissions are also achieved in line with Article 4, paragraph 1, of the Paris Agreement, the emission reductions are slightly less, at 41 (31–59) per cent by 2030; and for the subgroup of scenarios in which net zero emissions are not achieved this century, the near-term emission reductions by 2030 tend to be slightly stronger, at 48 (35–61) per cent. In scenarios of keeping warming likely below 2 °C (with over 67 per cent likelihood) with mitigation action starting in 2020, emissions in 2030 are 27 (13–45) per cent below the 2019 level</w:t>
      </w:r>
      <w:r w:rsidR="00DD0A63" w:rsidRPr="00DD0A63">
        <w:t xml:space="preserve">…. </w:t>
      </w:r>
      <w:r w:rsidRPr="00DD0A63">
        <w:t>Full implementation of all latest NDCs (including all conditional elements) is estimated to lead to a 3.6 (0.7–6.6) per cent emission reduction by 2030 relative to the 2019 level; while implementation of all latest NDCs excluding any conditional elements is estimated to result in 3.1 (0.2–6.0) per cent higher emissions in 2030 than in 2019.”).</w:t>
      </w:r>
    </w:p>
    <w:p w:rsidR="00BE5EC7" w:rsidRPr="00DD0A63" w:rsidRDefault="00BE5EC7" w:rsidP="00DD0A63">
      <w:pPr>
        <w:pStyle w:val="EndnoteText"/>
      </w:pPr>
    </w:p>
  </w:endnote>
  <w:endnote w:id="20">
    <w:p w:rsidR="00BE5EC7" w:rsidRPr="00DD0A63" w:rsidRDefault="00BE5EC7" w:rsidP="00DD0A63">
      <w:pPr>
        <w:pStyle w:val="EndnoteText"/>
      </w:pPr>
      <w:r w:rsidRPr="00DD0A63">
        <w:rPr>
          <w:rStyle w:val="EndnoteReference"/>
        </w:rPr>
        <w:endnoteRef/>
      </w:r>
      <w:r w:rsidRPr="00DD0A63">
        <w:t xml:space="preserve"> United Nations Environment Programme (2022) </w:t>
      </w:r>
      <w:hyperlink r:id="rId39" w:history="1">
        <w:r w:rsidRPr="00DD0A63">
          <w:rPr>
            <w:rStyle w:val="Hyperlink"/>
            <w:smallCaps/>
          </w:rPr>
          <w:t xml:space="preserve">The Closing Window: </w:t>
        </w:r>
        <w:r w:rsidRPr="00DD0A63">
          <w:rPr>
            <w:rStyle w:val="Hyperlink"/>
            <w:i/>
            <w:iCs/>
            <w:smallCaps/>
          </w:rPr>
          <w:t>Climate crisis calls for rapid transformation of societies</w:t>
        </w:r>
      </w:hyperlink>
      <w:r w:rsidRPr="00DD0A63">
        <w:t>, Emissions Gap Report 2022, xix (“</w:t>
      </w:r>
      <w:r w:rsidRPr="00DD0A63">
        <w:rPr>
          <w:b/>
          <w:bCs/>
        </w:rPr>
        <w:t>Globally, the NDCs are highly insufficient, and the emissions gap remains high</w:t>
      </w:r>
      <w:r w:rsidRPr="00DD0A63">
        <w:t xml:space="preserve"> The emissions gap for 2030 is defined as the difference between the estimated total global GHG emissions resulting from the full implementation of the NDCs, and the total global GHG emissions from least-cost scenarios that keep global warming to 2°C, 1.8°C or 1.5°C, with varying levels of likelihood.”).</w:t>
      </w:r>
    </w:p>
    <w:p w:rsidR="00BE5EC7" w:rsidRPr="00DD0A63" w:rsidRDefault="00BE5EC7" w:rsidP="00DD0A63">
      <w:pPr>
        <w:pStyle w:val="EndnoteText"/>
      </w:pPr>
    </w:p>
  </w:endnote>
  <w:endnote w:id="21">
    <w:p w:rsidR="00BE5EC7" w:rsidRPr="00DD0A63" w:rsidRDefault="00BE5EC7" w:rsidP="00DD0A63">
      <w:pPr>
        <w:pStyle w:val="EndnoteText"/>
      </w:pPr>
      <w:r w:rsidRPr="00DD0A63">
        <w:rPr>
          <w:rStyle w:val="EndnoteReference"/>
        </w:rPr>
        <w:endnoteRef/>
      </w:r>
      <w:r w:rsidRPr="00DD0A63">
        <w:t xml:space="preserve"> </w:t>
      </w:r>
      <w:r w:rsidRPr="00DD0A63">
        <w:rPr>
          <w:i/>
          <w:iCs/>
        </w:rPr>
        <w:t>See generally</w:t>
      </w:r>
      <w:r w:rsidRPr="00DD0A63">
        <w:t xml:space="preserve"> </w:t>
      </w:r>
      <w:r w:rsidRPr="00DD0A63">
        <w:t xml:space="preserve">Givetash L. (10 November 2019) </w:t>
      </w:r>
      <w:hyperlink r:id="rId40" w:history="1">
        <w:r w:rsidRPr="00DD0A63">
          <w:rPr>
            <w:rStyle w:val="Hyperlink"/>
            <w:i/>
            <w:iCs/>
          </w:rPr>
          <w:t>Young female climate activists face hateful abuse online. This is how they cope</w:t>
        </w:r>
      </w:hyperlink>
      <w:r w:rsidRPr="00DD0A63">
        <w:t xml:space="preserve">, </w:t>
      </w:r>
      <w:r w:rsidRPr="00DD0A63">
        <w:rPr>
          <w:smallCaps/>
        </w:rPr>
        <w:t>NBC News</w:t>
      </w:r>
      <w:r w:rsidRPr="00DD0A63">
        <w:t xml:space="preserve">.; </w:t>
      </w:r>
      <w:r w:rsidRPr="00DD0A63">
        <w:rPr>
          <w:i/>
          <w:iCs/>
        </w:rPr>
        <w:t>and</w:t>
      </w:r>
      <w:r w:rsidRPr="00DD0A63">
        <w:t xml:space="preserve"> Readfearn G. (11 April 2022) </w:t>
      </w:r>
      <w:hyperlink r:id="rId41" w:history="1">
        <w:r w:rsidRPr="00DD0A63">
          <w:rPr>
            <w:rStyle w:val="Hyperlink"/>
            <w:i/>
            <w:iCs/>
          </w:rPr>
          <w:t>Teen climate activist subjected to sexist and racist abuse amid federal court climate case</w:t>
        </w:r>
      </w:hyperlink>
      <w:r w:rsidRPr="00DD0A63">
        <w:t xml:space="preserve">, </w:t>
      </w:r>
      <w:r w:rsidRPr="00DD0A63">
        <w:rPr>
          <w:smallCaps/>
        </w:rPr>
        <w:t>The Guardian</w:t>
      </w:r>
      <w:r w:rsidRPr="00DD0A63">
        <w:t>.</w:t>
      </w:r>
    </w:p>
    <w:p w:rsidR="00BE5EC7" w:rsidRPr="00DD0A63" w:rsidRDefault="00BE5EC7" w:rsidP="00DD0A63">
      <w:pPr>
        <w:pStyle w:val="EndnoteText"/>
      </w:pPr>
    </w:p>
  </w:endnote>
  <w:endnote w:id="22">
    <w:p w:rsidR="00BE5EC7" w:rsidRPr="00DD0A63" w:rsidRDefault="00BE5EC7" w:rsidP="00DD0A63">
      <w:pPr>
        <w:pStyle w:val="EndnoteText"/>
      </w:pPr>
      <w:r w:rsidRPr="00DD0A63">
        <w:rPr>
          <w:rStyle w:val="EndnoteReference"/>
        </w:rPr>
        <w:endnoteRef/>
      </w:r>
      <w:r w:rsidRPr="00DD0A63">
        <w:t xml:space="preserve"> </w:t>
      </w:r>
      <w:r w:rsidRPr="00DD0A63">
        <w:t xml:space="preserve">Glazebrook T. &amp; Opoku E. (2018) </w:t>
      </w:r>
      <w:hyperlink r:id="rId42" w:history="1">
        <w:r w:rsidRPr="00DD0A63">
          <w:rPr>
            <w:rStyle w:val="Hyperlink"/>
            <w:i/>
            <w:iCs/>
          </w:rPr>
          <w:t>Defending the Defenders: Environmental Protectors, Climate Change and Human Rights</w:t>
        </w:r>
      </w:hyperlink>
      <w:r w:rsidRPr="00DD0A63">
        <w:t xml:space="preserve">, </w:t>
      </w:r>
      <w:r w:rsidRPr="00DD0A63">
        <w:rPr>
          <w:smallCaps/>
        </w:rPr>
        <w:t>Ethics Environ</w:t>
      </w:r>
      <w:r w:rsidRPr="00DD0A63">
        <w:t>. 23(2): 83–109.</w:t>
      </w:r>
    </w:p>
    <w:p w:rsidR="00BE5EC7" w:rsidRPr="00DD0A63" w:rsidRDefault="00BE5EC7" w:rsidP="00DD0A63">
      <w:pPr>
        <w:pStyle w:val="EndnoteText"/>
      </w:pPr>
    </w:p>
  </w:endnote>
  <w:endnote w:id="23">
    <w:p w:rsidR="00BE5EC7" w:rsidRPr="00DD0A63" w:rsidRDefault="00BE5EC7" w:rsidP="00DD0A63">
      <w:pPr>
        <w:pStyle w:val="EndnoteText"/>
      </w:pPr>
      <w:r w:rsidRPr="00DD0A63">
        <w:rPr>
          <w:rStyle w:val="EndnoteReference"/>
        </w:rPr>
        <w:endnoteRef/>
      </w:r>
      <w:r w:rsidRPr="00DD0A63">
        <w:t xml:space="preserve"> Goldberg S. K. (21 March 2023) </w:t>
      </w:r>
      <w:hyperlink r:id="rId43" w:history="1">
        <w:r w:rsidRPr="00DD0A63">
          <w:rPr>
            <w:rStyle w:val="Hyperlink"/>
            <w:i/>
            <w:iCs/>
          </w:rPr>
          <w:t xml:space="preserve">Remembering </w:t>
        </w:r>
        <w:r w:rsidRPr="00DD0A63">
          <w:rPr>
            <w:rStyle w:val="Hyperlink"/>
            <w:i/>
            <w:iCs/>
          </w:rPr>
          <w:t>Tortuguita, Indigenous queer and non-binary environmental activist and forest defender</w:t>
        </w:r>
      </w:hyperlink>
      <w:r w:rsidRPr="00DD0A63">
        <w:t xml:space="preserve">, </w:t>
      </w:r>
      <w:r w:rsidRPr="00DD0A63">
        <w:rPr>
          <w:smallCaps/>
        </w:rPr>
        <w:t>Human Rights Campaign</w:t>
      </w:r>
      <w:r w:rsidRPr="00DD0A63">
        <w:t>.</w:t>
      </w:r>
    </w:p>
    <w:p w:rsidR="00BE5EC7" w:rsidRPr="00DD0A63" w:rsidRDefault="00BE5EC7" w:rsidP="00DD0A63">
      <w:pPr>
        <w:pStyle w:val="EndnoteText"/>
      </w:pPr>
    </w:p>
  </w:endnote>
  <w:endnote w:id="24">
    <w:p w:rsidR="00BE5EC7" w:rsidRPr="00DD0A63" w:rsidRDefault="00BE5EC7" w:rsidP="00DD0A63">
      <w:pPr>
        <w:pStyle w:val="EndnoteText"/>
      </w:pPr>
      <w:r w:rsidRPr="00DD0A63">
        <w:rPr>
          <w:rStyle w:val="EndnoteReference"/>
        </w:rPr>
        <w:endnoteRef/>
      </w:r>
      <w:r w:rsidRPr="00DD0A63">
        <w:t xml:space="preserve"> </w:t>
      </w:r>
      <w:r w:rsidRPr="00DD0A63">
        <w:t xml:space="preserve">Factora J. (14 March 2023) </w:t>
      </w:r>
      <w:hyperlink r:id="rId44" w:history="1">
        <w:r w:rsidRPr="00DD0A63">
          <w:rPr>
            <w:rStyle w:val="Hyperlink"/>
            <w:i/>
            <w:iCs/>
          </w:rPr>
          <w:t>Autopsy Shows Activist Tortuguita Was Sitting With Hands Raised When Shot by Police</w:t>
        </w:r>
      </w:hyperlink>
      <w:r w:rsidRPr="00DD0A63">
        <w:t xml:space="preserve">, </w:t>
      </w:r>
      <w:r w:rsidRPr="00DD0A63">
        <w:rPr>
          <w:smallCaps/>
        </w:rPr>
        <w:t>Them</w:t>
      </w:r>
      <w:r w:rsidR="00DD0A63" w:rsidRPr="00DD0A63">
        <w:t>.</w:t>
      </w:r>
    </w:p>
    <w:p w:rsidR="00BE5EC7" w:rsidRPr="00DD0A63" w:rsidRDefault="00BE5EC7" w:rsidP="00DD0A63">
      <w:pPr>
        <w:pStyle w:val="EndnoteText"/>
      </w:pPr>
    </w:p>
  </w:endnote>
  <w:endnote w:id="25">
    <w:p w:rsidR="00BE5EC7" w:rsidRPr="00DD0A63" w:rsidRDefault="00BE5EC7" w:rsidP="00DD0A63">
      <w:pPr>
        <w:pStyle w:val="EndnoteText"/>
      </w:pPr>
      <w:r w:rsidRPr="00DD0A63">
        <w:rPr>
          <w:rStyle w:val="EndnoteReference"/>
        </w:rPr>
        <w:endnoteRef/>
      </w:r>
      <w:r w:rsidRPr="00DD0A63">
        <w:t xml:space="preserve"> Uyeda R. L. (8 November 2022) </w:t>
      </w:r>
      <w:hyperlink r:id="rId45" w:history="1">
        <w:r w:rsidRPr="00DD0A63">
          <w:rPr>
            <w:rStyle w:val="Hyperlink"/>
            <w:i/>
            <w:iCs/>
          </w:rPr>
          <w:t>How criminalizing protests stifles climate justice</w:t>
        </w:r>
      </w:hyperlink>
      <w:r w:rsidRPr="00DD0A63">
        <w:t xml:space="preserve">, </w:t>
      </w:r>
      <w:r w:rsidRPr="00DD0A63">
        <w:rPr>
          <w:smallCaps/>
        </w:rPr>
        <w:t>Prism Reports</w:t>
      </w:r>
      <w:r w:rsidRPr="00DD0A63">
        <w:t>.</w:t>
      </w:r>
    </w:p>
    <w:p w:rsidR="00BE5EC7" w:rsidRPr="00DD0A63" w:rsidRDefault="00BE5EC7" w:rsidP="00DD0A63">
      <w:pPr>
        <w:pStyle w:val="EndnoteText"/>
      </w:pPr>
    </w:p>
  </w:endnote>
  <w:endnote w:id="26">
    <w:p w:rsidR="00BE5EC7" w:rsidRPr="00DD0A63" w:rsidRDefault="00BE5EC7" w:rsidP="00DD0A63">
      <w:pPr>
        <w:pStyle w:val="EndnoteText"/>
      </w:pPr>
      <w:r w:rsidRPr="00DD0A63">
        <w:rPr>
          <w:rStyle w:val="EndnoteReference"/>
        </w:rPr>
        <w:endnoteRef/>
      </w:r>
      <w:r w:rsidRPr="00DD0A63">
        <w:t xml:space="preserve"> Zaelke D. &amp; Cameron J. (1990) </w:t>
      </w:r>
      <w:hyperlink r:id="rId46" w:history="1">
        <w:r w:rsidRPr="00DD0A63">
          <w:rPr>
            <w:rStyle w:val="Hyperlink"/>
            <w:i/>
            <w:iCs/>
          </w:rPr>
          <w:t>Global Warming and Climate Change - An Overview of the International Legal Process</w:t>
        </w:r>
      </w:hyperlink>
      <w:r w:rsidRPr="00DD0A63">
        <w:t xml:space="preserve">, </w:t>
      </w:r>
      <w:r w:rsidRPr="00DD0A63">
        <w:rPr>
          <w:smallCaps/>
        </w:rPr>
        <w:t xml:space="preserve">Am. U.J. Int’l L. &amp; </w:t>
      </w:r>
      <w:r w:rsidRPr="00DD0A63">
        <w:rPr>
          <w:smallCaps/>
        </w:rPr>
        <w:t xml:space="preserve">Pol’y </w:t>
      </w:r>
      <w:r w:rsidRPr="00DD0A63">
        <w:t>5(2): 249–290.</w:t>
      </w:r>
    </w:p>
    <w:p w:rsidR="00BE5EC7" w:rsidRPr="00DD0A63" w:rsidRDefault="00BE5EC7" w:rsidP="00DD0A63">
      <w:pPr>
        <w:pStyle w:val="EndnoteText"/>
      </w:pPr>
    </w:p>
  </w:endnote>
  <w:endnote w:id="27">
    <w:p w:rsidR="00BE5EC7" w:rsidRPr="00DD0A63" w:rsidRDefault="00BE5EC7" w:rsidP="00DD0A63">
      <w:pPr>
        <w:pStyle w:val="EndnoteText"/>
      </w:pPr>
      <w:r w:rsidRPr="00DD0A63">
        <w:rPr>
          <w:rStyle w:val="EndnoteReference"/>
        </w:rPr>
        <w:endnoteRef/>
      </w:r>
      <w:r w:rsidRPr="00DD0A63">
        <w:t xml:space="preserve"> </w:t>
      </w:r>
      <w:r w:rsidRPr="00DD0A63">
        <w:rPr>
          <w:i/>
          <w:iCs/>
        </w:rPr>
        <w:t>See generally</w:t>
      </w:r>
      <w:r w:rsidRPr="00DD0A63">
        <w:t xml:space="preserve"> Chiemi T., </w:t>
      </w:r>
      <w:r w:rsidRPr="00DD0A63">
        <w:t xml:space="preserve">Nagireddy H., &amp; Ponce N. (28 March 2023) </w:t>
      </w:r>
      <w:hyperlink r:id="rId47" w:history="1">
        <w:r w:rsidRPr="00DD0A63">
          <w:rPr>
            <w:rStyle w:val="Hyperlink"/>
            <w:i/>
            <w:iCs/>
          </w:rPr>
          <w:t>How to Act Now on Intergenerational Climate Justice through an Advisory Opinion on Climate Change</w:t>
        </w:r>
      </w:hyperlink>
      <w:r w:rsidRPr="00DD0A63">
        <w:t xml:space="preserve">, </w:t>
      </w:r>
      <w:r w:rsidRPr="00DD0A63">
        <w:rPr>
          <w:smallCaps/>
        </w:rPr>
        <w:t>Medium</w:t>
      </w:r>
      <w:r w:rsidRPr="00DD0A63">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HELVETICA NEUE LIGHT"/>
    <w:charset w:val="00"/>
    <w:family w:val="auto"/>
    <w:pitch w:val="variable"/>
    <w:sig w:usb0="A00002FF" w:usb1="5000205B" w:usb2="00000002" w:usb3="00000000" w:csb0="00000007" w:csb1="00000000"/>
  </w:font>
  <w:font w:name="DengXian Light">
    <w:charset w:val="86"/>
    <w:family w:val="auto"/>
    <w:pitch w:val="variable"/>
    <w:sig w:usb0="A00002BF" w:usb1="38CF7CFA" w:usb2="00000016" w:usb3="00000000" w:csb0="0004000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8970353"/>
      <w:docPartObj>
        <w:docPartGallery w:val="Page Numbers (Bottom of Page)"/>
        <w:docPartUnique/>
      </w:docPartObj>
    </w:sdtPr>
    <w:sdtEndPr>
      <w:rPr>
        <w:rStyle w:val="PageNumber"/>
      </w:rPr>
    </w:sdtEndPr>
    <w:sdtContent>
      <w:p w:rsidR="00645A37" w:rsidRDefault="00645A37" w:rsidP="00C746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45A37" w:rsidRDefault="00645A37" w:rsidP="00645A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9770099"/>
      <w:docPartObj>
        <w:docPartGallery w:val="Page Numbers (Bottom of Page)"/>
        <w:docPartUnique/>
      </w:docPartObj>
    </w:sdtPr>
    <w:sdtEndPr>
      <w:rPr>
        <w:rStyle w:val="PageNumber"/>
      </w:rPr>
    </w:sdtEndPr>
    <w:sdtContent>
      <w:p w:rsidR="00645A37" w:rsidRDefault="00645A37" w:rsidP="00C74610">
        <w:pPr>
          <w:pStyle w:val="Footer"/>
          <w:framePr w:wrap="none" w:vAnchor="text" w:hAnchor="margin" w:xAlign="right" w:y="1"/>
          <w:rPr>
            <w:rStyle w:val="PageNumber"/>
          </w:rPr>
        </w:pPr>
        <w:r w:rsidRPr="00645A37">
          <w:rPr>
            <w:rStyle w:val="PageNumber"/>
            <w:rFonts w:ascii="Times New Roman" w:hAnsi="Times New Roman" w:cs="Times New Roman"/>
          </w:rPr>
          <w:fldChar w:fldCharType="begin"/>
        </w:r>
        <w:r w:rsidRPr="00645A37">
          <w:rPr>
            <w:rStyle w:val="PageNumber"/>
            <w:rFonts w:ascii="Times New Roman" w:hAnsi="Times New Roman" w:cs="Times New Roman"/>
          </w:rPr>
          <w:instrText xml:space="preserve"> PAGE </w:instrText>
        </w:r>
        <w:r w:rsidRPr="00645A37">
          <w:rPr>
            <w:rStyle w:val="PageNumber"/>
            <w:rFonts w:ascii="Times New Roman" w:hAnsi="Times New Roman" w:cs="Times New Roman"/>
          </w:rPr>
          <w:fldChar w:fldCharType="separate"/>
        </w:r>
        <w:r w:rsidRPr="00645A37">
          <w:rPr>
            <w:rStyle w:val="PageNumber"/>
            <w:rFonts w:ascii="Times New Roman" w:hAnsi="Times New Roman" w:cs="Times New Roman"/>
            <w:noProof/>
          </w:rPr>
          <w:t>1</w:t>
        </w:r>
        <w:r w:rsidRPr="00645A37">
          <w:rPr>
            <w:rStyle w:val="PageNumber"/>
            <w:rFonts w:ascii="Times New Roman" w:hAnsi="Times New Roman" w:cs="Times New Roman"/>
          </w:rPr>
          <w:fldChar w:fldCharType="end"/>
        </w:r>
      </w:p>
    </w:sdtContent>
  </w:sdt>
  <w:p w:rsidR="00645A37" w:rsidRDefault="00645A37" w:rsidP="00645A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08E" w:rsidRDefault="00E0308E" w:rsidP="00645A37">
      <w:r>
        <w:separator/>
      </w:r>
    </w:p>
  </w:footnote>
  <w:footnote w:type="continuationSeparator" w:id="0">
    <w:p w:rsidR="00E0308E" w:rsidRDefault="00E0308E" w:rsidP="00645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2CE4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3A1B8C"/>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40424"/>
    <w:multiLevelType w:val="hybridMultilevel"/>
    <w:tmpl w:val="F1284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F2360"/>
    <w:multiLevelType w:val="hybridMultilevel"/>
    <w:tmpl w:val="9E06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42CD2"/>
    <w:multiLevelType w:val="multilevel"/>
    <w:tmpl w:val="4C1C5808"/>
    <w:lvl w:ilvl="0">
      <w:start w:val="1"/>
      <w:numFmt w:val="decimal"/>
      <w:lvlText w:val="%1."/>
      <w:lvlJc w:val="left"/>
      <w:pPr>
        <w:tabs>
          <w:tab w:val="num" w:pos="720"/>
        </w:tabs>
        <w:ind w:left="720" w:hanging="360"/>
      </w:pPr>
    </w:lvl>
    <w:lvl w:ilvl="1">
      <w:start w:val="1"/>
      <w:numFmt w:val="decimal"/>
      <w:pStyle w:val="Heading1"/>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370442"/>
    <w:multiLevelType w:val="hybridMultilevel"/>
    <w:tmpl w:val="FE6C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669"/>
    <w:multiLevelType w:val="multilevel"/>
    <w:tmpl w:val="72C6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2241796">
    <w:abstractNumId w:val="1"/>
  </w:num>
  <w:num w:numId="2" w16cid:durableId="579484120">
    <w:abstractNumId w:val="4"/>
  </w:num>
  <w:num w:numId="3" w16cid:durableId="108284736">
    <w:abstractNumId w:val="3"/>
  </w:num>
  <w:num w:numId="4" w16cid:durableId="1427532380">
    <w:abstractNumId w:val="5"/>
  </w:num>
  <w:num w:numId="5" w16cid:durableId="1272779222">
    <w:abstractNumId w:val="0"/>
  </w:num>
  <w:num w:numId="6" w16cid:durableId="983778939">
    <w:abstractNumId w:val="2"/>
  </w:num>
  <w:num w:numId="7" w16cid:durableId="12683482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37"/>
    <w:rsid w:val="00032A05"/>
    <w:rsid w:val="00032CD3"/>
    <w:rsid w:val="00053456"/>
    <w:rsid w:val="000544E0"/>
    <w:rsid w:val="00062D6A"/>
    <w:rsid w:val="0009709C"/>
    <w:rsid w:val="000B3BF2"/>
    <w:rsid w:val="000F2E9F"/>
    <w:rsid w:val="00104AA0"/>
    <w:rsid w:val="001551E5"/>
    <w:rsid w:val="001559AE"/>
    <w:rsid w:val="00160EBA"/>
    <w:rsid w:val="0018641C"/>
    <w:rsid w:val="001868CE"/>
    <w:rsid w:val="001B02C7"/>
    <w:rsid w:val="001D532F"/>
    <w:rsid w:val="001E1F4D"/>
    <w:rsid w:val="001F437A"/>
    <w:rsid w:val="00210334"/>
    <w:rsid w:val="0022104C"/>
    <w:rsid w:val="00241C6D"/>
    <w:rsid w:val="00275EBC"/>
    <w:rsid w:val="0028454F"/>
    <w:rsid w:val="00296E79"/>
    <w:rsid w:val="002A17CA"/>
    <w:rsid w:val="002C573C"/>
    <w:rsid w:val="002D75A7"/>
    <w:rsid w:val="00331DC5"/>
    <w:rsid w:val="00337DA5"/>
    <w:rsid w:val="00367476"/>
    <w:rsid w:val="00373BFA"/>
    <w:rsid w:val="00395A31"/>
    <w:rsid w:val="003C0B4A"/>
    <w:rsid w:val="003C6449"/>
    <w:rsid w:val="003E5B6C"/>
    <w:rsid w:val="00401EEE"/>
    <w:rsid w:val="0040212C"/>
    <w:rsid w:val="00407BFE"/>
    <w:rsid w:val="00407E12"/>
    <w:rsid w:val="00421809"/>
    <w:rsid w:val="00441BE0"/>
    <w:rsid w:val="0044582F"/>
    <w:rsid w:val="00450E87"/>
    <w:rsid w:val="00463D5F"/>
    <w:rsid w:val="00476083"/>
    <w:rsid w:val="00481B1D"/>
    <w:rsid w:val="004914E4"/>
    <w:rsid w:val="004C070E"/>
    <w:rsid w:val="004C62CE"/>
    <w:rsid w:val="004E3B94"/>
    <w:rsid w:val="004F1A1C"/>
    <w:rsid w:val="00505775"/>
    <w:rsid w:val="00526D94"/>
    <w:rsid w:val="0054374F"/>
    <w:rsid w:val="005553BD"/>
    <w:rsid w:val="00555CEB"/>
    <w:rsid w:val="00592A17"/>
    <w:rsid w:val="005A1A00"/>
    <w:rsid w:val="005C6BAD"/>
    <w:rsid w:val="005E69D1"/>
    <w:rsid w:val="005F409E"/>
    <w:rsid w:val="005F526E"/>
    <w:rsid w:val="00600074"/>
    <w:rsid w:val="0062097C"/>
    <w:rsid w:val="00621EC0"/>
    <w:rsid w:val="00622DD5"/>
    <w:rsid w:val="006451CC"/>
    <w:rsid w:val="006452BC"/>
    <w:rsid w:val="00645A37"/>
    <w:rsid w:val="00656A86"/>
    <w:rsid w:val="00661CBB"/>
    <w:rsid w:val="00666155"/>
    <w:rsid w:val="00697816"/>
    <w:rsid w:val="006A1671"/>
    <w:rsid w:val="006B4320"/>
    <w:rsid w:val="006B53AC"/>
    <w:rsid w:val="006D6346"/>
    <w:rsid w:val="006D7FE3"/>
    <w:rsid w:val="006E4081"/>
    <w:rsid w:val="006F71EE"/>
    <w:rsid w:val="007159BC"/>
    <w:rsid w:val="007362B9"/>
    <w:rsid w:val="00743879"/>
    <w:rsid w:val="00762E1B"/>
    <w:rsid w:val="007742A4"/>
    <w:rsid w:val="00780048"/>
    <w:rsid w:val="00794C43"/>
    <w:rsid w:val="007E3B9F"/>
    <w:rsid w:val="007F16B1"/>
    <w:rsid w:val="00811CE0"/>
    <w:rsid w:val="0081578F"/>
    <w:rsid w:val="00825FFE"/>
    <w:rsid w:val="00831165"/>
    <w:rsid w:val="00843BEA"/>
    <w:rsid w:val="008A53F9"/>
    <w:rsid w:val="008A5AFA"/>
    <w:rsid w:val="008A7B99"/>
    <w:rsid w:val="008B5C9B"/>
    <w:rsid w:val="008C3B54"/>
    <w:rsid w:val="008C77C4"/>
    <w:rsid w:val="008F1C4E"/>
    <w:rsid w:val="008F4A1C"/>
    <w:rsid w:val="008F5741"/>
    <w:rsid w:val="009073AF"/>
    <w:rsid w:val="0093639A"/>
    <w:rsid w:val="00947901"/>
    <w:rsid w:val="00951CCA"/>
    <w:rsid w:val="00962971"/>
    <w:rsid w:val="00964031"/>
    <w:rsid w:val="009706F6"/>
    <w:rsid w:val="009816BC"/>
    <w:rsid w:val="00984C03"/>
    <w:rsid w:val="00993373"/>
    <w:rsid w:val="00994851"/>
    <w:rsid w:val="009B4718"/>
    <w:rsid w:val="009C3FE1"/>
    <w:rsid w:val="009C7C60"/>
    <w:rsid w:val="009D4EB9"/>
    <w:rsid w:val="00A160E9"/>
    <w:rsid w:val="00A263E2"/>
    <w:rsid w:val="00A32F89"/>
    <w:rsid w:val="00A63692"/>
    <w:rsid w:val="00A66C01"/>
    <w:rsid w:val="00A70013"/>
    <w:rsid w:val="00A851FF"/>
    <w:rsid w:val="00AA04B2"/>
    <w:rsid w:val="00AB6B55"/>
    <w:rsid w:val="00AD4908"/>
    <w:rsid w:val="00B05E64"/>
    <w:rsid w:val="00B12E33"/>
    <w:rsid w:val="00B46487"/>
    <w:rsid w:val="00B65D04"/>
    <w:rsid w:val="00B85AAB"/>
    <w:rsid w:val="00B90472"/>
    <w:rsid w:val="00BA5189"/>
    <w:rsid w:val="00BB2BC5"/>
    <w:rsid w:val="00BE5EC7"/>
    <w:rsid w:val="00C20FC8"/>
    <w:rsid w:val="00C53608"/>
    <w:rsid w:val="00C62793"/>
    <w:rsid w:val="00C72E09"/>
    <w:rsid w:val="00CA3C02"/>
    <w:rsid w:val="00CC1FA3"/>
    <w:rsid w:val="00CE041A"/>
    <w:rsid w:val="00CF0178"/>
    <w:rsid w:val="00CF458C"/>
    <w:rsid w:val="00D3749A"/>
    <w:rsid w:val="00D37617"/>
    <w:rsid w:val="00D455FB"/>
    <w:rsid w:val="00D576EB"/>
    <w:rsid w:val="00D64E78"/>
    <w:rsid w:val="00D66FB2"/>
    <w:rsid w:val="00D72278"/>
    <w:rsid w:val="00DB71AF"/>
    <w:rsid w:val="00DD0A63"/>
    <w:rsid w:val="00E0308E"/>
    <w:rsid w:val="00E12827"/>
    <w:rsid w:val="00E24D36"/>
    <w:rsid w:val="00E43036"/>
    <w:rsid w:val="00E8683A"/>
    <w:rsid w:val="00E90A99"/>
    <w:rsid w:val="00EA5471"/>
    <w:rsid w:val="00EC3798"/>
    <w:rsid w:val="00EE79D5"/>
    <w:rsid w:val="00F07577"/>
    <w:rsid w:val="00F13CB4"/>
    <w:rsid w:val="00F163FC"/>
    <w:rsid w:val="00F21456"/>
    <w:rsid w:val="00F4063A"/>
    <w:rsid w:val="00F50AEA"/>
    <w:rsid w:val="00F52DE7"/>
    <w:rsid w:val="00F8511D"/>
    <w:rsid w:val="00FB6971"/>
    <w:rsid w:val="00FD2AA9"/>
    <w:rsid w:val="00FE3F4E"/>
    <w:rsid w:val="00FF0F71"/>
    <w:rsid w:val="00FF26DA"/>
    <w:rsid w:val="00FF3191"/>
    <w:rsid w:val="00F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8DE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37"/>
    <w:rPr>
      <w:kern w:val="0"/>
      <w14:ligatures w14:val="none"/>
    </w:rPr>
  </w:style>
  <w:style w:type="paragraph" w:styleId="Heading1">
    <w:name w:val="heading 1"/>
    <w:basedOn w:val="ListParagraph"/>
    <w:next w:val="Normal"/>
    <w:link w:val="Heading1Char"/>
    <w:uiPriority w:val="9"/>
    <w:qFormat/>
    <w:rsid w:val="00B05E64"/>
    <w:pPr>
      <w:numPr>
        <w:ilvl w:val="1"/>
        <w:numId w:val="2"/>
      </w:numPr>
      <w:tabs>
        <w:tab w:val="clear" w:pos="1440"/>
        <w:tab w:val="num" w:pos="360"/>
      </w:tabs>
      <w:spacing w:after="260"/>
      <w:ind w:left="360"/>
      <w:jc w:val="both"/>
      <w:outlineLvl w:val="0"/>
    </w:pPr>
    <w:rPr>
      <w:rFonts w:ascii="Times New Roman" w:eastAsiaTheme="minorEastAsia" w:hAnsi="Times New Roman"/>
      <w:b/>
      <w:bCs/>
      <w:szCs w:val="22"/>
      <w:lang w:eastAsia="zh-CN"/>
    </w:rPr>
  </w:style>
  <w:style w:type="paragraph" w:styleId="Heading2">
    <w:name w:val="heading 2"/>
    <w:basedOn w:val="Normal"/>
    <w:next w:val="Normal"/>
    <w:link w:val="Heading2Char"/>
    <w:uiPriority w:val="9"/>
    <w:semiHidden/>
    <w:unhideWhenUsed/>
    <w:qFormat/>
    <w:rsid w:val="00160E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perlink ToC"/>
    <w:basedOn w:val="DefaultParagraphFont"/>
    <w:uiPriority w:val="99"/>
    <w:unhideWhenUsed/>
    <w:rsid w:val="00645A37"/>
    <w:rPr>
      <w:i w:val="0"/>
      <w:color w:val="2F5496" w:themeColor="accent1" w:themeShade="BF"/>
      <w:u w:val="none"/>
    </w:rPr>
  </w:style>
  <w:style w:type="paragraph" w:styleId="EndnoteText">
    <w:name w:val="endnote text"/>
    <w:aliases w:val="Char Char,Char Char Char Char,Char Char Char1,Char Char1,Char,Char Char Char,Endnote Text1, Char, Char Char Char"/>
    <w:basedOn w:val="Normal"/>
    <w:link w:val="EndnoteTextChar"/>
    <w:uiPriority w:val="99"/>
    <w:unhideWhenUsed/>
    <w:qFormat/>
    <w:rsid w:val="00645A37"/>
    <w:pPr>
      <w:jc w:val="both"/>
    </w:pPr>
    <w:rPr>
      <w:rFonts w:ascii="Times New Roman" w:eastAsiaTheme="minorEastAsia" w:hAnsi="Times New Roman" w:cs="Times New Roman"/>
      <w:sz w:val="20"/>
      <w:szCs w:val="20"/>
      <w:lang w:eastAsia="ja-JP"/>
    </w:rPr>
  </w:style>
  <w:style w:type="character" w:customStyle="1" w:styleId="EndnoteTextChar">
    <w:name w:val="Endnote Text Char"/>
    <w:aliases w:val="Char Char Char2,Char Char Char Char Char,Char Char Char1 Char,Char Char1 Char,Char Char2,Char Char Char Char1,Endnote Text1 Char, Char Char, Char Char Char Char"/>
    <w:basedOn w:val="DefaultParagraphFont"/>
    <w:link w:val="EndnoteText"/>
    <w:uiPriority w:val="99"/>
    <w:rsid w:val="00645A37"/>
    <w:rPr>
      <w:rFonts w:ascii="Times New Roman" w:eastAsiaTheme="minorEastAsia" w:hAnsi="Times New Roman" w:cs="Times New Roman"/>
      <w:kern w:val="0"/>
      <w:sz w:val="20"/>
      <w:szCs w:val="20"/>
      <w:lang w:eastAsia="ja-JP"/>
      <w14:ligatures w14:val="none"/>
    </w:rPr>
  </w:style>
  <w:style w:type="character" w:styleId="EndnoteReference">
    <w:name w:val="endnote reference"/>
    <w:basedOn w:val="DefaultParagraphFont"/>
    <w:uiPriority w:val="99"/>
    <w:unhideWhenUsed/>
    <w:qFormat/>
    <w:rsid w:val="00645A37"/>
    <w:rPr>
      <w:vertAlign w:val="superscript"/>
    </w:rPr>
  </w:style>
  <w:style w:type="paragraph" w:styleId="Header">
    <w:name w:val="header"/>
    <w:basedOn w:val="Normal"/>
    <w:link w:val="HeaderChar"/>
    <w:uiPriority w:val="99"/>
    <w:unhideWhenUsed/>
    <w:rsid w:val="00645A37"/>
    <w:pPr>
      <w:tabs>
        <w:tab w:val="center" w:pos="4680"/>
        <w:tab w:val="right" w:pos="9360"/>
      </w:tabs>
    </w:pPr>
  </w:style>
  <w:style w:type="character" w:customStyle="1" w:styleId="HeaderChar">
    <w:name w:val="Header Char"/>
    <w:basedOn w:val="DefaultParagraphFont"/>
    <w:link w:val="Header"/>
    <w:uiPriority w:val="99"/>
    <w:rsid w:val="00645A37"/>
    <w:rPr>
      <w:kern w:val="0"/>
      <w14:ligatures w14:val="none"/>
    </w:rPr>
  </w:style>
  <w:style w:type="paragraph" w:styleId="Footer">
    <w:name w:val="footer"/>
    <w:basedOn w:val="Normal"/>
    <w:link w:val="FooterChar"/>
    <w:uiPriority w:val="99"/>
    <w:unhideWhenUsed/>
    <w:rsid w:val="00645A37"/>
    <w:pPr>
      <w:tabs>
        <w:tab w:val="center" w:pos="4680"/>
        <w:tab w:val="right" w:pos="9360"/>
      </w:tabs>
    </w:pPr>
  </w:style>
  <w:style w:type="character" w:customStyle="1" w:styleId="FooterChar">
    <w:name w:val="Footer Char"/>
    <w:basedOn w:val="DefaultParagraphFont"/>
    <w:link w:val="Footer"/>
    <w:uiPriority w:val="99"/>
    <w:rsid w:val="00645A37"/>
    <w:rPr>
      <w:kern w:val="0"/>
      <w14:ligatures w14:val="none"/>
    </w:rPr>
  </w:style>
  <w:style w:type="character" w:styleId="PageNumber">
    <w:name w:val="page number"/>
    <w:basedOn w:val="DefaultParagraphFont"/>
    <w:uiPriority w:val="99"/>
    <w:semiHidden/>
    <w:unhideWhenUsed/>
    <w:rsid w:val="00645A37"/>
  </w:style>
  <w:style w:type="character" w:customStyle="1" w:styleId="Heading1Char">
    <w:name w:val="Heading 1 Char"/>
    <w:basedOn w:val="DefaultParagraphFont"/>
    <w:link w:val="Heading1"/>
    <w:uiPriority w:val="9"/>
    <w:rsid w:val="00B05E64"/>
    <w:rPr>
      <w:rFonts w:ascii="Times New Roman" w:eastAsiaTheme="minorEastAsia" w:hAnsi="Times New Roman"/>
      <w:b/>
      <w:bCs/>
      <w:kern w:val="0"/>
      <w:szCs w:val="22"/>
      <w:lang w:eastAsia="zh-CN"/>
      <w14:ligatures w14:val="none"/>
    </w:rPr>
  </w:style>
  <w:style w:type="paragraph" w:styleId="ListParagraph">
    <w:name w:val="List Paragraph"/>
    <w:basedOn w:val="Normal"/>
    <w:uiPriority w:val="34"/>
    <w:qFormat/>
    <w:rsid w:val="00B05E64"/>
    <w:pPr>
      <w:ind w:left="720"/>
      <w:contextualSpacing/>
    </w:pPr>
  </w:style>
  <w:style w:type="character" w:styleId="UnresolvedMention">
    <w:name w:val="Unresolved Mention"/>
    <w:basedOn w:val="DefaultParagraphFont"/>
    <w:uiPriority w:val="99"/>
    <w:semiHidden/>
    <w:unhideWhenUsed/>
    <w:rsid w:val="00B05E64"/>
    <w:rPr>
      <w:color w:val="605E5C"/>
      <w:shd w:val="clear" w:color="auto" w:fill="E1DFDD"/>
    </w:rPr>
  </w:style>
  <w:style w:type="character" w:styleId="FollowedHyperlink">
    <w:name w:val="FollowedHyperlink"/>
    <w:basedOn w:val="DefaultParagraphFont"/>
    <w:uiPriority w:val="99"/>
    <w:semiHidden/>
    <w:unhideWhenUsed/>
    <w:rsid w:val="001B02C7"/>
    <w:rPr>
      <w:color w:val="954F72" w:themeColor="followedHyperlink"/>
      <w:u w:val="single"/>
    </w:rPr>
  </w:style>
  <w:style w:type="character" w:customStyle="1" w:styleId="Heading2Char">
    <w:name w:val="Heading 2 Char"/>
    <w:basedOn w:val="DefaultParagraphFont"/>
    <w:link w:val="Heading2"/>
    <w:rsid w:val="00160EBA"/>
    <w:rPr>
      <w:rFonts w:asciiTheme="majorHAnsi" w:eastAsiaTheme="majorEastAsia" w:hAnsiTheme="majorHAnsi" w:cstheme="majorBidi"/>
      <w:color w:val="2F5496" w:themeColor="accent1" w:themeShade="BF"/>
      <w:kern w:val="0"/>
      <w:sz w:val="26"/>
      <w:szCs w:val="26"/>
      <w14:ligatures w14:val="none"/>
    </w:rPr>
  </w:style>
  <w:style w:type="paragraph" w:styleId="Revision">
    <w:name w:val="Revision"/>
    <w:hidden/>
    <w:uiPriority w:val="99"/>
    <w:semiHidden/>
    <w:rsid w:val="006D7FE3"/>
    <w:rPr>
      <w:kern w:val="0"/>
      <w14:ligatures w14:val="none"/>
    </w:rPr>
  </w:style>
  <w:style w:type="character" w:styleId="CommentReference">
    <w:name w:val="annotation reference"/>
    <w:basedOn w:val="DefaultParagraphFont"/>
    <w:uiPriority w:val="99"/>
    <w:semiHidden/>
    <w:unhideWhenUsed/>
    <w:rsid w:val="006D7FE3"/>
    <w:rPr>
      <w:sz w:val="16"/>
      <w:szCs w:val="16"/>
    </w:rPr>
  </w:style>
  <w:style w:type="paragraph" w:styleId="CommentText">
    <w:name w:val="annotation text"/>
    <w:basedOn w:val="Normal"/>
    <w:link w:val="CommentTextChar"/>
    <w:uiPriority w:val="99"/>
    <w:semiHidden/>
    <w:unhideWhenUsed/>
    <w:rsid w:val="006D7FE3"/>
    <w:rPr>
      <w:sz w:val="20"/>
      <w:szCs w:val="20"/>
    </w:rPr>
  </w:style>
  <w:style w:type="character" w:customStyle="1" w:styleId="CommentTextChar">
    <w:name w:val="Comment Text Char"/>
    <w:basedOn w:val="DefaultParagraphFont"/>
    <w:link w:val="CommentText"/>
    <w:uiPriority w:val="99"/>
    <w:semiHidden/>
    <w:rsid w:val="006D7FE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D7FE3"/>
    <w:rPr>
      <w:b/>
      <w:bCs/>
    </w:rPr>
  </w:style>
  <w:style w:type="character" w:customStyle="1" w:styleId="CommentSubjectChar">
    <w:name w:val="Comment Subject Char"/>
    <w:basedOn w:val="CommentTextChar"/>
    <w:link w:val="CommentSubject"/>
    <w:uiPriority w:val="99"/>
    <w:semiHidden/>
    <w:rsid w:val="006D7FE3"/>
    <w:rPr>
      <w:b/>
      <w:bCs/>
      <w:kern w:val="0"/>
      <w:sz w:val="20"/>
      <w:szCs w:val="20"/>
      <w14:ligatures w14:val="none"/>
    </w:rPr>
  </w:style>
  <w:style w:type="paragraph" w:styleId="NormalWeb">
    <w:name w:val="Normal (Web)"/>
    <w:basedOn w:val="Normal"/>
    <w:uiPriority w:val="99"/>
    <w:semiHidden/>
    <w:unhideWhenUsed/>
    <w:rsid w:val="00FF74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5443">
      <w:bodyDiv w:val="1"/>
      <w:marLeft w:val="0"/>
      <w:marRight w:val="0"/>
      <w:marTop w:val="0"/>
      <w:marBottom w:val="0"/>
      <w:divBdr>
        <w:top w:val="none" w:sz="0" w:space="0" w:color="auto"/>
        <w:left w:val="none" w:sz="0" w:space="0" w:color="auto"/>
        <w:bottom w:val="none" w:sz="0" w:space="0" w:color="auto"/>
        <w:right w:val="none" w:sz="0" w:space="0" w:color="auto"/>
      </w:divBdr>
    </w:div>
    <w:div w:id="388266749">
      <w:bodyDiv w:val="1"/>
      <w:marLeft w:val="0"/>
      <w:marRight w:val="0"/>
      <w:marTop w:val="0"/>
      <w:marBottom w:val="0"/>
      <w:divBdr>
        <w:top w:val="none" w:sz="0" w:space="0" w:color="auto"/>
        <w:left w:val="none" w:sz="0" w:space="0" w:color="auto"/>
        <w:bottom w:val="none" w:sz="0" w:space="0" w:color="auto"/>
        <w:right w:val="none" w:sz="0" w:space="0" w:color="auto"/>
      </w:divBdr>
    </w:div>
    <w:div w:id="618875409">
      <w:bodyDiv w:val="1"/>
      <w:marLeft w:val="0"/>
      <w:marRight w:val="0"/>
      <w:marTop w:val="0"/>
      <w:marBottom w:val="0"/>
      <w:divBdr>
        <w:top w:val="none" w:sz="0" w:space="0" w:color="auto"/>
        <w:left w:val="none" w:sz="0" w:space="0" w:color="auto"/>
        <w:bottom w:val="none" w:sz="0" w:space="0" w:color="auto"/>
        <w:right w:val="none" w:sz="0" w:space="0" w:color="auto"/>
      </w:divBdr>
    </w:div>
    <w:div w:id="649411198">
      <w:bodyDiv w:val="1"/>
      <w:marLeft w:val="0"/>
      <w:marRight w:val="0"/>
      <w:marTop w:val="0"/>
      <w:marBottom w:val="0"/>
      <w:divBdr>
        <w:top w:val="none" w:sz="0" w:space="0" w:color="auto"/>
        <w:left w:val="none" w:sz="0" w:space="0" w:color="auto"/>
        <w:bottom w:val="none" w:sz="0" w:space="0" w:color="auto"/>
        <w:right w:val="none" w:sz="0" w:space="0" w:color="auto"/>
      </w:divBdr>
    </w:div>
    <w:div w:id="933585914">
      <w:bodyDiv w:val="1"/>
      <w:marLeft w:val="0"/>
      <w:marRight w:val="0"/>
      <w:marTop w:val="0"/>
      <w:marBottom w:val="0"/>
      <w:divBdr>
        <w:top w:val="none" w:sz="0" w:space="0" w:color="auto"/>
        <w:left w:val="none" w:sz="0" w:space="0" w:color="auto"/>
        <w:bottom w:val="none" w:sz="0" w:space="0" w:color="auto"/>
        <w:right w:val="none" w:sz="0" w:space="0" w:color="auto"/>
      </w:divBdr>
      <w:divsChild>
        <w:div w:id="1907573576">
          <w:marLeft w:val="0"/>
          <w:marRight w:val="0"/>
          <w:marTop w:val="0"/>
          <w:marBottom w:val="0"/>
          <w:divBdr>
            <w:top w:val="none" w:sz="0" w:space="0" w:color="auto"/>
            <w:left w:val="none" w:sz="0" w:space="0" w:color="auto"/>
            <w:bottom w:val="none" w:sz="0" w:space="0" w:color="auto"/>
            <w:right w:val="none" w:sz="0" w:space="0" w:color="auto"/>
          </w:divBdr>
          <w:divsChild>
            <w:div w:id="297883534">
              <w:marLeft w:val="0"/>
              <w:marRight w:val="0"/>
              <w:marTop w:val="0"/>
              <w:marBottom w:val="0"/>
              <w:divBdr>
                <w:top w:val="none" w:sz="0" w:space="0" w:color="auto"/>
                <w:left w:val="none" w:sz="0" w:space="0" w:color="auto"/>
                <w:bottom w:val="none" w:sz="0" w:space="0" w:color="auto"/>
                <w:right w:val="none" w:sz="0" w:space="0" w:color="auto"/>
              </w:divBdr>
              <w:divsChild>
                <w:div w:id="430669123">
                  <w:marLeft w:val="0"/>
                  <w:marRight w:val="0"/>
                  <w:marTop w:val="0"/>
                  <w:marBottom w:val="0"/>
                  <w:divBdr>
                    <w:top w:val="none" w:sz="0" w:space="0" w:color="auto"/>
                    <w:left w:val="none" w:sz="0" w:space="0" w:color="auto"/>
                    <w:bottom w:val="none" w:sz="0" w:space="0" w:color="auto"/>
                    <w:right w:val="none" w:sz="0" w:space="0" w:color="auto"/>
                  </w:divBdr>
                  <w:divsChild>
                    <w:div w:id="843472930">
                      <w:marLeft w:val="0"/>
                      <w:marRight w:val="0"/>
                      <w:marTop w:val="0"/>
                      <w:marBottom w:val="0"/>
                      <w:divBdr>
                        <w:top w:val="none" w:sz="0" w:space="0" w:color="auto"/>
                        <w:left w:val="none" w:sz="0" w:space="0" w:color="auto"/>
                        <w:bottom w:val="none" w:sz="0" w:space="0" w:color="auto"/>
                        <w:right w:val="none" w:sz="0" w:space="0" w:color="auto"/>
                      </w:divBdr>
                      <w:divsChild>
                        <w:div w:id="1853372861">
                          <w:marLeft w:val="0"/>
                          <w:marRight w:val="0"/>
                          <w:marTop w:val="0"/>
                          <w:marBottom w:val="0"/>
                          <w:divBdr>
                            <w:top w:val="none" w:sz="0" w:space="0" w:color="auto"/>
                            <w:left w:val="none" w:sz="0" w:space="0" w:color="auto"/>
                            <w:bottom w:val="none" w:sz="0" w:space="0" w:color="auto"/>
                            <w:right w:val="none" w:sz="0" w:space="0" w:color="auto"/>
                          </w:divBdr>
                          <w:divsChild>
                            <w:div w:id="48651460">
                              <w:marLeft w:val="0"/>
                              <w:marRight w:val="0"/>
                              <w:marTop w:val="0"/>
                              <w:marBottom w:val="0"/>
                              <w:divBdr>
                                <w:top w:val="none" w:sz="0" w:space="0" w:color="auto"/>
                                <w:left w:val="none" w:sz="0" w:space="0" w:color="auto"/>
                                <w:bottom w:val="none" w:sz="0" w:space="0" w:color="auto"/>
                                <w:right w:val="none" w:sz="0" w:space="0" w:color="auto"/>
                              </w:divBdr>
                              <w:divsChild>
                                <w:div w:id="1895966970">
                                  <w:marLeft w:val="0"/>
                                  <w:marRight w:val="0"/>
                                  <w:marTop w:val="0"/>
                                  <w:marBottom w:val="0"/>
                                  <w:divBdr>
                                    <w:top w:val="none" w:sz="0" w:space="0" w:color="auto"/>
                                    <w:left w:val="none" w:sz="0" w:space="0" w:color="auto"/>
                                    <w:bottom w:val="none" w:sz="0" w:space="0" w:color="auto"/>
                                    <w:right w:val="none" w:sz="0" w:space="0" w:color="auto"/>
                                  </w:divBdr>
                                  <w:divsChild>
                                    <w:div w:id="1150753810">
                                      <w:marLeft w:val="0"/>
                                      <w:marRight w:val="0"/>
                                      <w:marTop w:val="0"/>
                                      <w:marBottom w:val="0"/>
                                      <w:divBdr>
                                        <w:top w:val="none" w:sz="0" w:space="0" w:color="auto"/>
                                        <w:left w:val="none" w:sz="0" w:space="0" w:color="auto"/>
                                        <w:bottom w:val="none" w:sz="0" w:space="0" w:color="auto"/>
                                        <w:right w:val="none" w:sz="0" w:space="0" w:color="auto"/>
                                      </w:divBdr>
                                      <w:divsChild>
                                        <w:div w:id="1941570265">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sChild>
                    </w:div>
                  </w:divsChild>
                </w:div>
              </w:divsChild>
            </w:div>
          </w:divsChild>
        </w:div>
      </w:divsChild>
    </w:div>
    <w:div w:id="1002509487">
      <w:bodyDiv w:val="1"/>
      <w:marLeft w:val="0"/>
      <w:marRight w:val="0"/>
      <w:marTop w:val="0"/>
      <w:marBottom w:val="0"/>
      <w:divBdr>
        <w:top w:val="none" w:sz="0" w:space="0" w:color="auto"/>
        <w:left w:val="none" w:sz="0" w:space="0" w:color="auto"/>
        <w:bottom w:val="none" w:sz="0" w:space="0" w:color="auto"/>
        <w:right w:val="none" w:sz="0" w:space="0" w:color="auto"/>
      </w:divBdr>
    </w:div>
    <w:div w:id="1960379404">
      <w:bodyDiv w:val="1"/>
      <w:marLeft w:val="0"/>
      <w:marRight w:val="0"/>
      <w:marTop w:val="0"/>
      <w:marBottom w:val="0"/>
      <w:divBdr>
        <w:top w:val="none" w:sz="0" w:space="0" w:color="auto"/>
        <w:left w:val="none" w:sz="0" w:space="0" w:color="auto"/>
        <w:bottom w:val="none" w:sz="0" w:space="0" w:color="auto"/>
        <w:right w:val="none" w:sz="0" w:space="0" w:color="auto"/>
      </w:divBdr>
      <w:divsChild>
        <w:div w:id="338700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hre.org/face-intergenerational-justice/" TargetMode="External"/><Relationship Id="rId13" Type="http://schemas.openxmlformats.org/officeDocument/2006/relationships/hyperlink" Target="https://center-hr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nter-hre.org/face-intergenerational-just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ohchr.org/en/instruments-mechanisms/instruments/convention-rights-child" TargetMode="External"/><Relationship Id="rId10" Type="http://schemas.openxmlformats.org/officeDocument/2006/relationships/hyperlink" Target="https://center-hr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gsd.org/"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ipcc.ch/report/ar6/wg1/downloads/report/IPCC_AR6_WGI_Chapter06.pdf" TargetMode="External"/><Relationship Id="rId18" Type="http://schemas.openxmlformats.org/officeDocument/2006/relationships/hyperlink" Target="https://www.ipcc.ch/report/ar6/wg3/" TargetMode="External"/><Relationship Id="rId26" Type="http://schemas.openxmlformats.org/officeDocument/2006/relationships/hyperlink" Target="https://www.ipcc.ch/report/ar6/wg1/" TargetMode="External"/><Relationship Id="rId39" Type="http://schemas.openxmlformats.org/officeDocument/2006/relationships/hyperlink" Target="https://www.unep.org/resources/emissions-gap-report-2022" TargetMode="External"/><Relationship Id="rId21" Type="http://schemas.openxmlformats.org/officeDocument/2006/relationships/hyperlink" Target="http://www.pnas.org/cgi/doi/10.1073/pnas.0803838105" TargetMode="External"/><Relationship Id="rId34" Type="http://schemas.openxmlformats.org/officeDocument/2006/relationships/hyperlink" Target="https://www.ei-ie.org/en/item/25344:the-climate-change-education-ambition-report-card" TargetMode="External"/><Relationship Id="rId42" Type="http://schemas.openxmlformats.org/officeDocument/2006/relationships/hyperlink" Target="https://doi.org/10.2979/ethicsenviro.23.2.05" TargetMode="External"/><Relationship Id="rId47" Type="http://schemas.openxmlformats.org/officeDocument/2006/relationships/hyperlink" Target="https://medium.com/@faceintergenerationaljustice/how-to-act-now-on-intergenerational-climate-justice-through-an-advisory-opinion-on-climate-change-61b178911ceb" TargetMode="External"/><Relationship Id="rId7" Type="http://schemas.openxmlformats.org/officeDocument/2006/relationships/hyperlink" Target="https://doi.org/10.1093/biosci/biab079" TargetMode="External"/><Relationship Id="rId2" Type="http://schemas.openxmlformats.org/officeDocument/2006/relationships/hyperlink" Target="https://www.ccacoalition.org/en/resources/global-methane-assessment-full-report" TargetMode="External"/><Relationship Id="rId16" Type="http://schemas.openxmlformats.org/officeDocument/2006/relationships/hyperlink" Target="file:///C:\Users\trinacthorbjornsen\Dropbox\IGSD%20Research%20&#8211;&#160;for%20Background%20Note\*Background%20Note\IN%20PROGRESS\at%20https:\www.ccacoalition.org\en\resources\integrated-assessment-black-carbon-and-tropospheric-ozone" TargetMode="External"/><Relationship Id="rId29" Type="http://schemas.openxmlformats.org/officeDocument/2006/relationships/hyperlink" Target="https://www.igsd.org/wp-content/uploads/2020/09/Science-Supporting-Need-for-Fast-Near-Term-Climate-Mitigation-Sept2020.pdf" TargetMode="External"/><Relationship Id="rId1" Type="http://schemas.openxmlformats.org/officeDocument/2006/relationships/hyperlink" Target="https://www.adaptation-fund.org/wp-content/uploads/2022/07/Youth-Report-07.11.22.pdf" TargetMode="External"/><Relationship Id="rId6" Type="http://schemas.openxmlformats.org/officeDocument/2006/relationships/hyperlink" Target="https://www.nature.com/articles/d41586-019-03595-0" TargetMode="External"/><Relationship Id="rId11" Type="http://schemas.openxmlformats.org/officeDocument/2006/relationships/hyperlink" Target="https://report.ipcc.ch/ar6wg3/pdf/IPCC_AR6_WGIII_SummaryForPolicymakers.pdf" TargetMode="External"/><Relationship Id="rId24" Type="http://schemas.openxmlformats.org/officeDocument/2006/relationships/hyperlink" Target="http://www.pnas.org/content/114/39/10315" TargetMode="External"/><Relationship Id="rId32" Type="http://schemas.openxmlformats.org/officeDocument/2006/relationships/hyperlink" Target="https://www.who.int/publications/i/item/WHO-CED-PHE-18-01" TargetMode="External"/><Relationship Id="rId37" Type="http://schemas.openxmlformats.org/officeDocument/2006/relationships/hyperlink" Target="https://climateactiontracker.org/countries/colombia/policies-action/" TargetMode="External"/><Relationship Id="rId40" Type="http://schemas.openxmlformats.org/officeDocument/2006/relationships/hyperlink" Target="https://www.nbcnews.com/news/world/young-female-climate-activists-face-hateful-abuse-online-how-they-n1079376" TargetMode="External"/><Relationship Id="rId45" Type="http://schemas.openxmlformats.org/officeDocument/2006/relationships/hyperlink" Target="https://prismreports.org/2022/11/08/criminalizing-protests-stifles-climate-justice/" TargetMode="External"/><Relationship Id="rId5" Type="http://schemas.openxmlformats.org/officeDocument/2006/relationships/hyperlink" Target="https://www.nature.com/articles/d41586-019-03595-0" TargetMode="External"/><Relationship Id="rId15" Type="http://schemas.openxmlformats.org/officeDocument/2006/relationships/hyperlink" Target="http://www.pnas.org/cgi/doi/10.1073/pnas.0803838105" TargetMode="External"/><Relationship Id="rId23" Type="http://schemas.openxmlformats.org/officeDocument/2006/relationships/hyperlink" Target="https://mcusercontent.com/effa7b2192dde9046ae5e5444/files/a0044c66-13d7-7109-c7f1-614554333266/Near_Term_Climate_Risk_Report.pdf" TargetMode="External"/><Relationship Id="rId28" Type="http://schemas.openxmlformats.org/officeDocument/2006/relationships/hyperlink" Target="https://www.ccacoalition.org/en/resources/integrated-assessment-black-carbon-and-tropospheric-ozone" TargetMode="External"/><Relationship Id="rId36" Type="http://schemas.openxmlformats.org/officeDocument/2006/relationships/hyperlink" Target="https://consultaprovidencias.cortesuprema.gov.co/visualizador/L29wdC9zb2xyLTkuMS4xL2ZpbGVzL1NBTEEgREUgQ0FTQUNJ004gQ0lWSUwvMjAxOC9Eci4gTHVpcyBBcm1hbmRvIFRvbG9zYSBWaWxsYWJvbmEvU2VudGVuY2lhcy9TVEM0MzYwLTIwMTguZG9jeA==/Tutelas" TargetMode="External"/><Relationship Id="rId10" Type="http://schemas.openxmlformats.org/officeDocument/2006/relationships/hyperlink" Target="https://doi.org/10.1016/S0140-6736(21)01787-6" TargetMode="External"/><Relationship Id="rId19" Type="http://schemas.openxmlformats.org/officeDocument/2006/relationships/hyperlink" Target="https://www.ipcc.ch/report/ar6/wg1/downloads/report/IPCC_AR6_WGI_Chapter06.pdf" TargetMode="External"/><Relationship Id="rId31" Type="http://schemas.openxmlformats.org/officeDocument/2006/relationships/hyperlink" Target="https://apps.who.int/iris/handle/10665/345329" TargetMode="External"/><Relationship Id="rId44" Type="http://schemas.openxmlformats.org/officeDocument/2006/relationships/hyperlink" Target="https://www.them.us/story/tortuguita-cop-city-atlanta-protest-autopsy-police" TargetMode="External"/><Relationship Id="rId4" Type="http://schemas.openxmlformats.org/officeDocument/2006/relationships/hyperlink" Target="https://ukcop26.org/the-global-forest-finance-pledge/" TargetMode="External"/><Relationship Id="rId9" Type="http://schemas.openxmlformats.org/officeDocument/2006/relationships/hyperlink" Target="https://report.ipcc.ch/ar6wg2/pdf/IPCC_AR6_WGII_FinalDraft_FullReport.pdf" TargetMode="External"/><Relationship Id="rId14" Type="http://schemas.openxmlformats.org/officeDocument/2006/relationships/hyperlink" Target="https://www.ipcc.ch/report/ar6/wg1/" TargetMode="External"/><Relationship Id="rId22" Type="http://schemas.openxmlformats.org/officeDocument/2006/relationships/hyperlink" Target="https://www.ccacoalition.org/en/resources/integrated-assessment-black-carbon-and-tropospheric-ozone" TargetMode="External"/><Relationship Id="rId27" Type="http://schemas.openxmlformats.org/officeDocument/2006/relationships/hyperlink" Target="http://www.sciencemag.org/content/335/6065/183" TargetMode="External"/><Relationship Id="rId30" Type="http://schemas.openxmlformats.org/officeDocument/2006/relationships/hyperlink" Target="https://www.thelancet.com/journals/lancet/article/PIIS0140-6736(22)01604-X/fulltext" TargetMode="External"/><Relationship Id="rId35" Type="http://schemas.openxmlformats.org/officeDocument/2006/relationships/hyperlink" Target="https://papers.ssrn.com/sol3/papers.cfm?abstract_id=4037490" TargetMode="External"/><Relationship Id="rId43" Type="http://schemas.openxmlformats.org/officeDocument/2006/relationships/hyperlink" Target="https://www.hrc.org/news/remembering-tortuguita-indigenous-queer-and-non-binary-environmental-activist-and-forest-defender" TargetMode="External"/><Relationship Id="rId8" Type="http://schemas.openxmlformats.org/officeDocument/2006/relationships/hyperlink" Target="https://www.ipcc.ch/report/ar6/wg2/downloads/report/IPCC_AR6_WGII_SummaryForPolicymakers.pdf" TargetMode="External"/><Relationship Id="rId3" Type="http://schemas.openxmlformats.org/officeDocument/2006/relationships/hyperlink" Target="https://ukcop26.org/glasgow-leaders-declaration-on-forests-and-land-use/" TargetMode="External"/><Relationship Id="rId12" Type="http://schemas.openxmlformats.org/officeDocument/2006/relationships/hyperlink" Target="https://www.ipcc.ch/report/ar6/wg3/" TargetMode="External"/><Relationship Id="rId17" Type="http://schemas.openxmlformats.org/officeDocument/2006/relationships/hyperlink" Target="https://report.ipcc.ch/ar6wg3/pdf/IPCC_AR6_WGIII_SummaryForPolicymakers.pdf" TargetMode="External"/><Relationship Id="rId25" Type="http://schemas.openxmlformats.org/officeDocument/2006/relationships/hyperlink" Target="https://www.ipcc.ch/report/ar6/wg1/downloads/report/IPCC_AR6_WGI_Chapter06.pdf" TargetMode="External"/><Relationship Id="rId33" Type="http://schemas.openxmlformats.org/officeDocument/2006/relationships/hyperlink" Target="https://www.unicef.org/media/129506/file/UNICEF-coldest-year-heatwaves-and-children-EN.pdf" TargetMode="External"/><Relationship Id="rId38" Type="http://schemas.openxmlformats.org/officeDocument/2006/relationships/hyperlink" Target="https://unfccc.int/sites/default/files/resource/cma2022_04.pdf" TargetMode="External"/><Relationship Id="rId46" Type="http://schemas.openxmlformats.org/officeDocument/2006/relationships/hyperlink" Target="https://digitalcommons.wcl.american.edu/cgi/viewcontent.cgi?article=1582&amp;context=auilr" TargetMode="External"/><Relationship Id="rId20" Type="http://schemas.openxmlformats.org/officeDocument/2006/relationships/hyperlink" Target="https://www.ipcc.ch/report/ar6/wg1/" TargetMode="External"/><Relationship Id="rId41" Type="http://schemas.openxmlformats.org/officeDocument/2006/relationships/hyperlink" Target="https://www.theguardian.com/law/2022/apr/12/teen-climate-activist-subjected-to-sexist-and-racist-abuse-amid-federal-court-climate-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9FC77-5C93-1F4C-940A-C4563F18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BOURQUE Frederique</dc:creator>
  <cp:keywords/>
  <dc:description/>
  <cp:lastModifiedBy/>
  <cp:revision>1</cp:revision>
  <dcterms:created xsi:type="dcterms:W3CDTF">2023-07-03T15:34:00Z</dcterms:created>
  <dcterms:modified xsi:type="dcterms:W3CDTF">2023-07-03T15:34:00Z</dcterms:modified>
</cp:coreProperties>
</file>