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D2F" w:rsidRDefault="00C12CAE">
      <w:pPr>
        <w:pStyle w:val="Standard"/>
        <w:spacing w:before="280" w:after="280" w:line="240" w:lineRule="auto"/>
        <w:jc w:val="right"/>
      </w:pPr>
      <w:r>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215CB803" wp14:editId="7D0C017C">
                <wp:simplePos x="0" y="0"/>
                <wp:positionH relativeFrom="column">
                  <wp:posOffset>48260</wp:posOffset>
                </wp:positionH>
                <wp:positionV relativeFrom="paragraph">
                  <wp:posOffset>448309</wp:posOffset>
                </wp:positionV>
                <wp:extent cx="6467475" cy="1114425"/>
                <wp:effectExtent l="0" t="0" r="28575" b="28575"/>
                <wp:wrapNone/>
                <wp:docPr id="1608761485" name="Rectangle 1"/>
                <wp:cNvGraphicFramePr/>
                <a:graphic xmlns:a="http://schemas.openxmlformats.org/drawingml/2006/main">
                  <a:graphicData uri="http://schemas.microsoft.com/office/word/2010/wordprocessingShape">
                    <wps:wsp>
                      <wps:cNvSpPr/>
                      <wps:spPr>
                        <a:xfrm>
                          <a:off x="0" y="0"/>
                          <a:ext cx="6467475" cy="1114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CD27D" id="Rectangle 1" o:spid="_x0000_s1026" style="position:absolute;margin-left:3.8pt;margin-top:35.3pt;width:509.25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" filled="f" strokecolor="black [3213]" strokeweight="1pt"/>
            </w:pict>
          </mc:Fallback>
        </mc:AlternateContent>
      </w:r>
      <w:r>
        <w:rPr>
          <w:rFonts w:ascii="Times New Roman" w:eastAsia="Times New Roman" w:hAnsi="Times New Roman" w:cs="Times New Roman"/>
          <w:b/>
        </w:rPr>
        <w:t xml:space="preserve"> Caen, le 23 mai 2023 (France)</w:t>
      </w:r>
    </w:p>
    <w:p w:rsidR="00102D2F" w:rsidRDefault="00E7681F">
      <w:pPr>
        <w:pStyle w:val="Standard"/>
        <w:spacing w:before="280" w:after="280" w:line="240" w:lineRule="auto"/>
        <w:jc w:val="center"/>
      </w:pPr>
      <w:r>
        <w:rPr>
          <w:rFonts w:ascii="Times New Roman" w:eastAsia="Times New Roman" w:hAnsi="Times New Roman" w:cs="Times New Roman"/>
          <w:b/>
        </w:rPr>
        <w:t xml:space="preserve">   </w:t>
      </w:r>
      <w:r>
        <w:rPr>
          <w:rFonts w:ascii="Times New Roman" w:eastAsia="Times New Roman" w:hAnsi="Times New Roman" w:cs="Times New Roman"/>
          <w:b/>
          <w:sz w:val="26"/>
          <w:szCs w:val="26"/>
        </w:rPr>
        <w:t xml:space="preserve">Réponse à l’appel à contribution </w:t>
      </w:r>
      <w:r>
        <w:rPr>
          <w:rFonts w:ascii="Times New Roman" w:eastAsia="Times New Roman" w:hAnsi="Times New Roman" w:cs="Times New Roman"/>
          <w:b/>
          <w:sz w:val="26"/>
          <w:szCs w:val="26"/>
        </w:rPr>
        <w:br/>
        <w:t>du Rapporteur spécial sur la promotion et la protection des droits de l'Homme dans le contexte des changements climatiques</w:t>
      </w:r>
    </w:p>
    <w:p w:rsidR="00102D2F" w:rsidRDefault="00E7681F">
      <w:pPr>
        <w:pStyle w:val="Standard"/>
        <w:spacing w:before="240" w:line="240" w:lineRule="auto"/>
        <w:jc w:val="center"/>
      </w:pPr>
      <w:r>
        <w:rPr>
          <w:rFonts w:ascii="Times New Roman" w:eastAsia="Times New Roman" w:hAnsi="Times New Roman" w:cs="Times New Roman"/>
          <w:b/>
          <w:sz w:val="26"/>
          <w:szCs w:val="26"/>
          <w:u w:val="single"/>
        </w:rPr>
        <w:t>Promotion du principe de justice intergénérationnelle</w:t>
      </w:r>
      <w:r>
        <w:rPr>
          <w:rFonts w:ascii="Times New Roman" w:eastAsia="Times New Roman" w:hAnsi="Times New Roman" w:cs="Times New Roman"/>
          <w:b/>
          <w:sz w:val="26"/>
          <w:szCs w:val="26"/>
          <w:u w:val="single"/>
        </w:rPr>
        <w:br/>
      </w:r>
      <w:r>
        <w:rPr>
          <w:noProof/>
        </w:rPr>
        <w:drawing>
          <wp:anchor distT="0" distB="0" distL="114300" distR="114300" simplePos="0" relativeHeight="4" behindDoc="0" locked="0" layoutInCell="1" allowOverlap="1" wp14:anchorId="50A1ED4E" wp14:editId="6F199B88">
            <wp:simplePos x="0" y="0"/>
            <wp:positionH relativeFrom="column">
              <wp:posOffset>4895971</wp:posOffset>
            </wp:positionH>
            <wp:positionV relativeFrom="paragraph">
              <wp:posOffset>447873</wp:posOffset>
            </wp:positionV>
            <wp:extent cx="1083929" cy="800282"/>
            <wp:effectExtent l="0" t="0" r="1921" b="0"/>
            <wp:wrapNone/>
            <wp:docPr id="706638106"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t="10372" b="16011"/>
                    <a:stretch>
                      <a:fillRect/>
                    </a:stretch>
                  </pic:blipFill>
                  <pic:spPr>
                    <a:xfrm>
                      <a:off x="0" y="0"/>
                      <a:ext cx="1083929" cy="800282"/>
                    </a:xfrm>
                    <a:prstGeom prst="rect">
                      <a:avLst/>
                    </a:prstGeom>
                    <a:noFill/>
                    <a:ln>
                      <a:noFill/>
                      <a:prstDash/>
                    </a:ln>
                  </pic:spPr>
                </pic:pic>
              </a:graphicData>
            </a:graphic>
          </wp:anchor>
        </w:drawing>
      </w:r>
      <w:r>
        <w:rPr>
          <w:noProof/>
        </w:rPr>
        <w:drawing>
          <wp:anchor distT="0" distB="0" distL="114300" distR="114300" simplePos="0" relativeHeight="3" behindDoc="0" locked="0" layoutInCell="1" allowOverlap="1" wp14:anchorId="44709436" wp14:editId="2DF2B35C">
            <wp:simplePos x="0" y="0"/>
            <wp:positionH relativeFrom="column">
              <wp:posOffset>1962028</wp:posOffset>
            </wp:positionH>
            <wp:positionV relativeFrom="paragraph">
              <wp:posOffset>466526</wp:posOffset>
            </wp:positionV>
            <wp:extent cx="762152" cy="762152"/>
            <wp:effectExtent l="0" t="0" r="0" b="0"/>
            <wp:wrapNone/>
            <wp:docPr id="744056697" name="image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62152" cy="762152"/>
                    </a:xfrm>
                    <a:prstGeom prst="rect">
                      <a:avLst/>
                    </a:prstGeom>
                    <a:noFill/>
                    <a:ln>
                      <a:noFill/>
                      <a:prstDash/>
                    </a:ln>
                  </pic:spPr>
                </pic:pic>
              </a:graphicData>
            </a:graphic>
          </wp:anchor>
        </w:drawing>
      </w:r>
      <w:r>
        <w:rPr>
          <w:noProof/>
        </w:rPr>
        <w:drawing>
          <wp:anchor distT="0" distB="0" distL="114300" distR="114300" simplePos="0" relativeHeight="2" behindDoc="1" locked="0" layoutInCell="1" allowOverlap="1" wp14:anchorId="52D79ECC" wp14:editId="34F3D1CD">
            <wp:simplePos x="0" y="0"/>
            <wp:positionH relativeFrom="column">
              <wp:posOffset>4010009</wp:posOffset>
            </wp:positionH>
            <wp:positionV relativeFrom="paragraph">
              <wp:posOffset>466526</wp:posOffset>
            </wp:positionV>
            <wp:extent cx="824788" cy="800282"/>
            <wp:effectExtent l="0" t="0" r="0" b="0"/>
            <wp:wrapNone/>
            <wp:docPr id="198982336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24788" cy="800282"/>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14:anchorId="08C46936" wp14:editId="7204F7E2">
            <wp:simplePos x="0" y="0"/>
            <wp:positionH relativeFrom="column">
              <wp:posOffset>571682</wp:posOffset>
            </wp:positionH>
            <wp:positionV relativeFrom="paragraph">
              <wp:posOffset>466526</wp:posOffset>
            </wp:positionV>
            <wp:extent cx="1123889" cy="767181"/>
            <wp:effectExtent l="0" t="0" r="61" b="0"/>
            <wp:wrapNone/>
            <wp:docPr id="831865410"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23889" cy="767181"/>
                    </a:xfrm>
                    <a:prstGeom prst="rect">
                      <a:avLst/>
                    </a:prstGeom>
                    <a:noFill/>
                    <a:ln>
                      <a:noFill/>
                      <a:prstDash/>
                    </a:ln>
                  </pic:spPr>
                </pic:pic>
              </a:graphicData>
            </a:graphic>
          </wp:anchor>
        </w:drawing>
      </w:r>
    </w:p>
    <w:p w:rsidR="00102D2F" w:rsidRDefault="00C12CAE">
      <w:pPr>
        <w:pStyle w:val="Standard"/>
        <w:spacing w:before="240" w:line="240" w:lineRule="auto"/>
        <w:jc w:val="center"/>
      </w:pPr>
      <w:r>
        <w:rPr>
          <w:noProof/>
        </w:rPr>
        <w:drawing>
          <wp:anchor distT="0" distB="0" distL="114300" distR="114300" simplePos="0" relativeHeight="251659264" behindDoc="1" locked="0" layoutInCell="1" allowOverlap="1" wp14:anchorId="43A68CF1" wp14:editId="3F592947">
            <wp:simplePos x="0" y="0"/>
            <wp:positionH relativeFrom="column">
              <wp:posOffset>2884170</wp:posOffset>
            </wp:positionH>
            <wp:positionV relativeFrom="paragraph">
              <wp:posOffset>9843</wp:posOffset>
            </wp:positionV>
            <wp:extent cx="1019190" cy="1019190"/>
            <wp:effectExtent l="0" t="0" r="0" b="0"/>
            <wp:wrapNone/>
            <wp:docPr id="1624902836"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19190" cy="1019190"/>
                    </a:xfrm>
                    <a:prstGeom prst="rect">
                      <a:avLst/>
                    </a:prstGeom>
                    <a:noFill/>
                    <a:ln>
                      <a:noFill/>
                      <a:prstDash/>
                    </a:ln>
                  </pic:spPr>
                </pic:pic>
              </a:graphicData>
            </a:graphic>
          </wp:anchor>
        </w:drawing>
      </w:r>
      <w:r w:rsidR="00D71F16">
        <w:br/>
      </w:r>
    </w:p>
    <w:p w:rsidR="00C12CAE" w:rsidRDefault="00E7681F" w:rsidP="00C12CAE">
      <w:pPr>
        <w:pStyle w:val="Standard"/>
        <w:spacing w:before="240" w:line="240" w:lineRule="auto"/>
        <w:jc w:val="center"/>
      </w:pPr>
      <w:r>
        <w:rPr>
          <w:b/>
          <w:sz w:val="24"/>
          <w:szCs w:val="24"/>
        </w:rPr>
        <w:br/>
      </w:r>
    </w:p>
    <w:p w:rsidR="00102D2F" w:rsidRDefault="00102D2F" w:rsidP="00E16C88">
      <w:pPr>
        <w:pStyle w:val="Standard"/>
        <w:spacing w:before="240" w:line="240" w:lineRule="auto"/>
        <w:rPr>
          <w:rFonts w:ascii="Times New Roman" w:eastAsia="Times New Roman" w:hAnsi="Times New Roman" w:cs="Times New Roman"/>
          <w:sz w:val="4"/>
          <w:szCs w:val="4"/>
        </w:rPr>
      </w:pPr>
    </w:p>
    <w:p w:rsidR="00102D2F" w:rsidRDefault="00E7681F">
      <w:pPr>
        <w:pStyle w:val="Standard"/>
        <w:jc w:val="center"/>
      </w:pPr>
      <w:r>
        <w:rPr>
          <w:rFonts w:ascii="Times New Roman" w:eastAsia="Times New Roman" w:hAnsi="Times New Roman" w:cs="Times New Roman"/>
          <w:b/>
          <w:sz w:val="24"/>
          <w:szCs w:val="24"/>
        </w:rPr>
        <w:t>Émilie GAILLARD</w:t>
      </w:r>
      <w:r>
        <w:rPr>
          <w:rStyle w:val="FootnoteReference"/>
          <w:rFonts w:ascii="Times New Roman" w:eastAsia="Times New Roman" w:hAnsi="Times New Roman" w:cs="Times New Roman"/>
          <w:b/>
          <w:sz w:val="24"/>
          <w:szCs w:val="24"/>
        </w:rPr>
        <w:footnoteReference w:id="1"/>
      </w:r>
      <w:r>
        <w:rPr>
          <w:rFonts w:ascii="Times New Roman" w:eastAsia="Times New Roman" w:hAnsi="Times New Roman" w:cs="Times New Roman"/>
        </w:rPr>
        <w:t>,</w:t>
      </w:r>
    </w:p>
    <w:p w:rsidR="00102D2F" w:rsidRDefault="00E7681F">
      <w:pPr>
        <w:pStyle w:val="Standard"/>
        <w:jc w:val="center"/>
      </w:pPr>
      <w:r>
        <w:rPr>
          <w:rFonts w:ascii="Times New Roman" w:eastAsia="Times New Roman" w:hAnsi="Times New Roman" w:cs="Times New Roman"/>
        </w:rPr>
        <w:t xml:space="preserve">Directrice scientifique et coordinatrice générale de la Chaire d’excellence CNRS Normandie pour la paix, maîtresse de conférences HDR en droit privé à </w:t>
      </w:r>
      <w:proofErr w:type="spellStart"/>
      <w:r>
        <w:rPr>
          <w:rFonts w:ascii="Times New Roman" w:eastAsia="Times New Roman" w:hAnsi="Times New Roman" w:cs="Times New Roman"/>
        </w:rPr>
        <w:t>SciencesPo</w:t>
      </w:r>
      <w:proofErr w:type="spellEnd"/>
      <w:r>
        <w:rPr>
          <w:rFonts w:ascii="Times New Roman" w:eastAsia="Times New Roman" w:hAnsi="Times New Roman" w:cs="Times New Roman"/>
        </w:rPr>
        <w:t xml:space="preserve"> Rennes, experte en droit(s) des générations futures</w:t>
      </w:r>
    </w:p>
    <w:p w:rsidR="00102D2F" w:rsidRDefault="00E7681F">
      <w:pPr>
        <w:pStyle w:val="Standard"/>
        <w:jc w:val="center"/>
      </w:pPr>
      <w:r>
        <w:rPr>
          <w:rFonts w:ascii="Times New Roman" w:eastAsia="Times New Roman" w:hAnsi="Times New Roman" w:cs="Times New Roman"/>
          <w:color w:val="FFFFFF"/>
          <w:sz w:val="10"/>
          <w:szCs w:val="10"/>
        </w:rPr>
        <w:t>k</w:t>
      </w:r>
      <w:r>
        <w:rPr>
          <w:rFonts w:ascii="Times New Roman" w:eastAsia="Times New Roman" w:hAnsi="Times New Roman" w:cs="Times New Roman"/>
        </w:rPr>
        <w:br/>
      </w:r>
      <w:r>
        <w:rPr>
          <w:rFonts w:ascii="Times New Roman" w:eastAsia="Times New Roman" w:hAnsi="Times New Roman" w:cs="Times New Roman"/>
          <w:b/>
        </w:rPr>
        <w:t>A</w:t>
      </w:r>
      <w:r>
        <w:rPr>
          <w:rFonts w:ascii="Times New Roman" w:eastAsia="Times New Roman" w:hAnsi="Times New Roman" w:cs="Times New Roman"/>
          <w:b/>
          <w:sz w:val="24"/>
          <w:szCs w:val="24"/>
        </w:rPr>
        <w:t>ltynaï BIDAUBAYLE</w:t>
      </w:r>
      <w:r>
        <w:rPr>
          <w:rFonts w:ascii="Times New Roman" w:eastAsia="Times New Roman" w:hAnsi="Times New Roman" w:cs="Times New Roman"/>
          <w:sz w:val="24"/>
          <w:szCs w:val="24"/>
        </w:rPr>
        <w:t>,</w:t>
      </w:r>
    </w:p>
    <w:p w:rsidR="00102D2F" w:rsidRDefault="00E7681F">
      <w:pPr>
        <w:pStyle w:val="Standard"/>
        <w:jc w:val="center"/>
      </w:pPr>
      <w:r>
        <w:rPr>
          <w:rFonts w:ascii="Times New Roman" w:eastAsia="Times New Roman" w:hAnsi="Times New Roman" w:cs="Times New Roman"/>
        </w:rPr>
        <w:t xml:space="preserve">Étudiante en M1 au sein du parcours de grade master </w:t>
      </w:r>
      <w:r>
        <w:rPr>
          <w:rFonts w:ascii="Times New Roman" w:eastAsia="Times New Roman" w:hAnsi="Times New Roman" w:cs="Times New Roman"/>
          <w:i/>
        </w:rPr>
        <w:t>Générations futures et transitions juridiques</w:t>
      </w:r>
      <w:r>
        <w:rPr>
          <w:rFonts w:ascii="Times New Roman" w:eastAsia="Times New Roman" w:hAnsi="Times New Roman" w:cs="Times New Roman"/>
        </w:rPr>
        <w:t xml:space="preserve">, </w:t>
      </w:r>
      <w:r>
        <w:rPr>
          <w:rFonts w:ascii="Times New Roman" w:eastAsia="Times New Roman" w:hAnsi="Times New Roman" w:cs="Times New Roman"/>
        </w:rPr>
        <w:br/>
      </w:r>
      <w:proofErr w:type="spellStart"/>
      <w:r>
        <w:rPr>
          <w:rFonts w:ascii="Times New Roman" w:eastAsia="Times New Roman" w:hAnsi="Times New Roman" w:cs="Times New Roman"/>
        </w:rPr>
        <w:t>SciencesPo</w:t>
      </w:r>
      <w:proofErr w:type="spellEnd"/>
      <w:r>
        <w:rPr>
          <w:rFonts w:ascii="Times New Roman" w:eastAsia="Times New Roman" w:hAnsi="Times New Roman" w:cs="Times New Roman"/>
        </w:rPr>
        <w:t xml:space="preserve"> Rennes, campus de Caen.</w:t>
      </w:r>
    </w:p>
    <w:p w:rsidR="00102D2F" w:rsidRDefault="00E7681F">
      <w:pPr>
        <w:pStyle w:val="Standard"/>
        <w:jc w:val="center"/>
      </w:pPr>
      <w:r>
        <w:rPr>
          <w:rFonts w:ascii="Times New Roman" w:eastAsia="Times New Roman" w:hAnsi="Times New Roman" w:cs="Times New Roman"/>
        </w:rPr>
        <w:t>Mémoire de recherche 2022-2024</w:t>
      </w:r>
      <w:r w:rsidR="00223374">
        <w:rPr>
          <w:rFonts w:ascii="Times New Roman" w:eastAsia="Times New Roman" w:hAnsi="Times New Roman" w:cs="Times New Roman"/>
        </w:rPr>
        <w:t xml:space="preserve"> </w:t>
      </w:r>
      <w:r>
        <w:rPr>
          <w:rFonts w:ascii="Times New Roman" w:eastAsia="Times New Roman" w:hAnsi="Times New Roman" w:cs="Times New Roman"/>
        </w:rPr>
        <w:t>: “Le contentieux climatique : limites et opportunités pour la justice transgénérationnelle”</w:t>
      </w:r>
    </w:p>
    <w:p w:rsidR="00102D2F" w:rsidRDefault="00102D2F">
      <w:pPr>
        <w:pStyle w:val="Standard"/>
        <w:jc w:val="center"/>
        <w:rPr>
          <w:rFonts w:ascii="Times New Roman" w:eastAsia="Times New Roman" w:hAnsi="Times New Roman" w:cs="Times New Roman"/>
          <w:sz w:val="12"/>
          <w:szCs w:val="12"/>
        </w:rPr>
      </w:pPr>
    </w:p>
    <w:p w:rsidR="00102D2F" w:rsidRDefault="00E7681F">
      <w:pPr>
        <w:pStyle w:val="Standard"/>
        <w:jc w:val="center"/>
      </w:pPr>
      <w:r>
        <w:rPr>
          <w:rFonts w:ascii="Times New Roman" w:eastAsia="Times New Roman" w:hAnsi="Times New Roman" w:cs="Times New Roman"/>
          <w:b/>
          <w:sz w:val="24"/>
          <w:szCs w:val="24"/>
        </w:rPr>
        <w:t>Lolita COUCHENE</w:t>
      </w:r>
      <w:r>
        <w:rPr>
          <w:rFonts w:ascii="Times New Roman" w:eastAsia="Times New Roman" w:hAnsi="Times New Roman" w:cs="Times New Roman"/>
        </w:rPr>
        <w:t>,</w:t>
      </w:r>
    </w:p>
    <w:p w:rsidR="00102D2F" w:rsidRDefault="00E7681F">
      <w:pPr>
        <w:pStyle w:val="Standard"/>
        <w:jc w:val="center"/>
      </w:pPr>
      <w:r>
        <w:rPr>
          <w:rFonts w:ascii="Times New Roman" w:eastAsia="Times New Roman" w:hAnsi="Times New Roman" w:cs="Times New Roman"/>
        </w:rPr>
        <w:t xml:space="preserve">Étudiante en M1 au sein du parcours de grade master </w:t>
      </w:r>
      <w:r>
        <w:rPr>
          <w:rFonts w:ascii="Times New Roman" w:eastAsia="Times New Roman" w:hAnsi="Times New Roman" w:cs="Times New Roman"/>
          <w:i/>
        </w:rPr>
        <w:t>Générations futures et transitions juridiques</w:t>
      </w:r>
      <w:r>
        <w:rPr>
          <w:rFonts w:ascii="Times New Roman" w:eastAsia="Times New Roman" w:hAnsi="Times New Roman" w:cs="Times New Roman"/>
        </w:rPr>
        <w:t>,</w:t>
      </w:r>
    </w:p>
    <w:p w:rsidR="00102D2F" w:rsidRDefault="00E7681F">
      <w:pPr>
        <w:pStyle w:val="Standard"/>
        <w:jc w:val="center"/>
      </w:pPr>
      <w:proofErr w:type="spellStart"/>
      <w:r>
        <w:rPr>
          <w:rFonts w:ascii="Times New Roman" w:eastAsia="Times New Roman" w:hAnsi="Times New Roman" w:cs="Times New Roman"/>
        </w:rPr>
        <w:t>SciencesPo</w:t>
      </w:r>
      <w:proofErr w:type="spellEnd"/>
      <w:r>
        <w:rPr>
          <w:rFonts w:ascii="Times New Roman" w:eastAsia="Times New Roman" w:hAnsi="Times New Roman" w:cs="Times New Roman"/>
        </w:rPr>
        <w:t xml:space="preserve"> Rennes, campus de Caen.</w:t>
      </w:r>
    </w:p>
    <w:p w:rsidR="00102D2F" w:rsidRDefault="00E7681F">
      <w:pPr>
        <w:pStyle w:val="Standard"/>
        <w:jc w:val="center"/>
      </w:pPr>
      <w:r>
        <w:rPr>
          <w:rFonts w:ascii="Times New Roman" w:eastAsia="Times New Roman" w:hAnsi="Times New Roman" w:cs="Times New Roman"/>
        </w:rPr>
        <w:t xml:space="preserve"> Mémoire de recherche 2022-2024</w:t>
      </w:r>
      <w:r w:rsidR="00223374">
        <w:rPr>
          <w:rFonts w:ascii="Times New Roman" w:eastAsia="Times New Roman" w:hAnsi="Times New Roman" w:cs="Times New Roman"/>
        </w:rPr>
        <w:t xml:space="preserve"> </w:t>
      </w:r>
      <w:r>
        <w:rPr>
          <w:rFonts w:ascii="Times New Roman" w:eastAsia="Times New Roman" w:hAnsi="Times New Roman" w:cs="Times New Roman"/>
        </w:rPr>
        <w:t xml:space="preserve">: “Approches </w:t>
      </w:r>
      <w:proofErr w:type="spellStart"/>
      <w:r>
        <w:rPr>
          <w:rFonts w:ascii="Times New Roman" w:eastAsia="Times New Roman" w:hAnsi="Times New Roman" w:cs="Times New Roman"/>
        </w:rPr>
        <w:t>décoloniale</w:t>
      </w:r>
      <w:proofErr w:type="spellEnd"/>
      <w:r>
        <w:rPr>
          <w:rFonts w:ascii="Times New Roman" w:eastAsia="Times New Roman" w:hAnsi="Times New Roman" w:cs="Times New Roman"/>
        </w:rPr>
        <w:t xml:space="preserve"> et transgénérationnelle du droit à la paix”</w:t>
      </w:r>
    </w:p>
    <w:p w:rsidR="00102D2F" w:rsidRDefault="00102D2F">
      <w:pPr>
        <w:pStyle w:val="Standard"/>
        <w:jc w:val="center"/>
        <w:rPr>
          <w:rFonts w:ascii="Times New Roman" w:eastAsia="Times New Roman" w:hAnsi="Times New Roman" w:cs="Times New Roman"/>
          <w:sz w:val="14"/>
          <w:szCs w:val="14"/>
        </w:rPr>
      </w:pPr>
    </w:p>
    <w:p w:rsidR="00102D2F" w:rsidRDefault="00E7681F">
      <w:pPr>
        <w:pStyle w:val="Standard"/>
      </w:pPr>
      <w:r>
        <w:rPr>
          <w:rFonts w:ascii="Times New Roman" w:eastAsia="Times New Roman" w:hAnsi="Times New Roman" w:cs="Times New Roman"/>
          <w:b/>
          <w:shd w:val="clear" w:color="auto" w:fill="FFFFFF"/>
        </w:rPr>
        <w:t>Présentation de la Chaire d’excellence CNRS Normandie pour la paix</w:t>
      </w:r>
    </w:p>
    <w:p w:rsidR="00102D2F" w:rsidRDefault="00102D2F">
      <w:pPr>
        <w:pStyle w:val="Standard"/>
        <w:rPr>
          <w:rFonts w:ascii="Times New Roman" w:eastAsia="Times New Roman" w:hAnsi="Times New Roman" w:cs="Times New Roman"/>
          <w:b/>
          <w:sz w:val="6"/>
          <w:szCs w:val="6"/>
          <w:shd w:val="clear" w:color="auto" w:fill="FFFFFF"/>
        </w:rPr>
      </w:pPr>
    </w:p>
    <w:p w:rsidR="00102D2F" w:rsidRDefault="00E7681F">
      <w:pPr>
        <w:pStyle w:val="Standard"/>
        <w:jc w:val="both"/>
      </w:pPr>
      <w:r>
        <w:rPr>
          <w:rFonts w:ascii="Times New Roman" w:eastAsia="Times New Roman" w:hAnsi="Times New Roman" w:cs="Times New Roman"/>
          <w:shd w:val="clear" w:color="auto" w:fill="FFFFFF"/>
        </w:rPr>
        <w:t xml:space="preserve">La Chaire d’excellence CNRS Normandie pour la paix est un dispositif d’innovation exploratoire réunissant des équipes intergénérationnelles, internationales, ouvertes à la diversité des cultures pour promouvoir la paix avec la Terre et le(s) droit(s) des générations futures. Elle s’articule autour de 12 lignes de recherches interdépendantes mettant en lumière les enjeux existentiels de l’Humanité et de la planète Terre. Elle est éminemment responsable car elle réalise des missions de diplomaties scientifiques et </w:t>
      </w:r>
      <w:r w:rsidR="00887472">
        <w:rPr>
          <w:rFonts w:ascii="Times New Roman" w:eastAsia="Times New Roman" w:hAnsi="Times New Roman" w:cs="Times New Roman"/>
          <w:shd w:val="clear" w:color="auto" w:fill="FFFFFF"/>
        </w:rPr>
        <w:t>œuvre</w:t>
      </w:r>
      <w:r>
        <w:rPr>
          <w:rFonts w:ascii="Times New Roman" w:eastAsia="Times New Roman" w:hAnsi="Times New Roman" w:cs="Times New Roman"/>
          <w:shd w:val="clear" w:color="auto" w:fill="FFFFFF"/>
        </w:rPr>
        <w:t xml:space="preserve"> dans une démarche de dialogues et de soutien à la société civile (jeunesse et climat, la campagne internationale World </w:t>
      </w:r>
      <w:proofErr w:type="spellStart"/>
      <w:r>
        <w:rPr>
          <w:rFonts w:ascii="Times New Roman" w:eastAsia="Times New Roman" w:hAnsi="Times New Roman" w:cs="Times New Roman"/>
          <w:shd w:val="clear" w:color="auto" w:fill="FFFFFF"/>
        </w:rPr>
        <w:t>Youth</w:t>
      </w:r>
      <w:proofErr w:type="spellEnd"/>
      <w:r>
        <w:rPr>
          <w:rFonts w:ascii="Times New Roman" w:eastAsia="Times New Roman" w:hAnsi="Times New Roman" w:cs="Times New Roman"/>
          <w:shd w:val="clear" w:color="auto" w:fill="FFFFFF"/>
        </w:rPr>
        <w:t xml:space="preserve"> for Climate Justice - WYCJ), les praticiens du droit (</w:t>
      </w:r>
      <w:r w:rsidR="00887472">
        <w:rPr>
          <w:rFonts w:ascii="Times New Roman" w:eastAsia="Times New Roman" w:hAnsi="Times New Roman" w:cs="Times New Roman"/>
          <w:shd w:val="clear" w:color="auto" w:fill="FFFFFF"/>
        </w:rPr>
        <w:t xml:space="preserve">ombudsmans </w:t>
      </w:r>
      <w:r>
        <w:rPr>
          <w:rFonts w:ascii="Times New Roman" w:eastAsia="Times New Roman" w:hAnsi="Times New Roman" w:cs="Times New Roman"/>
          <w:shd w:val="clear" w:color="auto" w:fill="FFFFFF"/>
        </w:rPr>
        <w:t>des générations futures, défenseurs des droits, avocats), ou encore les diplomates.</w:t>
      </w:r>
    </w:p>
    <w:p w:rsidR="00102D2F" w:rsidRDefault="00E7681F">
      <w:pPr>
        <w:pStyle w:val="Standard"/>
        <w:jc w:val="both"/>
      </w:pPr>
      <w:r>
        <w:rPr>
          <w:rFonts w:ascii="Times New Roman" w:eastAsia="Times New Roman" w:hAnsi="Times New Roman" w:cs="Times New Roman"/>
          <w:shd w:val="clear" w:color="auto" w:fill="FFFFFF"/>
        </w:rPr>
        <w:t xml:space="preserve">Site internet disponible : </w:t>
      </w:r>
      <w:hyperlink r:id="rId11" w:history="1">
        <w:r>
          <w:rPr>
            <w:rFonts w:ascii="Times New Roman" w:eastAsia="Times New Roman" w:hAnsi="Times New Roman" w:cs="Times New Roman"/>
            <w:color w:val="1155CC"/>
            <w:u w:val="single"/>
            <w:shd w:val="clear" w:color="auto" w:fill="FFFFFF"/>
          </w:rPr>
          <w:t>https://chairenormandiepourlapaix.org</w:t>
        </w:r>
      </w:hyperlink>
    </w:p>
    <w:p w:rsidR="00102D2F" w:rsidRDefault="00E7681F">
      <w:pPr>
        <w:pStyle w:val="Standard"/>
        <w:jc w:val="both"/>
      </w:pPr>
      <w:r>
        <w:rPr>
          <w:rFonts w:ascii="Times New Roman" w:eastAsia="Times New Roman" w:hAnsi="Times New Roman" w:cs="Times New Roman"/>
          <w:color w:val="FFFFFF"/>
          <w:sz w:val="12"/>
          <w:szCs w:val="12"/>
          <w:shd w:val="clear" w:color="auto" w:fill="FFFFFF"/>
        </w:rPr>
        <w:t>k</w:t>
      </w:r>
    </w:p>
    <w:p w:rsidR="00102D2F" w:rsidRDefault="00E7681F">
      <w:pPr>
        <w:pStyle w:val="Standard"/>
        <w:jc w:val="both"/>
      </w:pPr>
      <w:r>
        <w:rPr>
          <w:rFonts w:ascii="Times New Roman" w:eastAsia="Times New Roman" w:hAnsi="Times New Roman" w:cs="Times New Roman"/>
          <w:b/>
          <w:shd w:val="clear" w:color="auto" w:fill="FFFFFF"/>
        </w:rPr>
        <w:t>Présentation du parcours grade master GENFUT</w:t>
      </w:r>
    </w:p>
    <w:p w:rsidR="00102D2F" w:rsidRDefault="00102D2F">
      <w:pPr>
        <w:pStyle w:val="Standard"/>
        <w:jc w:val="both"/>
        <w:rPr>
          <w:rFonts w:ascii="Times New Roman" w:eastAsia="Times New Roman" w:hAnsi="Times New Roman" w:cs="Times New Roman"/>
          <w:b/>
          <w:sz w:val="12"/>
          <w:szCs w:val="12"/>
          <w:shd w:val="clear" w:color="auto" w:fill="FFFFFF"/>
        </w:rPr>
      </w:pPr>
    </w:p>
    <w:p w:rsidR="00102D2F" w:rsidRDefault="00E7681F">
      <w:pPr>
        <w:pStyle w:val="Standard"/>
        <w:jc w:val="both"/>
      </w:pPr>
      <w:r>
        <w:rPr>
          <w:rFonts w:ascii="Times New Roman" w:eastAsia="Times New Roman" w:hAnsi="Times New Roman" w:cs="Times New Roman"/>
          <w:shd w:val="clear" w:color="auto" w:fill="FFFFFF"/>
        </w:rPr>
        <w:t xml:space="preserve">Le parcours de grade Master Générations futures et transitions juridiques est une œuvre de </w:t>
      </w:r>
      <w:proofErr w:type="spellStart"/>
      <w:r>
        <w:rPr>
          <w:rFonts w:ascii="Times New Roman" w:eastAsia="Times New Roman" w:hAnsi="Times New Roman" w:cs="Times New Roman"/>
          <w:shd w:val="clear" w:color="auto" w:fill="FFFFFF"/>
        </w:rPr>
        <w:t>co-création</w:t>
      </w:r>
      <w:proofErr w:type="spellEnd"/>
      <w:r>
        <w:rPr>
          <w:rFonts w:ascii="Times New Roman" w:eastAsia="Times New Roman" w:hAnsi="Times New Roman" w:cs="Times New Roman"/>
          <w:shd w:val="clear" w:color="auto" w:fill="FFFFFF"/>
        </w:rPr>
        <w:t xml:space="preserve"> pédagogique réalisée avec le directeur et le co-directeur de l’Institut d’Études Politiques de Rennes, Messieurs Pablo DIAZ et Gil DESMOULINS. Unique en son genre, il s’inscrit dans l’interdisciplinarité pour former des étudiants aux enjeux existentiels de l’Humanité, à la pensée complexe, au plaidoyer environnemental et sanitaire, ou encore à la diplomatie juridique environnementale.</w:t>
      </w:r>
    </w:p>
    <w:p w:rsidR="00102D2F" w:rsidRDefault="00E7681F">
      <w:pPr>
        <w:pStyle w:val="Standard"/>
        <w:pageBreakBefore/>
        <w:spacing w:before="280" w:after="280" w:line="240" w:lineRule="auto"/>
        <w:jc w:val="both"/>
      </w:pPr>
      <w:r>
        <w:rPr>
          <w:rFonts w:ascii="Times New Roman" w:eastAsia="Times New Roman" w:hAnsi="Times New Roman" w:cs="Times New Roman"/>
          <w:b/>
        </w:rPr>
        <w:t>12</w:t>
      </w:r>
      <w:r>
        <w:rPr>
          <w:rFonts w:ascii="Times New Roman" w:eastAsia="Times New Roman" w:hAnsi="Times New Roman" w:cs="Times New Roman"/>
        </w:rPr>
        <w:t>.</w:t>
      </w:r>
      <w:r w:rsidR="00C12CAE">
        <w:rPr>
          <w:rFonts w:ascii="Times New Roman" w:eastAsia="Times New Roman" w:hAnsi="Times New Roman" w:cs="Times New Roman"/>
        </w:rPr>
        <w:t xml:space="preserve"> </w:t>
      </w:r>
      <w:r>
        <w:rPr>
          <w:rFonts w:ascii="Times New Roman" w:eastAsia="Times New Roman" w:hAnsi="Times New Roman" w:cs="Times New Roman"/>
          <w:b/>
        </w:rPr>
        <w:t xml:space="preserve">Auriez-vous des exemples de la manière dont la justice </w:t>
      </w:r>
      <w:r>
        <w:rPr>
          <w:rFonts w:ascii="Times New Roman" w:eastAsia="Times New Roman" w:hAnsi="Times New Roman" w:cs="Times New Roman"/>
          <w:b/>
          <w:strike/>
          <w:color w:val="666666"/>
        </w:rPr>
        <w:t>inter</w:t>
      </w:r>
      <w:r>
        <w:rPr>
          <w:rFonts w:ascii="Times New Roman" w:eastAsia="Times New Roman" w:hAnsi="Times New Roman" w:cs="Times New Roman"/>
          <w:b/>
        </w:rPr>
        <w:t>(trans)générationnelle</w:t>
      </w:r>
      <w:r>
        <w:rPr>
          <w:rStyle w:val="FootnoteReference"/>
          <w:rFonts w:ascii="Times New Roman" w:eastAsia="Times New Roman" w:hAnsi="Times New Roman" w:cs="Times New Roman"/>
          <w:b/>
        </w:rPr>
        <w:footnoteReference w:id="2"/>
      </w:r>
      <w:r>
        <w:rPr>
          <w:rFonts w:ascii="Times New Roman" w:eastAsia="Times New Roman" w:hAnsi="Times New Roman" w:cs="Times New Roman"/>
          <w:b/>
        </w:rPr>
        <w:t>, telle qu'elle s'applique aux changements climatiques et aux droits humains, a été incorporée dans le droit international, les constitutions nationales ou le droit interne ?</w:t>
      </w:r>
    </w:p>
    <w:p w:rsidR="00102D2F" w:rsidRDefault="00E7681F">
      <w:pPr>
        <w:pStyle w:val="Standard"/>
        <w:spacing w:before="280" w:after="280"/>
        <w:jc w:val="both"/>
      </w:pPr>
      <w:r>
        <w:rPr>
          <w:rFonts w:ascii="Times New Roman" w:eastAsia="Times New Roman" w:hAnsi="Times New Roman" w:cs="Times New Roman"/>
          <w:b/>
        </w:rPr>
        <w:t xml:space="preserve">Processus de transformations et métamorphoses des systèmes juridiques internationaux et des droits. </w:t>
      </w:r>
      <w:r>
        <w:rPr>
          <w:rFonts w:ascii="Times New Roman" w:eastAsia="Times New Roman" w:hAnsi="Times New Roman" w:cs="Times New Roman"/>
        </w:rPr>
        <w:t xml:space="preserve">La Déclaration de Stockholm a initié la reconnaissance de l’interdépendance entre protection de l’environnement et droits humains, ainsi que la notion de dignité et d’appartenance à la </w:t>
      </w:r>
      <w:r>
        <w:rPr>
          <w:rFonts w:ascii="Times New Roman" w:eastAsia="Times New Roman" w:hAnsi="Times New Roman" w:cs="Times New Roman"/>
          <w:i/>
        </w:rPr>
        <w:t>famille humaine</w:t>
      </w:r>
      <w:r>
        <w:rPr>
          <w:rFonts w:ascii="Times New Roman" w:eastAsia="Times New Roman" w:hAnsi="Times New Roman" w:cs="Times New Roman"/>
        </w:rPr>
        <w:t>. Elle initie un processus de mutation des perspectives temporelles des droits fondamentaux, qui se poursuivra ensuite en droit international de l’environnement. Cette interdépendance est de nouveau validée par la reconnaissance historique du droit à un «</w:t>
      </w:r>
      <w:r w:rsidR="00266FAE">
        <w:rPr>
          <w:rFonts w:ascii="Times New Roman" w:eastAsia="Times New Roman" w:hAnsi="Times New Roman" w:cs="Times New Roman"/>
        </w:rPr>
        <w:t> </w:t>
      </w:r>
      <w:r>
        <w:rPr>
          <w:rFonts w:ascii="Times New Roman" w:eastAsia="Times New Roman" w:hAnsi="Times New Roman" w:cs="Times New Roman"/>
        </w:rPr>
        <w:t>environnement propre, sain et durable</w:t>
      </w:r>
      <w:r w:rsidR="000107E3">
        <w:rPr>
          <w:rFonts w:ascii="Times New Roman" w:eastAsia="Times New Roman" w:hAnsi="Times New Roman" w:cs="Times New Roman"/>
        </w:rPr>
        <w:t> </w:t>
      </w:r>
      <w:r>
        <w:rPr>
          <w:rFonts w:ascii="Times New Roman" w:eastAsia="Times New Roman" w:hAnsi="Times New Roman" w:cs="Times New Roman"/>
        </w:rPr>
        <w:t>», essentiel à la jouissance des droits fondamentaux, et reconnu comme un droit humain à part entière. Cela permet ainsi de considérer l’environnement et les droits humains comme deux composantes indissociables. La Déclaration de Rio a toutefois inscrit le concept de justice</w:t>
      </w:r>
      <w:r>
        <w:rPr>
          <w:rFonts w:ascii="Times New Roman" w:eastAsia="Times New Roman" w:hAnsi="Times New Roman" w:cs="Times New Roman"/>
          <w:i/>
        </w:rPr>
        <w:t xml:space="preserve"> </w:t>
      </w:r>
      <w:r>
        <w:rPr>
          <w:rFonts w:ascii="Times New Roman" w:eastAsia="Times New Roman" w:hAnsi="Times New Roman" w:cs="Times New Roman"/>
        </w:rPr>
        <w:t>dans la perspective d’un droit au développement, donnant au droit international économique une place aussi importante que celle des droits sociaux et humains. Si elle promeut le développement matriciel des générations futures dans le droit international de l’environnem</w:t>
      </w:r>
      <w:r w:rsidR="008B7165">
        <w:rPr>
          <w:rFonts w:ascii="Times New Roman" w:eastAsia="Times New Roman" w:hAnsi="Times New Roman" w:cs="Times New Roman"/>
        </w:rPr>
        <w:t>ent</w:t>
      </w:r>
      <w:r>
        <w:rPr>
          <w:rFonts w:ascii="Times New Roman" w:eastAsia="Times New Roman" w:hAnsi="Times New Roman" w:cs="Times New Roman"/>
        </w:rPr>
        <w:t>, elle ne tisse pas de liens avec la garantie de droits fondamentaux</w:t>
      </w:r>
      <w:r w:rsidR="005134C2">
        <w:rPr>
          <w:rFonts w:ascii="Times New Roman" w:eastAsia="Times New Roman" w:hAnsi="Times New Roman" w:cs="Times New Roman"/>
        </w:rPr>
        <w:t xml:space="preserve"> transgénérationnelles</w:t>
      </w:r>
      <w:r>
        <w:rPr>
          <w:rFonts w:ascii="Times New Roman" w:eastAsia="Times New Roman" w:hAnsi="Times New Roman" w:cs="Times New Roman"/>
        </w:rPr>
        <w:t>.</w:t>
      </w:r>
      <w:r w:rsidR="0090013D">
        <w:rPr>
          <w:rFonts w:ascii="Times New Roman" w:eastAsia="Times New Roman" w:hAnsi="Times New Roman" w:cs="Times New Roman"/>
        </w:rPr>
        <w:t xml:space="preserve"> </w:t>
      </w:r>
      <w:r>
        <w:rPr>
          <w:rFonts w:ascii="Times New Roman" w:eastAsia="Times New Roman" w:hAnsi="Times New Roman" w:cs="Times New Roman"/>
        </w:rPr>
        <w:t>Le glissement du concept d’équité intergénérationnelle, s’est mué en principe de justice intergénérationnelle pour désormais se présenter sous les atours d’une justice transgénérationnelle. Ce faisant, ces évolutions transforment en profondeur l'ossature des droits fondamentaux.</w:t>
      </w:r>
    </w:p>
    <w:p w:rsidR="00102D2F" w:rsidRDefault="00E7681F">
      <w:pPr>
        <w:pStyle w:val="Standard"/>
        <w:spacing w:before="240"/>
        <w:jc w:val="both"/>
      </w:pPr>
      <w:r>
        <w:rPr>
          <w:rFonts w:ascii="Times New Roman" w:eastAsia="Times New Roman" w:hAnsi="Times New Roman" w:cs="Times New Roman"/>
          <w:b/>
        </w:rPr>
        <w:t xml:space="preserve">Droits constitutionnels et générations futures. </w:t>
      </w:r>
      <w:r>
        <w:rPr>
          <w:rFonts w:ascii="Times New Roman" w:eastAsia="Times New Roman" w:hAnsi="Times New Roman" w:cs="Times New Roman"/>
        </w:rPr>
        <w:t>Plus des deux tiers des Constitutions intègrent des dispositions relatives au droit à un environnement sain, à l'objectif du développement durable ou encore au principe de précaution. Concernant le terme explicite de générations futures, en 2021, 81 des 196 Constitutions</w:t>
      </w:r>
      <w:r>
        <w:rPr>
          <w:rStyle w:val="FootnoteReference"/>
          <w:rFonts w:ascii="Times New Roman" w:eastAsia="Times New Roman" w:hAnsi="Times New Roman" w:cs="Times New Roman"/>
        </w:rPr>
        <w:footnoteReference w:id="3"/>
      </w:r>
      <w:r>
        <w:rPr>
          <w:rFonts w:ascii="Times New Roman" w:eastAsia="Times New Roman" w:hAnsi="Times New Roman" w:cs="Times New Roman"/>
        </w:rPr>
        <w:t xml:space="preserve"> citent le terme. Toute mention dans le droit interne aux générations futures n’est pourtant pas directement applicable au changement climatique et aux droits humains</w:t>
      </w:r>
      <w:r>
        <w:rPr>
          <w:rStyle w:val="FootnoteReference"/>
          <w:rFonts w:ascii="Times New Roman" w:eastAsia="Times New Roman" w:hAnsi="Times New Roman" w:cs="Times New Roman"/>
        </w:rPr>
        <w:footnoteReference w:id="4"/>
      </w:r>
      <w:r>
        <w:rPr>
          <w:rFonts w:ascii="Times New Roman" w:eastAsia="Times New Roman" w:hAnsi="Times New Roman" w:cs="Times New Roman"/>
        </w:rPr>
        <w:t>, elles sont associées à différentes perspectives</w:t>
      </w:r>
      <w:r>
        <w:rPr>
          <w:rStyle w:val="FootnoteReference"/>
          <w:rFonts w:ascii="Times New Roman" w:eastAsia="Times New Roman" w:hAnsi="Times New Roman" w:cs="Times New Roman"/>
        </w:rPr>
        <w:footnoteReference w:id="5"/>
      </w:r>
      <w:r>
        <w:rPr>
          <w:rFonts w:ascii="Times New Roman" w:eastAsia="Times New Roman" w:hAnsi="Times New Roman" w:cs="Times New Roman"/>
        </w:rPr>
        <w:t>. De plus, la force de cette protection constitutionnelle est relative suivant qu'elle soit énoncée comme simple principe (31%), ou qu’elle exprime des devoirs civiques (7%), des devoirs étatiques (40 %) ou des droits (21%)</w:t>
      </w:r>
      <w:r>
        <w:rPr>
          <w:rStyle w:val="FootnoteReference"/>
          <w:rFonts w:ascii="Times New Roman" w:eastAsia="Times New Roman" w:hAnsi="Times New Roman" w:cs="Times New Roman"/>
        </w:rPr>
        <w:footnoteReference w:id="6"/>
      </w:r>
      <w:r>
        <w:rPr>
          <w:rFonts w:ascii="Times New Roman" w:eastAsia="Times New Roman" w:hAnsi="Times New Roman" w:cs="Times New Roman"/>
        </w:rPr>
        <w:t xml:space="preserve">. Le Japon détient la Constitution la plus ancienne qui retient une approche transgénérationnelle des droits </w:t>
      </w:r>
      <w:r w:rsidR="000B175A">
        <w:rPr>
          <w:rFonts w:ascii="Times New Roman" w:eastAsia="Times New Roman" w:hAnsi="Times New Roman" w:cs="Times New Roman"/>
        </w:rPr>
        <w:t>fondamentaux.</w:t>
      </w:r>
      <w:r>
        <w:rPr>
          <w:rFonts w:ascii="Times New Roman" w:eastAsia="Times New Roman" w:hAnsi="Times New Roman" w:cs="Times New Roman"/>
        </w:rPr>
        <w:t xml:space="preserve"> De nombreux autres exemples pourraient être cités comme l’Allemagne qui dans sa Loi fondamentale consacre un principe de responsabilité vis-à -vis des générations futures et de dignité à « toute communauté humaine ».</w:t>
      </w:r>
      <w:r>
        <w:rPr>
          <w:rStyle w:val="FootnoteReference"/>
          <w:rFonts w:ascii="Times New Roman" w:eastAsia="Times New Roman" w:hAnsi="Times New Roman" w:cs="Times New Roman"/>
        </w:rPr>
        <w:footnoteReference w:id="7"/>
      </w:r>
    </w:p>
    <w:p w:rsidR="00102D2F" w:rsidRDefault="00E7681F">
      <w:pPr>
        <w:pStyle w:val="Standard"/>
        <w:spacing w:before="240"/>
        <w:jc w:val="both"/>
      </w:pPr>
      <w:r>
        <w:rPr>
          <w:rFonts w:ascii="Times New Roman" w:eastAsia="Times New Roman" w:hAnsi="Times New Roman" w:cs="Times New Roman"/>
          <w:b/>
        </w:rPr>
        <w:t xml:space="preserve">Droit français et générations futures. </w:t>
      </w:r>
      <w:r>
        <w:rPr>
          <w:rFonts w:ascii="Times New Roman" w:eastAsia="Times New Roman" w:hAnsi="Times New Roman" w:cs="Times New Roman"/>
        </w:rPr>
        <w:t>En France, la Charte de l’environnement a été intégrée au bloc de constitutionnalité en 2005, et permet désormais d'ouvrir la voie de manière historique vers la reconnaissance de devoirs fondamentaux envers l’avenir. Les générations futures sont citées dans le préambule de la Charte, ce qui ne leur permet pas de jouir directement de droits, mais en font tout de même des « objets constitutionnellement protégés »</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L’article 5 pose les pierres fondatrices du droit constitutionnel de l’incertitude avec la consécration du principe de précaution</w:t>
      </w:r>
      <w:r>
        <w:rPr>
          <w:rStyle w:val="FootnoteReference"/>
          <w:rFonts w:ascii="Times New Roman" w:eastAsia="Times New Roman" w:hAnsi="Times New Roman" w:cs="Times New Roman"/>
        </w:rPr>
        <w:footnoteReference w:id="9"/>
      </w:r>
      <w:r>
        <w:rPr>
          <w:rFonts w:ascii="Times New Roman" w:eastAsia="Times New Roman" w:hAnsi="Times New Roman" w:cs="Times New Roman"/>
        </w:rPr>
        <w:t>. Il incombe essentiellement au Conseil constitutionnel, et à d’autres juridictions, d’en assurer l’effectivité et la mise en œuvre. Le Conseil d’État a notamment récemment affirmé</w:t>
      </w:r>
      <w:r>
        <w:rPr>
          <w:rStyle w:val="FootnoteReference"/>
          <w:rFonts w:ascii="Times New Roman" w:eastAsia="Times New Roman" w:hAnsi="Times New Roman" w:cs="Times New Roman"/>
        </w:rPr>
        <w:footnoteReference w:id="10"/>
      </w:r>
      <w:r>
        <w:rPr>
          <w:rFonts w:ascii="Times New Roman" w:eastAsia="Times New Roman" w:hAnsi="Times New Roman" w:cs="Times New Roman"/>
        </w:rPr>
        <w:t xml:space="preserve"> que « le droit de chacun de vivre dans un environnement équilibré et respectueux de la santé » présentait</w:t>
      </w:r>
      <w:r>
        <w:rPr>
          <w:rFonts w:ascii="Times New Roman" w:eastAsia="Times New Roman" w:hAnsi="Times New Roman" w:cs="Times New Roman"/>
          <w:b/>
        </w:rPr>
        <w:t xml:space="preserve"> le caractère d’une liberté fondamentale</w:t>
      </w:r>
      <w:r>
        <w:rPr>
          <w:rFonts w:ascii="Times New Roman" w:eastAsia="Times New Roman" w:hAnsi="Times New Roman" w:cs="Times New Roman"/>
        </w:rPr>
        <w:t>, alors que la Cour de Cassation a, quant à elle, explicité</w:t>
      </w:r>
      <w:r w:rsidR="00A049DB">
        <w:rPr>
          <w:rFonts w:ascii="Times New Roman" w:eastAsia="Times New Roman" w:hAnsi="Times New Roman" w:cs="Times New Roman"/>
        </w:rPr>
        <w:t xml:space="preserve"> </w:t>
      </w:r>
      <w:r>
        <w:rPr>
          <w:rFonts w:ascii="Times New Roman" w:eastAsia="Times New Roman" w:hAnsi="Times New Roman" w:cs="Times New Roman"/>
        </w:rPr>
        <w:t>l’impossible assimilation de l’atteinte à l’environnement et de la mise en danger d’autrui (et notamment des générations futures)</w:t>
      </w:r>
      <w:r w:rsidR="00A049DB">
        <w:rPr>
          <w:rStyle w:val="FootnoteReference"/>
          <w:rFonts w:ascii="Times New Roman" w:eastAsia="Times New Roman" w:hAnsi="Times New Roman" w:cs="Times New Roman"/>
        </w:rPr>
        <w:footnoteReference w:id="11"/>
      </w:r>
      <w:r w:rsidR="00A049DB">
        <w:rPr>
          <w:rFonts w:ascii="Times New Roman" w:eastAsia="Times New Roman" w:hAnsi="Times New Roman" w:cs="Times New Roman"/>
        </w:rPr>
        <w:t>.</w:t>
      </w:r>
    </w:p>
    <w:p w:rsidR="00102D2F" w:rsidRDefault="00E7681F">
      <w:pPr>
        <w:pStyle w:val="Standard"/>
        <w:spacing w:before="240"/>
        <w:jc w:val="both"/>
      </w:pPr>
      <w:r>
        <w:rPr>
          <w:rFonts w:ascii="Times New Roman" w:eastAsia="Times New Roman" w:hAnsi="Times New Roman" w:cs="Times New Roman"/>
          <w:b/>
        </w:rPr>
        <w:t>13.</w:t>
      </w:r>
      <w:r w:rsidR="00C12CAE">
        <w:rPr>
          <w:rFonts w:ascii="Times New Roman" w:eastAsia="Times New Roman" w:hAnsi="Times New Roman" w:cs="Times New Roman"/>
          <w:b/>
        </w:rPr>
        <w:t xml:space="preserve"> </w:t>
      </w:r>
      <w:r>
        <w:rPr>
          <w:rFonts w:ascii="Times New Roman" w:eastAsia="Times New Roman" w:hAnsi="Times New Roman" w:cs="Times New Roman"/>
          <w:b/>
        </w:rPr>
        <w:t xml:space="preserve">Comment définiriez-vous au mieux la justice </w:t>
      </w:r>
      <w:r>
        <w:rPr>
          <w:rFonts w:ascii="Times New Roman" w:eastAsia="Times New Roman" w:hAnsi="Times New Roman" w:cs="Times New Roman"/>
          <w:b/>
          <w:strike/>
          <w:color w:val="666666"/>
        </w:rPr>
        <w:t>inter</w:t>
      </w:r>
      <w:r>
        <w:rPr>
          <w:rFonts w:ascii="Times New Roman" w:eastAsia="Times New Roman" w:hAnsi="Times New Roman" w:cs="Times New Roman"/>
          <w:b/>
        </w:rPr>
        <w:t>(trans)générationnelle dans le contexte des changements climatiques et des droits humains ?</w:t>
      </w:r>
    </w:p>
    <w:p w:rsidR="00102D2F" w:rsidRDefault="00E7681F">
      <w:pPr>
        <w:pStyle w:val="Standard"/>
        <w:spacing w:before="240"/>
        <w:jc w:val="both"/>
      </w:pPr>
      <w:r>
        <w:rPr>
          <w:rFonts w:ascii="Times New Roman" w:eastAsia="Times New Roman" w:hAnsi="Times New Roman" w:cs="Times New Roman"/>
        </w:rPr>
        <w:t xml:space="preserve">La notion de justice inter-générationnelle souligne la distinction temporelle entre différentes générations. Or, c’est l’interaction entre le passé, le présent et le futur que l’éthique intergénérationnelle, telle que conceptualisée par Edith Brown Weiss, veut incarner. </w:t>
      </w:r>
      <w:r>
        <w:rPr>
          <w:rFonts w:ascii="Times New Roman" w:eastAsia="Times New Roman" w:hAnsi="Times New Roman" w:cs="Times New Roman"/>
          <w:b/>
        </w:rPr>
        <w:t>L’Humanité n’a pas de générations distinctes</w:t>
      </w:r>
      <w:r>
        <w:rPr>
          <w:rFonts w:ascii="Times New Roman" w:eastAsia="Times New Roman" w:hAnsi="Times New Roman" w:cs="Times New Roman"/>
        </w:rPr>
        <w:t>, elle se caractérise comme « un fleuve qui coule en permanence sans que l’on puisse distinguer les différentes gouttes qui la composent »</w:t>
      </w:r>
      <w:r>
        <w:rPr>
          <w:rStyle w:val="FootnoteReference"/>
          <w:rFonts w:ascii="Times New Roman" w:eastAsia="Times New Roman" w:hAnsi="Times New Roman" w:cs="Times New Roman"/>
        </w:rPr>
        <w:footnoteReference w:id="12"/>
      </w:r>
      <w:r>
        <w:rPr>
          <w:rFonts w:ascii="Times New Roman" w:eastAsia="Times New Roman" w:hAnsi="Times New Roman" w:cs="Times New Roman"/>
        </w:rPr>
        <w:t xml:space="preserve">. En ce sens, </w:t>
      </w:r>
      <w:r>
        <w:rPr>
          <w:rFonts w:ascii="Times New Roman" w:eastAsia="Times New Roman" w:hAnsi="Times New Roman" w:cs="Times New Roman"/>
          <w:b/>
        </w:rPr>
        <w:t>nous préférons la notion de justice transgénérationnelle</w:t>
      </w:r>
      <w:r>
        <w:rPr>
          <w:rFonts w:ascii="Times New Roman" w:eastAsia="Times New Roman" w:hAnsi="Times New Roman" w:cs="Times New Roman"/>
        </w:rPr>
        <w:t xml:space="preserve"> car le préfixe « trans- » permet de </w:t>
      </w:r>
      <w:r>
        <w:rPr>
          <w:rFonts w:ascii="Times New Roman" w:eastAsia="Times New Roman" w:hAnsi="Times New Roman" w:cs="Times New Roman"/>
          <w:b/>
        </w:rPr>
        <w:t>dépasser l’effet de cloisonnement temporel.</w:t>
      </w:r>
      <w:r>
        <w:rPr>
          <w:rStyle w:val="FootnoteReference"/>
          <w:rFonts w:ascii="Times New Roman" w:eastAsia="Times New Roman" w:hAnsi="Times New Roman" w:cs="Times New Roman"/>
        </w:rPr>
        <w:footnoteReference w:id="13"/>
      </w:r>
      <w:r>
        <w:rPr>
          <w:rFonts w:ascii="Times New Roman" w:eastAsia="Times New Roman" w:hAnsi="Times New Roman" w:cs="Times New Roman"/>
        </w:rPr>
        <w:t xml:space="preserve"> Le présent est responsable de l’avenir car “le futur n’attend pas”. A l'aune du droit des générations futures, cela implique une nécessaire responsabilité afin de garantir aux générations futures les mêmes droits fondamentaux que les nôtres, pour éviter la </w:t>
      </w:r>
      <w:r>
        <w:rPr>
          <w:rFonts w:ascii="Times New Roman" w:eastAsia="Times New Roman" w:hAnsi="Times New Roman" w:cs="Times New Roman"/>
          <w:i/>
        </w:rPr>
        <w:t>Tragédie des droits humains</w:t>
      </w:r>
      <w:r>
        <w:rPr>
          <w:rStyle w:val="FootnoteReference"/>
          <w:rFonts w:ascii="Times New Roman" w:eastAsia="Times New Roman" w:hAnsi="Times New Roman" w:cs="Times New Roman"/>
          <w:i/>
        </w:rPr>
        <w:footnoteReference w:id="14"/>
      </w:r>
      <w:r>
        <w:rPr>
          <w:rFonts w:ascii="Times New Roman" w:eastAsia="Times New Roman" w:hAnsi="Times New Roman" w:cs="Times New Roman"/>
        </w:rPr>
        <w:t>. Ne pas verdir les droits humains c’est les condamner. Cela passe nécessairement par l’avènement de devoirs tout aussi fondamentaux à leur égard, ce qui est une révolution juridique.</w:t>
      </w:r>
    </w:p>
    <w:p w:rsidR="00102D2F" w:rsidRDefault="00E7681F">
      <w:pPr>
        <w:pStyle w:val="Standard"/>
        <w:spacing w:before="240" w:after="240"/>
        <w:jc w:val="both"/>
      </w:pPr>
      <w:r>
        <w:rPr>
          <w:rFonts w:ascii="Times New Roman" w:eastAsia="Times New Roman" w:hAnsi="Times New Roman" w:cs="Times New Roman"/>
        </w:rPr>
        <w:t xml:space="preserve">Le terme "justice" porte en lui une tension sémantique forte, notamment lorsqu'il est placé dans le contexte des changements climatiques et des droits humains. Il revêt deux visages : un théorique et un pratique. Pour le volet théorique, deux principes fondateurs ont été formulés par E. Gaillard : un principe de non-discrimination temporelle d’une part (en vertu duquel l’absence d’existence humaine ne peut plus être synonyme d’absence de droits), et un principe de dignité des générations futures, d’autre part (qui autorise une transformation, voire une transfiguration des droits fondamentaux (cf. Q.16)). Pour le volet pratique, rendre justice, c'est trancher au regard de la légalité, or le principe d’équité transgénérationnelle ne possède pas l'arsenal juridique dont dispose le droit économique, par exemple. La justice transgénérationnelle se définit donc par ce qui est juste au regard de l'équité transgénérationnelle, mais aussi par les possibilités que le droit offre pour protéger les générations futures et permettre l’avènement d’une légalité transgénérationnelle, transpatiale et transespèces. C’est en outre une justice qui s’inscrit dans la </w:t>
      </w:r>
      <w:proofErr w:type="spellStart"/>
      <w:r>
        <w:rPr>
          <w:rFonts w:ascii="Times New Roman" w:eastAsia="Times New Roman" w:hAnsi="Times New Roman" w:cs="Times New Roman"/>
        </w:rPr>
        <w:t>décolonialité</w:t>
      </w:r>
      <w:proofErr w:type="spellEnd"/>
      <w:r>
        <w:rPr>
          <w:rFonts w:ascii="Times New Roman" w:eastAsia="Times New Roman" w:hAnsi="Times New Roman" w:cs="Times New Roman"/>
        </w:rPr>
        <w:t xml:space="preserve">. Elle se caractérise par l’anticipation des défis existentiels, à la fois accentués et </w:t>
      </w:r>
      <w:r w:rsidR="006A27C9">
        <w:rPr>
          <w:rFonts w:ascii="Times New Roman" w:eastAsia="Times New Roman" w:hAnsi="Times New Roman" w:cs="Times New Roman"/>
        </w:rPr>
        <w:t>complexifiés par</w:t>
      </w:r>
      <w:r>
        <w:rPr>
          <w:rFonts w:ascii="Times New Roman" w:eastAsia="Times New Roman" w:hAnsi="Times New Roman" w:cs="Times New Roman"/>
        </w:rPr>
        <w:t xml:space="preserve"> la mondialisation. Les changements climatiques et la menace certaine (au regard de la science) qu'ils représentent pour les droits humains nécessitent une défense juridique par anticipation et sur le très long terme. </w:t>
      </w:r>
      <w:r>
        <w:rPr>
          <w:rFonts w:ascii="Times New Roman" w:eastAsia="Times New Roman" w:hAnsi="Times New Roman" w:cs="Times New Roman"/>
          <w:b/>
        </w:rPr>
        <w:t>Ainsi, face aux risques existentiels</w:t>
      </w:r>
      <w:r>
        <w:rPr>
          <w:rFonts w:ascii="Times New Roman" w:eastAsia="Times New Roman" w:hAnsi="Times New Roman" w:cs="Times New Roman"/>
        </w:rPr>
        <w:t>,</w:t>
      </w:r>
      <w:r>
        <w:rPr>
          <w:rFonts w:ascii="Times New Roman" w:eastAsia="Times New Roman" w:hAnsi="Times New Roman" w:cs="Times New Roman"/>
          <w:b/>
        </w:rPr>
        <w:t xml:space="preserve"> une obligation de moyens est insuffisante, seule l'obligation de résultat compte.</w:t>
      </w:r>
    </w:p>
    <w:p w:rsidR="00102D2F" w:rsidRDefault="00E7681F">
      <w:pPr>
        <w:pStyle w:val="Standard"/>
        <w:spacing w:before="240" w:after="240"/>
        <w:jc w:val="both"/>
      </w:pPr>
      <w:r>
        <w:rPr>
          <w:rFonts w:ascii="Times New Roman" w:eastAsia="Times New Roman" w:hAnsi="Times New Roman" w:cs="Times New Roman"/>
          <w:b/>
        </w:rPr>
        <w:t>14.</w:t>
      </w:r>
      <w:r w:rsidR="00C12CAE">
        <w:rPr>
          <w:rFonts w:ascii="Times New Roman" w:eastAsia="Times New Roman" w:hAnsi="Times New Roman" w:cs="Times New Roman"/>
          <w:b/>
        </w:rPr>
        <w:t xml:space="preserve"> </w:t>
      </w:r>
      <w:r>
        <w:rPr>
          <w:rFonts w:ascii="Times New Roman" w:eastAsia="Times New Roman" w:hAnsi="Times New Roman" w:cs="Times New Roman"/>
          <w:b/>
        </w:rPr>
        <w:t xml:space="preserve">Le concept de justice </w:t>
      </w:r>
      <w:r>
        <w:rPr>
          <w:rFonts w:ascii="Times New Roman" w:eastAsia="Times New Roman" w:hAnsi="Times New Roman" w:cs="Times New Roman"/>
          <w:b/>
          <w:strike/>
          <w:color w:val="666666"/>
        </w:rPr>
        <w:t>inter</w:t>
      </w:r>
      <w:r>
        <w:rPr>
          <w:rFonts w:ascii="Times New Roman" w:eastAsia="Times New Roman" w:hAnsi="Times New Roman" w:cs="Times New Roman"/>
          <w:b/>
        </w:rPr>
        <w:t>(trans)générationnelle a-t-il été intégré dans les litiges relatifs aux changements climatiques ?</w:t>
      </w:r>
    </w:p>
    <w:p w:rsidR="00102D2F" w:rsidRDefault="00E7681F">
      <w:pPr>
        <w:pStyle w:val="Standard"/>
        <w:jc w:val="both"/>
      </w:pPr>
      <w:r>
        <w:rPr>
          <w:rFonts w:ascii="Times New Roman" w:eastAsia="Times New Roman" w:hAnsi="Times New Roman" w:cs="Times New Roman"/>
        </w:rPr>
        <w:t xml:space="preserve">Le contentieux climatique a intégré le principe de justice transgénérationnelle dans un certain nombre de litiges, sous forme de pétitions (comme la pétition portée par </w:t>
      </w:r>
      <w:r>
        <w:rPr>
          <w:rFonts w:ascii="Times New Roman" w:eastAsia="Times New Roman" w:hAnsi="Times New Roman" w:cs="Times New Roman"/>
          <w:i/>
        </w:rPr>
        <w:t xml:space="preserve">Greenpeace </w:t>
      </w:r>
      <w:r>
        <w:rPr>
          <w:rFonts w:ascii="Times New Roman" w:eastAsia="Times New Roman" w:hAnsi="Times New Roman" w:cs="Times New Roman"/>
        </w:rPr>
        <w:t xml:space="preserve">et </w:t>
      </w:r>
      <w:r>
        <w:rPr>
          <w:rFonts w:ascii="Times New Roman" w:eastAsia="Times New Roman" w:hAnsi="Times New Roman" w:cs="Times New Roman"/>
          <w:i/>
        </w:rPr>
        <w:t xml:space="preserve">Philippine Rural Reconstruction </w:t>
      </w:r>
      <w:proofErr w:type="spellStart"/>
      <w:r>
        <w:rPr>
          <w:rFonts w:ascii="Times New Roman" w:eastAsia="Times New Roman" w:hAnsi="Times New Roman" w:cs="Times New Roman"/>
          <w:i/>
        </w:rPr>
        <w:t>Movement</w:t>
      </w:r>
      <w:proofErr w:type="spellEnd"/>
      <w:r>
        <w:rPr>
          <w:rFonts w:ascii="Times New Roman" w:eastAsia="Times New Roman" w:hAnsi="Times New Roman" w:cs="Times New Roman"/>
        </w:rPr>
        <w:t xml:space="preserve"> devant la Human Rights Commission des Philippines en 2017) ou directement devant des tribunaux. Par exemple, </w:t>
      </w:r>
      <w:r>
        <w:rPr>
          <w:rFonts w:ascii="Times New Roman" w:eastAsia="Times New Roman" w:hAnsi="Times New Roman" w:cs="Times New Roman"/>
          <w:i/>
        </w:rPr>
        <w:t xml:space="preserve">Plan B </w:t>
      </w:r>
      <w:proofErr w:type="spellStart"/>
      <w:r>
        <w:rPr>
          <w:rFonts w:ascii="Times New Roman" w:eastAsia="Times New Roman" w:hAnsi="Times New Roman" w:cs="Times New Roman"/>
          <w:i/>
        </w:rPr>
        <w:t>Earth</w:t>
      </w:r>
      <w:proofErr w:type="spellEnd"/>
      <w:r>
        <w:rPr>
          <w:rFonts w:ascii="Times New Roman" w:eastAsia="Times New Roman" w:hAnsi="Times New Roman" w:cs="Times New Roman"/>
          <w:i/>
        </w:rPr>
        <w:t xml:space="preserve"> and </w:t>
      </w:r>
      <w:proofErr w:type="spellStart"/>
      <w:r>
        <w:rPr>
          <w:rFonts w:ascii="Times New Roman" w:eastAsia="Times New Roman" w:hAnsi="Times New Roman" w:cs="Times New Roman"/>
          <w:i/>
        </w:rPr>
        <w:t>Others</w:t>
      </w:r>
      <w:proofErr w:type="spellEnd"/>
      <w:r>
        <w:rPr>
          <w:rFonts w:ascii="Times New Roman" w:eastAsia="Times New Roman" w:hAnsi="Times New Roman" w:cs="Times New Roman"/>
          <w:i/>
        </w:rPr>
        <w:t xml:space="preserve"> v. the </w:t>
      </w:r>
      <w:proofErr w:type="spellStart"/>
      <w:r>
        <w:rPr>
          <w:rFonts w:ascii="Times New Roman" w:eastAsia="Times New Roman" w:hAnsi="Times New Roman" w:cs="Times New Roman"/>
          <w:i/>
        </w:rPr>
        <w:t>Secretary</w:t>
      </w:r>
      <w:proofErr w:type="spellEnd"/>
      <w:r>
        <w:rPr>
          <w:rFonts w:ascii="Times New Roman" w:eastAsia="Times New Roman" w:hAnsi="Times New Roman" w:cs="Times New Roman"/>
          <w:i/>
        </w:rPr>
        <w:t xml:space="preserve"> of State for Business, Energy, and </w:t>
      </w:r>
      <w:proofErr w:type="spellStart"/>
      <w:r>
        <w:rPr>
          <w:rFonts w:ascii="Times New Roman" w:eastAsia="Times New Roman" w:hAnsi="Times New Roman" w:cs="Times New Roman"/>
          <w:i/>
        </w:rPr>
        <w:t>Industrial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Strategy</w:t>
      </w:r>
      <w:proofErr w:type="spellEnd"/>
      <w:r>
        <w:rPr>
          <w:rFonts w:ascii="Times New Roman" w:eastAsia="Times New Roman" w:hAnsi="Times New Roman" w:cs="Times New Roman"/>
        </w:rPr>
        <w:t xml:space="preserve"> présenté au Royaume Uni en 2018, ou l’affaire </w:t>
      </w:r>
      <w:proofErr w:type="spellStart"/>
      <w:r>
        <w:rPr>
          <w:rFonts w:ascii="Times New Roman" w:eastAsia="Times New Roman" w:hAnsi="Times New Roman" w:cs="Times New Roman"/>
          <w:i/>
        </w:rPr>
        <w:t>Dejusticia</w:t>
      </w:r>
      <w:proofErr w:type="spellEnd"/>
      <w:r>
        <w:rPr>
          <w:rFonts w:ascii="Times New Roman" w:eastAsia="Times New Roman" w:hAnsi="Times New Roman" w:cs="Times New Roman"/>
        </w:rPr>
        <w:t xml:space="preserve"> devant la Haute Cour colombienne dont la décision a été rendue la même année et qui appelle le gouvernement à stopper la déforestation, lui rappelant son devoir de « protéger la Nature et le climat » au nom « des générations présentes et futures ».</w:t>
      </w:r>
    </w:p>
    <w:p w:rsidR="00102D2F" w:rsidRDefault="00102D2F">
      <w:pPr>
        <w:pStyle w:val="Standard"/>
        <w:jc w:val="both"/>
        <w:rPr>
          <w:rFonts w:ascii="Times New Roman" w:eastAsia="Times New Roman" w:hAnsi="Times New Roman" w:cs="Times New Roman"/>
        </w:rPr>
      </w:pPr>
    </w:p>
    <w:p w:rsidR="00102D2F" w:rsidRDefault="00E7681F">
      <w:pPr>
        <w:pStyle w:val="Standard"/>
        <w:jc w:val="both"/>
      </w:pPr>
      <w:r>
        <w:rPr>
          <w:rFonts w:ascii="Times New Roman" w:eastAsia="Times New Roman" w:hAnsi="Times New Roman" w:cs="Times New Roman"/>
        </w:rPr>
        <w:t>La plus emblématique est</w:t>
      </w:r>
      <w:r>
        <w:rPr>
          <w:rFonts w:ascii="Times New Roman" w:eastAsia="Times New Roman" w:hAnsi="Times New Roman" w:cs="Times New Roman"/>
          <w:b/>
        </w:rPr>
        <w:t xml:space="preserve"> l’affaire de</w:t>
      </w:r>
      <w:r>
        <w:rPr>
          <w:rFonts w:ascii="Times New Roman" w:eastAsia="Times New Roman" w:hAnsi="Times New Roman" w:cs="Times New Roman"/>
          <w:b/>
          <w:i/>
        </w:rPr>
        <w:t xml:space="preserve"> Karlsruhe </w:t>
      </w:r>
      <w:r>
        <w:rPr>
          <w:rFonts w:ascii="Times New Roman" w:eastAsia="Times New Roman" w:hAnsi="Times New Roman" w:cs="Times New Roman"/>
        </w:rPr>
        <w:t>qui marque un tournant historique en Europe, bien que déjà initié ailleurs, en Inde</w:t>
      </w:r>
      <w:r>
        <w:rPr>
          <w:rStyle w:val="FootnoteReference"/>
          <w:rFonts w:ascii="Times New Roman" w:eastAsia="Times New Roman" w:hAnsi="Times New Roman" w:cs="Times New Roman"/>
        </w:rPr>
        <w:footnoteReference w:id="15"/>
      </w:r>
      <w:r>
        <w:rPr>
          <w:rFonts w:ascii="Times New Roman" w:eastAsia="Times New Roman" w:hAnsi="Times New Roman" w:cs="Times New Roman"/>
        </w:rPr>
        <w:t xml:space="preserve"> et au Pakistan notamment. La Cour constitutionnelle fédérale allemande en 2021 a reconnu </w:t>
      </w:r>
      <w:r>
        <w:rPr>
          <w:rFonts w:ascii="Times New Roman" w:eastAsia="Times New Roman" w:hAnsi="Times New Roman" w:cs="Times New Roman"/>
          <w:b/>
        </w:rPr>
        <w:t>les devoirs des générations présentes comme devoirs fondamentaux</w:t>
      </w:r>
      <w:r>
        <w:rPr>
          <w:rStyle w:val="FootnoteReference"/>
          <w:rFonts w:ascii="Times New Roman" w:eastAsia="Times New Roman" w:hAnsi="Times New Roman" w:cs="Times New Roman"/>
        </w:rPr>
        <w:footnoteReference w:id="16"/>
      </w:r>
      <w:r>
        <w:rPr>
          <w:rFonts w:ascii="Times New Roman" w:eastAsia="Times New Roman" w:hAnsi="Times New Roman" w:cs="Times New Roman"/>
        </w:rPr>
        <w:t xml:space="preserve">, </w:t>
      </w:r>
      <w:r>
        <w:rPr>
          <w:rFonts w:ascii="Times New Roman" w:eastAsia="Times New Roman" w:hAnsi="Times New Roman" w:cs="Times New Roman"/>
          <w:b/>
        </w:rPr>
        <w:t>la protection des fondements naturels de la vie,</w:t>
      </w:r>
      <w:r>
        <w:rPr>
          <w:rFonts w:ascii="Times New Roman" w:eastAsia="Times New Roman" w:hAnsi="Times New Roman" w:cs="Times New Roman"/>
        </w:rPr>
        <w:t xml:space="preserve"> notamment au regard de la responsabilité de l’État vis-vis des générations futures. Cette décision renforce considérablement l’action en faveur du climat en statuant que si le gouvernement ne protège pas le climat, il pourrait violer les droits fondamentaux des citoyens présents et futurs. Elle se fonde aussi sur</w:t>
      </w:r>
      <w:r>
        <w:rPr>
          <w:rFonts w:ascii="Times New Roman" w:eastAsia="Times New Roman" w:hAnsi="Times New Roman" w:cs="Times New Roman"/>
          <w:b/>
        </w:rPr>
        <w:t xml:space="preserve"> une lecture transgénérationnelle du droit à la vie et à l’intégrité physique</w:t>
      </w:r>
      <w:r>
        <w:rPr>
          <w:rFonts w:ascii="Times New Roman" w:eastAsia="Times New Roman" w:hAnsi="Times New Roman" w:cs="Times New Roman"/>
        </w:rPr>
        <w:t xml:space="preserve">. Cette approche nourrit une dynamique infiniment riche sur la manière de penser, d’invoquer et d’appliquer les droits humains vis-à-vis des risques futurs. Cela ouvre la voie aussi à divers processus d’internormativités autour de la protection juridique et judiciaire par anticipation, </w:t>
      </w:r>
      <w:r>
        <w:rPr>
          <w:rFonts w:ascii="Times New Roman" w:eastAsia="Times New Roman" w:hAnsi="Times New Roman" w:cs="Times New Roman"/>
          <w:i/>
        </w:rPr>
        <w:t xml:space="preserve">via </w:t>
      </w:r>
      <w:r>
        <w:rPr>
          <w:rFonts w:ascii="Times New Roman" w:eastAsia="Times New Roman" w:hAnsi="Times New Roman" w:cs="Times New Roman"/>
        </w:rPr>
        <w:t>la reconnaissance d’un droit à un climat stable, voire plus largement d’un droit à un environnement sain, propre et stable.</w:t>
      </w:r>
    </w:p>
    <w:p w:rsidR="00102D2F" w:rsidRDefault="00102D2F">
      <w:pPr>
        <w:pStyle w:val="Standard"/>
        <w:jc w:val="both"/>
        <w:rPr>
          <w:rFonts w:ascii="Times New Roman" w:eastAsia="Times New Roman" w:hAnsi="Times New Roman" w:cs="Times New Roman"/>
        </w:rPr>
      </w:pPr>
    </w:p>
    <w:p w:rsidR="00102D2F" w:rsidRDefault="00E7681F">
      <w:pPr>
        <w:pStyle w:val="Standard"/>
        <w:jc w:val="both"/>
      </w:pPr>
      <w:r>
        <w:rPr>
          <w:rFonts w:ascii="Times New Roman" w:eastAsia="Times New Roman" w:hAnsi="Times New Roman" w:cs="Times New Roman"/>
        </w:rPr>
        <w:t xml:space="preserve">Les litiges relatifs aux changements climatiques confirment le caractère urgent de ce risque existentiel, par le développement d’une jurisprudence ou d’une doctrine juridique en faveur du droit des générations futures. Ils </w:t>
      </w:r>
      <w:r>
        <w:rPr>
          <w:rFonts w:ascii="Times New Roman" w:eastAsia="Times New Roman" w:hAnsi="Times New Roman" w:cs="Times New Roman"/>
          <w:b/>
        </w:rPr>
        <w:t xml:space="preserve">forment systèmes avec d’autres enjeux qu’il importe d’analyser de manière systémique </w:t>
      </w:r>
      <w:r>
        <w:rPr>
          <w:rFonts w:ascii="Times New Roman" w:eastAsia="Times New Roman" w:hAnsi="Times New Roman" w:cs="Times New Roman"/>
        </w:rPr>
        <w:t>: qu’il s’agisse des risques portant sur l’intégrité de l’espèce humaine (modifications génétiques, transhumanisme</w:t>
      </w:r>
      <w:r>
        <w:rPr>
          <w:rStyle w:val="FootnoteReference"/>
          <w:rFonts w:ascii="Times New Roman" w:eastAsia="Times New Roman" w:hAnsi="Times New Roman" w:cs="Times New Roman"/>
        </w:rPr>
        <w:footnoteReference w:id="17"/>
      </w:r>
      <w:r>
        <w:rPr>
          <w:rFonts w:ascii="Times New Roman" w:eastAsia="Times New Roman" w:hAnsi="Times New Roman" w:cs="Times New Roman"/>
        </w:rPr>
        <w:t>) ou sur la préservation de l’écosystème Terre (limites planétaires, pollutions systémiques et durables</w:t>
      </w:r>
      <w:r>
        <w:rPr>
          <w:rStyle w:val="FootnoteReference"/>
          <w:rFonts w:ascii="Times New Roman" w:eastAsia="Times New Roman" w:hAnsi="Times New Roman" w:cs="Times New Roman"/>
        </w:rPr>
        <w:footnoteReference w:id="18"/>
      </w:r>
      <w:r>
        <w:rPr>
          <w:rFonts w:ascii="Times New Roman" w:eastAsia="Times New Roman" w:hAnsi="Times New Roman" w:cs="Times New Roman"/>
        </w:rPr>
        <w:t>, polluants éternels…).</w:t>
      </w:r>
    </w:p>
    <w:p w:rsidR="00102D2F" w:rsidRDefault="00E7681F">
      <w:pPr>
        <w:pStyle w:val="Standard"/>
        <w:spacing w:before="280" w:after="280"/>
      </w:pPr>
      <w:r>
        <w:rPr>
          <w:rFonts w:ascii="Times New Roman" w:eastAsia="Times New Roman" w:hAnsi="Times New Roman" w:cs="Times New Roman"/>
          <w:b/>
        </w:rPr>
        <w:t xml:space="preserve">15. Quelles sont les options disponibles pour inscrire le principe de justice </w:t>
      </w:r>
      <w:r>
        <w:rPr>
          <w:rFonts w:ascii="Times New Roman" w:eastAsia="Times New Roman" w:hAnsi="Times New Roman" w:cs="Times New Roman"/>
          <w:b/>
          <w:strike/>
          <w:color w:val="666666"/>
        </w:rPr>
        <w:t>inter</w:t>
      </w:r>
      <w:r>
        <w:rPr>
          <w:rFonts w:ascii="Times New Roman" w:eastAsia="Times New Roman" w:hAnsi="Times New Roman" w:cs="Times New Roman"/>
          <w:b/>
        </w:rPr>
        <w:t>(trans)générationnelle dans le droit international ?</w:t>
      </w:r>
    </w:p>
    <w:p w:rsidR="00102D2F" w:rsidRDefault="00E7681F">
      <w:pPr>
        <w:pStyle w:val="Standard"/>
        <w:spacing w:before="280" w:after="280"/>
        <w:jc w:val="both"/>
      </w:pPr>
      <w:r>
        <w:rPr>
          <w:rFonts w:ascii="Times New Roman" w:eastAsia="Times New Roman" w:hAnsi="Times New Roman" w:cs="Times New Roman"/>
          <w:b/>
        </w:rPr>
        <w:t xml:space="preserve">Indicateurs juridiques : pour une justice transgénérationnelle </w:t>
      </w:r>
      <w:r>
        <w:rPr>
          <w:rFonts w:ascii="Times New Roman" w:eastAsia="Times New Roman" w:hAnsi="Times New Roman" w:cs="Times New Roman"/>
          <w:b/>
          <w:u w:val="single"/>
        </w:rPr>
        <w:t>de fait</w:t>
      </w:r>
      <w:r>
        <w:rPr>
          <w:rFonts w:ascii="Times New Roman" w:eastAsia="Times New Roman" w:hAnsi="Times New Roman" w:cs="Times New Roman"/>
          <w:b/>
        </w:rPr>
        <w:t xml:space="preserve">. </w:t>
      </w:r>
      <w:r>
        <w:rPr>
          <w:rFonts w:ascii="Times New Roman" w:eastAsia="Times New Roman" w:hAnsi="Times New Roman" w:cs="Times New Roman"/>
        </w:rPr>
        <w:t xml:space="preserve">Dans un premier temps, mettre en place des mécanismes de mesure afin d’assurer l’effectivité du droit environnemental actuel permettra dans les faits de renforcer l’application du droit de l’environnement et ainsi d’assurer la conservation d’un environnement sain et durable à travers le temps. </w:t>
      </w:r>
      <w:hyperlink r:id="rId12" w:history="1">
        <w:r>
          <w:rPr>
            <w:rFonts w:ascii="Times New Roman" w:eastAsia="Times New Roman" w:hAnsi="Times New Roman" w:cs="Times New Roman"/>
          </w:rPr>
          <w:t>Michel Prieur propose à ce titre d’utiliser des indicateurs juridiques pour s’assurer de l’effectivité du dro</w:t>
        </w:r>
      </w:hyperlink>
      <w:hyperlink r:id="rId13" w:history="1">
        <w:r>
          <w:rPr>
            <w:rFonts w:ascii="Times New Roman" w:eastAsia="Times New Roman" w:hAnsi="Times New Roman" w:cs="Times New Roman"/>
          </w:rPr>
          <w:t>it</w:t>
        </w:r>
      </w:hyperlink>
      <w:r>
        <w:rPr>
          <w:rStyle w:val="FootnoteReference"/>
          <w:rFonts w:ascii="Times New Roman" w:eastAsia="Times New Roman" w:hAnsi="Times New Roman" w:cs="Times New Roman"/>
        </w:rPr>
        <w:footnoteReference w:id="19"/>
      </w:r>
      <w:r>
        <w:rPr>
          <w:rFonts w:ascii="Times New Roman" w:eastAsia="Times New Roman" w:hAnsi="Times New Roman" w:cs="Times New Roman"/>
        </w:rPr>
        <w:t>. Si de tels indicateurs ne combleront pas à eux seuls les déficits d’application du droit de l’environnement, ils ont néanmoins de réels effets, notamment un perfectionnement dynamique du droit.</w:t>
      </w:r>
    </w:p>
    <w:p w:rsidR="00102D2F" w:rsidRDefault="00E7681F">
      <w:pPr>
        <w:pStyle w:val="Standard"/>
        <w:spacing w:before="280" w:after="280"/>
        <w:jc w:val="both"/>
      </w:pPr>
      <w:r>
        <w:rPr>
          <w:rFonts w:ascii="Times New Roman" w:eastAsia="Times New Roman" w:hAnsi="Times New Roman" w:cs="Times New Roman"/>
          <w:b/>
        </w:rPr>
        <w:t xml:space="preserve">Une occasion historique pour la proclamation d’une justice transgénérationnelle : le Sommet de l’avenir (2024). </w:t>
      </w:r>
      <w:r>
        <w:rPr>
          <w:rFonts w:ascii="Times New Roman" w:eastAsia="Times New Roman" w:hAnsi="Times New Roman" w:cs="Times New Roman"/>
        </w:rPr>
        <w:t xml:space="preserve">À défaut de parvenir à assurer une effectivité du droit environnemental, le Sommet de l’avenir constitue une occasion historique pour consacrer une véritable justice transgénérationnelle qui prendrait appui sur un Pacte des droits fondamentaux des générations futures. Cette possibilité devra constituer un </w:t>
      </w:r>
      <w:proofErr w:type="spellStart"/>
      <w:r>
        <w:rPr>
          <w:rFonts w:ascii="Times New Roman" w:eastAsia="Times New Roman" w:hAnsi="Times New Roman" w:cs="Times New Roman"/>
          <w:i/>
        </w:rPr>
        <w:t>momentum</w:t>
      </w:r>
      <w:proofErr w:type="spellEnd"/>
      <w:r>
        <w:rPr>
          <w:rFonts w:ascii="Times New Roman" w:eastAsia="Times New Roman" w:hAnsi="Times New Roman" w:cs="Times New Roman"/>
        </w:rPr>
        <w:t xml:space="preserve"> pour la communauté internationale afin d'intégrer des éléments concrets de définition de la justice transgénérationnelle et d'investir la question politique et juridique de la représentation des intérêts des générations futures.</w:t>
      </w:r>
    </w:p>
    <w:p w:rsidR="00102D2F" w:rsidRDefault="00E7681F">
      <w:pPr>
        <w:pStyle w:val="Standard"/>
        <w:spacing w:before="280" w:after="280"/>
        <w:jc w:val="both"/>
      </w:pPr>
      <w:r>
        <w:rPr>
          <w:rFonts w:ascii="Times New Roman" w:eastAsia="Times New Roman" w:hAnsi="Times New Roman" w:cs="Times New Roman"/>
          <w:b/>
        </w:rPr>
        <w:t xml:space="preserve">Le processus de densification normative de la justice transgénérationnelle. </w:t>
      </w:r>
      <w:r>
        <w:rPr>
          <w:rFonts w:ascii="Times New Roman" w:eastAsia="Times New Roman" w:hAnsi="Times New Roman" w:cs="Times New Roman"/>
        </w:rPr>
        <w:t>Si, à l'origine les Déclarations de DIE</w:t>
      </w:r>
      <w:r>
        <w:rPr>
          <w:rStyle w:val="FootnoteReference"/>
          <w:rFonts w:ascii="Times New Roman" w:eastAsia="Times New Roman" w:hAnsi="Times New Roman" w:cs="Times New Roman"/>
        </w:rPr>
        <w:footnoteReference w:id="20"/>
      </w:r>
      <w:r>
        <w:rPr>
          <w:rFonts w:ascii="Times New Roman" w:eastAsia="Times New Roman" w:hAnsi="Times New Roman" w:cs="Times New Roman"/>
        </w:rPr>
        <w:t xml:space="preserve"> n’avaient pas de pouvoir contraignant, elles sont devenues la matrice d’un droit commun constitutionnel de l’environnement à l’échelle globale. Par exemple, la Déclaration de Rio a participé à un changement de paradigme en formulant le principe de précaution et en créant, à travers l'Agenda 21, un droit </w:t>
      </w:r>
      <w:proofErr w:type="spellStart"/>
      <w:r>
        <w:rPr>
          <w:rFonts w:ascii="Times New Roman" w:eastAsia="Times New Roman" w:hAnsi="Times New Roman" w:cs="Times New Roman"/>
        </w:rPr>
        <w:t>programmatoire</w:t>
      </w:r>
      <w:proofErr w:type="spellEnd"/>
      <w:r>
        <w:rPr>
          <w:rFonts w:ascii="Times New Roman" w:eastAsia="Times New Roman" w:hAnsi="Times New Roman" w:cs="Times New Roman"/>
        </w:rPr>
        <w:t xml:space="preserve"> qui investit le temps long. Emilie Gaillard détaille dès 2008 l’historique de cette dynamique</w:t>
      </w:r>
      <w:r>
        <w:rPr>
          <w:rStyle w:val="FootnoteReference"/>
          <w:rFonts w:ascii="Times New Roman" w:eastAsia="Times New Roman" w:hAnsi="Times New Roman" w:cs="Times New Roman"/>
        </w:rPr>
        <w:footnoteReference w:id="21"/>
      </w:r>
      <w:r>
        <w:rPr>
          <w:rFonts w:ascii="Times New Roman" w:eastAsia="Times New Roman" w:hAnsi="Times New Roman" w:cs="Times New Roman"/>
        </w:rPr>
        <w:t xml:space="preserve"> avec notamment l'exemple incontournable de la Déclaration universelle des droits de l’homme pour les générations futures</w:t>
      </w:r>
      <w:r>
        <w:rPr>
          <w:rStyle w:val="FootnoteReference"/>
          <w:rFonts w:ascii="Times New Roman" w:eastAsia="Times New Roman" w:hAnsi="Times New Roman" w:cs="Times New Roman"/>
        </w:rPr>
        <w:footnoteReference w:id="22"/>
      </w:r>
      <w:r>
        <w:rPr>
          <w:rFonts w:ascii="Times New Roman" w:eastAsia="Times New Roman" w:hAnsi="Times New Roman" w:cs="Times New Roman"/>
        </w:rPr>
        <w:t xml:space="preserve"> de 1994. Cette Déclaration a permis de décentrer le concept des droits humains du paradigme de la réciprocité juridique. Une autre initiative notable qui irait dans ce sens est la Déclaration Universelle des Droits et Devoirs de l’Humanité qui consacre par exemple le principe de continuité de l’existence de l’Humanité ou encore celui de respecter les temps de propre à la Nature pour se régénérer.</w:t>
      </w:r>
    </w:p>
    <w:p w:rsidR="00102D2F" w:rsidRDefault="00E7681F">
      <w:pPr>
        <w:pStyle w:val="Standard"/>
        <w:spacing w:before="280" w:after="280"/>
        <w:jc w:val="both"/>
      </w:pPr>
      <w:r>
        <w:rPr>
          <w:rFonts w:ascii="Times New Roman" w:eastAsia="Times New Roman" w:hAnsi="Times New Roman" w:cs="Times New Roman"/>
          <w:b/>
        </w:rPr>
        <w:t xml:space="preserve">Du contentieux au non-contentieux, réflexions prospectives autour de la justice transgénérationnelle en droit international. </w:t>
      </w:r>
      <w:r>
        <w:rPr>
          <w:rFonts w:ascii="Times New Roman" w:eastAsia="Times New Roman" w:hAnsi="Times New Roman" w:cs="Times New Roman"/>
        </w:rPr>
        <w:t xml:space="preserve">Enfin, il est possible d’imaginer un droit prospectif proclamant une justice transgénérationnelle à partir du droit positif actuel. Du côté du non contentieux, les initiatives se multiplient avec notamment la vague d’avis consultatifs comprenant une dimension transgénérationnelle. Il est ainsi pertinent de mentionner la procédure récente d’avis consultatif devant la CIJ, celui devant le Tribunal international du droit de la mer (ITLOS) ou encore celui devant la Cour interaméricaine des droits de l’Homme (CIDH). Les résultats de ces processus vont être particulièrement intéressants car la CIDH fait une interprétation dynamique par le prisme d’une approche sociale et solidaire des droits fondamentaux. Elle relie notamment les droits des peuples autochtones et de l'environnement et applique des instruments de </w:t>
      </w:r>
      <w:r>
        <w:rPr>
          <w:rFonts w:ascii="Times New Roman" w:eastAsia="Times New Roman" w:hAnsi="Times New Roman" w:cs="Times New Roman"/>
          <w:i/>
        </w:rPr>
        <w:t xml:space="preserve">soft </w:t>
      </w:r>
      <w:proofErr w:type="spellStart"/>
      <w:r>
        <w:rPr>
          <w:rFonts w:ascii="Times New Roman" w:eastAsia="Times New Roman" w:hAnsi="Times New Roman" w:cs="Times New Roman"/>
          <w:i/>
        </w:rPr>
        <w:t>law</w:t>
      </w:r>
      <w:proofErr w:type="spellEnd"/>
      <w:r>
        <w:rPr>
          <w:rFonts w:ascii="Times New Roman" w:eastAsia="Times New Roman" w:hAnsi="Times New Roman" w:cs="Times New Roman"/>
        </w:rPr>
        <w:t>, ce qui pourrait s’avérer riche pour la reconnaissance des droits des générations futures. ITLOS, quant à lui, a la particularité de reconnaître l’approche de précaution</w:t>
      </w:r>
      <w:r>
        <w:rPr>
          <w:rStyle w:val="FootnoteReference"/>
          <w:rFonts w:ascii="Times New Roman" w:eastAsia="Times New Roman" w:hAnsi="Times New Roman" w:cs="Times New Roman"/>
        </w:rPr>
        <w:footnoteReference w:id="23"/>
      </w:r>
      <w:r>
        <w:rPr>
          <w:rFonts w:ascii="Times New Roman" w:eastAsia="Times New Roman" w:hAnsi="Times New Roman" w:cs="Times New Roman"/>
        </w:rPr>
        <w:t>. Il s’agira donc de voir si les juges adoptent une approche transgénérationnelle des droits et se coordonnent dans leurs avis consultatifs. D’autre part, les recours contentieux devant la CIJ peuvent également rendre compte de l’émergence d’affaires impliquant les droits des générations futures</w:t>
      </w:r>
      <w:r>
        <w:rPr>
          <w:rStyle w:val="FootnoteReference"/>
          <w:rFonts w:ascii="Times New Roman" w:eastAsia="Times New Roman" w:hAnsi="Times New Roman" w:cs="Times New Roman"/>
        </w:rPr>
        <w:footnoteReference w:id="24"/>
      </w:r>
      <w:r>
        <w:rPr>
          <w:rFonts w:ascii="Times New Roman" w:eastAsia="Times New Roman" w:hAnsi="Times New Roman" w:cs="Times New Roman"/>
        </w:rPr>
        <w:t>.</w:t>
      </w:r>
    </w:p>
    <w:p w:rsidR="00102D2F" w:rsidRDefault="00E7681F" w:rsidP="00C12CAE">
      <w:pPr>
        <w:pStyle w:val="Standard"/>
        <w:spacing w:before="280" w:after="280" w:line="240" w:lineRule="auto"/>
        <w:jc w:val="both"/>
      </w:pPr>
      <w:r>
        <w:rPr>
          <w:rFonts w:ascii="Times New Roman" w:eastAsia="Times New Roman" w:hAnsi="Times New Roman" w:cs="Times New Roman"/>
          <w:b/>
        </w:rPr>
        <w:t>16.</w:t>
      </w:r>
      <w:r w:rsidR="00C12CAE">
        <w:rPr>
          <w:rFonts w:ascii="Times New Roman" w:eastAsia="Times New Roman" w:hAnsi="Times New Roman" w:cs="Times New Roman"/>
          <w:b/>
        </w:rPr>
        <w:t xml:space="preserve"> </w:t>
      </w:r>
      <w:r>
        <w:rPr>
          <w:rFonts w:ascii="Times New Roman" w:eastAsia="Times New Roman" w:hAnsi="Times New Roman" w:cs="Times New Roman"/>
          <w:b/>
        </w:rPr>
        <w:t>Comment les États peuvent-ils intégrer le concept de justice</w:t>
      </w:r>
      <w:r w:rsidR="00C12CAE">
        <w:rPr>
          <w:rFonts w:ascii="Times New Roman" w:eastAsia="Times New Roman" w:hAnsi="Times New Roman" w:cs="Times New Roman"/>
          <w:b/>
        </w:rPr>
        <w:t xml:space="preserve"> </w:t>
      </w:r>
      <w:r>
        <w:rPr>
          <w:rFonts w:ascii="Times New Roman" w:eastAsia="Times New Roman" w:hAnsi="Times New Roman" w:cs="Times New Roman"/>
          <w:b/>
          <w:strike/>
          <w:color w:val="666666"/>
        </w:rPr>
        <w:t>inter</w:t>
      </w:r>
      <w:r>
        <w:rPr>
          <w:rFonts w:ascii="Times New Roman" w:eastAsia="Times New Roman" w:hAnsi="Times New Roman" w:cs="Times New Roman"/>
          <w:b/>
        </w:rPr>
        <w:t xml:space="preserve">(trans)générationnelle dans leurs constitutions et législations </w:t>
      </w:r>
      <w:r w:rsidR="00C12CAE">
        <w:rPr>
          <w:rFonts w:ascii="Times New Roman" w:eastAsia="Times New Roman" w:hAnsi="Times New Roman" w:cs="Times New Roman"/>
          <w:b/>
        </w:rPr>
        <w:t>nationales ?</w:t>
      </w:r>
      <w:r>
        <w:rPr>
          <w:rFonts w:ascii="Times New Roman" w:eastAsia="Times New Roman" w:hAnsi="Times New Roman" w:cs="Times New Roman"/>
          <w:b/>
        </w:rPr>
        <w:t xml:space="preserve"> Quelles sont les bonnes pratiques en la matière ?</w:t>
      </w:r>
    </w:p>
    <w:p w:rsidR="00102D2F" w:rsidRDefault="00E7681F">
      <w:pPr>
        <w:pStyle w:val="Standard"/>
        <w:jc w:val="both"/>
      </w:pPr>
      <w:r>
        <w:rPr>
          <w:rFonts w:ascii="Times New Roman" w:eastAsia="Times New Roman" w:hAnsi="Times New Roman" w:cs="Times New Roman"/>
        </w:rPr>
        <w:t>La progression à l’échelle mondiale d’un constitutionnalisme environnemental</w:t>
      </w:r>
      <w:r>
        <w:rPr>
          <w:rStyle w:val="FootnoteReference"/>
          <w:rFonts w:ascii="Times New Roman" w:eastAsia="Times New Roman" w:hAnsi="Times New Roman" w:cs="Times New Roman"/>
        </w:rPr>
        <w:footnoteReference w:id="25"/>
      </w:r>
      <w:r>
        <w:rPr>
          <w:rFonts w:ascii="Times New Roman" w:eastAsia="Times New Roman" w:hAnsi="Times New Roman" w:cs="Times New Roman"/>
        </w:rPr>
        <w:t xml:space="preserve"> permet de combiner protection de l’environnement et droits humains en impliquant à la fois les structures gouvernementales et les droits individuels. Si celle-ci répond à une logique de durabilité, elle ne saurait se substituer à l’instauration directe de principes juridiques visant une intégration du concept de justice transgénérationnelle dans les constitutions et les législations nationales</w:t>
      </w:r>
      <w:r>
        <w:rPr>
          <w:rStyle w:val="FootnoteReference"/>
          <w:rFonts w:ascii="Times New Roman" w:eastAsia="Times New Roman" w:hAnsi="Times New Roman" w:cs="Times New Roman"/>
        </w:rPr>
        <w:footnoteReference w:id="26"/>
      </w:r>
      <w:r>
        <w:rPr>
          <w:rFonts w:ascii="Times New Roman" w:eastAsia="Times New Roman" w:hAnsi="Times New Roman" w:cs="Times New Roman"/>
        </w:rPr>
        <w:t xml:space="preserve">. </w:t>
      </w:r>
      <w:r>
        <w:rPr>
          <w:rFonts w:ascii="Times New Roman" w:eastAsia="Times New Roman" w:hAnsi="Times New Roman" w:cs="Times New Roman"/>
          <w:b/>
        </w:rPr>
        <w:t>Deux principes peuvent ainsi être formulés</w:t>
      </w:r>
      <w:r>
        <w:rPr>
          <w:rStyle w:val="FootnoteReference"/>
          <w:rFonts w:ascii="Times New Roman" w:eastAsia="Times New Roman" w:hAnsi="Times New Roman" w:cs="Times New Roman"/>
          <w:b/>
        </w:rPr>
        <w:footnoteReference w:id="27"/>
      </w:r>
      <w:r>
        <w:rPr>
          <w:rFonts w:ascii="Times New Roman" w:eastAsia="Times New Roman" w:hAnsi="Times New Roman" w:cs="Times New Roman"/>
          <w:b/>
        </w:rPr>
        <w:t>.</w:t>
      </w:r>
    </w:p>
    <w:p w:rsidR="00102D2F" w:rsidRDefault="00102D2F">
      <w:pPr>
        <w:pStyle w:val="Standard"/>
        <w:jc w:val="both"/>
        <w:rPr>
          <w:rFonts w:ascii="Times New Roman" w:eastAsia="Times New Roman" w:hAnsi="Times New Roman" w:cs="Times New Roman"/>
          <w:b/>
        </w:rPr>
      </w:pPr>
    </w:p>
    <w:p w:rsidR="00102D2F" w:rsidRDefault="00E7681F">
      <w:pPr>
        <w:pStyle w:val="Standard"/>
        <w:jc w:val="both"/>
      </w:pPr>
      <w:r>
        <w:rPr>
          <w:rFonts w:ascii="Times New Roman" w:eastAsia="Times New Roman" w:hAnsi="Times New Roman" w:cs="Times New Roman"/>
          <w:b/>
        </w:rPr>
        <w:t>En vertu du principe de non-discrimination temporelle</w:t>
      </w:r>
      <w:r>
        <w:rPr>
          <w:rFonts w:ascii="Times New Roman" w:eastAsia="Times New Roman" w:hAnsi="Times New Roman" w:cs="Times New Roman"/>
        </w:rPr>
        <w:t xml:space="preserve">, l’absence d’existence des générations futures ne peut plus être synonyme d’absence de droit ni de protection. </w:t>
      </w:r>
      <w:r>
        <w:rPr>
          <w:rFonts w:ascii="Times New Roman" w:eastAsia="Times New Roman" w:hAnsi="Times New Roman" w:cs="Times New Roman"/>
          <w:i/>
        </w:rPr>
        <w:t>Sinon, cela revient à un abus de pouvoir fondé sur une priorité d’existence temporelle.</w:t>
      </w:r>
      <w:r>
        <w:rPr>
          <w:rFonts w:ascii="Times New Roman" w:eastAsia="Times New Roman" w:hAnsi="Times New Roman" w:cs="Times New Roman"/>
        </w:rPr>
        <w:t xml:space="preserve"> Ce principe permet d’anticiper les risques de catastrophes</w:t>
      </w:r>
      <w:r>
        <w:rPr>
          <w:rStyle w:val="FootnoteReference"/>
          <w:rFonts w:ascii="Times New Roman" w:eastAsia="Times New Roman" w:hAnsi="Times New Roman" w:cs="Times New Roman"/>
        </w:rPr>
        <w:footnoteReference w:id="28"/>
      </w:r>
      <w:r>
        <w:rPr>
          <w:rFonts w:ascii="Times New Roman" w:eastAsia="Times New Roman" w:hAnsi="Times New Roman" w:cs="Times New Roman"/>
        </w:rPr>
        <w:t>, notamment d</w:t>
      </w:r>
      <w:r>
        <w:rPr>
          <w:rFonts w:ascii="Times New Roman" w:eastAsia="Times New Roman" w:hAnsi="Times New Roman" w:cs="Times New Roman"/>
          <w:i/>
        </w:rPr>
        <w:t>ans un contexte d'incertitude</w:t>
      </w:r>
      <w:r>
        <w:rPr>
          <w:rFonts w:ascii="Times New Roman" w:eastAsia="Times New Roman" w:hAnsi="Times New Roman" w:cs="Times New Roman"/>
        </w:rPr>
        <w:t xml:space="preserve"> où le principe de précaution participe à la consolidation normative d’obligations de vigilance (environnementale et sanitaire) et où il importe de financer les recherches scientifiques nécessaires à l’évaluation dynamique des risques. </w:t>
      </w:r>
      <w:r>
        <w:rPr>
          <w:rFonts w:ascii="Times New Roman" w:eastAsia="Times New Roman" w:hAnsi="Times New Roman" w:cs="Times New Roman"/>
          <w:i/>
        </w:rPr>
        <w:t>Dans un contexte de certitude de dommage transgénérationnel</w:t>
      </w:r>
      <w:r>
        <w:rPr>
          <w:rFonts w:ascii="Times New Roman" w:eastAsia="Times New Roman" w:hAnsi="Times New Roman" w:cs="Times New Roman"/>
        </w:rPr>
        <w:t xml:space="preserve">, il s’agit d’étendre dans le temps des principes classiques : ne pas mettre en danger ou tuer autrui. Concrètement, pour l’exemple du droit à la vie, si avec certitude, nous mettons en danger les générations futures, il importe d’agir dès aujourd’hui. La responsabilité s’étend aussi loin que nos pouvoirs. En ce sens, il est possible d’imaginer </w:t>
      </w:r>
      <w:r>
        <w:rPr>
          <w:rFonts w:ascii="Times New Roman" w:eastAsia="Times New Roman" w:hAnsi="Times New Roman" w:cs="Times New Roman"/>
          <w:b/>
        </w:rPr>
        <w:t>un</w:t>
      </w:r>
      <w:r>
        <w:rPr>
          <w:rFonts w:ascii="Times New Roman" w:eastAsia="Times New Roman" w:hAnsi="Times New Roman" w:cs="Times New Roman"/>
        </w:rPr>
        <w:t xml:space="preserve"> </w:t>
      </w:r>
      <w:r>
        <w:rPr>
          <w:rFonts w:ascii="Times New Roman" w:eastAsia="Times New Roman" w:hAnsi="Times New Roman" w:cs="Times New Roman"/>
          <w:b/>
        </w:rPr>
        <w:t xml:space="preserve">contrôle de constitutionnalité des lois </w:t>
      </w:r>
      <w:r>
        <w:rPr>
          <w:rFonts w:ascii="Times New Roman" w:eastAsia="Times New Roman" w:hAnsi="Times New Roman" w:cs="Times New Roman"/>
        </w:rPr>
        <w:t>visant à assurer la préservation des générations futures contre un risque de dommage grave et irréversible causé à l'environnement.</w:t>
      </w:r>
      <w:r>
        <w:rPr>
          <w:rFonts w:ascii="Times New Roman" w:eastAsia="Times New Roman" w:hAnsi="Times New Roman" w:cs="Times New Roman"/>
          <w:b/>
        </w:rPr>
        <w:t xml:space="preserve">  En vertu du principe de dignité des générations futures,</w:t>
      </w:r>
      <w:r>
        <w:rPr>
          <w:rFonts w:ascii="Times New Roman" w:eastAsia="Times New Roman" w:hAnsi="Times New Roman" w:cs="Times New Roman"/>
        </w:rPr>
        <w:t xml:space="preserve"> il devient possible de décliner au transgénérationnel les droits, mais aussi les devoirs, </w:t>
      </w:r>
      <w:r>
        <w:rPr>
          <w:rFonts w:ascii="Times New Roman" w:eastAsia="Times New Roman" w:hAnsi="Times New Roman" w:cs="Times New Roman"/>
          <w:u w:val="single"/>
        </w:rPr>
        <w:t>tout aussi</w:t>
      </w:r>
      <w:r>
        <w:rPr>
          <w:rFonts w:ascii="Times New Roman" w:eastAsia="Times New Roman" w:hAnsi="Times New Roman" w:cs="Times New Roman"/>
        </w:rPr>
        <w:t xml:space="preserve"> fondamentaux, afin d’assurer la </w:t>
      </w:r>
      <w:r>
        <w:rPr>
          <w:rFonts w:ascii="Times New Roman" w:eastAsia="Times New Roman" w:hAnsi="Times New Roman" w:cs="Times New Roman"/>
          <w:b/>
        </w:rPr>
        <w:t>protection juridique effective</w:t>
      </w:r>
      <w:r>
        <w:rPr>
          <w:rFonts w:ascii="Times New Roman" w:eastAsia="Times New Roman" w:hAnsi="Times New Roman" w:cs="Times New Roman"/>
        </w:rPr>
        <w:t xml:space="preserve"> des générations futures. Associée au principe de non-discrimination temporelle, la transmission d’une responsabilité transgénérationnelles devient envisageable, c’est-à-dire que </w:t>
      </w:r>
      <w:r>
        <w:rPr>
          <w:rFonts w:ascii="Times New Roman" w:eastAsia="Times New Roman" w:hAnsi="Times New Roman" w:cs="Times New Roman"/>
          <w:b/>
        </w:rPr>
        <w:t xml:space="preserve">chaque génération doit veiller à préserver la dignité de celles qui la suivent. </w:t>
      </w:r>
      <w:r>
        <w:rPr>
          <w:rFonts w:ascii="Times New Roman" w:eastAsia="Times New Roman" w:hAnsi="Times New Roman" w:cs="Times New Roman"/>
        </w:rPr>
        <w:t xml:space="preserve">Cette approche </w:t>
      </w:r>
      <w:r>
        <w:rPr>
          <w:rFonts w:ascii="Times New Roman" w:eastAsia="Times New Roman" w:hAnsi="Times New Roman" w:cs="Times New Roman"/>
          <w:b/>
        </w:rPr>
        <w:t>permet aussi de décentrer l’univers des droits fondamentaux afin de protéger la vie non humaine et l’intégrité des écosystèmes.</w:t>
      </w:r>
    </w:p>
    <w:p w:rsidR="00102D2F" w:rsidRDefault="00102D2F">
      <w:pPr>
        <w:pStyle w:val="Standard"/>
        <w:jc w:val="both"/>
        <w:rPr>
          <w:rFonts w:ascii="Times New Roman" w:eastAsia="Times New Roman" w:hAnsi="Times New Roman" w:cs="Times New Roman"/>
        </w:rPr>
      </w:pPr>
    </w:p>
    <w:p w:rsidR="00102D2F" w:rsidRDefault="00E7681F">
      <w:pPr>
        <w:pStyle w:val="Standard"/>
        <w:jc w:val="both"/>
      </w:pPr>
      <w:r>
        <w:rPr>
          <w:rFonts w:ascii="Times New Roman" w:eastAsia="Times New Roman" w:hAnsi="Times New Roman" w:cs="Times New Roman"/>
        </w:rPr>
        <w:t xml:space="preserve">Pour ce qui est des bonnes pratiques à mettre en place afin </w:t>
      </w:r>
      <w:r>
        <w:rPr>
          <w:rFonts w:ascii="Times New Roman" w:eastAsia="Times New Roman" w:hAnsi="Times New Roman" w:cs="Times New Roman"/>
          <w:b/>
        </w:rPr>
        <w:t>d’instaurer une solidarité transgénérationnelle et arrêter les abus de droits envers l’avenir</w:t>
      </w:r>
      <w:r>
        <w:rPr>
          <w:rStyle w:val="FootnoteReference"/>
          <w:rFonts w:ascii="Times New Roman" w:eastAsia="Times New Roman" w:hAnsi="Times New Roman" w:cs="Times New Roman"/>
          <w:b/>
        </w:rPr>
        <w:footnoteReference w:id="29"/>
      </w:r>
      <w:r>
        <w:rPr>
          <w:rFonts w:ascii="Times New Roman" w:eastAsia="Times New Roman" w:hAnsi="Times New Roman" w:cs="Times New Roman"/>
          <w:b/>
        </w:rPr>
        <w:t>,</w:t>
      </w:r>
      <w:r>
        <w:rPr>
          <w:rFonts w:ascii="Times New Roman" w:eastAsia="Times New Roman" w:hAnsi="Times New Roman" w:cs="Times New Roman"/>
        </w:rPr>
        <w:t xml:space="preserve"> il s’agit de décentrer le regard porté sur la nature et les ressources. Les connaissances et pratiques ancestrales dont les relations au monde sont basées sur un respect des rythmes</w:t>
      </w:r>
      <w:r>
        <w:rPr>
          <w:rStyle w:val="FootnoteReference"/>
          <w:rFonts w:ascii="Times New Roman" w:eastAsia="Times New Roman" w:hAnsi="Times New Roman" w:cs="Times New Roman"/>
        </w:rPr>
        <w:footnoteReference w:id="30"/>
      </w:r>
      <w:r>
        <w:rPr>
          <w:rFonts w:ascii="Times New Roman" w:eastAsia="Times New Roman" w:hAnsi="Times New Roman" w:cs="Times New Roman"/>
        </w:rPr>
        <w:t xml:space="preserve"> et des lois de la nature transposables dans le domaine social, juridique et économique sont essentielles. La cosmogonie de certains peuples autochtones intègre ainsi dans leur pratique d'être au monde une relation systémique respectueuse de l'environnement dont il faudrait s’inspirer : la loi de la paix avec la Terre, les lois de la Terre pour gouverner les humains</w:t>
      </w:r>
      <w:r>
        <w:rPr>
          <w:rStyle w:val="FootnoteReference"/>
          <w:rFonts w:ascii="Times New Roman" w:eastAsia="Times New Roman" w:hAnsi="Times New Roman" w:cs="Times New Roman"/>
        </w:rPr>
        <w:footnoteReference w:id="31"/>
      </w:r>
      <w:r>
        <w:rPr>
          <w:rFonts w:ascii="Times New Roman" w:eastAsia="Times New Roman" w:hAnsi="Times New Roman" w:cs="Times New Roman"/>
        </w:rPr>
        <w:t>.</w:t>
      </w:r>
    </w:p>
    <w:p w:rsidR="00102D2F" w:rsidRDefault="00E7681F">
      <w:pPr>
        <w:pStyle w:val="Standard"/>
        <w:spacing w:before="280" w:after="280" w:line="240" w:lineRule="auto"/>
        <w:jc w:val="both"/>
      </w:pPr>
      <w:r>
        <w:rPr>
          <w:rFonts w:ascii="Times New Roman" w:eastAsia="Times New Roman" w:hAnsi="Times New Roman" w:cs="Times New Roman"/>
          <w:b/>
        </w:rPr>
        <w:t>17.</w:t>
      </w:r>
      <w:r w:rsidR="00C12CAE">
        <w:rPr>
          <w:rFonts w:ascii="Times New Roman" w:eastAsia="Times New Roman" w:hAnsi="Times New Roman" w:cs="Times New Roman"/>
          <w:b/>
        </w:rPr>
        <w:t xml:space="preserve"> </w:t>
      </w:r>
      <w:r>
        <w:rPr>
          <w:rFonts w:ascii="Times New Roman" w:eastAsia="Times New Roman" w:hAnsi="Times New Roman" w:cs="Times New Roman"/>
          <w:b/>
        </w:rPr>
        <w:t>Pouvez-vous partager quelques bonnes pratiques qui permettent aux jeunes d'être représentés devant les tribunaux et de voir leurs opinions et préoccupations correctement exprimées dans le processus judiciaire ?</w:t>
      </w:r>
    </w:p>
    <w:p w:rsidR="00102D2F" w:rsidRDefault="00E7681F">
      <w:pPr>
        <w:pStyle w:val="Standard"/>
        <w:spacing w:before="240"/>
        <w:jc w:val="both"/>
      </w:pPr>
      <w:r>
        <w:rPr>
          <w:rFonts w:ascii="Times New Roman" w:eastAsia="Times New Roman" w:hAnsi="Times New Roman" w:cs="Times New Roman"/>
        </w:rPr>
        <w:t>La représentation des jeunes dans les tribunaux, ainsi que dans les instances de décisions est importante pour apporter une perspective plus élargie de l’avenir. En effet, les jeunes devront affronter les conséquences du dérèglement climatique bien plus longtemps, de manière bien plus intense, sans avoir directement été responsable de cette crise, et c’est pourquoi la jeunesse est souvent connue comme représentante des générations futures.</w:t>
      </w:r>
      <w:r>
        <w:rPr>
          <w:rFonts w:ascii="Times New Roman" w:eastAsia="Times New Roman" w:hAnsi="Times New Roman" w:cs="Times New Roman"/>
          <w:i/>
        </w:rPr>
        <w:t xml:space="preserve"> La formation est un enjeu crucial à cet égard, car une éducation sur les enjeux transgénérationnels est indispensable pour que la jeunesse soit représentée directement et avec effectivité devant les tribunaux. </w:t>
      </w:r>
      <w:r>
        <w:rPr>
          <w:rFonts w:ascii="Times New Roman" w:eastAsia="Times New Roman" w:hAnsi="Times New Roman" w:cs="Times New Roman"/>
        </w:rPr>
        <w:t>Ce qui souligne l’importance de la formation, telle que le master GENFUT</w:t>
      </w:r>
      <w:r>
        <w:rPr>
          <w:rStyle w:val="FootnoteReference"/>
          <w:rFonts w:ascii="Times New Roman" w:eastAsia="Times New Roman" w:hAnsi="Times New Roman" w:cs="Times New Roman"/>
        </w:rPr>
        <w:footnoteReference w:id="32"/>
      </w:r>
      <w:r>
        <w:rPr>
          <w:rFonts w:ascii="Times New Roman" w:eastAsia="Times New Roman" w:hAnsi="Times New Roman" w:cs="Times New Roman"/>
        </w:rPr>
        <w:t>, qui a vocation à former de futurs négociateurs internationaux, des personnalités politiques, des citoyens, des avocats ou encore des juges.</w:t>
      </w:r>
    </w:p>
    <w:p w:rsidR="00102D2F" w:rsidRDefault="00E7681F">
      <w:pPr>
        <w:pStyle w:val="Standard"/>
        <w:spacing w:before="240"/>
        <w:jc w:val="both"/>
      </w:pPr>
      <w:r>
        <w:rPr>
          <w:rFonts w:ascii="Times New Roman" w:eastAsia="Times New Roman" w:hAnsi="Times New Roman" w:cs="Times New Roman"/>
        </w:rPr>
        <w:t>En 2021, plus d’un quart des plaignants dans les litiges sur le climat était des jeunes ou des enfants</w:t>
      </w:r>
      <w:r>
        <w:rPr>
          <w:rStyle w:val="FootnoteReference"/>
          <w:rFonts w:ascii="Times New Roman" w:eastAsia="Times New Roman" w:hAnsi="Times New Roman" w:cs="Times New Roman"/>
        </w:rPr>
        <w:footnoteReference w:id="33"/>
      </w:r>
      <w:r>
        <w:rPr>
          <w:rFonts w:ascii="Times New Roman" w:eastAsia="Times New Roman" w:hAnsi="Times New Roman" w:cs="Times New Roman"/>
        </w:rPr>
        <w:t xml:space="preserve">, ce qui montre leur autorité morale dans les affaires climatiques utilisant principalement l’argumentaire des droits humains. Au-delà de l’avantage que représente l’utilisation du droit interne et international relatif à la protection des enfants, les jeunes d’aujourd’hui font partie des futures générations, en tout cas, les juges semblent l’accepter (comme dans l’affaire </w:t>
      </w:r>
      <w:r>
        <w:rPr>
          <w:rFonts w:ascii="Times New Roman" w:eastAsia="Times New Roman" w:hAnsi="Times New Roman" w:cs="Times New Roman"/>
          <w:i/>
        </w:rPr>
        <w:t xml:space="preserve">Future </w:t>
      </w:r>
      <w:proofErr w:type="spellStart"/>
      <w:r>
        <w:rPr>
          <w:rFonts w:ascii="Times New Roman" w:eastAsia="Times New Roman" w:hAnsi="Times New Roman" w:cs="Times New Roman"/>
          <w:i/>
        </w:rPr>
        <w:t>Generations</w:t>
      </w:r>
      <w:proofErr w:type="spellEnd"/>
      <w:r>
        <w:rPr>
          <w:rFonts w:ascii="Times New Roman" w:eastAsia="Times New Roman" w:hAnsi="Times New Roman" w:cs="Times New Roman"/>
        </w:rPr>
        <w:t xml:space="preserve"> v. </w:t>
      </w:r>
      <w:r>
        <w:rPr>
          <w:rFonts w:ascii="Times New Roman" w:eastAsia="Times New Roman" w:hAnsi="Times New Roman" w:cs="Times New Roman"/>
          <w:i/>
        </w:rPr>
        <w:t>Ministry of the Environment et al</w:t>
      </w:r>
      <w:r>
        <w:rPr>
          <w:rFonts w:ascii="Times New Roman" w:eastAsia="Times New Roman" w:hAnsi="Times New Roman" w:cs="Times New Roman"/>
        </w:rPr>
        <w:t xml:space="preserve"> présenté devant la Cour suprême de Colombie en 2018) et </w:t>
      </w:r>
      <w:r>
        <w:rPr>
          <w:rFonts w:ascii="Times New Roman" w:eastAsia="Times New Roman" w:hAnsi="Times New Roman" w:cs="Times New Roman"/>
          <w:b/>
        </w:rPr>
        <w:t>cela permet notamment de contourner la difficulté que les juridictions peuvent rencontrer à attribuer des droits à des personnes qui ne sont pas encore nées</w:t>
      </w:r>
      <w:r>
        <w:rPr>
          <w:rStyle w:val="FootnoteReference"/>
          <w:rFonts w:ascii="Times New Roman" w:eastAsia="Times New Roman" w:hAnsi="Times New Roman" w:cs="Times New Roman"/>
        </w:rPr>
        <w:footnoteReference w:id="34"/>
      </w:r>
      <w:r>
        <w:rPr>
          <w:rFonts w:ascii="Times New Roman" w:eastAsia="Times New Roman" w:hAnsi="Times New Roman" w:cs="Times New Roman"/>
        </w:rPr>
        <w:t>.</w:t>
      </w:r>
    </w:p>
    <w:p w:rsidR="00102D2F" w:rsidRDefault="00102D2F">
      <w:pPr>
        <w:pStyle w:val="Standard"/>
        <w:jc w:val="both"/>
        <w:rPr>
          <w:rFonts w:ascii="Times New Roman" w:eastAsia="Times New Roman" w:hAnsi="Times New Roman" w:cs="Times New Roman"/>
          <w:b/>
        </w:rPr>
      </w:pPr>
    </w:p>
    <w:p w:rsidR="00102D2F" w:rsidRDefault="00E7681F">
      <w:pPr>
        <w:pStyle w:val="Standard"/>
        <w:jc w:val="both"/>
      </w:pPr>
      <w:r>
        <w:rPr>
          <w:rFonts w:ascii="Times New Roman" w:eastAsia="Times New Roman" w:hAnsi="Times New Roman" w:cs="Times New Roman"/>
        </w:rPr>
        <w:t>Cependant au regard de l’ensemble de la contribution,</w:t>
      </w:r>
      <w:r>
        <w:rPr>
          <w:rFonts w:ascii="Times New Roman" w:eastAsia="Times New Roman" w:hAnsi="Times New Roman" w:cs="Times New Roman"/>
          <w:b/>
        </w:rPr>
        <w:t xml:space="preserve"> il convient d’apporter une analyse critique, </w:t>
      </w:r>
      <w:r>
        <w:rPr>
          <w:rFonts w:ascii="Times New Roman" w:eastAsia="Times New Roman" w:hAnsi="Times New Roman" w:cs="Times New Roman"/>
        </w:rPr>
        <w:t>car l’intervention des jeunes et la prise en compte de leurs préoccupations dans les tribunaux n’est pas l’unique garante des intérêts futurs. De plus, cela peut provoquer un biais cognitif au regard de l’approche transgénérationnelle. En</w:t>
      </w:r>
      <w:r>
        <w:rPr>
          <w:rFonts w:ascii="Times New Roman" w:eastAsia="Times New Roman" w:hAnsi="Times New Roman" w:cs="Times New Roman"/>
          <w:b/>
        </w:rPr>
        <w:t xml:space="preserve"> </w:t>
      </w:r>
      <w:r>
        <w:rPr>
          <w:rFonts w:ascii="Times New Roman" w:eastAsia="Times New Roman" w:hAnsi="Times New Roman" w:cs="Times New Roman"/>
        </w:rPr>
        <w:t xml:space="preserve">effet, </w:t>
      </w:r>
      <w:r>
        <w:rPr>
          <w:rFonts w:ascii="Times New Roman" w:eastAsia="Times New Roman" w:hAnsi="Times New Roman" w:cs="Times New Roman"/>
          <w:b/>
        </w:rPr>
        <w:t xml:space="preserve">le futur est l’affaire de tous et délimiter la représentation des intérêts futurs à l’unique représentation de la jeunesse dans les tribunaux est réductrice, binaire et </w:t>
      </w:r>
      <w:proofErr w:type="spellStart"/>
      <w:r>
        <w:rPr>
          <w:rFonts w:ascii="Times New Roman" w:eastAsia="Times New Roman" w:hAnsi="Times New Roman" w:cs="Times New Roman"/>
          <w:b/>
        </w:rPr>
        <w:t>simplifiante</w:t>
      </w:r>
      <w:proofErr w:type="spellEnd"/>
      <w:r>
        <w:rPr>
          <w:rFonts w:ascii="Times New Roman" w:eastAsia="Times New Roman" w:hAnsi="Times New Roman" w:cs="Times New Roman"/>
          <w:b/>
        </w:rPr>
        <w:t xml:space="preserve">. Parler des droits transgénérationnels c’est considérer les risques existentiels systémiques et complexes de l’Humanité qui doivent être nécessairement anticipés et empêchés. </w:t>
      </w:r>
      <w:r>
        <w:rPr>
          <w:rFonts w:ascii="Times New Roman" w:eastAsia="Times New Roman" w:hAnsi="Times New Roman" w:cs="Times New Roman"/>
        </w:rPr>
        <w:t>De plus, il est nécessaire de dépasser la difficulté à attribuer des droits à des sujets encore inexistants. Ainsi, même si la représentation des jeunes apporte de nouveaux argumentaires autour des générations futures et des droits humains, elle ne doit pas empêcher ou freiner la proclamation, par la communauté internationale et les juges, d'interdits fondateurs au regard des risques que les changements climatiques font porter aux générations qui ne sont pas encore nées.</w:t>
      </w:r>
    </w:p>
    <w:sectPr w:rsidR="00102D2F" w:rsidSect="003B611E">
      <w:footerReference w:type="default" r:id="rId14"/>
      <w:pgSz w:w="11906" w:h="16838"/>
      <w:pgMar w:top="851" w:right="851" w:bottom="851" w:left="851" w:header="720" w:footer="53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7C7" w:rsidRDefault="005A47C7">
      <w:r>
        <w:separator/>
      </w:r>
    </w:p>
  </w:endnote>
  <w:endnote w:type="continuationSeparator" w:id="0">
    <w:p w:rsidR="005A47C7" w:rsidRDefault="005A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245" w:rsidRDefault="00E7681F">
    <w:pPr>
      <w:pStyle w:val="Standard"/>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7C7" w:rsidRDefault="005A47C7">
      <w:r>
        <w:rPr>
          <w:color w:val="000000"/>
        </w:rPr>
        <w:separator/>
      </w:r>
    </w:p>
  </w:footnote>
  <w:footnote w:type="continuationSeparator" w:id="0">
    <w:p w:rsidR="005A47C7" w:rsidRDefault="005A47C7">
      <w:r>
        <w:continuationSeparator/>
      </w:r>
    </w:p>
  </w:footnote>
  <w:footnote w:id="1">
    <w:p w:rsidR="00102D2F" w:rsidRDefault="00E7681F">
      <w:pPr>
        <w:pStyle w:val="Standard"/>
        <w:spacing w:line="240" w:lineRule="auto"/>
        <w:jc w:val="both"/>
      </w:pPr>
      <w:r>
        <w:rPr>
          <w:rStyle w:val="FootnoteReference"/>
        </w:rPr>
        <w:footnoteRef/>
      </w:r>
      <w:r>
        <w:rPr>
          <w:rFonts w:ascii="Times New Roman" w:eastAsia="Times New Roman" w:hAnsi="Times New Roman" w:cs="Times New Roman"/>
          <w:sz w:val="20"/>
          <w:szCs w:val="20"/>
        </w:rPr>
        <w:t xml:space="preserve">Émilie Gaillard est auteure d’une thèse intitulée </w:t>
      </w:r>
      <w:r>
        <w:rPr>
          <w:rFonts w:ascii="Times New Roman" w:eastAsia="Times New Roman" w:hAnsi="Times New Roman" w:cs="Times New Roman"/>
          <w:i/>
          <w:sz w:val="20"/>
          <w:szCs w:val="20"/>
        </w:rPr>
        <w:t>Générations futures et droit privé : vers un droit des générations futures</w:t>
      </w:r>
      <w:r>
        <w:rPr>
          <w:rFonts w:ascii="Times New Roman" w:eastAsia="Times New Roman" w:hAnsi="Times New Roman" w:cs="Times New Roman"/>
          <w:sz w:val="20"/>
          <w:szCs w:val="20"/>
        </w:rPr>
        <w:t xml:space="preserve">. Elle a été l’une des premières chercheuses à lier les thématiques du droit(s) des générations futures et des droits humains dans le contexte de l’urgence des changements climatiques avec notamment un article publié en 2012 “Patrimoine commun de l'humanité, Trust intergénérationnel Biens </w:t>
      </w:r>
      <w:r w:rsidR="00763020">
        <w:rPr>
          <w:rFonts w:ascii="Times New Roman" w:eastAsia="Times New Roman" w:hAnsi="Times New Roman" w:cs="Times New Roman"/>
          <w:sz w:val="20"/>
          <w:szCs w:val="20"/>
        </w:rPr>
        <w:t>communs :</w:t>
      </w:r>
      <w:r>
        <w:rPr>
          <w:rFonts w:ascii="Times New Roman" w:eastAsia="Times New Roman" w:hAnsi="Times New Roman" w:cs="Times New Roman"/>
          <w:sz w:val="20"/>
          <w:szCs w:val="20"/>
        </w:rPr>
        <w:t xml:space="preserve"> une même dynamique transgénérationnelle.” </w:t>
      </w:r>
      <w:r>
        <w:rPr>
          <w:rFonts w:ascii="Times New Roman" w:eastAsia="Times New Roman" w:hAnsi="Times New Roman" w:cs="Times New Roman"/>
          <w:i/>
          <w:sz w:val="20"/>
          <w:szCs w:val="20"/>
        </w:rPr>
        <w:t>La résurgence des " Communs " : entre illusions et nécessités</w:t>
      </w:r>
      <w:r>
        <w:rPr>
          <w:rFonts w:ascii="Times New Roman" w:eastAsia="Times New Roman" w:hAnsi="Times New Roman" w:cs="Times New Roman"/>
          <w:sz w:val="20"/>
          <w:szCs w:val="20"/>
        </w:rPr>
        <w:t xml:space="preserve">, ainsi que l’organisation scientifique du « </w:t>
      </w:r>
      <w:proofErr w:type="spellStart"/>
      <w:r>
        <w:rPr>
          <w:rFonts w:ascii="Times New Roman" w:eastAsia="Times New Roman" w:hAnsi="Times New Roman" w:cs="Times New Roman"/>
          <w:sz w:val="20"/>
          <w:szCs w:val="20"/>
        </w:rPr>
        <w:t>Side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event</w:t>
      </w:r>
      <w:proofErr w:type="spellEnd"/>
      <w:r>
        <w:rPr>
          <w:rFonts w:ascii="Times New Roman" w:eastAsia="Times New Roman" w:hAnsi="Times New Roman" w:cs="Times New Roman"/>
          <w:sz w:val="20"/>
          <w:szCs w:val="20"/>
        </w:rPr>
        <w:t xml:space="preserve"> » organisé par le CIDCE à la 21ème Conférence des parties (COP21) sur la thématique “Les droits de l’humanité, les générations futures et les changements climatiques”, à l’EHESS, Paris.  Contact : emilie.gaillard@sciencespo-rennes.fr</w:t>
      </w:r>
    </w:p>
  </w:footnote>
  <w:footnote w:id="2">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Nous préférons dans cette contribution l'utilisation de la notion “transgénérationnelle” </w:t>
      </w:r>
      <w:r>
        <w:rPr>
          <w:rFonts w:ascii="Times New Roman" w:eastAsia="Times New Roman" w:hAnsi="Times New Roman" w:cs="Times New Roman"/>
          <w:sz w:val="20"/>
          <w:szCs w:val="20"/>
        </w:rPr>
        <w:t>(Cf. question 13).</w:t>
      </w:r>
    </w:p>
  </w:footnote>
  <w:footnote w:id="3">
    <w:p w:rsidR="00102D2F" w:rsidRPr="00C12CAE" w:rsidRDefault="00E7681F">
      <w:pPr>
        <w:pStyle w:val="Standard"/>
        <w:spacing w:line="240" w:lineRule="auto"/>
        <w:jc w:val="both"/>
        <w:rPr>
          <w:lang w:val="en-US"/>
        </w:rPr>
      </w:pPr>
      <w:r>
        <w:rPr>
          <w:rStyle w:val="FootnoteReference"/>
        </w:rPr>
        <w:footnoteRef/>
      </w:r>
      <w:r w:rsidR="00E16C88">
        <w:rPr>
          <w:rFonts w:ascii="Times New Roman" w:eastAsia="Times New Roman" w:hAnsi="Times New Roman" w:cs="Times New Roman"/>
          <w:sz w:val="20"/>
          <w:szCs w:val="20"/>
          <w:lang w:val="en-US"/>
        </w:rPr>
        <w:t xml:space="preserve"> </w:t>
      </w:r>
      <w:r w:rsidR="00E16C88" w:rsidRPr="00C12CAE">
        <w:rPr>
          <w:rFonts w:ascii="Times New Roman" w:eastAsia="Times New Roman" w:hAnsi="Times New Roman" w:cs="Times New Roman"/>
          <w:sz w:val="20"/>
          <w:szCs w:val="20"/>
          <w:lang w:val="en-US"/>
        </w:rPr>
        <w:t>R. ARAUJO</w:t>
      </w:r>
      <w:r w:rsidRPr="00C12CAE">
        <w:rPr>
          <w:rFonts w:ascii="Times New Roman" w:eastAsia="Times New Roman" w:hAnsi="Times New Roman" w:cs="Times New Roman"/>
          <w:sz w:val="20"/>
          <w:szCs w:val="20"/>
          <w:lang w:val="en-US"/>
        </w:rPr>
        <w:t>, L. KOESSLER, “</w:t>
      </w:r>
      <w:r w:rsidRPr="00C12CAE">
        <w:rPr>
          <w:rFonts w:ascii="Times New Roman" w:eastAsia="Times New Roman" w:hAnsi="Times New Roman" w:cs="Times New Roman"/>
          <w:i/>
          <w:sz w:val="20"/>
          <w:szCs w:val="20"/>
          <w:lang w:val="en-US"/>
        </w:rPr>
        <w:t>The rise of the constitutional protection of future generations</w:t>
      </w:r>
      <w:r w:rsidRPr="00C12CAE">
        <w:rPr>
          <w:rFonts w:ascii="Times New Roman" w:eastAsia="Times New Roman" w:hAnsi="Times New Roman" w:cs="Times New Roman"/>
          <w:i/>
          <w:lang w:val="en-US"/>
        </w:rPr>
        <w:t>”</w:t>
      </w:r>
      <w:r w:rsidRPr="00C12CAE">
        <w:rPr>
          <w:rFonts w:ascii="Times New Roman" w:eastAsia="Times New Roman" w:hAnsi="Times New Roman" w:cs="Times New Roman"/>
          <w:sz w:val="20"/>
          <w:szCs w:val="20"/>
          <w:lang w:val="en-US"/>
        </w:rPr>
        <w:t>, Legal Priorities Project, Working paper series N°7-2021, 2021, 45 p.</w:t>
      </w:r>
    </w:p>
  </w:footnote>
  <w:footnote w:id="4">
    <w:p w:rsidR="00102D2F" w:rsidRDefault="00E7681F">
      <w:pPr>
        <w:pStyle w:val="Standard"/>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Par exemple l’article 12 en Norvège vise uniquement une juste répartition des richesses entre les générations.</w:t>
      </w:r>
    </w:p>
  </w:footnote>
  <w:footnote w:id="5">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Tel que (cité dans l’ordre de fréquence) : la protection de l’environnement (et la détermination de groupe d’intérêt), les ressources naturelles et l’exploitation des biens communs, les générations futures pour elles-mêmes (une référence générique à l’humanité), leur valeur sociétale (l’héritage, le bien-être de la société sur le temps long), et enfin les finances publiques.</w:t>
      </w:r>
    </w:p>
  </w:footnote>
  <w:footnote w:id="6">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Selon cette même étude. Cf.</w:t>
      </w:r>
      <w:r>
        <w:rPr>
          <w:rFonts w:ascii="Times New Roman" w:eastAsia="Times New Roman" w:hAnsi="Times New Roman" w:cs="Times New Roman"/>
          <w:i/>
          <w:sz w:val="20"/>
          <w:szCs w:val="20"/>
        </w:rPr>
        <w:t xml:space="preserve"> supra</w:t>
      </w:r>
      <w:r>
        <w:rPr>
          <w:rFonts w:ascii="Times New Roman" w:eastAsia="Times New Roman" w:hAnsi="Times New Roman" w:cs="Times New Roman"/>
          <w:sz w:val="20"/>
          <w:szCs w:val="20"/>
        </w:rPr>
        <w:t xml:space="preserve"> note 3.</w:t>
      </w:r>
    </w:p>
  </w:footnote>
  <w:footnote w:id="7">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Japon : article 11 et 97 | Allemagne : article premier et 20A</w:t>
      </w:r>
    </w:p>
  </w:footnote>
  <w:footnote w:id="8">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Le préambule dont l’importance a été rappelée par le Conseil constitutionnel dans sa décision n° 2022-843 du 12 août 2022. L’</w:t>
      </w:r>
      <w:r>
        <w:rPr>
          <w:rFonts w:ascii="Times New Roman" w:eastAsia="Times New Roman" w:hAnsi="Times New Roman" w:cs="Times New Roman"/>
          <w:i/>
          <w:sz w:val="20"/>
          <w:szCs w:val="20"/>
        </w:rPr>
        <w:t>animus</w:t>
      </w:r>
      <w:r>
        <w:rPr>
          <w:rFonts w:ascii="Times New Roman" w:eastAsia="Times New Roman" w:hAnsi="Times New Roman" w:cs="Times New Roman"/>
          <w:sz w:val="20"/>
          <w:szCs w:val="20"/>
        </w:rPr>
        <w:t xml:space="preserve"> de la Charte est clairement motivé par un souci de protection des générations futures par la reconnaissance constitutionnelle de droits et de devoirs fondamentaux à coloration environnementale.</w:t>
      </w:r>
    </w:p>
  </w:footnote>
  <w:footnote w:id="9">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Le principe de précaution ne vise pas le « risque zéro » mais qu’il a vocation à s’appliquer en cas de « risque de dommage grave et irréversible », </w:t>
      </w:r>
      <w:r>
        <w:rPr>
          <w:rFonts w:ascii="Times New Roman" w:eastAsia="Times New Roman" w:hAnsi="Times New Roman" w:cs="Times New Roman"/>
          <w:sz w:val="20"/>
          <w:szCs w:val="20"/>
        </w:rPr>
        <w:t>c’est-à-dire et entre autres, de risque de dommage transgénérationnel, comme pourrait représenter le risque climatique.</w:t>
      </w:r>
    </w:p>
  </w:footnote>
  <w:footnote w:id="10">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Décision n° 451129 du Conseil d’État, 20 septembre 2022.</w:t>
      </w:r>
    </w:p>
  </w:footnote>
  <w:footnote w:id="11">
    <w:p w:rsidR="00A049DB" w:rsidRDefault="00A049DB" w:rsidP="00A049DB">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Pourvoi n° 19-85.004 de la chambre criminelle de la Cour de cassation, dans sa formation restreinte, 8 </w:t>
      </w:r>
      <w:r w:rsidR="00E16C88">
        <w:rPr>
          <w:rFonts w:ascii="Times New Roman" w:eastAsia="Times New Roman" w:hAnsi="Times New Roman" w:cs="Times New Roman"/>
          <w:sz w:val="20"/>
          <w:szCs w:val="20"/>
        </w:rPr>
        <w:t>septembre</w:t>
      </w:r>
      <w:r>
        <w:rPr>
          <w:rFonts w:ascii="Times New Roman" w:eastAsia="Times New Roman" w:hAnsi="Times New Roman" w:cs="Times New Roman"/>
          <w:sz w:val="20"/>
          <w:szCs w:val="20"/>
        </w:rPr>
        <w:t xml:space="preserve"> 2020.</w:t>
      </w:r>
    </w:p>
  </w:footnote>
  <w:footnote w:id="12">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KISS et J.-P. BEURRIER,</w:t>
      </w:r>
      <w:r>
        <w:rPr>
          <w:sz w:val="20"/>
          <w:szCs w:val="20"/>
        </w:rPr>
        <w:t xml:space="preserve"> </w:t>
      </w:r>
      <w:r>
        <w:rPr>
          <w:rFonts w:ascii="Times New Roman" w:eastAsia="Times New Roman" w:hAnsi="Times New Roman" w:cs="Times New Roman"/>
          <w:i/>
          <w:sz w:val="20"/>
          <w:szCs w:val="20"/>
        </w:rPr>
        <w:t>Droit international de l’environnement</w:t>
      </w:r>
      <w:r>
        <w:rPr>
          <w:rFonts w:ascii="Times New Roman" w:eastAsia="Times New Roman" w:hAnsi="Times New Roman" w:cs="Times New Roman"/>
          <w:sz w:val="20"/>
          <w:szCs w:val="20"/>
        </w:rPr>
        <w:t xml:space="preserve">, Paris, </w:t>
      </w:r>
      <w:proofErr w:type="spellStart"/>
      <w:r>
        <w:rPr>
          <w:rFonts w:ascii="Times New Roman" w:eastAsia="Times New Roman" w:hAnsi="Times New Roman" w:cs="Times New Roman"/>
          <w:sz w:val="20"/>
          <w:szCs w:val="20"/>
        </w:rPr>
        <w:t>Pedone</w:t>
      </w:r>
      <w:proofErr w:type="spellEnd"/>
      <w:r>
        <w:rPr>
          <w:rFonts w:ascii="Times New Roman" w:eastAsia="Times New Roman" w:hAnsi="Times New Roman" w:cs="Times New Roman"/>
          <w:sz w:val="20"/>
          <w:szCs w:val="20"/>
        </w:rPr>
        <w:t>, 3e</w:t>
      </w:r>
      <w:r>
        <w:rPr>
          <w:sz w:val="20"/>
          <w:szCs w:val="20"/>
        </w:rPr>
        <w:t xml:space="preserve"> </w:t>
      </w:r>
      <w:r>
        <w:rPr>
          <w:rFonts w:ascii="Times New Roman" w:eastAsia="Times New Roman" w:hAnsi="Times New Roman" w:cs="Times New Roman"/>
          <w:sz w:val="20"/>
          <w:szCs w:val="20"/>
        </w:rPr>
        <w:t>éd., 2004. p. 150.</w:t>
      </w:r>
    </w:p>
  </w:footnote>
  <w:footnote w:id="13">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 GAILLARD, « L’équité transgénérationnelle : perspectives de justice pour les générations futures » en Annexe 2.</w:t>
      </w:r>
    </w:p>
  </w:footnote>
  <w:footnote w:id="14">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 GAILLARD “Droits de l’homme et changements climatiques : la tragédie des droits des droits humains” en Annexe 3.</w:t>
      </w:r>
    </w:p>
  </w:footnote>
  <w:footnote w:id="15">
    <w:p w:rsidR="00102D2F" w:rsidRPr="00C12CAE" w:rsidRDefault="00E7681F">
      <w:pPr>
        <w:pStyle w:val="Standard"/>
        <w:spacing w:line="240" w:lineRule="auto"/>
        <w:rPr>
          <w:lang w:val="en-US"/>
        </w:rPr>
      </w:pPr>
      <w:r>
        <w:rPr>
          <w:rStyle w:val="FootnoteReference"/>
        </w:rPr>
        <w:footnoteRef/>
      </w:r>
      <w:r w:rsidR="00E16C88">
        <w:rPr>
          <w:rFonts w:ascii="Times New Roman" w:eastAsia="Times New Roman" w:hAnsi="Times New Roman" w:cs="Times New Roman"/>
          <w:sz w:val="20"/>
          <w:szCs w:val="20"/>
          <w:lang w:val="en-US"/>
        </w:rPr>
        <w:t xml:space="preserve"> </w:t>
      </w:r>
      <w:r w:rsidRPr="00C12CAE">
        <w:rPr>
          <w:rFonts w:ascii="Times New Roman" w:eastAsia="Times New Roman" w:hAnsi="Times New Roman" w:cs="Times New Roman"/>
          <w:sz w:val="20"/>
          <w:szCs w:val="20"/>
          <w:lang w:val="en-US"/>
        </w:rPr>
        <w:t xml:space="preserve">Cf. article de T. METHA “Rights of Future Generations in Case Law in India” disponible </w:t>
      </w:r>
      <w:proofErr w:type="spellStart"/>
      <w:r w:rsidRPr="00C12CAE">
        <w:rPr>
          <w:rFonts w:ascii="Times New Roman" w:eastAsia="Times New Roman" w:hAnsi="Times New Roman" w:cs="Times New Roman"/>
          <w:sz w:val="20"/>
          <w:szCs w:val="20"/>
          <w:lang w:val="en-US"/>
        </w:rPr>
        <w:t>en</w:t>
      </w:r>
      <w:proofErr w:type="spellEnd"/>
      <w:r w:rsidRPr="00C12CAE">
        <w:rPr>
          <w:rFonts w:ascii="Times New Roman" w:eastAsia="Times New Roman" w:hAnsi="Times New Roman" w:cs="Times New Roman"/>
          <w:sz w:val="20"/>
          <w:szCs w:val="20"/>
          <w:lang w:val="en-US"/>
        </w:rPr>
        <w:t xml:space="preserve"> </w:t>
      </w:r>
      <w:proofErr w:type="spellStart"/>
      <w:r w:rsidRPr="00C12CAE">
        <w:rPr>
          <w:rFonts w:ascii="Times New Roman" w:eastAsia="Times New Roman" w:hAnsi="Times New Roman" w:cs="Times New Roman"/>
          <w:sz w:val="20"/>
          <w:szCs w:val="20"/>
          <w:lang w:val="en-US"/>
        </w:rPr>
        <w:t>Annexe</w:t>
      </w:r>
      <w:proofErr w:type="spellEnd"/>
      <w:r w:rsidRPr="00C12CAE">
        <w:rPr>
          <w:rFonts w:ascii="Times New Roman" w:eastAsia="Times New Roman" w:hAnsi="Times New Roman" w:cs="Times New Roman"/>
          <w:sz w:val="20"/>
          <w:szCs w:val="20"/>
          <w:lang w:val="en-US"/>
        </w:rPr>
        <w:t xml:space="preserve"> 6.</w:t>
      </w:r>
    </w:p>
  </w:footnote>
  <w:footnote w:id="16">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Et non comme des devoirs moraux. Cf. Déclaration UNESCO de responsabilité des générations présentes envers les générations de 1997.</w:t>
      </w:r>
    </w:p>
  </w:footnote>
  <w:footnote w:id="17">
    <w:p w:rsidR="00102D2F" w:rsidRPr="00C12CAE" w:rsidRDefault="00E7681F">
      <w:pPr>
        <w:pStyle w:val="Standard"/>
        <w:spacing w:line="240" w:lineRule="auto"/>
        <w:jc w:val="both"/>
        <w:rPr>
          <w:lang w:val="en-US"/>
        </w:rPr>
      </w:pPr>
      <w:r>
        <w:rPr>
          <w:rStyle w:val="FootnoteReference"/>
        </w:rPr>
        <w:footnoteRef/>
      </w:r>
      <w:r w:rsidR="00E16C88">
        <w:rPr>
          <w:rFonts w:ascii="Times New Roman" w:eastAsia="Times New Roman" w:hAnsi="Times New Roman" w:cs="Times New Roman"/>
          <w:sz w:val="20"/>
          <w:szCs w:val="20"/>
          <w:lang w:val="en-US"/>
        </w:rPr>
        <w:t xml:space="preserve"> </w:t>
      </w:r>
      <w:r w:rsidRPr="00C12CAE">
        <w:rPr>
          <w:rFonts w:ascii="Times New Roman" w:eastAsia="Times New Roman" w:hAnsi="Times New Roman" w:cs="Times New Roman"/>
          <w:sz w:val="20"/>
          <w:szCs w:val="20"/>
          <w:lang w:val="en-US"/>
        </w:rPr>
        <w:t xml:space="preserve">A. CAYOL et E. GAILLARD, « Transhumanism(s) and Law(s). </w:t>
      </w:r>
      <w:proofErr w:type="spellStart"/>
      <w:r w:rsidRPr="00C12CAE">
        <w:rPr>
          <w:rFonts w:ascii="Times New Roman" w:eastAsia="Times New Roman" w:hAnsi="Times New Roman" w:cs="Times New Roman"/>
          <w:sz w:val="20"/>
          <w:szCs w:val="20"/>
          <w:lang w:val="en-US"/>
        </w:rPr>
        <w:t>FirstTracks</w:t>
      </w:r>
      <w:proofErr w:type="spellEnd"/>
      <w:r w:rsidRPr="00C12CAE">
        <w:rPr>
          <w:rFonts w:ascii="Times New Roman" w:eastAsia="Times New Roman" w:hAnsi="Times New Roman" w:cs="Times New Roman"/>
          <w:sz w:val="20"/>
          <w:szCs w:val="20"/>
          <w:lang w:val="en-US"/>
        </w:rPr>
        <w:t xml:space="preserve"> and Thoughts », in </w:t>
      </w:r>
      <w:r w:rsidRPr="00C12CAE">
        <w:rPr>
          <w:rFonts w:ascii="Times New Roman" w:eastAsia="Times New Roman" w:hAnsi="Times New Roman" w:cs="Times New Roman"/>
          <w:i/>
          <w:sz w:val="20"/>
          <w:szCs w:val="20"/>
          <w:lang w:val="en-US"/>
        </w:rPr>
        <w:t xml:space="preserve">Legal Actions for Future Generations, </w:t>
      </w:r>
      <w:r w:rsidRPr="00C12CAE">
        <w:rPr>
          <w:rFonts w:ascii="Times New Roman" w:eastAsia="Times New Roman" w:hAnsi="Times New Roman" w:cs="Times New Roman"/>
          <w:sz w:val="20"/>
          <w:szCs w:val="20"/>
          <w:lang w:val="en-US"/>
        </w:rPr>
        <w:t>Peter Lang, II, 2022.</w:t>
      </w:r>
      <w:r w:rsidRPr="00C12CAE">
        <w:rPr>
          <w:rFonts w:ascii="Times New Roman" w:eastAsia="Times New Roman" w:hAnsi="Times New Roman" w:cs="Times New Roman"/>
          <w:sz w:val="20"/>
          <w:szCs w:val="20"/>
          <w:lang w:val="en-US"/>
        </w:rPr>
        <w:tab/>
      </w:r>
      <w:r w:rsidRPr="00C12CAE">
        <w:rPr>
          <w:rFonts w:ascii="Times New Roman" w:eastAsia="Times New Roman" w:hAnsi="Times New Roman" w:cs="Times New Roman"/>
          <w:i/>
          <w:sz w:val="20"/>
          <w:szCs w:val="20"/>
          <w:lang w:val="en-US"/>
        </w:rPr>
        <w:tab/>
        <w:t xml:space="preserve"> </w:t>
      </w:r>
      <w:r w:rsidRPr="00C12CAE">
        <w:rPr>
          <w:rFonts w:ascii="Times New Roman" w:eastAsia="Times New Roman" w:hAnsi="Times New Roman" w:cs="Times New Roman"/>
          <w:i/>
          <w:sz w:val="20"/>
          <w:szCs w:val="20"/>
          <w:lang w:val="en-US"/>
        </w:rPr>
        <w:tab/>
      </w:r>
      <w:r w:rsidRPr="00C12CAE">
        <w:rPr>
          <w:rFonts w:ascii="Times New Roman" w:eastAsia="Times New Roman" w:hAnsi="Times New Roman" w:cs="Times New Roman"/>
          <w:i/>
          <w:sz w:val="20"/>
          <w:szCs w:val="20"/>
          <w:lang w:val="en-US"/>
        </w:rPr>
        <w:tab/>
        <w:t xml:space="preserve"> </w:t>
      </w:r>
      <w:r w:rsidRPr="00C12CAE">
        <w:rPr>
          <w:rFonts w:ascii="Times New Roman" w:eastAsia="Times New Roman" w:hAnsi="Times New Roman" w:cs="Times New Roman"/>
          <w:i/>
          <w:sz w:val="20"/>
          <w:szCs w:val="20"/>
          <w:lang w:val="en-US"/>
        </w:rPr>
        <w:tab/>
        <w:t xml:space="preserve"> </w:t>
      </w:r>
      <w:r w:rsidRPr="00C12CAE">
        <w:rPr>
          <w:rFonts w:ascii="Times New Roman" w:eastAsia="Times New Roman" w:hAnsi="Times New Roman" w:cs="Times New Roman"/>
          <w:i/>
          <w:sz w:val="20"/>
          <w:szCs w:val="20"/>
          <w:lang w:val="en-US"/>
        </w:rPr>
        <w:tab/>
      </w:r>
      <w:r w:rsidRPr="00C12CAE">
        <w:rPr>
          <w:rFonts w:ascii="Times New Roman" w:eastAsia="Times New Roman" w:hAnsi="Times New Roman" w:cs="Times New Roman"/>
          <w:i/>
          <w:sz w:val="20"/>
          <w:szCs w:val="20"/>
          <w:lang w:val="en-US"/>
        </w:rPr>
        <w:tab/>
      </w:r>
      <w:r w:rsidRPr="00C12CAE">
        <w:rPr>
          <w:rFonts w:ascii="Times New Roman" w:eastAsia="Times New Roman" w:hAnsi="Times New Roman" w:cs="Times New Roman"/>
          <w:i/>
          <w:sz w:val="20"/>
          <w:szCs w:val="20"/>
          <w:lang w:val="en-US"/>
        </w:rPr>
        <w:tab/>
      </w:r>
      <w:r w:rsidRPr="00C12CAE">
        <w:rPr>
          <w:rFonts w:ascii="Times New Roman" w:eastAsia="Times New Roman" w:hAnsi="Times New Roman" w:cs="Times New Roman"/>
          <w:i/>
          <w:sz w:val="20"/>
          <w:szCs w:val="20"/>
          <w:lang w:val="en-US"/>
        </w:rPr>
        <w:tab/>
      </w:r>
    </w:p>
  </w:footnote>
  <w:footnote w:id="18">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Telles que par les radionucléides, le plastique, les pesticides, les perturbateurs endocriniens</w:t>
      </w:r>
    </w:p>
  </w:footnote>
  <w:footnote w:id="19">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 PRIEUR, C. BASTIN, M. A MEKOUAR &amp; A. P. PENA-VEGA </w:t>
      </w:r>
      <w:r>
        <w:rPr>
          <w:rFonts w:ascii="Times New Roman" w:eastAsia="Times New Roman" w:hAnsi="Times New Roman" w:cs="Times New Roman"/>
          <w:i/>
          <w:sz w:val="20"/>
          <w:szCs w:val="20"/>
        </w:rPr>
        <w:t>Mesurer l’effectivité du droit de l’environnement : Des indicateurs juridiques au service du développement durable</w:t>
      </w:r>
      <w:r>
        <w:rPr>
          <w:rFonts w:ascii="Times New Roman" w:eastAsia="Times New Roman" w:hAnsi="Times New Roman" w:cs="Times New Roman"/>
          <w:sz w:val="20"/>
          <w:szCs w:val="20"/>
        </w:rPr>
        <w:t>. Peter Lang, 2021.</w:t>
      </w:r>
    </w:p>
  </w:footnote>
  <w:footnote w:id="20">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DIE : Droit International de l’Environnement</w:t>
      </w:r>
    </w:p>
  </w:footnote>
  <w:footnote w:id="21">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 GAILLARD, </w:t>
      </w:r>
      <w:r>
        <w:rPr>
          <w:rFonts w:ascii="Times New Roman" w:eastAsia="Times New Roman" w:hAnsi="Times New Roman" w:cs="Times New Roman"/>
          <w:i/>
          <w:sz w:val="20"/>
          <w:szCs w:val="20"/>
        </w:rPr>
        <w:t>Générations futures et droit privé : vers un droit des générations futures</w:t>
      </w:r>
      <w:r>
        <w:rPr>
          <w:rFonts w:ascii="Times New Roman" w:eastAsia="Times New Roman" w:hAnsi="Times New Roman" w:cs="Times New Roman"/>
          <w:sz w:val="20"/>
          <w:szCs w:val="20"/>
        </w:rPr>
        <w:t>, L.G.D.J., 2011. 692 p.</w:t>
      </w:r>
    </w:p>
  </w:footnote>
  <w:footnote w:id="22">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Elle est le fruit du travail d'experts Unesco et de l’Équipe Cousteau sous l’égide de l'Institut Tricontinental de la Démocratie Parlementaire et des droits de l'homme de l'Université de la Laguna (</w:t>
      </w:r>
      <w:proofErr w:type="spellStart"/>
      <w:r>
        <w:rPr>
          <w:rFonts w:ascii="Times New Roman" w:eastAsia="Times New Roman" w:hAnsi="Times New Roman" w:cs="Times New Roman"/>
          <w:i/>
          <w:sz w:val="20"/>
          <w:szCs w:val="20"/>
        </w:rPr>
        <w:t>ibid</w:t>
      </w:r>
      <w:proofErr w:type="spellEnd"/>
      <w:r>
        <w:rPr>
          <w:rFonts w:ascii="Times New Roman" w:eastAsia="Times New Roman" w:hAnsi="Times New Roman" w:cs="Times New Roman"/>
          <w:sz w:val="20"/>
          <w:szCs w:val="20"/>
        </w:rPr>
        <w:t>).</w:t>
      </w:r>
    </w:p>
  </w:footnote>
  <w:footnote w:id="23">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 GAILLARD, « Une autorisation de mise sur le marché de pesticides contraire au principe de précaution », </w:t>
      </w:r>
      <w:r>
        <w:rPr>
          <w:rFonts w:ascii="Times New Roman" w:eastAsia="Times New Roman" w:hAnsi="Times New Roman" w:cs="Times New Roman"/>
          <w:i/>
          <w:sz w:val="20"/>
          <w:szCs w:val="20"/>
        </w:rPr>
        <w:t xml:space="preserve">Énergie - Environnement - Infrastructures, </w:t>
      </w:r>
      <w:r>
        <w:rPr>
          <w:rFonts w:ascii="Times New Roman" w:eastAsia="Times New Roman" w:hAnsi="Times New Roman" w:cs="Times New Roman"/>
          <w:sz w:val="20"/>
          <w:szCs w:val="20"/>
        </w:rPr>
        <w:t>n° 5, 2022.</w:t>
      </w:r>
    </w:p>
  </w:footnote>
  <w:footnote w:id="24">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À l’occasion de l’affaire des essais nucléaires français de 1973, le juge </w:t>
      </w:r>
      <w:proofErr w:type="spellStart"/>
      <w:r>
        <w:rPr>
          <w:rFonts w:ascii="Times New Roman" w:eastAsia="Times New Roman" w:hAnsi="Times New Roman" w:cs="Times New Roman"/>
          <w:sz w:val="20"/>
          <w:szCs w:val="20"/>
        </w:rPr>
        <w:t>Weeramantry</w:t>
      </w:r>
      <w:proofErr w:type="spellEnd"/>
      <w:r>
        <w:rPr>
          <w:rFonts w:ascii="Times New Roman" w:eastAsia="Times New Roman" w:hAnsi="Times New Roman" w:cs="Times New Roman"/>
          <w:sz w:val="20"/>
          <w:szCs w:val="20"/>
        </w:rPr>
        <w:t xml:space="preserve"> avait notamment décrit cette affaire comme « l’occasion pour la [CIJ] de transformer en obligation juridique, l’obligation morale de garder la planète au profit des générations futures [et souligné] que le droit international de l’époque fournissait le support juridique nécessaire pour reconnaître la « notion de droits appartenant aux générations futures »</w:t>
      </w:r>
    </w:p>
  </w:footnote>
  <w:footnote w:id="25">
    <w:p w:rsidR="00102D2F" w:rsidRPr="00C12CAE" w:rsidRDefault="00E7681F">
      <w:pPr>
        <w:pStyle w:val="Standard"/>
        <w:spacing w:line="240" w:lineRule="auto"/>
        <w:jc w:val="both"/>
        <w:rPr>
          <w:lang w:val="en-US"/>
        </w:rPr>
      </w:pPr>
      <w:r>
        <w:rPr>
          <w:rStyle w:val="FootnoteReference"/>
        </w:rPr>
        <w:footnoteRef/>
      </w:r>
      <w:r w:rsidR="00E16C88">
        <w:rPr>
          <w:rFonts w:ascii="Times New Roman" w:eastAsia="Times New Roman" w:hAnsi="Times New Roman" w:cs="Times New Roman"/>
          <w:sz w:val="20"/>
          <w:szCs w:val="20"/>
          <w:lang w:val="en-US"/>
        </w:rPr>
        <w:t xml:space="preserve"> </w:t>
      </w:r>
      <w:r w:rsidRPr="00C12CAE">
        <w:rPr>
          <w:rFonts w:ascii="Times New Roman" w:eastAsia="Times New Roman" w:hAnsi="Times New Roman" w:cs="Times New Roman"/>
          <w:sz w:val="20"/>
          <w:szCs w:val="20"/>
          <w:lang w:val="en-US"/>
        </w:rPr>
        <w:t xml:space="preserve">J. R. MAY &amp; E. DALY, </w:t>
      </w:r>
      <w:r w:rsidRPr="00C12CAE">
        <w:rPr>
          <w:rFonts w:ascii="Times New Roman" w:eastAsia="Times New Roman" w:hAnsi="Times New Roman" w:cs="Times New Roman"/>
          <w:i/>
          <w:sz w:val="20"/>
          <w:szCs w:val="20"/>
          <w:lang w:val="en-US"/>
        </w:rPr>
        <w:t>Global environmental constitutionalism</w:t>
      </w:r>
      <w:r w:rsidRPr="00C12CAE">
        <w:rPr>
          <w:rFonts w:ascii="Times New Roman" w:eastAsia="Times New Roman" w:hAnsi="Times New Roman" w:cs="Times New Roman"/>
          <w:sz w:val="20"/>
          <w:szCs w:val="20"/>
          <w:lang w:val="en-US"/>
        </w:rPr>
        <w:t>. Cambridge University Press, 2015.</w:t>
      </w:r>
    </w:p>
  </w:footnote>
  <w:footnote w:id="26">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Cf. réponse à la question 12 détaillant des exemples.</w:t>
      </w:r>
    </w:p>
  </w:footnote>
  <w:footnote w:id="27">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 GAILLARD, </w:t>
      </w:r>
      <w:r>
        <w:rPr>
          <w:rFonts w:ascii="Times New Roman" w:eastAsia="Times New Roman" w:hAnsi="Times New Roman" w:cs="Times New Roman"/>
          <w:i/>
          <w:sz w:val="20"/>
          <w:szCs w:val="20"/>
        </w:rPr>
        <w:t>Générations futures et droit privé : vers un droit des générations futures, op.cit.</w:t>
      </w:r>
    </w:p>
  </w:footnote>
  <w:footnote w:id="28">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 GAILLARD, </w:t>
      </w:r>
      <w:r>
        <w:rPr>
          <w:rFonts w:ascii="Times New Roman" w:eastAsia="Times New Roman" w:hAnsi="Times New Roman" w:cs="Times New Roman"/>
          <w:color w:val="333333"/>
          <w:sz w:val="20"/>
          <w:szCs w:val="20"/>
        </w:rPr>
        <w:t>« Catastrophe et droit(s) des générations futures : éviter la tragédie des droits de devoirs fondamentaux ? » en Annexe 3.</w:t>
      </w:r>
    </w:p>
  </w:footnote>
  <w:footnote w:id="29">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Selon M. Delmas Marty, il s’agit de changer de paradigme d’Etat solitaire à États solidaires ; M. DELMAS </w:t>
      </w:r>
      <w:r w:rsidR="00E16C88">
        <w:rPr>
          <w:rFonts w:ascii="Times New Roman" w:eastAsia="Times New Roman" w:hAnsi="Times New Roman" w:cs="Times New Roman"/>
          <w:sz w:val="20"/>
          <w:szCs w:val="20"/>
        </w:rPr>
        <w:t>MARTY, “</w:t>
      </w:r>
      <w:r>
        <w:rPr>
          <w:rFonts w:ascii="Times New Roman" w:eastAsia="Times New Roman" w:hAnsi="Times New Roman" w:cs="Times New Roman"/>
          <w:sz w:val="20"/>
          <w:szCs w:val="20"/>
        </w:rPr>
        <w:t xml:space="preserve">De la souveraineté solitaire à la souveraineté solidaire”, </w:t>
      </w:r>
      <w:proofErr w:type="spellStart"/>
      <w:r>
        <w:rPr>
          <w:rFonts w:ascii="Times New Roman" w:eastAsia="Times New Roman" w:hAnsi="Times New Roman" w:cs="Times New Roman"/>
          <w:i/>
          <w:sz w:val="20"/>
          <w:szCs w:val="20"/>
        </w:rPr>
        <w:t>Collegium</w:t>
      </w:r>
      <w:proofErr w:type="spellEnd"/>
      <w:r>
        <w:rPr>
          <w:rFonts w:ascii="Times New Roman" w:eastAsia="Times New Roman" w:hAnsi="Times New Roman" w:cs="Times New Roman"/>
          <w:i/>
          <w:sz w:val="20"/>
          <w:szCs w:val="20"/>
        </w:rPr>
        <w:t xml:space="preserve"> International, </w:t>
      </w:r>
      <w:r>
        <w:rPr>
          <w:rFonts w:ascii="Times New Roman" w:eastAsia="Times New Roman" w:hAnsi="Times New Roman" w:cs="Times New Roman"/>
          <w:sz w:val="20"/>
          <w:szCs w:val="20"/>
        </w:rPr>
        <w:t>2014.</w:t>
      </w:r>
    </w:p>
  </w:footnote>
  <w:footnote w:id="30">
    <w:p w:rsidR="00102D2F" w:rsidRDefault="00E7681F">
      <w:pPr>
        <w:pStyle w:val="Standard"/>
        <w:spacing w:line="240" w:lineRule="auto"/>
        <w:jc w:val="both"/>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 GAILLARD, “Patrimoine commun de l'humanité, Trust intergénérationnel Biens </w:t>
      </w:r>
      <w:r w:rsidR="00E16C88">
        <w:rPr>
          <w:rFonts w:ascii="Times New Roman" w:eastAsia="Times New Roman" w:hAnsi="Times New Roman" w:cs="Times New Roman"/>
          <w:sz w:val="20"/>
          <w:szCs w:val="20"/>
        </w:rPr>
        <w:t>communs :</w:t>
      </w:r>
      <w:r>
        <w:rPr>
          <w:rFonts w:ascii="Times New Roman" w:eastAsia="Times New Roman" w:hAnsi="Times New Roman" w:cs="Times New Roman"/>
          <w:sz w:val="20"/>
          <w:szCs w:val="20"/>
        </w:rPr>
        <w:t xml:space="preserve"> une même dynamique transgénérationnelle.” </w:t>
      </w:r>
      <w:r>
        <w:rPr>
          <w:rFonts w:ascii="Times New Roman" w:eastAsia="Times New Roman" w:hAnsi="Times New Roman" w:cs="Times New Roman"/>
          <w:i/>
          <w:sz w:val="20"/>
          <w:szCs w:val="20"/>
        </w:rPr>
        <w:t xml:space="preserve">La résurgence des " Communs " : entre illusions et nécessités, </w:t>
      </w:r>
      <w:r>
        <w:rPr>
          <w:rFonts w:ascii="Times New Roman" w:eastAsia="Times New Roman" w:hAnsi="Times New Roman" w:cs="Times New Roman"/>
          <w:sz w:val="20"/>
          <w:szCs w:val="20"/>
        </w:rPr>
        <w:t>2012.</w:t>
      </w:r>
    </w:p>
  </w:footnote>
  <w:footnote w:id="31">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L’explorateur d’interstices - Est-ce la </w:t>
      </w:r>
      <w:proofErr w:type="gramStart"/>
      <w:r>
        <w:rPr>
          <w:rFonts w:ascii="Times New Roman" w:eastAsia="Times New Roman" w:hAnsi="Times New Roman" w:cs="Times New Roman"/>
          <w:i/>
          <w:sz w:val="20"/>
          <w:szCs w:val="20"/>
        </w:rPr>
        <w:t>limite?</w:t>
      </w:r>
      <w:proofErr w:type="gramEnd"/>
      <w:r>
        <w:rPr>
          <w:rFonts w:ascii="Times New Roman" w:eastAsia="Times New Roman" w:hAnsi="Times New Roman" w:cs="Times New Roman"/>
          <w:i/>
          <w:sz w:val="20"/>
          <w:szCs w:val="20"/>
        </w:rPr>
        <w:t xml:space="preserve"> | Eric Julien | </w:t>
      </w:r>
      <w:proofErr w:type="spellStart"/>
      <w:r>
        <w:rPr>
          <w:rFonts w:ascii="Times New Roman" w:eastAsia="Times New Roman" w:hAnsi="Times New Roman" w:cs="Times New Roman"/>
          <w:i/>
          <w:sz w:val="20"/>
          <w:szCs w:val="20"/>
        </w:rPr>
        <w:t>TEDxAlsace</w:t>
      </w:r>
      <w:proofErr w:type="spellEnd"/>
    </w:p>
  </w:footnote>
  <w:footnote w:id="32">
    <w:p w:rsidR="00102D2F" w:rsidRDefault="00E7681F">
      <w:pPr>
        <w:pStyle w:val="Standard"/>
        <w:spacing w:line="240" w:lineRule="auto"/>
      </w:pPr>
      <w:r>
        <w:rPr>
          <w:rStyle w:val="FootnoteReference"/>
        </w:rPr>
        <w:footnoteRef/>
      </w:r>
      <w:r w:rsidR="00E16C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 référer à la présentation du master GENFUT de </w:t>
      </w:r>
      <w:proofErr w:type="spellStart"/>
      <w:r>
        <w:rPr>
          <w:rFonts w:ascii="Times New Roman" w:eastAsia="Times New Roman" w:hAnsi="Times New Roman" w:cs="Times New Roman"/>
          <w:sz w:val="20"/>
          <w:szCs w:val="20"/>
        </w:rPr>
        <w:t>SciencesPo</w:t>
      </w:r>
      <w:proofErr w:type="spellEnd"/>
      <w:r>
        <w:rPr>
          <w:rFonts w:ascii="Times New Roman" w:eastAsia="Times New Roman" w:hAnsi="Times New Roman" w:cs="Times New Roman"/>
          <w:sz w:val="20"/>
          <w:szCs w:val="20"/>
        </w:rPr>
        <w:t xml:space="preserve"> Rennes en page de garde.</w:t>
      </w:r>
    </w:p>
  </w:footnote>
  <w:footnote w:id="33">
    <w:p w:rsidR="00102D2F" w:rsidRPr="00C12CAE" w:rsidRDefault="00E7681F">
      <w:pPr>
        <w:pStyle w:val="Standard"/>
        <w:spacing w:line="240" w:lineRule="auto"/>
        <w:jc w:val="both"/>
        <w:rPr>
          <w:lang w:val="en-US"/>
        </w:rPr>
      </w:pPr>
      <w:r>
        <w:rPr>
          <w:rStyle w:val="FootnoteReference"/>
        </w:rPr>
        <w:footnoteRef/>
      </w:r>
      <w:r w:rsidR="00E16C88">
        <w:rPr>
          <w:rFonts w:ascii="Times New Roman" w:eastAsia="Times New Roman" w:hAnsi="Times New Roman" w:cs="Times New Roman"/>
          <w:sz w:val="20"/>
          <w:szCs w:val="20"/>
          <w:lang w:val="en-US"/>
        </w:rPr>
        <w:t xml:space="preserve"> </w:t>
      </w:r>
      <w:r w:rsidRPr="00C12CAE">
        <w:rPr>
          <w:rFonts w:ascii="Times New Roman" w:eastAsia="Times New Roman" w:hAnsi="Times New Roman" w:cs="Times New Roman"/>
          <w:sz w:val="20"/>
          <w:szCs w:val="20"/>
          <w:lang w:val="en-US"/>
        </w:rPr>
        <w:t xml:space="preserve">E. DONGER, « Children and Youth in Strategic Climate Litigation: Advancing Rights through Legal Argument and Legal Mobilization », </w:t>
      </w:r>
      <w:r w:rsidRPr="00C12CAE">
        <w:rPr>
          <w:rFonts w:ascii="Times New Roman" w:eastAsia="Times New Roman" w:hAnsi="Times New Roman" w:cs="Times New Roman"/>
          <w:i/>
          <w:sz w:val="20"/>
          <w:szCs w:val="20"/>
          <w:lang w:val="en-US"/>
        </w:rPr>
        <w:t>Transnational Environmental Law</w:t>
      </w:r>
      <w:r w:rsidRPr="00C12CAE">
        <w:rPr>
          <w:rFonts w:ascii="Times New Roman" w:eastAsia="Times New Roman" w:hAnsi="Times New Roman" w:cs="Times New Roman"/>
          <w:sz w:val="20"/>
          <w:szCs w:val="20"/>
          <w:lang w:val="en-US"/>
        </w:rPr>
        <w:t>, Cambridge University Press, 2022.</w:t>
      </w:r>
    </w:p>
  </w:footnote>
  <w:footnote w:id="34">
    <w:p w:rsidR="00102D2F" w:rsidRPr="00C12CAE" w:rsidRDefault="00E7681F">
      <w:pPr>
        <w:pStyle w:val="Standard"/>
        <w:spacing w:line="240" w:lineRule="auto"/>
        <w:jc w:val="both"/>
        <w:rPr>
          <w:lang w:val="en-US"/>
        </w:rPr>
      </w:pPr>
      <w:r>
        <w:rPr>
          <w:rStyle w:val="FootnoteReference"/>
        </w:rPr>
        <w:footnoteRef/>
      </w:r>
      <w:r w:rsidR="00E16C88">
        <w:rPr>
          <w:rFonts w:ascii="Times New Roman" w:eastAsia="Times New Roman" w:hAnsi="Times New Roman" w:cs="Times New Roman"/>
          <w:sz w:val="20"/>
          <w:szCs w:val="20"/>
          <w:lang w:val="en-US"/>
        </w:rPr>
        <w:t xml:space="preserve"> </w:t>
      </w:r>
      <w:r w:rsidRPr="00C12CAE">
        <w:rPr>
          <w:rFonts w:ascii="Times New Roman" w:eastAsia="Times New Roman" w:hAnsi="Times New Roman" w:cs="Times New Roman"/>
          <w:sz w:val="20"/>
          <w:szCs w:val="20"/>
          <w:lang w:val="en-US"/>
        </w:rPr>
        <w:t xml:space="preserve">J. JILARIO DAVIDE Jr., </w:t>
      </w:r>
      <w:proofErr w:type="spellStart"/>
      <w:r w:rsidRPr="00C12CAE">
        <w:rPr>
          <w:rFonts w:ascii="Times New Roman" w:eastAsia="Times New Roman" w:hAnsi="Times New Roman" w:cs="Times New Roman"/>
          <w:sz w:val="20"/>
          <w:szCs w:val="20"/>
          <w:lang w:val="en-US"/>
        </w:rPr>
        <w:t>lors</w:t>
      </w:r>
      <w:proofErr w:type="spellEnd"/>
      <w:r w:rsidRPr="00C12CAE">
        <w:rPr>
          <w:rFonts w:ascii="Times New Roman" w:eastAsia="Times New Roman" w:hAnsi="Times New Roman" w:cs="Times New Roman"/>
          <w:sz w:val="20"/>
          <w:szCs w:val="20"/>
          <w:lang w:val="en-US"/>
        </w:rPr>
        <w:t xml:space="preserve"> de </w:t>
      </w:r>
      <w:proofErr w:type="spellStart"/>
      <w:r w:rsidRPr="00C12CAE">
        <w:rPr>
          <w:rFonts w:ascii="Times New Roman" w:eastAsia="Times New Roman" w:hAnsi="Times New Roman" w:cs="Times New Roman"/>
          <w:sz w:val="20"/>
          <w:szCs w:val="20"/>
          <w:lang w:val="en-US"/>
        </w:rPr>
        <w:t>l’affaire</w:t>
      </w:r>
      <w:proofErr w:type="spellEnd"/>
      <w:r w:rsidRPr="00C12CAE">
        <w:rPr>
          <w:rFonts w:ascii="Times New Roman" w:eastAsia="Times New Roman" w:hAnsi="Times New Roman" w:cs="Times New Roman"/>
          <w:sz w:val="20"/>
          <w:szCs w:val="20"/>
          <w:lang w:val="en-US"/>
        </w:rPr>
        <w:t xml:space="preserve"> </w:t>
      </w:r>
      <w:proofErr w:type="spellStart"/>
      <w:r w:rsidRPr="00C12CAE">
        <w:rPr>
          <w:rFonts w:ascii="Times New Roman" w:eastAsia="Times New Roman" w:hAnsi="Times New Roman" w:cs="Times New Roman"/>
          <w:sz w:val="20"/>
          <w:szCs w:val="20"/>
          <w:lang w:val="en-US"/>
        </w:rPr>
        <w:t>Oposa</w:t>
      </w:r>
      <w:proofErr w:type="spellEnd"/>
      <w:r w:rsidRPr="00C12CAE">
        <w:rPr>
          <w:rFonts w:ascii="Times New Roman" w:eastAsia="Times New Roman" w:hAnsi="Times New Roman" w:cs="Times New Roman"/>
          <w:sz w:val="20"/>
          <w:szCs w:val="20"/>
          <w:lang w:val="en-US"/>
        </w:rPr>
        <w:t xml:space="preserve"> v. </w:t>
      </w:r>
      <w:proofErr w:type="spellStart"/>
      <w:r w:rsidRPr="00C12CAE">
        <w:rPr>
          <w:rFonts w:ascii="Times New Roman" w:eastAsia="Times New Roman" w:hAnsi="Times New Roman" w:cs="Times New Roman"/>
          <w:sz w:val="20"/>
          <w:szCs w:val="20"/>
          <w:lang w:val="en-US"/>
        </w:rPr>
        <w:t>Fatoran</w:t>
      </w:r>
      <w:proofErr w:type="spellEnd"/>
      <w:r w:rsidRPr="00C12CAE">
        <w:rPr>
          <w:rFonts w:ascii="Times New Roman" w:eastAsia="Times New Roman" w:hAnsi="Times New Roman" w:cs="Times New Roman"/>
          <w:sz w:val="20"/>
          <w:szCs w:val="20"/>
          <w:lang w:val="en-US"/>
        </w:rPr>
        <w:t xml:space="preserve">. à la </w:t>
      </w:r>
      <w:proofErr w:type="spellStart"/>
      <w:r w:rsidRPr="00C12CAE">
        <w:rPr>
          <w:rFonts w:ascii="Times New Roman" w:eastAsia="Times New Roman" w:hAnsi="Times New Roman" w:cs="Times New Roman"/>
          <w:sz w:val="20"/>
          <w:szCs w:val="20"/>
          <w:lang w:val="en-US"/>
        </w:rPr>
        <w:t>Cour</w:t>
      </w:r>
      <w:proofErr w:type="spellEnd"/>
      <w:r w:rsidRPr="00C12CAE">
        <w:rPr>
          <w:rFonts w:ascii="Times New Roman" w:eastAsia="Times New Roman" w:hAnsi="Times New Roman" w:cs="Times New Roman"/>
          <w:sz w:val="20"/>
          <w:szCs w:val="20"/>
          <w:lang w:val="en-US"/>
        </w:rPr>
        <w:t xml:space="preserve"> </w:t>
      </w:r>
      <w:proofErr w:type="spellStart"/>
      <w:r w:rsidRPr="00C12CAE">
        <w:rPr>
          <w:rFonts w:ascii="Times New Roman" w:eastAsia="Times New Roman" w:hAnsi="Times New Roman" w:cs="Times New Roman"/>
          <w:sz w:val="20"/>
          <w:szCs w:val="20"/>
          <w:lang w:val="en-US"/>
        </w:rPr>
        <w:t>suprême</w:t>
      </w:r>
      <w:proofErr w:type="spellEnd"/>
      <w:r w:rsidRPr="00C12CAE">
        <w:rPr>
          <w:rFonts w:ascii="Times New Roman" w:eastAsia="Times New Roman" w:hAnsi="Times New Roman" w:cs="Times New Roman"/>
          <w:sz w:val="20"/>
          <w:szCs w:val="20"/>
          <w:lang w:val="en-US"/>
        </w:rPr>
        <w:t xml:space="preserve"> des Philippines </w:t>
      </w:r>
      <w:proofErr w:type="spellStart"/>
      <w:r w:rsidRPr="00C12CAE">
        <w:rPr>
          <w:rFonts w:ascii="Times New Roman" w:eastAsia="Times New Roman" w:hAnsi="Times New Roman" w:cs="Times New Roman"/>
          <w:sz w:val="20"/>
          <w:szCs w:val="20"/>
          <w:lang w:val="en-US"/>
        </w:rPr>
        <w:t>en</w:t>
      </w:r>
      <w:proofErr w:type="spellEnd"/>
      <w:r w:rsidRPr="00C12CAE">
        <w:rPr>
          <w:rFonts w:ascii="Times New Roman" w:eastAsia="Times New Roman" w:hAnsi="Times New Roman" w:cs="Times New Roman"/>
          <w:sz w:val="20"/>
          <w:szCs w:val="20"/>
          <w:lang w:val="en-US"/>
        </w:rPr>
        <w:t xml:space="preserve"> </w:t>
      </w:r>
      <w:proofErr w:type="gramStart"/>
      <w:r w:rsidRPr="00C12CAE">
        <w:rPr>
          <w:rFonts w:ascii="Times New Roman" w:eastAsia="Times New Roman" w:hAnsi="Times New Roman" w:cs="Times New Roman"/>
          <w:sz w:val="20"/>
          <w:szCs w:val="20"/>
          <w:lang w:val="en-US"/>
        </w:rPr>
        <w:t>1997 :</w:t>
      </w:r>
      <w:proofErr w:type="gramEnd"/>
      <w:r w:rsidRPr="00C12CAE">
        <w:rPr>
          <w:rFonts w:ascii="Times New Roman" w:eastAsia="Times New Roman" w:hAnsi="Times New Roman" w:cs="Times New Roman"/>
          <w:sz w:val="20"/>
          <w:szCs w:val="20"/>
          <w:lang w:val="en-US"/>
        </w:rPr>
        <w:t xml:space="preserve"> « We find no difficulty in ruling that they can, for themselves, for others of their generations and for the succeeding generations, file a class suit. Their personality to sue </w:t>
      </w:r>
      <w:proofErr w:type="gramStart"/>
      <w:r w:rsidRPr="00C12CAE">
        <w:rPr>
          <w:rFonts w:ascii="Times New Roman" w:eastAsia="Times New Roman" w:hAnsi="Times New Roman" w:cs="Times New Roman"/>
          <w:sz w:val="20"/>
          <w:szCs w:val="20"/>
          <w:lang w:val="en-US"/>
        </w:rPr>
        <w:t>in</w:t>
      </w:r>
      <w:proofErr w:type="gramEnd"/>
      <w:r w:rsidRPr="00C12CAE">
        <w:rPr>
          <w:rFonts w:ascii="Times New Roman" w:eastAsia="Times New Roman" w:hAnsi="Times New Roman" w:cs="Times New Roman"/>
          <w:sz w:val="20"/>
          <w:szCs w:val="20"/>
          <w:lang w:val="en-US"/>
        </w:rPr>
        <w:t xml:space="preserve"> behalf of the succeeding generations can only be based on the concept of intergenerational responsibility insofar as the right to a balanced and healthful ecology is concerned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1F"/>
    <w:rsid w:val="000107E3"/>
    <w:rsid w:val="000B175A"/>
    <w:rsid w:val="00102D2F"/>
    <w:rsid w:val="00223374"/>
    <w:rsid w:val="00266FAE"/>
    <w:rsid w:val="002760CB"/>
    <w:rsid w:val="00303042"/>
    <w:rsid w:val="003065FA"/>
    <w:rsid w:val="003A11D1"/>
    <w:rsid w:val="003B611E"/>
    <w:rsid w:val="00446572"/>
    <w:rsid w:val="005134C2"/>
    <w:rsid w:val="00516685"/>
    <w:rsid w:val="00531709"/>
    <w:rsid w:val="005A47C7"/>
    <w:rsid w:val="006A27C9"/>
    <w:rsid w:val="00763020"/>
    <w:rsid w:val="00887472"/>
    <w:rsid w:val="008A689B"/>
    <w:rsid w:val="008B7165"/>
    <w:rsid w:val="0090013D"/>
    <w:rsid w:val="00913493"/>
    <w:rsid w:val="00A049DB"/>
    <w:rsid w:val="00A13750"/>
    <w:rsid w:val="00A22CDE"/>
    <w:rsid w:val="00AF08E8"/>
    <w:rsid w:val="00B2210A"/>
    <w:rsid w:val="00C12CAE"/>
    <w:rsid w:val="00C30E13"/>
    <w:rsid w:val="00D71F16"/>
    <w:rsid w:val="00D901BC"/>
    <w:rsid w:val="00E16C88"/>
    <w:rsid w:val="00E768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B31B2"/>
  <w15:docId w15:val="{89B95455-038B-4566-81F0-D926969C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customStyle="1" w:styleId="Framecontents">
    <w:name w:val="Frame contents"/>
    <w:basedOn w:val="Standard"/>
  </w:style>
  <w:style w:type="paragraph" w:customStyle="1" w:styleId="Footnote">
    <w:name w:val="Footnote"/>
    <w:basedOn w:val="Standard"/>
  </w:style>
  <w:style w:type="paragraph" w:styleId="Footer">
    <w:name w:val="footer"/>
    <w:basedOn w:val="Standard"/>
  </w:style>
  <w:style w:type="character" w:customStyle="1" w:styleId="ListLabel1">
    <w:name w:val="ListLabel 1"/>
    <w:rPr>
      <w:rFonts w:ascii="Times New Roman" w:eastAsia="Times New Roman" w:hAnsi="Times New Roman" w:cs="Times New Roman"/>
      <w:color w:val="1155CC"/>
      <w:u w:val="single"/>
      <w:shd w:val="clear" w:color="auto" w:fill="FFFFFF"/>
    </w:rPr>
  </w:style>
  <w:style w:type="character" w:customStyle="1" w:styleId="Internetlink">
    <w:name w:val="Internet link"/>
    <w:rPr>
      <w:color w:val="000080"/>
      <w:u w:val="single"/>
    </w:rPr>
  </w:style>
  <w:style w:type="character" w:customStyle="1" w:styleId="ListLabel2">
    <w:name w:val="ListLabel 2"/>
    <w:rPr>
      <w:rFonts w:ascii="Times New Roman" w:eastAsia="Times New Roman" w:hAnsi="Times New Roman" w:cs="Times New Roman"/>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3B611E"/>
    <w:pPr>
      <w:tabs>
        <w:tab w:val="center" w:pos="4536"/>
        <w:tab w:val="right" w:pos="9072"/>
      </w:tabs>
    </w:pPr>
    <w:rPr>
      <w:rFonts w:cs="Mangal"/>
      <w:szCs w:val="20"/>
    </w:rPr>
  </w:style>
  <w:style w:type="character" w:customStyle="1" w:styleId="HeaderChar">
    <w:name w:val="Header Char"/>
    <w:basedOn w:val="DefaultParagraphFont"/>
    <w:link w:val="Header"/>
    <w:uiPriority w:val="99"/>
    <w:rsid w:val="003B611E"/>
    <w:rPr>
      <w:rFonts w:cs="Mangal"/>
      <w:szCs w:val="20"/>
    </w:rPr>
  </w:style>
  <w:style w:type="character" w:styleId="PlaceholderText">
    <w:name w:val="Placeholder Text"/>
    <w:basedOn w:val="DefaultParagraphFont"/>
    <w:uiPriority w:val="99"/>
    <w:semiHidden/>
    <w:rsid w:val="003065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zotero.org/google-docs/?broken=09a3W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zotero.org/google-docs/?broken=09a3W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hairenormandiepourlapaix.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dri\Desktop\R&#233;ponse-&#224;-lappel-&#224;-contribution-Principe-de-justice-transg&#233;n&#233;rationnelle-Normandy-Chair-for-Peace-SciencesPo-Renn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Réponse-à-lappel-à-contribution-Principe-de-justice-transgénérationnelle-Normandy-Chair-for-Peace-SciencesPo-Rennes.dotx</Template>
  <TotalTime>0</TotalTime>
  <Pages>1</Pages>
  <Words>3319</Words>
  <Characters>18923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Altynaï Bidaubayle;Emilie Gaillard;Lolita Couchène</dc:creator>
  <cp:lastModifiedBy>BOURQUE Frederique</cp:lastModifiedBy>
  <cp:revision>1</cp:revision>
  <dcterms:created xsi:type="dcterms:W3CDTF">2023-07-05T15:22:00Z</dcterms:created>
  <dcterms:modified xsi:type="dcterms:W3CDTF">2023-07-05T15:22:00Z</dcterms:modified>
</cp:coreProperties>
</file>