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4F619" w14:textId="139B454B" w:rsidR="00343C62" w:rsidRPr="00FA25C4" w:rsidRDefault="00EC24B7" w:rsidP="00FA25C4">
      <w:pPr>
        <w:jc w:val="center"/>
        <w:rPr>
          <w:rFonts w:asciiTheme="majorBidi" w:eastAsia="Calibri" w:hAnsiTheme="majorBidi" w:cstheme="majorBidi"/>
          <w:b/>
          <w:bCs/>
          <w:color w:val="F79646"/>
          <w:sz w:val="28"/>
          <w:szCs w:val="28"/>
          <w:lang w:val="en-US" w:bidi="ar-EG"/>
        </w:rPr>
      </w:pPr>
      <w:bookmarkStart w:id="0" w:name="_GoBack"/>
      <w:bookmarkEnd w:id="0"/>
      <w:r>
        <w:rPr>
          <w:rFonts w:asciiTheme="majorBidi" w:eastAsia="Calibri" w:hAnsiTheme="majorBidi" w:cstheme="majorBidi"/>
          <w:b/>
          <w:bCs/>
          <w:color w:val="F79646"/>
          <w:sz w:val="28"/>
          <w:szCs w:val="28"/>
          <w:lang w:val="en-US" w:bidi="ar-EG"/>
        </w:rPr>
        <w:t>Maat for Peace’ submission on “</w:t>
      </w:r>
      <w:r w:rsidR="00343C62" w:rsidRPr="00FA25C4">
        <w:rPr>
          <w:rFonts w:asciiTheme="majorBidi" w:eastAsia="Calibri" w:hAnsiTheme="majorBidi" w:cstheme="majorBidi"/>
          <w:b/>
          <w:bCs/>
          <w:color w:val="F79646"/>
          <w:sz w:val="28"/>
          <w:szCs w:val="28"/>
          <w:lang w:val="en-US" w:bidi="ar-EG"/>
        </w:rPr>
        <w:t>Addressing vulnerabilities related to the sale of children and sexual exploitation within the framework of the Sustainable Development Goals</w:t>
      </w:r>
      <w:r>
        <w:rPr>
          <w:rFonts w:asciiTheme="majorBidi" w:eastAsia="Calibri" w:hAnsiTheme="majorBidi" w:cstheme="majorBidi"/>
          <w:b/>
          <w:bCs/>
          <w:color w:val="F79646"/>
          <w:sz w:val="28"/>
          <w:szCs w:val="28"/>
          <w:lang w:val="en-US" w:bidi="ar-EG"/>
        </w:rPr>
        <w:t>”</w:t>
      </w:r>
    </w:p>
    <w:p w14:paraId="6933809F" w14:textId="6E1BA7DA" w:rsidR="00343C62" w:rsidRPr="00FA25C4" w:rsidRDefault="00343C62" w:rsidP="00FA25C4">
      <w:pPr>
        <w:pStyle w:val="ListParagraph"/>
        <w:numPr>
          <w:ilvl w:val="0"/>
          <w:numId w:val="2"/>
        </w:numPr>
        <w:rPr>
          <w:rFonts w:asciiTheme="majorBidi" w:eastAsia="Calibri" w:hAnsiTheme="majorBidi" w:cstheme="majorBidi"/>
          <w:b/>
          <w:bCs/>
          <w:color w:val="F79646"/>
          <w:sz w:val="24"/>
          <w:szCs w:val="24"/>
          <w:rtl/>
          <w:lang w:val="en-US" w:bidi="ar-EG"/>
        </w:rPr>
      </w:pPr>
      <w:r w:rsidRPr="00FA25C4">
        <w:rPr>
          <w:rFonts w:asciiTheme="majorBidi" w:eastAsia="Calibri" w:hAnsiTheme="majorBidi" w:cstheme="majorBidi"/>
          <w:b/>
          <w:bCs/>
          <w:color w:val="F79646"/>
          <w:sz w:val="24"/>
          <w:szCs w:val="24"/>
          <w:lang w:val="en-US" w:bidi="ar-EG"/>
        </w:rPr>
        <w:t>Introduction</w:t>
      </w:r>
      <w:r w:rsidR="00FA25C4" w:rsidRPr="00FA25C4">
        <w:rPr>
          <w:rFonts w:asciiTheme="majorBidi" w:eastAsia="Calibri" w:hAnsiTheme="majorBidi" w:cstheme="majorBidi"/>
          <w:b/>
          <w:bCs/>
          <w:color w:val="F79646"/>
          <w:sz w:val="24"/>
          <w:szCs w:val="24"/>
          <w:lang w:val="en-US" w:bidi="ar-EG"/>
        </w:rPr>
        <w:t xml:space="preserve">: </w:t>
      </w:r>
    </w:p>
    <w:p w14:paraId="0AD47EF0" w14:textId="0C0102B5" w:rsidR="00343C62" w:rsidRPr="00FA25C4" w:rsidRDefault="00343C62" w:rsidP="00FA25C4">
      <w:pPr>
        <w:ind w:firstLine="720"/>
        <w:jc w:val="both"/>
        <w:rPr>
          <w:rFonts w:asciiTheme="majorBidi" w:eastAsia="Calibri" w:hAnsiTheme="majorBidi" w:cstheme="majorBidi"/>
          <w:sz w:val="24"/>
          <w:szCs w:val="24"/>
          <w:rtl/>
          <w:lang w:val="en-US" w:bidi="ar-EG"/>
        </w:rPr>
      </w:pPr>
      <w:r w:rsidRPr="00FA25C4">
        <w:rPr>
          <w:rFonts w:asciiTheme="majorBidi" w:eastAsia="Calibri" w:hAnsiTheme="majorBidi" w:cstheme="majorBidi"/>
          <w:sz w:val="24"/>
          <w:szCs w:val="24"/>
          <w:lang w:val="en-US" w:bidi="ar-EG"/>
        </w:rPr>
        <w:t xml:space="preserve">In 2015, the United Nations General Assembly, with the support of most countries of the world, set </w:t>
      </w:r>
      <w:r w:rsidRPr="00FA25C4">
        <w:rPr>
          <w:rFonts w:asciiTheme="majorBidi" w:eastAsia="Calibri" w:hAnsiTheme="majorBidi" w:cstheme="majorBidi"/>
          <w:b/>
          <w:bCs/>
          <w:sz w:val="24"/>
          <w:szCs w:val="24"/>
          <w:lang w:val="en-US" w:bidi="ar-EG"/>
        </w:rPr>
        <w:t>17 global goals</w:t>
      </w:r>
      <w:r w:rsidRPr="00FA25C4">
        <w:rPr>
          <w:rFonts w:asciiTheme="majorBidi" w:eastAsia="Calibri" w:hAnsiTheme="majorBidi" w:cstheme="majorBidi"/>
          <w:sz w:val="24"/>
          <w:szCs w:val="24"/>
          <w:lang w:val="en-US" w:bidi="ar-EG"/>
        </w:rPr>
        <w:t xml:space="preserve"> for sustainable development to achieve a better </w:t>
      </w:r>
      <w:r w:rsidR="00C1036B" w:rsidRPr="00FA25C4">
        <w:rPr>
          <w:rFonts w:asciiTheme="majorBidi" w:eastAsia="Calibri" w:hAnsiTheme="majorBidi" w:cstheme="majorBidi"/>
          <w:sz w:val="24"/>
          <w:szCs w:val="24"/>
          <w:lang w:val="en-US" w:bidi="ar-EG"/>
        </w:rPr>
        <w:t>tomorrow</w:t>
      </w:r>
      <w:r w:rsidRPr="00FA25C4">
        <w:rPr>
          <w:rFonts w:asciiTheme="majorBidi" w:eastAsia="Calibri" w:hAnsiTheme="majorBidi" w:cstheme="majorBidi"/>
          <w:sz w:val="24"/>
          <w:szCs w:val="24"/>
          <w:lang w:val="en-US" w:bidi="ar-EG"/>
        </w:rPr>
        <w:t xml:space="preserve"> for </w:t>
      </w:r>
      <w:r w:rsidR="00C1036B" w:rsidRPr="00FA25C4">
        <w:rPr>
          <w:rFonts w:asciiTheme="majorBidi" w:eastAsia="Calibri" w:hAnsiTheme="majorBidi" w:cstheme="majorBidi"/>
          <w:sz w:val="24"/>
          <w:szCs w:val="24"/>
          <w:lang w:val="en-US" w:bidi="ar-EG"/>
        </w:rPr>
        <w:t>all,</w:t>
      </w:r>
      <w:r w:rsidRPr="00FA25C4">
        <w:rPr>
          <w:rFonts w:asciiTheme="majorBidi" w:eastAsia="Calibri" w:hAnsiTheme="majorBidi" w:cstheme="majorBidi"/>
          <w:sz w:val="24"/>
          <w:szCs w:val="24"/>
          <w:lang w:val="en-US" w:bidi="ar-EG"/>
        </w:rPr>
        <w:t xml:space="preserve"> </w:t>
      </w:r>
      <w:r w:rsidR="00961645" w:rsidRPr="00FA25C4">
        <w:rPr>
          <w:rFonts w:asciiTheme="majorBidi" w:eastAsia="Calibri" w:hAnsiTheme="majorBidi" w:cstheme="majorBidi"/>
          <w:sz w:val="24"/>
          <w:szCs w:val="24"/>
          <w:lang w:val="en-US" w:bidi="ar-EG"/>
        </w:rPr>
        <w:t xml:space="preserve">and help </w:t>
      </w:r>
      <w:r w:rsidR="00CC38AB" w:rsidRPr="00FA25C4">
        <w:rPr>
          <w:rFonts w:asciiTheme="majorBidi" w:eastAsia="Calibri" w:hAnsiTheme="majorBidi" w:cstheme="majorBidi"/>
          <w:sz w:val="24"/>
          <w:szCs w:val="24"/>
          <w:lang w:val="en-US" w:bidi="ar-EG"/>
        </w:rPr>
        <w:t>develop</w:t>
      </w:r>
      <w:r w:rsidR="00961645" w:rsidRPr="00FA25C4">
        <w:rPr>
          <w:rFonts w:asciiTheme="majorBidi" w:eastAsia="Calibri" w:hAnsiTheme="majorBidi" w:cstheme="majorBidi"/>
          <w:sz w:val="24"/>
          <w:szCs w:val="24"/>
          <w:lang w:val="en-US" w:bidi="ar-EG"/>
        </w:rPr>
        <w:t xml:space="preserve"> a global development plan </w:t>
      </w:r>
      <w:r w:rsidRPr="00FA25C4">
        <w:rPr>
          <w:rFonts w:asciiTheme="majorBidi" w:eastAsia="Calibri" w:hAnsiTheme="majorBidi" w:cstheme="majorBidi"/>
          <w:sz w:val="24"/>
          <w:szCs w:val="24"/>
          <w:lang w:val="en-US" w:bidi="ar-EG"/>
        </w:rPr>
        <w:t xml:space="preserve">by 2030. This plan aims to eliminate harmful practices that children are exposed to, </w:t>
      </w:r>
      <w:r w:rsidR="00CC38AB" w:rsidRPr="00FA25C4">
        <w:rPr>
          <w:rFonts w:asciiTheme="majorBidi" w:eastAsia="Calibri" w:hAnsiTheme="majorBidi" w:cstheme="majorBidi"/>
          <w:sz w:val="24"/>
          <w:szCs w:val="24"/>
          <w:lang w:val="en-US" w:bidi="ar-EG"/>
        </w:rPr>
        <w:t xml:space="preserve">topped by early and forced marriage and female genital mutilation </w:t>
      </w:r>
      <w:r w:rsidRPr="00FA25C4">
        <w:rPr>
          <w:rFonts w:asciiTheme="majorBidi" w:eastAsia="Calibri" w:hAnsiTheme="majorBidi" w:cstheme="majorBidi"/>
          <w:sz w:val="24"/>
          <w:szCs w:val="24"/>
          <w:lang w:val="en-US" w:bidi="ar-EG"/>
        </w:rPr>
        <w:t xml:space="preserve">which </w:t>
      </w:r>
      <w:r w:rsidR="00CC38AB" w:rsidRPr="00FA25C4">
        <w:rPr>
          <w:rFonts w:asciiTheme="majorBidi" w:eastAsia="Calibri" w:hAnsiTheme="majorBidi" w:cstheme="majorBidi"/>
          <w:sz w:val="24"/>
          <w:szCs w:val="24"/>
          <w:lang w:val="en-US" w:bidi="ar-EG"/>
        </w:rPr>
        <w:t xml:space="preserve">are stipulated in </w:t>
      </w:r>
      <w:r w:rsidRPr="00FA25C4">
        <w:rPr>
          <w:rFonts w:asciiTheme="majorBidi" w:eastAsia="Calibri" w:hAnsiTheme="majorBidi" w:cstheme="majorBidi"/>
          <w:sz w:val="24"/>
          <w:szCs w:val="24"/>
          <w:lang w:val="en-US" w:bidi="ar-EG"/>
        </w:rPr>
        <w:t xml:space="preserve">the </w:t>
      </w:r>
      <w:r w:rsidRPr="00FA25C4">
        <w:rPr>
          <w:rFonts w:asciiTheme="majorBidi" w:eastAsia="Calibri" w:hAnsiTheme="majorBidi" w:cstheme="majorBidi"/>
          <w:b/>
          <w:bCs/>
          <w:sz w:val="24"/>
          <w:szCs w:val="24"/>
          <w:lang w:val="en-US" w:bidi="ar-EG"/>
        </w:rPr>
        <w:t xml:space="preserve">third objective of </w:t>
      </w:r>
      <w:r w:rsidR="00A25192" w:rsidRPr="00FA25C4">
        <w:rPr>
          <w:rFonts w:asciiTheme="majorBidi" w:eastAsia="Calibri" w:hAnsiTheme="majorBidi" w:cstheme="majorBidi"/>
          <w:b/>
          <w:bCs/>
          <w:sz w:val="24"/>
          <w:szCs w:val="24"/>
          <w:lang w:val="en-US" w:bidi="ar-EG"/>
        </w:rPr>
        <w:t>SDG</w:t>
      </w:r>
      <w:r w:rsidRPr="00FA25C4">
        <w:rPr>
          <w:rFonts w:asciiTheme="majorBidi" w:eastAsia="Calibri" w:hAnsiTheme="majorBidi" w:cstheme="majorBidi"/>
          <w:b/>
          <w:bCs/>
          <w:sz w:val="24"/>
          <w:szCs w:val="24"/>
          <w:lang w:val="en-US" w:bidi="ar-EG"/>
        </w:rPr>
        <w:t xml:space="preserve"> </w:t>
      </w:r>
      <w:r w:rsidR="00A25192" w:rsidRPr="00FA25C4">
        <w:rPr>
          <w:rFonts w:asciiTheme="majorBidi" w:eastAsia="Calibri" w:hAnsiTheme="majorBidi" w:cstheme="majorBidi"/>
          <w:b/>
          <w:bCs/>
          <w:sz w:val="24"/>
          <w:szCs w:val="24"/>
          <w:lang w:val="en-US" w:bidi="ar-EG"/>
        </w:rPr>
        <w:t>5</w:t>
      </w:r>
      <w:r w:rsidR="008B3F99" w:rsidRPr="00FA25C4">
        <w:rPr>
          <w:rFonts w:asciiTheme="majorBidi" w:eastAsia="Calibri" w:hAnsiTheme="majorBidi" w:cstheme="majorBidi"/>
          <w:sz w:val="24"/>
          <w:szCs w:val="24"/>
          <w:lang w:val="en-US" w:bidi="ar-EG"/>
        </w:rPr>
        <w:t>. In the same regard,</w:t>
      </w:r>
      <w:r w:rsidRPr="00FA25C4">
        <w:rPr>
          <w:rFonts w:asciiTheme="majorBidi" w:eastAsia="Calibri" w:hAnsiTheme="majorBidi" w:cstheme="majorBidi"/>
          <w:sz w:val="24"/>
          <w:szCs w:val="24"/>
          <w:lang w:val="en-US" w:bidi="ar-EG"/>
        </w:rPr>
        <w:t xml:space="preserve"> </w:t>
      </w:r>
      <w:r w:rsidR="008B3F99" w:rsidRPr="00FA25C4">
        <w:rPr>
          <w:rFonts w:asciiTheme="majorBidi" w:eastAsia="Calibri" w:hAnsiTheme="majorBidi" w:cstheme="majorBidi"/>
          <w:b/>
          <w:bCs/>
          <w:sz w:val="24"/>
          <w:szCs w:val="24"/>
          <w:lang w:val="en-US" w:bidi="ar-EG"/>
        </w:rPr>
        <w:t>Objective 7 of SDG 8</w:t>
      </w:r>
      <w:r w:rsidRPr="00FA25C4">
        <w:rPr>
          <w:rFonts w:asciiTheme="majorBidi" w:eastAsia="Calibri" w:hAnsiTheme="majorBidi" w:cstheme="majorBidi"/>
          <w:sz w:val="24"/>
          <w:szCs w:val="24"/>
          <w:lang w:val="en-US" w:bidi="ar-EG"/>
        </w:rPr>
        <w:t xml:space="preserve"> </w:t>
      </w:r>
      <w:r w:rsidR="008B3F99" w:rsidRPr="00FA25C4">
        <w:rPr>
          <w:rFonts w:asciiTheme="majorBidi" w:eastAsia="Calibri" w:hAnsiTheme="majorBidi" w:cstheme="majorBidi"/>
          <w:sz w:val="24"/>
          <w:szCs w:val="24"/>
          <w:lang w:val="en-US" w:bidi="ar-EG"/>
        </w:rPr>
        <w:t>stipulates</w:t>
      </w:r>
      <w:r w:rsidRPr="00FA25C4">
        <w:rPr>
          <w:rFonts w:asciiTheme="majorBidi" w:eastAsia="Calibri" w:hAnsiTheme="majorBidi" w:cstheme="majorBidi"/>
          <w:sz w:val="24"/>
          <w:szCs w:val="24"/>
          <w:lang w:val="en-US" w:bidi="ar-EG"/>
        </w:rPr>
        <w:t xml:space="preserve"> the need to take urgent measures to combat child labor, trafficking, and exploitation in child recruitment during armed conflicts. </w:t>
      </w:r>
      <w:r w:rsidR="008B3F99" w:rsidRPr="00FA25C4">
        <w:rPr>
          <w:rFonts w:asciiTheme="majorBidi" w:eastAsia="Calibri" w:hAnsiTheme="majorBidi" w:cstheme="majorBidi"/>
          <w:b/>
          <w:bCs/>
          <w:sz w:val="24"/>
          <w:szCs w:val="24"/>
          <w:lang w:val="en-US" w:bidi="ar-EG"/>
        </w:rPr>
        <w:t>Objective 2 of SDG 16</w:t>
      </w:r>
      <w:r w:rsidRPr="00FA25C4">
        <w:rPr>
          <w:rFonts w:asciiTheme="majorBidi" w:eastAsia="Calibri" w:hAnsiTheme="majorBidi" w:cstheme="majorBidi"/>
          <w:sz w:val="24"/>
          <w:szCs w:val="24"/>
          <w:lang w:val="en-US" w:bidi="ar-EG"/>
        </w:rPr>
        <w:t xml:space="preserve"> also emphasizes that no child should be subjected to violence, abuse, or neglect, including cases of violence and exploitation on the Internet. Thus, the Sustainable Development Goals set a comprehensive framework to protect children from the sale and sexual exploitation by emphasizing the need to end early and forced marriage of girls, female genital mutilation, end child labor, and eliminate child recruitment in armed conflict.</w:t>
      </w:r>
    </w:p>
    <w:p w14:paraId="15166414" w14:textId="6FF81EB1" w:rsidR="00343C62" w:rsidRPr="00FA25C4" w:rsidRDefault="00343C62" w:rsidP="00FA25C4">
      <w:pPr>
        <w:ind w:firstLine="720"/>
        <w:jc w:val="both"/>
        <w:rPr>
          <w:rFonts w:asciiTheme="majorBidi" w:eastAsia="Calibri" w:hAnsiTheme="majorBidi" w:cstheme="majorBidi"/>
          <w:sz w:val="24"/>
          <w:szCs w:val="24"/>
          <w:rtl/>
          <w:lang w:val="en-US" w:bidi="ar-EG"/>
        </w:rPr>
      </w:pPr>
      <w:r w:rsidRPr="00FA25C4">
        <w:rPr>
          <w:rFonts w:asciiTheme="majorBidi" w:eastAsia="Calibri" w:hAnsiTheme="majorBidi" w:cstheme="majorBidi"/>
          <w:sz w:val="24"/>
          <w:szCs w:val="24"/>
          <w:lang w:val="en-US" w:bidi="ar-EG"/>
        </w:rPr>
        <w:t xml:space="preserve">However, the harmful practices that harm children stipulated in the Sustainable Development Goals </w:t>
      </w:r>
      <w:r w:rsidR="00DB536F" w:rsidRPr="00FA25C4">
        <w:rPr>
          <w:rFonts w:asciiTheme="majorBidi" w:eastAsia="Calibri" w:hAnsiTheme="majorBidi" w:cstheme="majorBidi"/>
          <w:sz w:val="24"/>
          <w:szCs w:val="24"/>
          <w:lang w:val="en-US" w:bidi="ar-EG"/>
        </w:rPr>
        <w:t>remain</w:t>
      </w:r>
      <w:r w:rsidRPr="00FA25C4">
        <w:rPr>
          <w:rFonts w:asciiTheme="majorBidi" w:eastAsia="Calibri" w:hAnsiTheme="majorBidi" w:cstheme="majorBidi"/>
          <w:sz w:val="24"/>
          <w:szCs w:val="24"/>
          <w:lang w:val="en-US" w:bidi="ar-EG"/>
        </w:rPr>
        <w:t xml:space="preserve">, despite the assertion of many countries in the Middle East region of their commitment to achieving the Sustainable Development Goals. UN estimates indicate that more than </w:t>
      </w:r>
      <w:r w:rsidRPr="00FA25C4">
        <w:rPr>
          <w:rFonts w:asciiTheme="majorBidi" w:eastAsia="Calibri" w:hAnsiTheme="majorBidi" w:cstheme="majorBidi"/>
          <w:b/>
          <w:bCs/>
          <w:sz w:val="24"/>
          <w:szCs w:val="24"/>
          <w:lang w:val="en-US" w:bidi="ar-EG"/>
        </w:rPr>
        <w:t>61 million children</w:t>
      </w:r>
      <w:r w:rsidRPr="00FA25C4">
        <w:rPr>
          <w:rFonts w:asciiTheme="majorBidi" w:eastAsia="Calibri" w:hAnsiTheme="majorBidi" w:cstheme="majorBidi"/>
          <w:sz w:val="24"/>
          <w:szCs w:val="24"/>
          <w:lang w:val="en-US" w:bidi="ar-EG"/>
        </w:rPr>
        <w:t xml:space="preserve"> </w:t>
      </w:r>
      <w:r w:rsidR="006B36CE" w:rsidRPr="00FA25C4">
        <w:rPr>
          <w:rFonts w:asciiTheme="majorBidi" w:eastAsia="Calibri" w:hAnsiTheme="majorBidi" w:cstheme="majorBidi"/>
          <w:sz w:val="24"/>
          <w:szCs w:val="24"/>
          <w:lang w:val="en-US" w:bidi="ar-EG"/>
        </w:rPr>
        <w:t xml:space="preserve">out of 166 million children </w:t>
      </w:r>
      <w:r w:rsidRPr="00FA25C4">
        <w:rPr>
          <w:rFonts w:asciiTheme="majorBidi" w:eastAsia="Calibri" w:hAnsiTheme="majorBidi" w:cstheme="majorBidi"/>
          <w:sz w:val="24"/>
          <w:szCs w:val="24"/>
          <w:lang w:val="en-US" w:bidi="ar-EG"/>
        </w:rPr>
        <w:t>are living in war-affected</w:t>
      </w:r>
      <w:r w:rsidR="006B36CE" w:rsidRPr="00FA25C4">
        <w:rPr>
          <w:rFonts w:asciiTheme="majorBidi" w:eastAsia="Calibri" w:hAnsiTheme="majorBidi" w:cstheme="majorBidi"/>
          <w:sz w:val="24"/>
          <w:szCs w:val="24"/>
          <w:lang w:val="en-US" w:bidi="ar-EG"/>
        </w:rPr>
        <w:t xml:space="preserve"> areas</w:t>
      </w:r>
      <w:r w:rsidRPr="00FA25C4">
        <w:rPr>
          <w:rFonts w:asciiTheme="majorBidi" w:eastAsia="Calibri" w:hAnsiTheme="majorBidi" w:cstheme="majorBidi"/>
          <w:sz w:val="24"/>
          <w:szCs w:val="24"/>
          <w:lang w:val="en-US" w:bidi="ar-EG"/>
        </w:rPr>
        <w:t xml:space="preserve"> in the Middle East</w:t>
      </w:r>
      <w:r w:rsidRPr="00FA25C4">
        <w:rPr>
          <w:rFonts w:asciiTheme="majorBidi" w:eastAsia="Calibri" w:hAnsiTheme="majorBidi" w:cstheme="majorBidi"/>
          <w:sz w:val="24"/>
          <w:szCs w:val="24"/>
          <w:vertAlign w:val="superscript"/>
          <w:rtl/>
          <w:lang w:val="en-US" w:bidi="ar-EG"/>
        </w:rPr>
        <w:footnoteReference w:id="1"/>
      </w:r>
      <w:r w:rsidRPr="00FA25C4">
        <w:rPr>
          <w:rFonts w:asciiTheme="majorBidi" w:eastAsia="Calibri" w:hAnsiTheme="majorBidi" w:cstheme="majorBidi"/>
          <w:sz w:val="24"/>
          <w:szCs w:val="24"/>
          <w:lang w:val="en-US" w:bidi="ar-EG"/>
        </w:rPr>
        <w:t>. Recruitment of children in armed conflicts continues in</w:t>
      </w:r>
      <w:r w:rsidR="00EC24B7">
        <w:rPr>
          <w:rFonts w:asciiTheme="majorBidi" w:eastAsia="Calibri" w:hAnsiTheme="majorBidi" w:cstheme="majorBidi"/>
          <w:sz w:val="24"/>
          <w:szCs w:val="24"/>
          <w:lang w:val="en-US" w:bidi="ar-EG"/>
        </w:rPr>
        <w:t xml:space="preserve"> the Middle East</w:t>
      </w:r>
      <w:r w:rsidRPr="00FA25C4">
        <w:rPr>
          <w:rFonts w:asciiTheme="majorBidi" w:eastAsia="Calibri" w:hAnsiTheme="majorBidi" w:cstheme="majorBidi"/>
          <w:sz w:val="24"/>
          <w:szCs w:val="24"/>
          <w:lang w:val="en-US" w:bidi="ar-EG"/>
        </w:rPr>
        <w:t xml:space="preserve">. Societal norms and faulty religious traditions still allow early and forced marriages and female genital mutilation to continue. Extreme poverty is a common feature of these </w:t>
      </w:r>
      <w:r w:rsidR="00FE7A49" w:rsidRPr="00FA25C4">
        <w:rPr>
          <w:rFonts w:asciiTheme="majorBidi" w:eastAsia="Calibri" w:hAnsiTheme="majorBidi" w:cstheme="majorBidi"/>
          <w:sz w:val="24"/>
          <w:szCs w:val="24"/>
          <w:lang w:val="en-US" w:bidi="ar-EG"/>
        </w:rPr>
        <w:t>practices</w:t>
      </w:r>
      <w:r w:rsidRPr="00FA25C4">
        <w:rPr>
          <w:rFonts w:asciiTheme="majorBidi" w:eastAsia="Calibri" w:hAnsiTheme="majorBidi" w:cstheme="majorBidi"/>
          <w:sz w:val="24"/>
          <w:szCs w:val="24"/>
          <w:lang w:val="en-US" w:bidi="ar-EG"/>
        </w:rPr>
        <w:t>, and child labor continues.</w:t>
      </w:r>
    </w:p>
    <w:p w14:paraId="170A1129" w14:textId="20CB3E26" w:rsidR="00343C62" w:rsidRPr="00FA25C4" w:rsidRDefault="00343C62" w:rsidP="00FA25C4">
      <w:pPr>
        <w:ind w:firstLine="720"/>
        <w:rPr>
          <w:rFonts w:asciiTheme="majorBidi" w:eastAsia="Calibri" w:hAnsiTheme="majorBidi" w:cstheme="majorBidi"/>
          <w:sz w:val="24"/>
          <w:szCs w:val="24"/>
          <w:lang w:val="en-US" w:bidi="ar-EG"/>
        </w:rPr>
      </w:pPr>
      <w:r w:rsidRPr="00FA25C4">
        <w:rPr>
          <w:rFonts w:asciiTheme="majorBidi" w:eastAsia="Calibri" w:hAnsiTheme="majorBidi" w:cstheme="majorBidi"/>
          <w:b/>
          <w:bCs/>
          <w:sz w:val="24"/>
          <w:szCs w:val="24"/>
          <w:lang w:val="en-US" w:bidi="ar-EG"/>
        </w:rPr>
        <w:t>Maat for Peace, Development and Human Rights</w:t>
      </w:r>
      <w:r w:rsidRPr="00FA25C4">
        <w:rPr>
          <w:rFonts w:asciiTheme="majorBidi" w:eastAsia="Calibri" w:hAnsiTheme="majorBidi" w:cstheme="majorBidi"/>
          <w:sz w:val="24"/>
          <w:szCs w:val="24"/>
          <w:lang w:val="en-US" w:bidi="ar-EG"/>
        </w:rPr>
        <w:t xml:space="preserve"> clarifies the harmful practices of children in the Middle East, including sales and sexual exploitation, within the Sustainable Development Goals adoption, which took place six years ago. In preparing this report, Maat relies on government agencies' documents and reports in the Middle East, civil society organizations </w:t>
      </w:r>
      <w:proofErr w:type="gramStart"/>
      <w:r w:rsidRPr="00FA25C4">
        <w:rPr>
          <w:rFonts w:asciiTheme="majorBidi" w:eastAsia="Calibri" w:hAnsiTheme="majorBidi" w:cstheme="majorBidi"/>
          <w:sz w:val="24"/>
          <w:szCs w:val="24"/>
          <w:lang w:val="en-US" w:bidi="ar-EG"/>
        </w:rPr>
        <w:t>reports</w:t>
      </w:r>
      <w:proofErr w:type="gramEnd"/>
      <w:r w:rsidR="00250353">
        <w:rPr>
          <w:rFonts w:asciiTheme="majorBidi" w:eastAsia="Calibri" w:hAnsiTheme="majorBidi" w:cstheme="majorBidi"/>
          <w:sz w:val="24"/>
          <w:szCs w:val="24"/>
          <w:lang w:val="en-US" w:bidi="ar-EG"/>
        </w:rPr>
        <w:t xml:space="preserve"> </w:t>
      </w:r>
      <w:r w:rsidRPr="00FA25C4">
        <w:rPr>
          <w:rFonts w:asciiTheme="majorBidi" w:eastAsia="Calibri" w:hAnsiTheme="majorBidi" w:cstheme="majorBidi"/>
          <w:sz w:val="24"/>
          <w:szCs w:val="24"/>
          <w:lang w:val="en-US" w:bidi="ar-EG"/>
        </w:rPr>
        <w:t>and the documentation of its experts and sources on the ground</w:t>
      </w:r>
      <w:r w:rsidR="00EC24B7">
        <w:rPr>
          <w:rFonts w:asciiTheme="majorBidi" w:eastAsia="Calibri" w:hAnsiTheme="majorBidi" w:cstheme="majorBidi"/>
          <w:sz w:val="24"/>
          <w:szCs w:val="24"/>
          <w:lang w:val="en-US" w:bidi="ar-EG"/>
        </w:rPr>
        <w:t xml:space="preserve">. </w:t>
      </w:r>
      <w:r w:rsidR="00424F7C">
        <w:rPr>
          <w:rFonts w:asciiTheme="majorBidi" w:eastAsia="Calibri" w:hAnsiTheme="majorBidi" w:cstheme="majorBidi"/>
          <w:sz w:val="24"/>
          <w:szCs w:val="24"/>
          <w:lang w:val="en-US" w:bidi="ar-EG"/>
        </w:rPr>
        <w:t xml:space="preserve"> </w:t>
      </w:r>
    </w:p>
    <w:p w14:paraId="784106B7" w14:textId="79B66495" w:rsidR="00343C62" w:rsidRPr="00FA25C4" w:rsidRDefault="00343C62" w:rsidP="00FA25C4">
      <w:pPr>
        <w:rPr>
          <w:rFonts w:asciiTheme="majorBidi" w:eastAsia="Calibri" w:hAnsiTheme="majorBidi" w:cstheme="majorBidi"/>
          <w:b/>
          <w:bCs/>
          <w:color w:val="F79646"/>
          <w:sz w:val="24"/>
          <w:szCs w:val="24"/>
          <w:lang w:val="en-US" w:bidi="ar-EG"/>
        </w:rPr>
      </w:pPr>
      <w:r w:rsidRPr="00FA25C4">
        <w:rPr>
          <w:rFonts w:asciiTheme="majorBidi" w:eastAsia="Calibri" w:hAnsiTheme="majorBidi" w:cstheme="majorBidi"/>
          <w:b/>
          <w:bCs/>
          <w:color w:val="F79646"/>
          <w:sz w:val="24"/>
          <w:szCs w:val="24"/>
          <w:lang w:val="en-US" w:bidi="ar-EG"/>
        </w:rPr>
        <w:t>General statistics on the sale and sexual exploitation of children in the Middle East within the Sustainable Development Goals</w:t>
      </w:r>
      <w:r w:rsidRPr="00FA25C4">
        <w:rPr>
          <w:rFonts w:asciiTheme="majorBidi" w:eastAsia="Calibri" w:hAnsiTheme="majorBidi" w:cstheme="majorBidi"/>
          <w:sz w:val="24"/>
          <w:szCs w:val="24"/>
          <w:lang w:val="en-US"/>
        </w:rPr>
        <w:t xml:space="preserve"> </w:t>
      </w:r>
      <w:r w:rsidRPr="00FA25C4">
        <w:rPr>
          <w:rFonts w:asciiTheme="majorBidi" w:eastAsia="Calibri" w:hAnsiTheme="majorBidi" w:cstheme="majorBidi"/>
          <w:b/>
          <w:bCs/>
          <w:color w:val="F79646"/>
          <w:sz w:val="24"/>
          <w:szCs w:val="24"/>
          <w:lang w:val="en-US" w:bidi="ar-EG"/>
        </w:rPr>
        <w:t>framework</w:t>
      </w:r>
      <w:r w:rsidR="00FA25C4">
        <w:rPr>
          <w:rFonts w:asciiTheme="majorBidi" w:eastAsia="Calibri" w:hAnsiTheme="majorBidi" w:cstheme="majorBidi"/>
          <w:b/>
          <w:bCs/>
          <w:color w:val="F79646"/>
          <w:sz w:val="24"/>
          <w:szCs w:val="24"/>
          <w:lang w:val="en-US" w:bidi="ar-EG"/>
        </w:rPr>
        <w:t xml:space="preserve">: </w:t>
      </w:r>
    </w:p>
    <w:p w14:paraId="71AB9CDA" w14:textId="44CDAEC9" w:rsidR="00343C62" w:rsidRPr="00FA25C4" w:rsidRDefault="00343C62" w:rsidP="00FA25C4">
      <w:pPr>
        <w:ind w:firstLine="720"/>
        <w:jc w:val="both"/>
        <w:rPr>
          <w:rFonts w:asciiTheme="majorBidi" w:eastAsia="Calibri" w:hAnsiTheme="majorBidi" w:cstheme="majorBidi"/>
          <w:sz w:val="24"/>
          <w:szCs w:val="24"/>
          <w:lang w:val="en-US" w:bidi="ar-EG"/>
        </w:rPr>
      </w:pPr>
      <w:r w:rsidRPr="00FA25C4">
        <w:rPr>
          <w:rFonts w:asciiTheme="majorBidi" w:eastAsia="Calibri" w:hAnsiTheme="majorBidi" w:cstheme="majorBidi"/>
          <w:sz w:val="24"/>
          <w:szCs w:val="24"/>
          <w:lang w:val="en-US" w:bidi="ar-EG"/>
        </w:rPr>
        <w:t>Children's physical and psychological well-being is in doubt in the Middle East</w:t>
      </w:r>
      <w:r w:rsidR="00250353">
        <w:rPr>
          <w:rFonts w:asciiTheme="majorBidi" w:eastAsia="Calibri" w:hAnsiTheme="majorBidi" w:cstheme="majorBidi"/>
          <w:sz w:val="24"/>
          <w:szCs w:val="24"/>
          <w:lang w:val="en-US" w:bidi="ar-EG"/>
        </w:rPr>
        <w:t xml:space="preserve">. </w:t>
      </w:r>
      <w:r w:rsidRPr="00FA25C4">
        <w:rPr>
          <w:rFonts w:asciiTheme="majorBidi" w:eastAsia="Calibri" w:hAnsiTheme="majorBidi" w:cstheme="majorBidi"/>
          <w:b/>
          <w:bCs/>
          <w:sz w:val="24"/>
          <w:szCs w:val="24"/>
          <w:lang w:val="en-US" w:bidi="ar-EG"/>
        </w:rPr>
        <w:t>Yemen, Iraq, and Libya</w:t>
      </w:r>
      <w:r w:rsidRPr="00FA25C4">
        <w:rPr>
          <w:rFonts w:asciiTheme="majorBidi" w:eastAsia="Calibri" w:hAnsiTheme="majorBidi" w:cstheme="majorBidi"/>
          <w:sz w:val="24"/>
          <w:szCs w:val="24"/>
          <w:lang w:val="en-US" w:bidi="ar-EG"/>
        </w:rPr>
        <w:t xml:space="preserve"> continue to be involved in the recruitment of children into armed conflicts. In Yemen, the Houthi group recruited about 35,000 children, 17% under 11, from September 2014 to September 2021. </w:t>
      </w:r>
      <w:r w:rsidRPr="00FA25C4">
        <w:rPr>
          <w:rFonts w:asciiTheme="majorBidi" w:eastAsia="Calibri" w:hAnsiTheme="majorBidi" w:cstheme="majorBidi"/>
          <w:sz w:val="24"/>
          <w:szCs w:val="24"/>
          <w:lang w:val="en-US" w:bidi="ar-EG"/>
        </w:rPr>
        <w:lastRenderedPageBreak/>
        <w:t>Among this number, more than 6,700 children are active on the battlefronts; about 2,000 children were killed in the battles between the Houthis and the legitimately recognized government forces</w:t>
      </w:r>
      <w:r w:rsidRPr="00FA25C4">
        <w:rPr>
          <w:rFonts w:asciiTheme="majorBidi" w:eastAsia="Calibri" w:hAnsiTheme="majorBidi" w:cstheme="majorBidi"/>
          <w:sz w:val="24"/>
          <w:szCs w:val="24"/>
          <w:vertAlign w:val="superscript"/>
          <w:rtl/>
          <w:lang w:val="en-US" w:bidi="ar-EG"/>
        </w:rPr>
        <w:footnoteReference w:id="2"/>
      </w:r>
      <w:r w:rsidRPr="00FA25C4">
        <w:rPr>
          <w:rFonts w:asciiTheme="majorBidi" w:eastAsia="Calibri" w:hAnsiTheme="majorBidi" w:cstheme="majorBidi"/>
          <w:sz w:val="24"/>
          <w:szCs w:val="24"/>
          <w:lang w:val="en-US" w:bidi="ar-EG"/>
        </w:rPr>
        <w:t>.</w:t>
      </w:r>
    </w:p>
    <w:p w14:paraId="5FAD597E" w14:textId="77777777" w:rsidR="00343C62" w:rsidRPr="00FA25C4" w:rsidRDefault="00343C62" w:rsidP="00FA25C4">
      <w:pPr>
        <w:jc w:val="both"/>
        <w:rPr>
          <w:rFonts w:asciiTheme="majorBidi" w:eastAsia="Calibri" w:hAnsiTheme="majorBidi" w:cstheme="majorBidi"/>
          <w:sz w:val="24"/>
          <w:szCs w:val="24"/>
          <w:rtl/>
          <w:lang w:val="en-US" w:bidi="ar-EG"/>
        </w:rPr>
      </w:pPr>
      <w:r w:rsidRPr="00FA25C4">
        <w:rPr>
          <w:rFonts w:asciiTheme="majorBidi" w:eastAsia="Calibri" w:hAnsiTheme="majorBidi" w:cstheme="majorBidi"/>
          <w:sz w:val="24"/>
          <w:szCs w:val="24"/>
          <w:lang w:val="en-US" w:bidi="ar-EG"/>
        </w:rPr>
        <w:t xml:space="preserve"> </w:t>
      </w:r>
      <w:r w:rsidR="00B95463" w:rsidRPr="00FA25C4">
        <w:rPr>
          <w:rFonts w:asciiTheme="majorBidi" w:eastAsia="Calibri" w:hAnsiTheme="majorBidi" w:cstheme="majorBidi"/>
          <w:sz w:val="24"/>
          <w:szCs w:val="24"/>
          <w:lang w:val="en-US" w:bidi="ar-EG"/>
        </w:rPr>
        <w:tab/>
      </w:r>
      <w:r w:rsidRPr="00FA25C4">
        <w:rPr>
          <w:rFonts w:asciiTheme="majorBidi" w:eastAsia="Calibri" w:hAnsiTheme="majorBidi" w:cstheme="majorBidi"/>
          <w:sz w:val="24"/>
          <w:szCs w:val="24"/>
          <w:lang w:val="en-US" w:bidi="ar-EG"/>
        </w:rPr>
        <w:t xml:space="preserve">Girls in the Middle East still suffer from early marriage and female circumcision, due to </w:t>
      </w:r>
      <w:r w:rsidR="00B95463" w:rsidRPr="00FA25C4">
        <w:rPr>
          <w:rFonts w:asciiTheme="majorBidi" w:eastAsia="Calibri" w:hAnsiTheme="majorBidi" w:cstheme="majorBidi"/>
          <w:sz w:val="24"/>
          <w:szCs w:val="24"/>
          <w:lang w:val="en-US" w:bidi="ar-EG"/>
        </w:rPr>
        <w:t>harmful practices</w:t>
      </w:r>
      <w:r w:rsidRPr="00FA25C4">
        <w:rPr>
          <w:rFonts w:asciiTheme="majorBidi" w:eastAsia="Calibri" w:hAnsiTheme="majorBidi" w:cstheme="majorBidi"/>
          <w:sz w:val="24"/>
          <w:szCs w:val="24"/>
          <w:lang w:val="en-US" w:bidi="ar-EG"/>
        </w:rPr>
        <w:t xml:space="preserve">, social, and religious </w:t>
      </w:r>
      <w:r w:rsidR="004E38D3" w:rsidRPr="00FA25C4">
        <w:rPr>
          <w:rFonts w:asciiTheme="majorBidi" w:eastAsia="Calibri" w:hAnsiTheme="majorBidi" w:cstheme="majorBidi"/>
          <w:sz w:val="24"/>
          <w:szCs w:val="24"/>
          <w:lang w:val="en-US" w:bidi="ar-EG"/>
        </w:rPr>
        <w:t>traditions</w:t>
      </w:r>
      <w:r w:rsidRPr="00FA25C4">
        <w:rPr>
          <w:rFonts w:asciiTheme="majorBidi" w:eastAsia="Calibri" w:hAnsiTheme="majorBidi" w:cstheme="majorBidi"/>
          <w:sz w:val="24"/>
          <w:szCs w:val="24"/>
          <w:lang w:val="en-US" w:bidi="ar-EG"/>
        </w:rPr>
        <w:t xml:space="preserve"> and the spread of poverty and ignorance, especially in cases of early marriage. It is estimated that more than 18% of girls are married under the age of eighteen, especially in rural areas</w:t>
      </w:r>
      <w:r w:rsidRPr="00FA25C4">
        <w:rPr>
          <w:rFonts w:asciiTheme="majorBidi" w:eastAsia="Calibri" w:hAnsiTheme="majorBidi" w:cstheme="majorBidi"/>
          <w:sz w:val="24"/>
          <w:szCs w:val="24"/>
          <w:vertAlign w:val="superscript"/>
          <w:rtl/>
          <w:lang w:val="en-US"/>
        </w:rPr>
        <w:footnoteReference w:id="3"/>
      </w:r>
      <w:r w:rsidRPr="00FA25C4">
        <w:rPr>
          <w:rFonts w:asciiTheme="majorBidi" w:eastAsia="Calibri" w:hAnsiTheme="majorBidi" w:cstheme="majorBidi"/>
          <w:sz w:val="24"/>
          <w:szCs w:val="24"/>
          <w:lang w:val="en-US" w:bidi="ar-EG"/>
        </w:rPr>
        <w:t>, meaning that one out of every five young women in the region is married before the age of eighteen. The Middle East is home to nearly 40 million child brides, including child brides who are now married and women who married as children</w:t>
      </w:r>
      <w:r w:rsidRPr="00FA25C4">
        <w:rPr>
          <w:rFonts w:asciiTheme="majorBidi" w:eastAsia="Calibri" w:hAnsiTheme="majorBidi" w:cstheme="majorBidi"/>
          <w:sz w:val="24"/>
          <w:szCs w:val="24"/>
          <w:vertAlign w:val="superscript"/>
          <w:rtl/>
          <w:lang w:val="en-US" w:bidi="ar-EG"/>
        </w:rPr>
        <w:footnoteReference w:id="4"/>
      </w:r>
      <w:r w:rsidRPr="00FA25C4">
        <w:rPr>
          <w:rFonts w:asciiTheme="majorBidi" w:eastAsia="Calibri" w:hAnsiTheme="majorBidi" w:cstheme="majorBidi"/>
          <w:sz w:val="24"/>
          <w:szCs w:val="24"/>
          <w:lang w:val="en-US" w:bidi="ar-EG"/>
        </w:rPr>
        <w:t>. More than 125 million girls and women alive were subjected to FGM in nearly 29 countries in Africa and the Middle East.</w:t>
      </w:r>
    </w:p>
    <w:p w14:paraId="184F322F" w14:textId="77777777" w:rsidR="00343C62" w:rsidRPr="00FA25C4" w:rsidRDefault="00343C62" w:rsidP="00FA25C4">
      <w:pPr>
        <w:ind w:firstLine="720"/>
        <w:rPr>
          <w:rFonts w:asciiTheme="majorBidi" w:eastAsia="Calibri" w:hAnsiTheme="majorBidi" w:cstheme="majorBidi"/>
          <w:sz w:val="24"/>
          <w:szCs w:val="24"/>
          <w:rtl/>
          <w:lang w:val="en-US" w:bidi="ar-EG"/>
        </w:rPr>
      </w:pPr>
      <w:r w:rsidRPr="00FA25C4">
        <w:rPr>
          <w:rFonts w:asciiTheme="majorBidi" w:eastAsia="Calibri" w:hAnsiTheme="majorBidi" w:cstheme="majorBidi"/>
          <w:sz w:val="24"/>
          <w:szCs w:val="24"/>
          <w:lang w:val="en-US" w:bidi="ar-EG"/>
        </w:rPr>
        <w:t>Those children work in precarious conditions to provide for the various expenses of their families; estimates confirm that nearly 9.2 million children work in the Middle East, equivalent to 8.4% of the global total. They work in dangerous conditions and are early dropouts from education. Most of these children work in the agricultural sector and 57% work in dangerous</w:t>
      </w:r>
      <w:r w:rsidRPr="00FA25C4">
        <w:rPr>
          <w:rFonts w:asciiTheme="majorBidi" w:eastAsia="Calibri" w:hAnsiTheme="majorBidi" w:cstheme="majorBidi"/>
          <w:sz w:val="24"/>
          <w:szCs w:val="24"/>
          <w:vertAlign w:val="superscript"/>
          <w:rtl/>
          <w:lang w:val="en-US" w:bidi="ar-EG"/>
        </w:rPr>
        <w:footnoteReference w:id="5"/>
      </w:r>
      <w:r w:rsidRPr="00FA25C4">
        <w:rPr>
          <w:rFonts w:asciiTheme="majorBidi" w:eastAsia="Calibri" w:hAnsiTheme="majorBidi" w:cstheme="majorBidi"/>
          <w:sz w:val="24"/>
          <w:szCs w:val="24"/>
          <w:rtl/>
          <w:lang w:val="en-US" w:bidi="ar-EG"/>
        </w:rPr>
        <w:t>.</w:t>
      </w:r>
    </w:p>
    <w:p w14:paraId="3144EEC5" w14:textId="09F6B0A0" w:rsidR="00821173" w:rsidRPr="00FA25C4" w:rsidRDefault="00821173" w:rsidP="00FA25C4">
      <w:pPr>
        <w:jc w:val="both"/>
        <w:rPr>
          <w:rFonts w:asciiTheme="majorBidi" w:hAnsiTheme="majorBidi" w:cstheme="majorBidi"/>
          <w:b/>
          <w:bCs/>
          <w:color w:val="ED7D31" w:themeColor="accent2"/>
          <w:sz w:val="24"/>
          <w:szCs w:val="24"/>
        </w:rPr>
      </w:pPr>
      <w:r w:rsidRPr="00FA25C4">
        <w:rPr>
          <w:rFonts w:asciiTheme="majorBidi" w:hAnsiTheme="majorBidi" w:cstheme="majorBidi"/>
          <w:b/>
          <w:bCs/>
          <w:color w:val="ED7D31" w:themeColor="accent2"/>
          <w:sz w:val="24"/>
          <w:szCs w:val="24"/>
        </w:rPr>
        <w:t>Manifestations of selling and sexual exploitation of children in the Middle East</w:t>
      </w:r>
      <w:r w:rsidR="00FA25C4">
        <w:rPr>
          <w:rFonts w:asciiTheme="majorBidi" w:hAnsiTheme="majorBidi" w:cstheme="majorBidi"/>
          <w:b/>
          <w:bCs/>
          <w:color w:val="ED7D31" w:themeColor="accent2"/>
          <w:sz w:val="24"/>
          <w:szCs w:val="24"/>
        </w:rPr>
        <w:t xml:space="preserve">: </w:t>
      </w:r>
    </w:p>
    <w:p w14:paraId="3C88D029" w14:textId="57E2A937" w:rsidR="00821173" w:rsidRPr="00FA25C4" w:rsidRDefault="00821173" w:rsidP="00FA25C4">
      <w:pPr>
        <w:ind w:firstLine="720"/>
        <w:jc w:val="both"/>
        <w:rPr>
          <w:rFonts w:asciiTheme="majorBidi" w:hAnsiTheme="majorBidi" w:cstheme="majorBidi"/>
          <w:sz w:val="24"/>
          <w:szCs w:val="24"/>
        </w:rPr>
      </w:pPr>
      <w:r w:rsidRPr="00FA25C4">
        <w:rPr>
          <w:rFonts w:asciiTheme="majorBidi" w:hAnsiTheme="majorBidi" w:cstheme="majorBidi"/>
          <w:sz w:val="24"/>
          <w:szCs w:val="24"/>
        </w:rPr>
        <w:t xml:space="preserve">While many countries in the Middle East have taken steps to ban selling and sexual exploitation of children as part of their commitment to achieving the SDGs, the Covid-19 </w:t>
      </w:r>
      <w:r w:rsidR="00EA2A07" w:rsidRPr="00FA25C4">
        <w:rPr>
          <w:rFonts w:asciiTheme="majorBidi" w:hAnsiTheme="majorBidi" w:cstheme="majorBidi"/>
          <w:sz w:val="24"/>
          <w:szCs w:val="24"/>
        </w:rPr>
        <w:t>pandemic</w:t>
      </w:r>
      <w:r w:rsidRPr="00FA25C4">
        <w:rPr>
          <w:rFonts w:asciiTheme="majorBidi" w:hAnsiTheme="majorBidi" w:cstheme="majorBidi"/>
          <w:sz w:val="24"/>
          <w:szCs w:val="24"/>
        </w:rPr>
        <w:t xml:space="preserve"> has threatened the effectiveness of these efforts on a large scale, as the rates of selling and exploitation of children in the Middle East rose during the Covid-19 epidemic, and we can talk about these manifestations in some detail</w:t>
      </w:r>
      <w:r w:rsidR="00EA2A07" w:rsidRPr="00FA25C4">
        <w:rPr>
          <w:rFonts w:asciiTheme="majorBidi" w:hAnsiTheme="majorBidi" w:cstheme="majorBidi"/>
          <w:sz w:val="24"/>
          <w:szCs w:val="24"/>
        </w:rPr>
        <w:t xml:space="preserve"> as follows:</w:t>
      </w:r>
    </w:p>
    <w:p w14:paraId="44E9D41C" w14:textId="77777777" w:rsidR="00EC24B7" w:rsidRDefault="00EA2A07" w:rsidP="00EC24B7">
      <w:pPr>
        <w:ind w:firstLine="720"/>
        <w:jc w:val="both"/>
        <w:rPr>
          <w:rFonts w:asciiTheme="majorBidi" w:hAnsiTheme="majorBidi" w:cstheme="majorBidi"/>
          <w:sz w:val="24"/>
          <w:szCs w:val="24"/>
        </w:rPr>
      </w:pPr>
      <w:r w:rsidRPr="00FA25C4">
        <w:rPr>
          <w:rFonts w:asciiTheme="majorBidi" w:hAnsiTheme="majorBidi" w:cstheme="majorBidi"/>
          <w:b/>
          <w:bCs/>
          <w:sz w:val="24"/>
          <w:szCs w:val="24"/>
        </w:rPr>
        <w:t>First:</w:t>
      </w:r>
      <w:r w:rsidR="00821173" w:rsidRPr="00FA25C4">
        <w:rPr>
          <w:rFonts w:asciiTheme="majorBidi" w:hAnsiTheme="majorBidi" w:cstheme="majorBidi"/>
          <w:b/>
          <w:bCs/>
          <w:sz w:val="24"/>
          <w:szCs w:val="24"/>
        </w:rPr>
        <w:t xml:space="preserve"> forced and early marriage and female genital mutilation:</w:t>
      </w:r>
      <w:r w:rsidR="00821173" w:rsidRPr="00FA25C4">
        <w:rPr>
          <w:rFonts w:asciiTheme="majorBidi" w:hAnsiTheme="majorBidi" w:cstheme="majorBidi"/>
          <w:sz w:val="24"/>
          <w:szCs w:val="24"/>
        </w:rPr>
        <w:t xml:space="preserve"> Child marriages, as well as female genital mutilation, are deeply rooted in traditional societies in the Middle East. Community norms, as well as faulty religious believes, have allowed the phenomenon to permeate and spread, especially in rural and marginalized communities. This is in addition to other factors, such as poverty and armed conflict. Data shows that </w:t>
      </w:r>
      <w:r w:rsidR="00250353">
        <w:rPr>
          <w:rFonts w:asciiTheme="majorBidi" w:hAnsiTheme="majorBidi" w:cstheme="majorBidi"/>
          <w:sz w:val="24"/>
          <w:szCs w:val="24"/>
        </w:rPr>
        <w:t>among the</w:t>
      </w:r>
      <w:r w:rsidR="00821173" w:rsidRPr="00FA25C4">
        <w:rPr>
          <w:rFonts w:asciiTheme="majorBidi" w:hAnsiTheme="majorBidi" w:cstheme="majorBidi"/>
          <w:sz w:val="24"/>
          <w:szCs w:val="24"/>
        </w:rPr>
        <w:t xml:space="preserve"> most common countries for underage marriages in the Middle East are Yemen, Lebanon, Jordan and Iraq. </w:t>
      </w:r>
    </w:p>
    <w:p w14:paraId="7C28EF2E" w14:textId="3DD6072D" w:rsidR="00821173" w:rsidRPr="00FA25C4" w:rsidRDefault="00821173" w:rsidP="00EC24B7">
      <w:pPr>
        <w:ind w:firstLine="720"/>
        <w:jc w:val="both"/>
        <w:rPr>
          <w:rFonts w:asciiTheme="majorBidi" w:hAnsiTheme="majorBidi" w:cstheme="majorBidi"/>
          <w:sz w:val="24"/>
          <w:szCs w:val="24"/>
        </w:rPr>
      </w:pPr>
      <w:r w:rsidRPr="00FA25C4">
        <w:rPr>
          <w:rFonts w:asciiTheme="majorBidi" w:hAnsiTheme="majorBidi" w:cstheme="majorBidi"/>
          <w:sz w:val="24"/>
          <w:szCs w:val="24"/>
        </w:rPr>
        <w:t xml:space="preserve">In Yemen, about 14% of girls marry under the age of 15, while 52 % marry when they are 18 years old, and 8 minors lose their lives every day due to pregnancy and childbirth risks. In Iraq, there is no great difference, the latest statistical estimates that the percentage of married women aged 12 years is 53%. </w:t>
      </w:r>
      <w:r w:rsidR="00EC24B7">
        <w:rPr>
          <w:rFonts w:asciiTheme="majorBidi" w:hAnsiTheme="majorBidi" w:cstheme="majorBidi"/>
          <w:sz w:val="24"/>
          <w:szCs w:val="24"/>
        </w:rPr>
        <w:t>W</w:t>
      </w:r>
      <w:r w:rsidRPr="00FA25C4">
        <w:rPr>
          <w:rFonts w:asciiTheme="majorBidi" w:hAnsiTheme="majorBidi" w:cstheme="majorBidi"/>
          <w:sz w:val="24"/>
          <w:szCs w:val="24"/>
        </w:rPr>
        <w:t>hile, in Jordan, about 29 underage girls marry every day. Some statistics also confirm that underage marriages rose to 11.8 during the period between 2019 and 2020</w:t>
      </w:r>
      <w:r w:rsidR="00250353">
        <w:rPr>
          <w:rFonts w:asciiTheme="majorBidi" w:hAnsiTheme="majorBidi" w:cstheme="majorBidi"/>
          <w:sz w:val="24"/>
          <w:szCs w:val="24"/>
        </w:rPr>
        <w:t xml:space="preserve">. </w:t>
      </w:r>
    </w:p>
    <w:p w14:paraId="496CB870" w14:textId="4D48FF03" w:rsidR="00821173" w:rsidRPr="00FA25C4" w:rsidRDefault="00821173" w:rsidP="00EC24B7">
      <w:pPr>
        <w:ind w:firstLine="720"/>
        <w:jc w:val="both"/>
        <w:rPr>
          <w:rFonts w:asciiTheme="majorBidi" w:hAnsiTheme="majorBidi" w:cstheme="majorBidi"/>
          <w:sz w:val="24"/>
          <w:szCs w:val="24"/>
        </w:rPr>
      </w:pPr>
      <w:r w:rsidRPr="00FA25C4">
        <w:rPr>
          <w:rFonts w:asciiTheme="majorBidi" w:hAnsiTheme="majorBidi" w:cstheme="majorBidi"/>
          <w:sz w:val="24"/>
          <w:szCs w:val="24"/>
        </w:rPr>
        <w:t xml:space="preserve">On the other hand, the phenomenon of female genital mutilation is an essential part of the formation of societies in the Middle East, and it increases sharply in areas that adhere to societal and religious customs and traditions. In Egypt, 92% of women and girls between the ages of 15 and 49 have experienced some form of female genital mutilation. In Yemen, genital mutilation is spread by 18.5% among women and girls between the ages of 15 and 49. In Sudan, 86.6% of women and girls have been </w:t>
      </w:r>
      <w:r w:rsidRPr="00FA25C4">
        <w:rPr>
          <w:rFonts w:asciiTheme="majorBidi" w:hAnsiTheme="majorBidi" w:cstheme="majorBidi"/>
          <w:sz w:val="24"/>
          <w:szCs w:val="24"/>
        </w:rPr>
        <w:lastRenderedPageBreak/>
        <w:t>circumcised. Statistics confirm that the cost of treating the health effects of female genital mutilation is about $1.4 billion per year.</w:t>
      </w:r>
      <w:r w:rsidRPr="00FA25C4">
        <w:rPr>
          <w:rStyle w:val="FootnoteReference"/>
          <w:rFonts w:asciiTheme="majorBidi" w:hAnsiTheme="majorBidi" w:cstheme="majorBidi"/>
          <w:sz w:val="24"/>
          <w:szCs w:val="24"/>
        </w:rPr>
        <w:footnoteReference w:id="6"/>
      </w:r>
    </w:p>
    <w:p w14:paraId="610977DC" w14:textId="77777777" w:rsidR="00EC24B7" w:rsidRDefault="00821173" w:rsidP="00EC24B7">
      <w:pPr>
        <w:ind w:firstLine="720"/>
        <w:jc w:val="both"/>
        <w:rPr>
          <w:rFonts w:asciiTheme="majorBidi" w:hAnsiTheme="majorBidi" w:cstheme="majorBidi"/>
          <w:sz w:val="24"/>
          <w:szCs w:val="24"/>
        </w:rPr>
      </w:pPr>
      <w:r w:rsidRPr="00FA25C4">
        <w:rPr>
          <w:rFonts w:asciiTheme="majorBidi" w:hAnsiTheme="majorBidi" w:cstheme="majorBidi"/>
          <w:b/>
          <w:bCs/>
          <w:sz w:val="24"/>
          <w:szCs w:val="24"/>
        </w:rPr>
        <w:t>Second: Child labor</w:t>
      </w:r>
      <w:r w:rsidRPr="00FA25C4">
        <w:rPr>
          <w:rFonts w:asciiTheme="majorBidi" w:hAnsiTheme="majorBidi" w:cstheme="majorBidi"/>
          <w:sz w:val="24"/>
          <w:szCs w:val="24"/>
        </w:rPr>
        <w:t xml:space="preserve">: The phenomenon of child labor has increased recently more than ever, with continuous increasing of poverty and poor economic conditions affecting the Middle East against the spread of Covid-19. </w:t>
      </w:r>
    </w:p>
    <w:p w14:paraId="6AEC7CEC" w14:textId="63020F15" w:rsidR="00821173" w:rsidRPr="00FA25C4" w:rsidRDefault="00821173" w:rsidP="00EC24B7">
      <w:pPr>
        <w:ind w:firstLine="720"/>
        <w:jc w:val="both"/>
        <w:rPr>
          <w:rFonts w:asciiTheme="majorBidi" w:hAnsiTheme="majorBidi" w:cstheme="majorBidi"/>
          <w:sz w:val="24"/>
          <w:szCs w:val="24"/>
        </w:rPr>
      </w:pPr>
      <w:r w:rsidRPr="00FA25C4">
        <w:rPr>
          <w:rFonts w:asciiTheme="majorBidi" w:hAnsiTheme="majorBidi" w:cstheme="majorBidi"/>
          <w:sz w:val="24"/>
          <w:szCs w:val="24"/>
        </w:rPr>
        <w:t>For example, in Jordan, children continue to suffer from hard and difficult work, with many children falling victim to precarious working conditions because they are sent by the family to work to help them with social expenses. Children work in begging and are at risk of being run over by Arab women on a daily basis</w:t>
      </w:r>
      <w:r w:rsidRPr="00FA25C4">
        <w:rPr>
          <w:rStyle w:val="FootnoteReference"/>
          <w:rFonts w:asciiTheme="majorBidi" w:hAnsiTheme="majorBidi" w:cstheme="majorBidi"/>
          <w:sz w:val="24"/>
          <w:szCs w:val="24"/>
        </w:rPr>
        <w:footnoteReference w:id="7"/>
      </w:r>
      <w:r w:rsidRPr="00FA25C4">
        <w:rPr>
          <w:rFonts w:asciiTheme="majorBidi" w:hAnsiTheme="majorBidi" w:cstheme="majorBidi"/>
          <w:sz w:val="24"/>
          <w:szCs w:val="24"/>
        </w:rPr>
        <w:t>. Some of them also work in the hatchet profession for up to 11 hours a day without receiving the appropriate pay. The child's remuneration ranges from 7 to 12 dinars per day.</w:t>
      </w:r>
      <w:r w:rsidRPr="00FA25C4">
        <w:rPr>
          <w:rStyle w:val="FootnoteReference"/>
          <w:rFonts w:asciiTheme="majorBidi" w:hAnsiTheme="majorBidi" w:cstheme="majorBidi"/>
          <w:sz w:val="24"/>
          <w:szCs w:val="24"/>
        </w:rPr>
        <w:footnoteReference w:id="8"/>
      </w:r>
    </w:p>
    <w:p w14:paraId="0D815A94" w14:textId="77777777" w:rsidR="00821173" w:rsidRPr="00FA25C4" w:rsidRDefault="00821173" w:rsidP="00FA25C4">
      <w:pPr>
        <w:ind w:firstLine="720"/>
        <w:jc w:val="both"/>
        <w:rPr>
          <w:rFonts w:asciiTheme="majorBidi" w:hAnsiTheme="majorBidi" w:cstheme="majorBidi"/>
          <w:sz w:val="24"/>
          <w:szCs w:val="24"/>
        </w:rPr>
      </w:pPr>
      <w:r w:rsidRPr="00FA25C4">
        <w:rPr>
          <w:rFonts w:asciiTheme="majorBidi" w:hAnsiTheme="majorBidi" w:cstheme="majorBidi"/>
          <w:sz w:val="24"/>
          <w:szCs w:val="24"/>
        </w:rPr>
        <w:t>In Lebanon, the economic conditions of children are put to the test, as UN estimates confirm an increasing increase in child labor rates during the year 2021, and in Mauritania, the matter will not be much different, as child labor spreads in Mauritanian society significantly and exceeds more than 37%, and poverty pushes families to Sending their children to work without completing their education, in an attempt to improve the family's economic level. Children often resort to working in various car repair shops. Media estimates indicate that a quarter of children do not go to school because of child labor.</w:t>
      </w:r>
    </w:p>
    <w:p w14:paraId="367CA886" w14:textId="77777777" w:rsidR="00821173" w:rsidRPr="00FA25C4" w:rsidRDefault="00821173" w:rsidP="00FA25C4">
      <w:pPr>
        <w:ind w:firstLine="720"/>
        <w:jc w:val="both"/>
        <w:rPr>
          <w:rFonts w:asciiTheme="majorBidi" w:hAnsiTheme="majorBidi" w:cstheme="majorBidi"/>
          <w:sz w:val="24"/>
          <w:szCs w:val="24"/>
        </w:rPr>
      </w:pPr>
      <w:r w:rsidRPr="00FA25C4">
        <w:rPr>
          <w:rFonts w:asciiTheme="majorBidi" w:hAnsiTheme="majorBidi" w:cstheme="majorBidi"/>
          <w:sz w:val="24"/>
          <w:szCs w:val="24"/>
        </w:rPr>
        <w:t>In Lebanon, economic conditions have put children on the line, as UN estimations confirm an increase in child labor in 2021</w:t>
      </w:r>
      <w:r w:rsidRPr="00FA25C4">
        <w:rPr>
          <w:rStyle w:val="FootnoteReference"/>
          <w:rFonts w:asciiTheme="majorBidi" w:hAnsiTheme="majorBidi" w:cstheme="majorBidi"/>
          <w:sz w:val="24"/>
          <w:szCs w:val="24"/>
        </w:rPr>
        <w:footnoteReference w:id="9"/>
      </w:r>
      <w:r w:rsidRPr="00FA25C4">
        <w:rPr>
          <w:rFonts w:asciiTheme="majorBidi" w:hAnsiTheme="majorBidi" w:cstheme="majorBidi"/>
          <w:sz w:val="24"/>
          <w:szCs w:val="24"/>
        </w:rPr>
        <w:t xml:space="preserve"> and in Mauritania will not be very different. Child labor is widespread in Mauritanian society and exceeds more than 37%. Poverty causes families to send their children to work without completing education in an effort to improve the family’s economic condition. Children often turn to work in various car repair workshops. Media indicate that only ¼ of the children do not go to school because of child labor.</w:t>
      </w:r>
      <w:r w:rsidRPr="00FA25C4">
        <w:rPr>
          <w:rStyle w:val="FootnoteReference"/>
          <w:rFonts w:asciiTheme="majorBidi" w:hAnsiTheme="majorBidi" w:cstheme="majorBidi"/>
          <w:sz w:val="24"/>
          <w:szCs w:val="24"/>
        </w:rPr>
        <w:footnoteReference w:id="10"/>
      </w:r>
    </w:p>
    <w:p w14:paraId="26678566" w14:textId="0B7099F2" w:rsidR="00821173" w:rsidRPr="00FA25C4" w:rsidRDefault="00821173" w:rsidP="00250353">
      <w:pPr>
        <w:ind w:firstLine="720"/>
        <w:jc w:val="both"/>
        <w:rPr>
          <w:rFonts w:asciiTheme="majorBidi" w:hAnsiTheme="majorBidi" w:cstheme="majorBidi"/>
          <w:sz w:val="24"/>
          <w:szCs w:val="24"/>
        </w:rPr>
      </w:pPr>
      <w:r w:rsidRPr="00FA25C4">
        <w:rPr>
          <w:rFonts w:asciiTheme="majorBidi" w:hAnsiTheme="majorBidi" w:cstheme="majorBidi"/>
          <w:b/>
          <w:bCs/>
          <w:sz w:val="24"/>
          <w:szCs w:val="24"/>
        </w:rPr>
        <w:t>Third: Child recruitment</w:t>
      </w:r>
      <w:r w:rsidRPr="00FA25C4">
        <w:rPr>
          <w:rFonts w:asciiTheme="majorBidi" w:hAnsiTheme="majorBidi" w:cstheme="majorBidi"/>
          <w:sz w:val="24"/>
          <w:szCs w:val="24"/>
        </w:rPr>
        <w:t>: In the Middle East, particularly in Yemen,</w:t>
      </w:r>
      <w:r w:rsidR="00250353">
        <w:rPr>
          <w:rFonts w:asciiTheme="majorBidi" w:hAnsiTheme="majorBidi" w:cstheme="majorBidi"/>
          <w:sz w:val="24"/>
          <w:szCs w:val="24"/>
        </w:rPr>
        <w:t xml:space="preserve"> the </w:t>
      </w:r>
      <w:r w:rsidRPr="00FA25C4">
        <w:rPr>
          <w:rFonts w:asciiTheme="majorBidi" w:hAnsiTheme="majorBidi" w:cstheme="majorBidi"/>
          <w:sz w:val="24"/>
          <w:szCs w:val="24"/>
        </w:rPr>
        <w:t xml:space="preserve">Houthis </w:t>
      </w:r>
      <w:r w:rsidR="00F66B9F" w:rsidRPr="00FA25C4">
        <w:rPr>
          <w:rFonts w:asciiTheme="majorBidi" w:hAnsiTheme="majorBidi" w:cstheme="majorBidi"/>
          <w:sz w:val="24"/>
          <w:szCs w:val="24"/>
        </w:rPr>
        <w:t>continue</w:t>
      </w:r>
      <w:r w:rsidRPr="00FA25C4">
        <w:rPr>
          <w:rFonts w:asciiTheme="majorBidi" w:hAnsiTheme="majorBidi" w:cstheme="majorBidi"/>
          <w:sz w:val="24"/>
          <w:szCs w:val="24"/>
        </w:rPr>
        <w:t xml:space="preserve"> to use summer </w:t>
      </w:r>
      <w:r w:rsidR="00F66B9F" w:rsidRPr="00FA25C4">
        <w:rPr>
          <w:rFonts w:asciiTheme="majorBidi" w:hAnsiTheme="majorBidi" w:cstheme="majorBidi"/>
          <w:sz w:val="24"/>
          <w:szCs w:val="24"/>
        </w:rPr>
        <w:t>centres</w:t>
      </w:r>
      <w:r w:rsidRPr="00FA25C4">
        <w:rPr>
          <w:rFonts w:asciiTheme="majorBidi" w:hAnsiTheme="majorBidi" w:cstheme="majorBidi"/>
          <w:sz w:val="24"/>
          <w:szCs w:val="24"/>
        </w:rPr>
        <w:t xml:space="preserve"> to recruit children and put them on the battlefields by using the slogan “Science and Jihad” in these </w:t>
      </w:r>
      <w:r w:rsidR="00F66B9F" w:rsidRPr="00FA25C4">
        <w:rPr>
          <w:rFonts w:asciiTheme="majorBidi" w:hAnsiTheme="majorBidi" w:cstheme="majorBidi"/>
          <w:sz w:val="24"/>
          <w:szCs w:val="24"/>
        </w:rPr>
        <w:t>centres</w:t>
      </w:r>
      <w:r w:rsidRPr="00FA25C4">
        <w:rPr>
          <w:rFonts w:asciiTheme="majorBidi" w:hAnsiTheme="majorBidi" w:cstheme="majorBidi"/>
          <w:sz w:val="24"/>
          <w:szCs w:val="24"/>
        </w:rPr>
        <w:t xml:space="preserve">. There are about 6,000 </w:t>
      </w:r>
      <w:r w:rsidR="00F66B9F" w:rsidRPr="00FA25C4">
        <w:rPr>
          <w:rFonts w:asciiTheme="majorBidi" w:hAnsiTheme="majorBidi" w:cstheme="majorBidi"/>
          <w:sz w:val="24"/>
          <w:szCs w:val="24"/>
        </w:rPr>
        <w:t>centres</w:t>
      </w:r>
      <w:r w:rsidRPr="00FA25C4">
        <w:rPr>
          <w:rFonts w:asciiTheme="majorBidi" w:hAnsiTheme="majorBidi" w:cstheme="majorBidi"/>
          <w:sz w:val="24"/>
          <w:szCs w:val="24"/>
        </w:rPr>
        <w:t xml:space="preserve"> distributed over the governorates under the control of the Houthis</w:t>
      </w:r>
      <w:r w:rsidRPr="00FA25C4">
        <w:rPr>
          <w:rStyle w:val="FootnoteReference"/>
          <w:rFonts w:asciiTheme="majorBidi" w:hAnsiTheme="majorBidi" w:cstheme="majorBidi"/>
          <w:sz w:val="24"/>
          <w:szCs w:val="24"/>
        </w:rPr>
        <w:footnoteReference w:id="11"/>
      </w:r>
      <w:r w:rsidRPr="00FA25C4">
        <w:rPr>
          <w:rFonts w:asciiTheme="majorBidi" w:hAnsiTheme="majorBidi" w:cstheme="majorBidi"/>
          <w:sz w:val="24"/>
          <w:szCs w:val="24"/>
        </w:rPr>
        <w:t xml:space="preserve"> in order to attract and recruit children. The </w:t>
      </w:r>
      <w:r w:rsidR="00F66B9F" w:rsidRPr="00FA25C4">
        <w:rPr>
          <w:rFonts w:asciiTheme="majorBidi" w:hAnsiTheme="majorBidi" w:cstheme="majorBidi"/>
          <w:sz w:val="24"/>
          <w:szCs w:val="24"/>
        </w:rPr>
        <w:t>centres</w:t>
      </w:r>
      <w:r w:rsidRPr="00FA25C4">
        <w:rPr>
          <w:rFonts w:asciiTheme="majorBidi" w:hAnsiTheme="majorBidi" w:cstheme="majorBidi"/>
          <w:sz w:val="24"/>
          <w:szCs w:val="24"/>
        </w:rPr>
        <w:t xml:space="preserve"> in the capital Sana’a are about 900 summer </w:t>
      </w:r>
      <w:r w:rsidR="00F66B9F" w:rsidRPr="00FA25C4">
        <w:rPr>
          <w:rFonts w:asciiTheme="majorBidi" w:hAnsiTheme="majorBidi" w:cstheme="majorBidi"/>
          <w:sz w:val="24"/>
          <w:szCs w:val="24"/>
        </w:rPr>
        <w:t>centres</w:t>
      </w:r>
      <w:r w:rsidRPr="00FA25C4">
        <w:rPr>
          <w:rFonts w:asciiTheme="majorBidi" w:hAnsiTheme="majorBidi" w:cstheme="majorBidi"/>
          <w:sz w:val="24"/>
          <w:szCs w:val="24"/>
        </w:rPr>
        <w:t xml:space="preserve">, from which the group aims to recruit 35,000 children, while the number of summer </w:t>
      </w:r>
      <w:r w:rsidR="00F66B9F" w:rsidRPr="00FA25C4">
        <w:rPr>
          <w:rFonts w:asciiTheme="majorBidi" w:hAnsiTheme="majorBidi" w:cstheme="majorBidi"/>
          <w:sz w:val="24"/>
          <w:szCs w:val="24"/>
        </w:rPr>
        <w:t>centres</w:t>
      </w:r>
      <w:r w:rsidRPr="00FA25C4">
        <w:rPr>
          <w:rFonts w:asciiTheme="majorBidi" w:hAnsiTheme="majorBidi" w:cstheme="majorBidi"/>
          <w:sz w:val="24"/>
          <w:szCs w:val="24"/>
        </w:rPr>
        <w:t xml:space="preserve"> in Ibb governorate reached about 850 </w:t>
      </w:r>
      <w:r w:rsidR="00F66B9F" w:rsidRPr="00FA25C4">
        <w:rPr>
          <w:rFonts w:asciiTheme="majorBidi" w:hAnsiTheme="majorBidi" w:cstheme="majorBidi"/>
          <w:sz w:val="24"/>
          <w:szCs w:val="24"/>
        </w:rPr>
        <w:t>centres</w:t>
      </w:r>
      <w:r w:rsidRPr="00FA25C4">
        <w:rPr>
          <w:rFonts w:asciiTheme="majorBidi" w:hAnsiTheme="majorBidi" w:cstheme="majorBidi"/>
          <w:sz w:val="24"/>
          <w:szCs w:val="24"/>
        </w:rPr>
        <w:t xml:space="preserve"> distributed over 20 districts. While the number of </w:t>
      </w:r>
      <w:r w:rsidR="00F66B9F" w:rsidRPr="00FA25C4">
        <w:rPr>
          <w:rFonts w:asciiTheme="majorBidi" w:hAnsiTheme="majorBidi" w:cstheme="majorBidi"/>
          <w:sz w:val="24"/>
          <w:szCs w:val="24"/>
        </w:rPr>
        <w:t>centres</w:t>
      </w:r>
      <w:r w:rsidRPr="00FA25C4">
        <w:rPr>
          <w:rFonts w:asciiTheme="majorBidi" w:hAnsiTheme="majorBidi" w:cstheme="majorBidi"/>
          <w:sz w:val="24"/>
          <w:szCs w:val="24"/>
        </w:rPr>
        <w:t xml:space="preserve"> in Dhamar governorate reached 300 </w:t>
      </w:r>
      <w:r w:rsidR="00F66B9F" w:rsidRPr="00FA25C4">
        <w:rPr>
          <w:rFonts w:asciiTheme="majorBidi" w:hAnsiTheme="majorBidi" w:cstheme="majorBidi"/>
          <w:sz w:val="24"/>
          <w:szCs w:val="24"/>
        </w:rPr>
        <w:t>centres</w:t>
      </w:r>
      <w:r w:rsidRPr="00FA25C4">
        <w:rPr>
          <w:rFonts w:asciiTheme="majorBidi" w:hAnsiTheme="majorBidi" w:cstheme="majorBidi"/>
          <w:sz w:val="24"/>
          <w:szCs w:val="24"/>
        </w:rPr>
        <w:t xml:space="preserve"> distributed over 12 districts. The rest of the </w:t>
      </w:r>
      <w:r w:rsidR="00F66B9F" w:rsidRPr="00FA25C4">
        <w:rPr>
          <w:rFonts w:asciiTheme="majorBidi" w:hAnsiTheme="majorBidi" w:cstheme="majorBidi"/>
          <w:sz w:val="24"/>
          <w:szCs w:val="24"/>
        </w:rPr>
        <w:t>centres</w:t>
      </w:r>
      <w:r w:rsidRPr="00FA25C4">
        <w:rPr>
          <w:rFonts w:asciiTheme="majorBidi" w:hAnsiTheme="majorBidi" w:cstheme="majorBidi"/>
          <w:sz w:val="24"/>
          <w:szCs w:val="24"/>
        </w:rPr>
        <w:t xml:space="preserve"> are distributed among the other governorates that fall under the control of the Houthis.</w:t>
      </w:r>
    </w:p>
    <w:p w14:paraId="6C75631B" w14:textId="77777777" w:rsidR="00821173" w:rsidRPr="00FA25C4" w:rsidRDefault="00821173" w:rsidP="00FA25C4">
      <w:pPr>
        <w:ind w:firstLine="720"/>
        <w:jc w:val="both"/>
        <w:rPr>
          <w:rFonts w:asciiTheme="majorBidi" w:hAnsiTheme="majorBidi" w:cstheme="majorBidi"/>
          <w:sz w:val="24"/>
          <w:szCs w:val="24"/>
        </w:rPr>
      </w:pPr>
      <w:r w:rsidRPr="00FA25C4">
        <w:rPr>
          <w:rFonts w:asciiTheme="majorBidi" w:hAnsiTheme="majorBidi" w:cstheme="majorBidi"/>
          <w:sz w:val="24"/>
          <w:szCs w:val="24"/>
        </w:rPr>
        <w:t>Summer camps and cultural courses targeting children are part of the Houthis' strategy to win support for their ideology and encourage people to join the fight</w:t>
      </w:r>
      <w:r w:rsidRPr="00FA25C4">
        <w:rPr>
          <w:rStyle w:val="FootnoteReference"/>
          <w:rFonts w:asciiTheme="majorBidi" w:hAnsiTheme="majorBidi" w:cstheme="majorBidi"/>
          <w:sz w:val="24"/>
          <w:szCs w:val="24"/>
        </w:rPr>
        <w:footnoteReference w:id="12"/>
      </w:r>
      <w:r w:rsidRPr="00FA25C4">
        <w:rPr>
          <w:rFonts w:asciiTheme="majorBidi" w:hAnsiTheme="majorBidi" w:cstheme="majorBidi"/>
          <w:sz w:val="24"/>
          <w:szCs w:val="24"/>
        </w:rPr>
        <w:t>. Some of these children join so that the Houthis do not cut off humanitarian aid or fear intimidation and retaliation.</w:t>
      </w:r>
      <w:r w:rsidRPr="00FA25C4">
        <w:rPr>
          <w:rStyle w:val="FootnoteReference"/>
          <w:rFonts w:asciiTheme="majorBidi" w:hAnsiTheme="majorBidi" w:cstheme="majorBidi"/>
          <w:sz w:val="24"/>
          <w:szCs w:val="24"/>
        </w:rPr>
        <w:footnoteReference w:id="13"/>
      </w:r>
      <w:r w:rsidRPr="00FA25C4">
        <w:rPr>
          <w:rFonts w:asciiTheme="majorBidi" w:hAnsiTheme="majorBidi" w:cstheme="majorBidi"/>
          <w:sz w:val="24"/>
          <w:szCs w:val="24"/>
        </w:rPr>
        <w:t xml:space="preserve"> The Houthis use these summer camps to spread hate speech against certain groups. The supervisors of these camps charge the children with chanting the Houthi slogan "Death to America, death to Israel, screw Jews, victory to Islam."</w:t>
      </w:r>
      <w:r w:rsidRPr="00FA25C4">
        <w:rPr>
          <w:rStyle w:val="FootnoteReference"/>
          <w:rFonts w:asciiTheme="majorBidi" w:hAnsiTheme="majorBidi" w:cstheme="majorBidi"/>
          <w:sz w:val="24"/>
          <w:szCs w:val="24"/>
        </w:rPr>
        <w:footnoteReference w:id="14"/>
      </w:r>
    </w:p>
    <w:p w14:paraId="6E6806D4" w14:textId="01A519D8" w:rsidR="00343C62" w:rsidRPr="00FA25C4" w:rsidRDefault="00343C62" w:rsidP="00FA25C4">
      <w:pPr>
        <w:pStyle w:val="ListParagraph"/>
        <w:numPr>
          <w:ilvl w:val="0"/>
          <w:numId w:val="2"/>
        </w:numPr>
        <w:rPr>
          <w:rFonts w:asciiTheme="majorBidi" w:eastAsia="Calibri" w:hAnsiTheme="majorBidi" w:cstheme="majorBidi"/>
          <w:b/>
          <w:bCs/>
          <w:color w:val="F79646"/>
          <w:sz w:val="24"/>
          <w:szCs w:val="24"/>
          <w:rtl/>
          <w:lang w:val="en-US" w:bidi="ar-EG"/>
        </w:rPr>
      </w:pPr>
      <w:r w:rsidRPr="00FA25C4">
        <w:rPr>
          <w:rFonts w:asciiTheme="majorBidi" w:eastAsia="Calibri" w:hAnsiTheme="majorBidi" w:cstheme="majorBidi"/>
          <w:b/>
          <w:bCs/>
          <w:color w:val="F79646"/>
          <w:sz w:val="24"/>
          <w:szCs w:val="24"/>
          <w:lang w:val="en-US" w:bidi="ar-EG"/>
        </w:rPr>
        <w:t>Recommendations</w:t>
      </w:r>
      <w:r w:rsidR="00FA25C4" w:rsidRPr="00FA25C4">
        <w:rPr>
          <w:rFonts w:asciiTheme="majorBidi" w:eastAsia="Calibri" w:hAnsiTheme="majorBidi" w:cstheme="majorBidi"/>
          <w:b/>
          <w:bCs/>
          <w:color w:val="F79646"/>
          <w:sz w:val="24"/>
          <w:szCs w:val="24"/>
          <w:lang w:val="en-US" w:bidi="ar-EG"/>
        </w:rPr>
        <w:t>:</w:t>
      </w:r>
    </w:p>
    <w:p w14:paraId="27DAF551" w14:textId="77777777" w:rsidR="00343C62" w:rsidRPr="00FA25C4" w:rsidRDefault="00343C62" w:rsidP="00FA25C4">
      <w:pPr>
        <w:ind w:firstLine="426"/>
        <w:jc w:val="both"/>
        <w:rPr>
          <w:rFonts w:asciiTheme="majorBidi" w:eastAsia="Calibri" w:hAnsiTheme="majorBidi" w:cstheme="majorBidi"/>
          <w:sz w:val="24"/>
          <w:szCs w:val="24"/>
          <w:rtl/>
          <w:lang w:val="en-US" w:bidi="ar-EG"/>
        </w:rPr>
      </w:pPr>
      <w:r w:rsidRPr="00FA25C4">
        <w:rPr>
          <w:rFonts w:asciiTheme="majorBidi" w:eastAsia="Calibri" w:hAnsiTheme="majorBidi" w:cstheme="majorBidi"/>
          <w:sz w:val="24"/>
          <w:szCs w:val="24"/>
          <w:lang w:val="en-US" w:bidi="ar-EG"/>
        </w:rPr>
        <w:t>The previous analysis indicates the continuation of the sale and sexual exploitation of children in the Middle East, despite the commitment of the countries of the region to the various s</w:t>
      </w:r>
      <w:r w:rsidR="00A27563" w:rsidRPr="00FA25C4">
        <w:rPr>
          <w:rFonts w:asciiTheme="majorBidi" w:eastAsia="Calibri" w:hAnsiTheme="majorBidi" w:cstheme="majorBidi"/>
          <w:sz w:val="24"/>
          <w:szCs w:val="24"/>
          <w:lang w:val="en-US" w:bidi="ar-EG"/>
        </w:rPr>
        <w:t>ustainable development goals</w:t>
      </w:r>
      <w:r w:rsidRPr="00FA25C4">
        <w:rPr>
          <w:rFonts w:asciiTheme="majorBidi" w:eastAsia="Calibri" w:hAnsiTheme="majorBidi" w:cstheme="majorBidi"/>
          <w:sz w:val="24"/>
          <w:szCs w:val="24"/>
          <w:lang w:val="en-US" w:bidi="ar-EG"/>
        </w:rPr>
        <w:t xml:space="preserve">. However, many factors contributed to the failure to implement the sustainable development goals related to the sale and sexual exploitation of children, including poverty, poor economic conditions, customs, traditions, religious heritage, and armed conflicts. Finally, the Covid-19 </w:t>
      </w:r>
      <w:r w:rsidR="00A27563" w:rsidRPr="00FA25C4">
        <w:rPr>
          <w:rFonts w:asciiTheme="majorBidi" w:eastAsia="Calibri" w:hAnsiTheme="majorBidi" w:cstheme="majorBidi"/>
          <w:sz w:val="24"/>
          <w:szCs w:val="24"/>
          <w:lang w:val="en-US" w:bidi="ar-EG"/>
        </w:rPr>
        <w:t>pandemic</w:t>
      </w:r>
      <w:r w:rsidRPr="00FA25C4">
        <w:rPr>
          <w:rFonts w:asciiTheme="majorBidi" w:eastAsia="Calibri" w:hAnsiTheme="majorBidi" w:cstheme="majorBidi"/>
          <w:sz w:val="24"/>
          <w:szCs w:val="24"/>
          <w:lang w:val="en-US" w:bidi="ar-EG"/>
        </w:rPr>
        <w:t xml:space="preserve"> destroys the remaining efforts to combat child abuse in the Middle East. Therefore, Maat for Peace, Development and Human Rights recommends the Special Rapporteur on the sale and sexual exploitation of children, including child prostitution, child pornography, and other materials related to child sexual abuse:</w:t>
      </w:r>
    </w:p>
    <w:p w14:paraId="1601F979" w14:textId="77777777" w:rsidR="00343C62" w:rsidRPr="00FA25C4" w:rsidRDefault="00343C62" w:rsidP="00FA25C4">
      <w:pPr>
        <w:numPr>
          <w:ilvl w:val="0"/>
          <w:numId w:val="1"/>
        </w:numPr>
        <w:ind w:left="426"/>
        <w:contextualSpacing/>
        <w:jc w:val="both"/>
        <w:rPr>
          <w:rFonts w:asciiTheme="majorBidi" w:eastAsia="Calibri" w:hAnsiTheme="majorBidi" w:cstheme="majorBidi"/>
          <w:sz w:val="24"/>
          <w:szCs w:val="24"/>
          <w:lang w:val="en-US" w:bidi="ar-EG"/>
        </w:rPr>
      </w:pPr>
      <w:r w:rsidRPr="00FA25C4">
        <w:rPr>
          <w:rFonts w:asciiTheme="majorBidi" w:eastAsia="Calibri" w:hAnsiTheme="majorBidi" w:cstheme="majorBidi"/>
          <w:sz w:val="24"/>
          <w:szCs w:val="24"/>
          <w:lang w:val="en-US" w:bidi="ar-EG"/>
        </w:rPr>
        <w:t>The necessity of urging countries in the Middle East to combat wrong cultural customs and traditions and address religious genetics that causes the increase in child marriages and female circumcision.</w:t>
      </w:r>
    </w:p>
    <w:p w14:paraId="64CC50A6" w14:textId="77777777" w:rsidR="00343C62" w:rsidRPr="00FA25C4" w:rsidRDefault="00343C62" w:rsidP="00FA25C4">
      <w:pPr>
        <w:numPr>
          <w:ilvl w:val="0"/>
          <w:numId w:val="1"/>
        </w:numPr>
        <w:ind w:left="426"/>
        <w:contextualSpacing/>
        <w:jc w:val="both"/>
        <w:rPr>
          <w:rFonts w:asciiTheme="majorBidi" w:eastAsia="Calibri" w:hAnsiTheme="majorBidi" w:cstheme="majorBidi"/>
          <w:sz w:val="24"/>
          <w:szCs w:val="24"/>
          <w:lang w:val="en-US" w:bidi="ar-EG"/>
        </w:rPr>
      </w:pPr>
      <w:r w:rsidRPr="00FA25C4">
        <w:rPr>
          <w:rFonts w:asciiTheme="majorBidi" w:eastAsia="Calibri" w:hAnsiTheme="majorBidi" w:cstheme="majorBidi"/>
          <w:sz w:val="24"/>
          <w:szCs w:val="24"/>
          <w:lang w:val="en-US" w:bidi="ar-EG"/>
        </w:rPr>
        <w:t>The necessity of combating child labor and the phenomena associated with it, such as the spread of poverty and the poor economic conditions that push children to work.</w:t>
      </w:r>
    </w:p>
    <w:p w14:paraId="0D3EEB44" w14:textId="77777777" w:rsidR="00454A61" w:rsidRPr="00FA25C4" w:rsidRDefault="00343C62" w:rsidP="00FA25C4">
      <w:pPr>
        <w:numPr>
          <w:ilvl w:val="0"/>
          <w:numId w:val="1"/>
        </w:numPr>
        <w:ind w:left="426"/>
        <w:contextualSpacing/>
        <w:jc w:val="both"/>
        <w:rPr>
          <w:rFonts w:asciiTheme="majorBidi" w:eastAsia="Calibri" w:hAnsiTheme="majorBidi" w:cstheme="majorBidi"/>
          <w:sz w:val="24"/>
          <w:szCs w:val="24"/>
          <w:lang w:val="en-US" w:bidi="ar-EG"/>
        </w:rPr>
      </w:pPr>
      <w:r w:rsidRPr="00FA25C4">
        <w:rPr>
          <w:rFonts w:asciiTheme="majorBidi" w:eastAsia="Calibri" w:hAnsiTheme="majorBidi" w:cstheme="majorBidi"/>
          <w:sz w:val="24"/>
          <w:szCs w:val="24"/>
          <w:lang w:val="en-US" w:bidi="ar-EG"/>
        </w:rPr>
        <w:t>The need to reduce the recruitment of children in armed conflicts while urging the international community to impose sanctions on militia leaders involved in child recruitment</w:t>
      </w:r>
      <w:r w:rsidRPr="00FA25C4">
        <w:rPr>
          <w:rFonts w:asciiTheme="majorBidi" w:eastAsia="Calibri" w:hAnsiTheme="majorBidi" w:cstheme="majorBidi"/>
          <w:sz w:val="24"/>
          <w:szCs w:val="24"/>
          <w:rtl/>
          <w:lang w:val="en-US" w:bidi="ar-EG"/>
        </w:rPr>
        <w:t>.</w:t>
      </w:r>
    </w:p>
    <w:sectPr w:rsidR="00454A61" w:rsidRPr="00FA25C4" w:rsidSect="006B714E">
      <w:headerReference w:type="default" r:id="rId7"/>
      <w:footerReference w:type="default" r:id="rId8"/>
      <w:headerReference w:type="first" r:id="rId9"/>
      <w:footerReference w:type="first" r:id="rId10"/>
      <w:pgSz w:w="11907" w:h="16840" w:code="9"/>
      <w:pgMar w:top="1134" w:right="992" w:bottom="567" w:left="99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2E1D0" w14:textId="77777777" w:rsidR="007D08EE" w:rsidRDefault="007D08EE" w:rsidP="00343C62">
      <w:pPr>
        <w:spacing w:after="0" w:line="240" w:lineRule="auto"/>
      </w:pPr>
      <w:r>
        <w:separator/>
      </w:r>
    </w:p>
  </w:endnote>
  <w:endnote w:type="continuationSeparator" w:id="0">
    <w:p w14:paraId="130AAFEB" w14:textId="77777777" w:rsidR="007D08EE" w:rsidRDefault="007D08EE" w:rsidP="0034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charset w:val="00"/>
    <w:family w:val="auto"/>
    <w:pitch w:val="variable"/>
    <w:sig w:usb0="00000000"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605283"/>
      <w:docPartObj>
        <w:docPartGallery w:val="Page Numbers (Bottom of Page)"/>
        <w:docPartUnique/>
      </w:docPartObj>
    </w:sdtPr>
    <w:sdtEndPr>
      <w:rPr>
        <w:noProof/>
      </w:rPr>
    </w:sdtEndPr>
    <w:sdtContent>
      <w:p w14:paraId="4ECC0056" w14:textId="37205777" w:rsidR="005E0A46" w:rsidRDefault="000B72A7">
        <w:pPr>
          <w:pStyle w:val="Footer"/>
          <w:jc w:val="center"/>
        </w:pPr>
        <w:r w:rsidRPr="006B714E">
          <w:rPr>
            <w:b/>
            <w:bCs/>
            <w:noProof/>
            <w:lang w:eastAsia="en-GB"/>
          </w:rPr>
          <w:drawing>
            <wp:anchor distT="0" distB="0" distL="114300" distR="114300" simplePos="0" relativeHeight="251660288" behindDoc="1" locked="0" layoutInCell="1" allowOverlap="1" wp14:anchorId="738AA185" wp14:editId="28635557">
              <wp:simplePos x="0" y="0"/>
              <wp:positionH relativeFrom="page">
                <wp:posOffset>20320</wp:posOffset>
              </wp:positionH>
              <wp:positionV relativeFrom="paragraph">
                <wp:posOffset>231140</wp:posOffset>
              </wp:positionV>
              <wp:extent cx="7743825" cy="670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1" cstate="print">
                        <a:extLst>
                          <a:ext uri="{28A0092B-C50C-407E-A947-70E740481C1C}">
                            <a14:useLocalDpi xmlns:a14="http://schemas.microsoft.com/office/drawing/2010/main" val="0"/>
                          </a:ext>
                        </a:extLst>
                      </a:blip>
                      <a:srcRect l="3247" t="96152" r="-3247" b="-2793"/>
                      <a:stretch/>
                    </pic:blipFill>
                    <pic:spPr bwMode="auto">
                      <a:xfrm>
                        <a:off x="0" y="0"/>
                        <a:ext cx="77438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714E">
          <w:rPr>
            <w:b/>
            <w:bCs/>
          </w:rPr>
          <w:fldChar w:fldCharType="begin"/>
        </w:r>
        <w:r w:rsidRPr="006B714E">
          <w:rPr>
            <w:b/>
            <w:bCs/>
          </w:rPr>
          <w:instrText xml:space="preserve"> PAGE   \* MERGEFORMAT </w:instrText>
        </w:r>
        <w:r w:rsidRPr="006B714E">
          <w:rPr>
            <w:b/>
            <w:bCs/>
          </w:rPr>
          <w:fldChar w:fldCharType="separate"/>
        </w:r>
        <w:r w:rsidR="00814A08">
          <w:rPr>
            <w:b/>
            <w:bCs/>
            <w:noProof/>
          </w:rPr>
          <w:t>2</w:t>
        </w:r>
        <w:r w:rsidRPr="006B714E">
          <w:rPr>
            <w:b/>
            <w:bCs/>
            <w:noProof/>
          </w:rPr>
          <w:fldChar w:fldCharType="end"/>
        </w:r>
      </w:p>
    </w:sdtContent>
  </w:sdt>
  <w:p w14:paraId="0335C27B" w14:textId="77777777" w:rsidR="00AC72CC" w:rsidRDefault="00814A0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4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6"/>
      <w:gridCol w:w="601"/>
      <w:gridCol w:w="1353"/>
      <w:gridCol w:w="568"/>
      <w:gridCol w:w="1921"/>
      <w:gridCol w:w="436"/>
      <w:gridCol w:w="4529"/>
    </w:tblGrid>
    <w:tr w:rsidR="006B714E" w14:paraId="01DE2F4A" w14:textId="77777777" w:rsidTr="0036671B">
      <w:trPr>
        <w:jc w:val="center"/>
      </w:trPr>
      <w:tc>
        <w:tcPr>
          <w:tcW w:w="646" w:type="pct"/>
          <w:vMerge w:val="restart"/>
          <w:vAlign w:val="center"/>
        </w:tcPr>
        <w:p w14:paraId="297D13E0" w14:textId="77777777" w:rsidR="006B714E" w:rsidRDefault="000B72A7" w:rsidP="006B714E">
          <w:pPr>
            <w:spacing w:after="60"/>
            <w:jc w:val="center"/>
            <w:rPr>
              <w:noProof/>
              <w:rtl/>
            </w:rPr>
          </w:pPr>
          <w:r>
            <w:rPr>
              <w:rFonts w:hint="cs"/>
              <w:noProof/>
              <w:lang w:eastAsia="en-GB"/>
            </w:rPr>
            <w:drawing>
              <wp:inline distT="0" distB="0" distL="0" distR="0" wp14:anchorId="44C6EB12" wp14:editId="1E34E443">
                <wp:extent cx="721378" cy="560173"/>
                <wp:effectExtent l="0" t="0" r="2540"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6"/>
        </w:tcPr>
        <w:p w14:paraId="3E70445A" w14:textId="77777777" w:rsidR="006B714E" w:rsidRDefault="00814A08" w:rsidP="006B714E">
          <w:pPr>
            <w:spacing w:after="60"/>
            <w:rPr>
              <w:rFonts w:ascii="Times New Roman" w:hAnsi="Times New Roman" w:cs="Times New Roman"/>
              <w:b/>
              <w:bCs/>
              <w:color w:val="000066"/>
              <w:sz w:val="20"/>
              <w:szCs w:val="20"/>
            </w:rPr>
          </w:pPr>
        </w:p>
        <w:p w14:paraId="73FB1193" w14:textId="77777777" w:rsidR="006B714E" w:rsidRPr="00EB74DC" w:rsidRDefault="000B72A7" w:rsidP="006B714E">
          <w:pPr>
            <w:spacing w:after="60"/>
            <w:jc w:val="center"/>
            <w:rPr>
              <w:rFonts w:ascii="Times New Roman" w:hAnsi="Times New Roman" w:cs="Times New Roman"/>
              <w:b/>
              <w:bCs/>
              <w:color w:val="3333FF"/>
              <w:sz w:val="20"/>
              <w:szCs w:val="20"/>
            </w:rPr>
          </w:pPr>
          <w:r w:rsidRPr="00EB74DC">
            <w:rPr>
              <w:rFonts w:ascii="Times New Roman" w:hAnsi="Times New Roman" w:cs="Times New Roman"/>
              <w:b/>
              <w:bCs/>
              <w:color w:val="3333FF"/>
              <w:sz w:val="20"/>
              <w:szCs w:val="20"/>
            </w:rPr>
            <w:t>Organization in special consultative status with the Economic and Social Council since 2016</w:t>
          </w:r>
        </w:p>
      </w:tc>
    </w:tr>
    <w:tr w:rsidR="006B714E" w14:paraId="239E5B57" w14:textId="77777777" w:rsidTr="0036671B">
      <w:trPr>
        <w:jc w:val="center"/>
      </w:trPr>
      <w:tc>
        <w:tcPr>
          <w:tcW w:w="646" w:type="pct"/>
          <w:vMerge/>
        </w:tcPr>
        <w:p w14:paraId="43C8D92A" w14:textId="77777777" w:rsidR="006B714E" w:rsidRDefault="00814A08" w:rsidP="006B714E">
          <w:pPr>
            <w:jc w:val="center"/>
            <w:rPr>
              <w:b/>
              <w:bCs/>
              <w:noProof/>
              <w:lang w:bidi="ar-EG"/>
            </w:rPr>
          </w:pPr>
        </w:p>
      </w:tc>
      <w:tc>
        <w:tcPr>
          <w:tcW w:w="278" w:type="pct"/>
          <w:vMerge w:val="restart"/>
          <w:vAlign w:val="center"/>
        </w:tcPr>
        <w:p w14:paraId="0B3FEB58" w14:textId="77777777" w:rsidR="006B714E" w:rsidRPr="000F15D5" w:rsidRDefault="000B72A7" w:rsidP="006B714E">
          <w:pPr>
            <w:jc w:val="center"/>
            <w:rPr>
              <w:b/>
              <w:bCs/>
              <w:lang w:bidi="ar-EG"/>
            </w:rPr>
          </w:pPr>
          <w:r>
            <w:rPr>
              <w:b/>
              <w:bCs/>
              <w:noProof/>
              <w:lang w:eastAsia="en-GB"/>
            </w:rPr>
            <w:drawing>
              <wp:inline distT="0" distB="0" distL="0" distR="0" wp14:anchorId="6E25A632" wp14:editId="3565AD6C">
                <wp:extent cx="113208" cy="180000"/>
                <wp:effectExtent l="0" t="0" r="1270" b="0"/>
                <wp:docPr id="5"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76" w:type="pct"/>
          <w:gridSpan w:val="5"/>
          <w:vAlign w:val="center"/>
        </w:tcPr>
        <w:p w14:paraId="2E34333C" w14:textId="77777777" w:rsidR="006B714E" w:rsidRPr="00343C62" w:rsidRDefault="000B72A7" w:rsidP="006B714E">
          <w:pPr>
            <w:ind w:left="-57"/>
            <w:rPr>
              <w:rFonts w:ascii="Times New Roman" w:hAnsi="Times New Roman" w:cs="Times New Roman"/>
              <w:color w:val="000000"/>
              <w:sz w:val="18"/>
              <w:szCs w:val="18"/>
              <w:shd w:val="clear" w:color="auto" w:fill="FFFFFF"/>
            </w:rPr>
          </w:pPr>
          <w:r w:rsidRPr="00343C62">
            <w:rPr>
              <w:rFonts w:ascii="Times New Roman" w:eastAsia="Times New Roman" w:hAnsi="Times New Roman" w:cs="Times New Roman"/>
              <w:b/>
              <w:bCs/>
              <w:color w:val="000000"/>
              <w:sz w:val="18"/>
              <w:szCs w:val="18"/>
            </w:rPr>
            <w:t>Headquarters</w:t>
          </w:r>
          <w:r w:rsidRPr="00343C62">
            <w:rPr>
              <w:rFonts w:ascii="Times New Roman" w:eastAsia="Times New Roman" w:hAnsi="Times New Roman" w:cs="Times New Roman"/>
              <w:color w:val="000000"/>
              <w:sz w:val="18"/>
              <w:szCs w:val="18"/>
            </w:rPr>
            <w:t>:148 Misr Helwan El-Zyrae Road, El Matbaa</w:t>
          </w:r>
          <w:r w:rsidRPr="00343C62">
            <w:rPr>
              <w:rFonts w:ascii="Times New Roman" w:eastAsia="Times New Roman" w:hAnsi="Times New Roman" w:cs="Times New Roman"/>
              <w:color w:val="000000"/>
              <w:sz w:val="18"/>
              <w:szCs w:val="18"/>
              <w:rtl/>
            </w:rPr>
            <w:t xml:space="preserve"> </w:t>
          </w:r>
          <w:r w:rsidRPr="00343C62">
            <w:rPr>
              <w:rFonts w:ascii="Times New Roman" w:eastAsia="Times New Roman" w:hAnsi="Times New Roman" w:cs="Times New Roman"/>
              <w:color w:val="000000"/>
              <w:sz w:val="18"/>
              <w:szCs w:val="18"/>
            </w:rPr>
            <w:t>Sq, Hadayek El Maadi, 4</w:t>
          </w:r>
          <w:r w:rsidRPr="00343C62">
            <w:rPr>
              <w:rFonts w:ascii="Times New Roman" w:eastAsia="Times New Roman" w:hAnsi="Times New Roman" w:cs="Times New Roman"/>
              <w:color w:val="000000"/>
              <w:sz w:val="18"/>
              <w:szCs w:val="18"/>
              <w:vertAlign w:val="superscript"/>
            </w:rPr>
            <w:t>th</w:t>
          </w:r>
          <w:r w:rsidRPr="00343C62">
            <w:rPr>
              <w:rFonts w:ascii="Times New Roman" w:eastAsia="Times New Roman" w:hAnsi="Times New Roman" w:cs="Times New Roman"/>
              <w:color w:val="000000"/>
              <w:sz w:val="18"/>
              <w:szCs w:val="18"/>
            </w:rPr>
            <w:t xml:space="preserve"> Floor, No 41, Cairo, Egypt</w:t>
          </w:r>
          <w:r w:rsidRPr="00343C62">
            <w:rPr>
              <w:rFonts w:ascii="Times New Roman" w:eastAsia="Times New Roman" w:hAnsi="Times New Roman" w:cs="Times New Roman"/>
              <w:color w:val="FF0000"/>
              <w:sz w:val="18"/>
              <w:szCs w:val="18"/>
            </w:rPr>
            <w:t xml:space="preserve"> </w:t>
          </w:r>
        </w:p>
      </w:tc>
    </w:tr>
    <w:tr w:rsidR="006B714E" w14:paraId="36EE2289" w14:textId="77777777" w:rsidTr="0036671B">
      <w:trPr>
        <w:jc w:val="center"/>
      </w:trPr>
      <w:tc>
        <w:tcPr>
          <w:tcW w:w="646" w:type="pct"/>
          <w:vMerge/>
        </w:tcPr>
        <w:p w14:paraId="0D22EA95" w14:textId="77777777" w:rsidR="006B714E" w:rsidRDefault="00814A08" w:rsidP="006B714E">
          <w:pPr>
            <w:jc w:val="center"/>
            <w:rPr>
              <w:lang w:bidi="ar-EG"/>
            </w:rPr>
          </w:pPr>
        </w:p>
      </w:tc>
      <w:tc>
        <w:tcPr>
          <w:tcW w:w="278" w:type="pct"/>
          <w:vMerge/>
          <w:vAlign w:val="center"/>
        </w:tcPr>
        <w:p w14:paraId="0F8DFEAB" w14:textId="77777777" w:rsidR="006B714E" w:rsidRDefault="00814A08" w:rsidP="006B714E">
          <w:pPr>
            <w:jc w:val="center"/>
            <w:rPr>
              <w:lang w:bidi="ar-EG"/>
            </w:rPr>
          </w:pPr>
        </w:p>
      </w:tc>
      <w:tc>
        <w:tcPr>
          <w:tcW w:w="4076" w:type="pct"/>
          <w:gridSpan w:val="5"/>
          <w:vAlign w:val="center"/>
        </w:tcPr>
        <w:p w14:paraId="556FA3DC" w14:textId="77777777" w:rsidR="006B714E" w:rsidRPr="00343C62" w:rsidRDefault="000B72A7" w:rsidP="006B714E">
          <w:pPr>
            <w:rPr>
              <w:rFonts w:ascii="Times New Roman" w:hAnsi="Times New Roman" w:cs="Times New Roman"/>
              <w:color w:val="000000"/>
              <w:sz w:val="18"/>
              <w:szCs w:val="18"/>
              <w:shd w:val="clear" w:color="auto" w:fill="FFFFFF"/>
            </w:rPr>
          </w:pPr>
          <w:r w:rsidRPr="00343C62">
            <w:rPr>
              <w:rFonts w:ascii="Times New Roman" w:hAnsi="Times New Roman" w:cs="Times New Roman"/>
              <w:b/>
              <w:bCs/>
              <w:color w:val="000000"/>
              <w:sz w:val="18"/>
              <w:szCs w:val="18"/>
              <w:shd w:val="clear" w:color="auto" w:fill="FFFFFF"/>
            </w:rPr>
            <w:t>Maat Training Center</w:t>
          </w:r>
          <w:r w:rsidRPr="00343C62">
            <w:rPr>
              <w:rFonts w:ascii="Times New Roman" w:hAnsi="Times New Roman" w:cs="Times New Roman"/>
              <w:color w:val="000000"/>
              <w:sz w:val="18"/>
              <w:szCs w:val="18"/>
              <w:shd w:val="clear" w:color="auto" w:fill="FFFFFF"/>
            </w:rPr>
            <w:t>: 380 Corniche El Nil St., Gawharet El Maadi Tower,38th Floor, Tower B, Cairo, Egypt</w:t>
          </w:r>
        </w:p>
      </w:tc>
    </w:tr>
    <w:tr w:rsidR="006B714E" w14:paraId="49BB6FF3" w14:textId="77777777" w:rsidTr="0036671B">
      <w:trPr>
        <w:jc w:val="center"/>
      </w:trPr>
      <w:tc>
        <w:tcPr>
          <w:tcW w:w="646" w:type="pct"/>
          <w:vMerge/>
        </w:tcPr>
        <w:p w14:paraId="68AFC605" w14:textId="77777777" w:rsidR="006B714E" w:rsidRDefault="00814A08" w:rsidP="006B714E">
          <w:pPr>
            <w:jc w:val="center"/>
            <w:rPr>
              <w:noProof/>
              <w:lang w:bidi="ar-EG"/>
            </w:rPr>
          </w:pPr>
        </w:p>
      </w:tc>
      <w:tc>
        <w:tcPr>
          <w:tcW w:w="278" w:type="pct"/>
          <w:vAlign w:val="center"/>
        </w:tcPr>
        <w:p w14:paraId="3A4CAF5E" w14:textId="77777777" w:rsidR="006B714E" w:rsidRDefault="000B72A7" w:rsidP="006B714E">
          <w:pPr>
            <w:jc w:val="center"/>
            <w:rPr>
              <w:lang w:bidi="ar-EG"/>
            </w:rPr>
          </w:pPr>
          <w:r>
            <w:rPr>
              <w:noProof/>
              <w:lang w:eastAsia="en-GB"/>
            </w:rPr>
            <w:drawing>
              <wp:inline distT="0" distB="0" distL="0" distR="0" wp14:anchorId="18BAD962" wp14:editId="53325393">
                <wp:extent cx="178378" cy="180000"/>
                <wp:effectExtent l="0" t="0" r="0" b="0"/>
                <wp:docPr id="6"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6" w:type="pct"/>
          <w:vAlign w:val="center"/>
        </w:tcPr>
        <w:p w14:paraId="2AF08529" w14:textId="77777777" w:rsidR="006B714E" w:rsidRPr="000F15D5" w:rsidRDefault="000B72A7" w:rsidP="006B714E">
          <w:pPr>
            <w:rPr>
              <w:sz w:val="18"/>
              <w:szCs w:val="18"/>
              <w:lang w:bidi="ar-EG"/>
            </w:rPr>
          </w:pPr>
          <w:r w:rsidRPr="000F15D5">
            <w:rPr>
              <w:rFonts w:ascii="Tahoma" w:hAnsi="Tahoma" w:cs="Tahoma"/>
              <w:color w:val="000000"/>
              <w:sz w:val="18"/>
              <w:szCs w:val="18"/>
              <w:shd w:val="clear" w:color="auto" w:fill="FFFFFF"/>
            </w:rPr>
            <w:t>490 El Maadi</w:t>
          </w:r>
          <w:r w:rsidRPr="000F15D5">
            <w:rPr>
              <w:sz w:val="18"/>
              <w:szCs w:val="18"/>
              <w:lang w:bidi="ar-EG"/>
            </w:rPr>
            <w:t xml:space="preserve"> </w:t>
          </w:r>
        </w:p>
      </w:tc>
      <w:tc>
        <w:tcPr>
          <w:tcW w:w="1152" w:type="pct"/>
          <w:gridSpan w:val="2"/>
          <w:vAlign w:val="center"/>
        </w:tcPr>
        <w:p w14:paraId="683151D4" w14:textId="77777777" w:rsidR="006B714E" w:rsidRPr="000F15D5" w:rsidRDefault="000B72A7" w:rsidP="006B714E">
          <w:pPr>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02" w:type="pct"/>
          <w:vAlign w:val="center"/>
        </w:tcPr>
        <w:p w14:paraId="471D2D59" w14:textId="77777777" w:rsidR="006B714E" w:rsidRPr="00A20672" w:rsidRDefault="000B72A7" w:rsidP="006B714E">
          <w:pPr>
            <w:rPr>
              <w:b/>
              <w:bCs/>
              <w:sz w:val="18"/>
              <w:szCs w:val="18"/>
              <w:lang w:bidi="ar-EG"/>
            </w:rPr>
          </w:pPr>
          <w:r>
            <w:rPr>
              <w:b/>
              <w:bCs/>
              <w:noProof/>
              <w:sz w:val="18"/>
              <w:szCs w:val="18"/>
              <w:lang w:eastAsia="en-GB"/>
            </w:rPr>
            <w:drawing>
              <wp:inline distT="0" distB="0" distL="0" distR="0" wp14:anchorId="4CBD1979" wp14:editId="0D872674">
                <wp:extent cx="185455" cy="180000"/>
                <wp:effectExtent l="0" t="0" r="5080" b="0"/>
                <wp:docPr id="7"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096" w:type="pct"/>
          <w:vAlign w:val="center"/>
        </w:tcPr>
        <w:p w14:paraId="4561886C" w14:textId="77777777" w:rsidR="006B714E" w:rsidRPr="000F15D5" w:rsidRDefault="000B72A7" w:rsidP="006B714E">
          <w:pPr>
            <w:rPr>
              <w:sz w:val="18"/>
              <w:szCs w:val="18"/>
              <w:lang w:bidi="ar-EG"/>
            </w:rPr>
          </w:pPr>
          <w:r w:rsidRPr="0086433E">
            <w:rPr>
              <w:rStyle w:val="apple-style-span"/>
              <w:color w:val="000000"/>
              <w:sz w:val="20"/>
              <w:szCs w:val="20"/>
            </w:rPr>
            <w:t>maat@maatpeace.org</w:t>
          </w:r>
        </w:p>
      </w:tc>
    </w:tr>
    <w:tr w:rsidR="006B714E" w14:paraId="6CCA2F1E" w14:textId="77777777" w:rsidTr="0036671B">
      <w:trPr>
        <w:jc w:val="center"/>
      </w:trPr>
      <w:tc>
        <w:tcPr>
          <w:tcW w:w="646" w:type="pct"/>
          <w:vMerge/>
        </w:tcPr>
        <w:p w14:paraId="36C29984" w14:textId="77777777" w:rsidR="006B714E" w:rsidRDefault="00814A08" w:rsidP="006B714E">
          <w:pPr>
            <w:jc w:val="center"/>
            <w:rPr>
              <w:noProof/>
              <w:lang w:bidi="ar-EG"/>
            </w:rPr>
          </w:pPr>
        </w:p>
      </w:tc>
      <w:tc>
        <w:tcPr>
          <w:tcW w:w="278" w:type="pct"/>
          <w:vAlign w:val="center"/>
        </w:tcPr>
        <w:p w14:paraId="6288276E" w14:textId="77777777" w:rsidR="006B714E" w:rsidRDefault="000B72A7" w:rsidP="006B714E">
          <w:pPr>
            <w:jc w:val="center"/>
            <w:rPr>
              <w:noProof/>
              <w:lang w:bidi="ar-EG"/>
            </w:rPr>
          </w:pPr>
          <w:r>
            <w:rPr>
              <w:noProof/>
              <w:lang w:eastAsia="en-GB"/>
            </w:rPr>
            <w:drawing>
              <wp:inline distT="0" distB="0" distL="0" distR="0" wp14:anchorId="14DAEE69" wp14:editId="2DF8E373">
                <wp:extent cx="178378" cy="180000"/>
                <wp:effectExtent l="0" t="0" r="0" b="0"/>
                <wp:docPr id="8"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889" w:type="pct"/>
          <w:gridSpan w:val="2"/>
          <w:vAlign w:val="center"/>
        </w:tcPr>
        <w:p w14:paraId="1C5D95EF" w14:textId="77777777" w:rsidR="006B714E" w:rsidRPr="00DE0507" w:rsidRDefault="000B72A7" w:rsidP="006B714E">
          <w:pPr>
            <w:rPr>
              <w:rFonts w:ascii="Tahoma" w:hAnsi="Tahoma" w:cs="Tahoma"/>
              <w:color w:val="000000"/>
              <w:sz w:val="18"/>
              <w:szCs w:val="18"/>
              <w:shd w:val="clear" w:color="auto" w:fill="FFFFFF"/>
            </w:rPr>
          </w:pPr>
          <w:r w:rsidRPr="00DE0507">
            <w:rPr>
              <w:rStyle w:val="apple-style-span"/>
              <w:color w:val="000000"/>
              <w:sz w:val="18"/>
              <w:szCs w:val="18"/>
            </w:rPr>
            <w:t xml:space="preserve">00(20) (2) </w:t>
          </w:r>
          <w:r w:rsidRPr="00DE0507">
            <w:rPr>
              <w:rStyle w:val="apple-style-span"/>
              <w:b/>
              <w:bCs/>
              <w:color w:val="000000"/>
              <w:sz w:val="18"/>
              <w:szCs w:val="18"/>
            </w:rPr>
            <w:t>25266026</w:t>
          </w:r>
        </w:p>
      </w:tc>
      <w:tc>
        <w:tcPr>
          <w:tcW w:w="889" w:type="pct"/>
          <w:vAlign w:val="center"/>
        </w:tcPr>
        <w:p w14:paraId="4D4DA5AD" w14:textId="77777777" w:rsidR="006B714E" w:rsidRPr="00DE0507" w:rsidRDefault="000B72A7" w:rsidP="006B714E">
          <w:pPr>
            <w:rPr>
              <w:noProof/>
              <w:sz w:val="18"/>
              <w:szCs w:val="18"/>
              <w:lang w:bidi="ar-EG"/>
            </w:rPr>
          </w:pPr>
          <w:r w:rsidRPr="00DE0507">
            <w:rPr>
              <w:rStyle w:val="apple-style-span"/>
              <w:color w:val="000000"/>
              <w:sz w:val="18"/>
              <w:szCs w:val="18"/>
            </w:rPr>
            <w:t xml:space="preserve">00(20) (2) </w:t>
          </w:r>
          <w:r w:rsidRPr="00DE0507">
            <w:rPr>
              <w:rStyle w:val="apple-style-span"/>
              <w:b/>
              <w:bCs/>
              <w:color w:val="000000"/>
              <w:sz w:val="18"/>
              <w:szCs w:val="18"/>
            </w:rPr>
            <w:t>25266019</w:t>
          </w:r>
        </w:p>
      </w:tc>
      <w:tc>
        <w:tcPr>
          <w:tcW w:w="202" w:type="pct"/>
          <w:vAlign w:val="center"/>
        </w:tcPr>
        <w:p w14:paraId="36D9AC00" w14:textId="77777777" w:rsidR="006B714E" w:rsidRDefault="000B72A7" w:rsidP="006B714E">
          <w:pPr>
            <w:rPr>
              <w:b/>
              <w:bCs/>
              <w:noProof/>
              <w:sz w:val="18"/>
              <w:szCs w:val="18"/>
              <w:lang w:bidi="ar-EG"/>
            </w:rPr>
          </w:pPr>
          <w:r w:rsidRPr="00343C62">
            <w:rPr>
              <w:rFonts w:ascii="Times New Roman" w:hAnsi="Times New Roman" w:cs="Times New Roman"/>
              <w:b/>
              <w:bCs/>
              <w:noProof/>
              <w:color w:val="000000"/>
              <w:sz w:val="18"/>
              <w:szCs w:val="18"/>
              <w:shd w:val="clear" w:color="auto" w:fill="FFFFFF"/>
              <w:lang w:eastAsia="en-GB"/>
            </w:rPr>
            <w:drawing>
              <wp:inline distT="0" distB="0" distL="0" distR="0" wp14:anchorId="403A7A2F" wp14:editId="1E6E3AE3">
                <wp:extent cx="100547" cy="180000"/>
                <wp:effectExtent l="0" t="0" r="0" b="0"/>
                <wp:docPr id="9"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096" w:type="pct"/>
          <w:vAlign w:val="center"/>
        </w:tcPr>
        <w:p w14:paraId="57A840C8" w14:textId="77777777" w:rsidR="006B714E" w:rsidRPr="0086433E" w:rsidRDefault="000B72A7" w:rsidP="006B714E">
          <w:pPr>
            <w:rPr>
              <w:rStyle w:val="apple-style-span"/>
              <w:color w:val="000000"/>
              <w:sz w:val="20"/>
              <w:szCs w:val="20"/>
            </w:rPr>
          </w:pPr>
          <w:r w:rsidRPr="00343C62">
            <w:rPr>
              <w:rStyle w:val="apple-style-span"/>
              <w:b/>
              <w:bCs/>
              <w:color w:val="000000"/>
              <w:sz w:val="18"/>
              <w:szCs w:val="18"/>
            </w:rPr>
            <w:t>+201226521170</w:t>
          </w:r>
        </w:p>
      </w:tc>
    </w:tr>
  </w:tbl>
  <w:p w14:paraId="237E7268" w14:textId="77777777" w:rsidR="006B714E" w:rsidRPr="00DE0507" w:rsidRDefault="000B72A7" w:rsidP="006B714E">
    <w:pPr>
      <w:pStyle w:val="Footer"/>
      <w:rPr>
        <w:sz w:val="2"/>
        <w:szCs w:val="2"/>
      </w:rPr>
    </w:pPr>
    <w:r>
      <w:rPr>
        <w:noProof/>
        <w:lang w:eastAsia="en-GB"/>
      </w:rPr>
      <w:drawing>
        <wp:anchor distT="0" distB="0" distL="114300" distR="114300" simplePos="0" relativeHeight="251659264" behindDoc="0" locked="0" layoutInCell="1" allowOverlap="1" wp14:anchorId="05D5D9D4" wp14:editId="781258CD">
          <wp:simplePos x="0" y="0"/>
          <wp:positionH relativeFrom="page">
            <wp:posOffset>60896</wp:posOffset>
          </wp:positionH>
          <wp:positionV relativeFrom="paragraph">
            <wp:posOffset>-1053465</wp:posOffset>
          </wp:positionV>
          <wp:extent cx="7726693" cy="185531"/>
          <wp:effectExtent l="0" t="0" r="0" b="508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7" cstate="print">
                    <a:extLst>
                      <a:ext uri="{28A0092B-C50C-407E-A947-70E740481C1C}">
                        <a14:useLocalDpi xmlns:a14="http://schemas.microsoft.com/office/drawing/2010/main" val="0"/>
                      </a:ext>
                    </a:extLst>
                  </a:blip>
                  <a:srcRect l="3247" t="96152" r="-3247" b="2006"/>
                  <a:stretch/>
                </pic:blipFill>
                <pic:spPr bwMode="auto">
                  <a:xfrm>
                    <a:off x="0" y="0"/>
                    <a:ext cx="7726693" cy="1855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4B402" w14:textId="77777777" w:rsidR="007D08EE" w:rsidRDefault="007D08EE" w:rsidP="00343C62">
      <w:pPr>
        <w:spacing w:after="0" w:line="240" w:lineRule="auto"/>
      </w:pPr>
      <w:r>
        <w:separator/>
      </w:r>
    </w:p>
  </w:footnote>
  <w:footnote w:type="continuationSeparator" w:id="0">
    <w:p w14:paraId="333029C0" w14:textId="77777777" w:rsidR="007D08EE" w:rsidRDefault="007D08EE" w:rsidP="00343C62">
      <w:pPr>
        <w:spacing w:after="0" w:line="240" w:lineRule="auto"/>
      </w:pPr>
      <w:r>
        <w:continuationSeparator/>
      </w:r>
    </w:p>
  </w:footnote>
  <w:footnote w:id="1">
    <w:p w14:paraId="72E5B8EA" w14:textId="77777777" w:rsidR="00343C62" w:rsidRPr="009C6E93" w:rsidRDefault="00343C62" w:rsidP="00343C62">
      <w:pPr>
        <w:pStyle w:val="FootnoteText"/>
        <w:bidi/>
        <w:rPr>
          <w:rtl/>
          <w:lang w:bidi="ar-EG"/>
        </w:rPr>
      </w:pPr>
      <w:r>
        <w:rPr>
          <w:rStyle w:val="FootnoteReference"/>
        </w:rPr>
        <w:footnoteRef/>
      </w:r>
      <w:r>
        <w:rPr>
          <w:rtl/>
        </w:rPr>
        <w:t xml:space="preserve"> </w:t>
      </w:r>
      <w:r>
        <w:rPr>
          <w:rFonts w:cs="Arial" w:hint="cs"/>
          <w:rtl/>
          <w:lang w:bidi="ar-EG"/>
        </w:rPr>
        <w:t>حماية</w:t>
      </w:r>
      <w:r>
        <w:rPr>
          <w:rFonts w:cs="Arial"/>
          <w:rtl/>
          <w:lang w:bidi="ar-EG"/>
        </w:rPr>
        <w:t xml:space="preserve"> </w:t>
      </w:r>
      <w:r>
        <w:rPr>
          <w:rFonts w:cs="Arial" w:hint="cs"/>
          <w:rtl/>
          <w:lang w:bidi="ar-EG"/>
        </w:rPr>
        <w:t>الطفل</w:t>
      </w:r>
      <w:r>
        <w:rPr>
          <w:rFonts w:hint="cs"/>
          <w:rtl/>
          <w:lang w:bidi="ar-EG"/>
        </w:rPr>
        <w:t xml:space="preserve"> </w:t>
      </w:r>
      <w:r>
        <w:rPr>
          <w:rFonts w:cs="Arial" w:hint="cs"/>
          <w:rtl/>
          <w:lang w:bidi="ar-EG"/>
        </w:rPr>
        <w:t>حماية</w:t>
      </w:r>
      <w:r>
        <w:rPr>
          <w:rFonts w:cs="Arial"/>
          <w:rtl/>
          <w:lang w:bidi="ar-EG"/>
        </w:rPr>
        <w:t xml:space="preserve"> </w:t>
      </w:r>
      <w:r>
        <w:rPr>
          <w:rFonts w:cs="Arial" w:hint="cs"/>
          <w:rtl/>
          <w:lang w:bidi="ar-EG"/>
        </w:rPr>
        <w:t>الأطفال</w:t>
      </w:r>
      <w:r>
        <w:rPr>
          <w:rFonts w:cs="Arial"/>
          <w:rtl/>
          <w:lang w:bidi="ar-EG"/>
        </w:rPr>
        <w:t xml:space="preserve"> </w:t>
      </w:r>
      <w:r>
        <w:rPr>
          <w:rFonts w:cs="Arial" w:hint="cs"/>
          <w:rtl/>
          <w:lang w:bidi="ar-EG"/>
        </w:rPr>
        <w:t>من</w:t>
      </w:r>
      <w:r>
        <w:rPr>
          <w:rFonts w:cs="Arial"/>
          <w:rtl/>
          <w:lang w:bidi="ar-EG"/>
        </w:rPr>
        <w:t xml:space="preserve"> </w:t>
      </w:r>
      <w:r>
        <w:rPr>
          <w:rFonts w:cs="Arial" w:hint="cs"/>
          <w:rtl/>
          <w:lang w:bidi="ar-EG"/>
        </w:rPr>
        <w:t>كافة</w:t>
      </w:r>
      <w:r>
        <w:rPr>
          <w:rFonts w:cs="Arial"/>
          <w:rtl/>
          <w:lang w:bidi="ar-EG"/>
        </w:rPr>
        <w:t xml:space="preserve"> </w:t>
      </w:r>
      <w:r>
        <w:rPr>
          <w:rFonts w:cs="Arial" w:hint="cs"/>
          <w:rtl/>
          <w:lang w:bidi="ar-EG"/>
        </w:rPr>
        <w:t>أشكال</w:t>
      </w:r>
      <w:r>
        <w:rPr>
          <w:rFonts w:cs="Arial"/>
          <w:rtl/>
          <w:lang w:bidi="ar-EG"/>
        </w:rPr>
        <w:t xml:space="preserve"> </w:t>
      </w:r>
      <w:r>
        <w:rPr>
          <w:rFonts w:cs="Arial" w:hint="cs"/>
          <w:rtl/>
          <w:lang w:bidi="ar-EG"/>
        </w:rPr>
        <w:t>العنف</w:t>
      </w:r>
      <w:r>
        <w:rPr>
          <w:rFonts w:cs="Arial"/>
          <w:rtl/>
          <w:lang w:bidi="ar-EG"/>
        </w:rPr>
        <w:t xml:space="preserve"> </w:t>
      </w:r>
      <w:r>
        <w:rPr>
          <w:rFonts w:cs="Arial" w:hint="cs"/>
          <w:rtl/>
          <w:lang w:bidi="ar-EG"/>
        </w:rPr>
        <w:t>والاستغلال</w:t>
      </w:r>
      <w:r>
        <w:rPr>
          <w:rFonts w:hint="cs"/>
          <w:rtl/>
          <w:lang w:bidi="ar-EG"/>
        </w:rPr>
        <w:t xml:space="preserve">، اليونيسف، </w:t>
      </w:r>
      <w:hyperlink r:id="rId1" w:history="1">
        <w:r w:rsidRPr="002557A2">
          <w:rPr>
            <w:rStyle w:val="Hyperlink1"/>
            <w:lang w:bidi="ar-EG"/>
          </w:rPr>
          <w:t>https://uni.cf/3pUs6iY</w:t>
        </w:r>
      </w:hyperlink>
      <w:r>
        <w:rPr>
          <w:rFonts w:hint="cs"/>
          <w:rtl/>
          <w:lang w:bidi="ar-EG"/>
        </w:rPr>
        <w:t xml:space="preserve"> </w:t>
      </w:r>
    </w:p>
  </w:footnote>
  <w:footnote w:id="2">
    <w:p w14:paraId="33F35DA0" w14:textId="77777777" w:rsidR="00343C62" w:rsidRPr="00BF4B09" w:rsidRDefault="00343C62" w:rsidP="00343C62">
      <w:pPr>
        <w:pStyle w:val="FootnoteText"/>
        <w:bidi/>
        <w:rPr>
          <w:rFonts w:ascii="Sakkal Majalla" w:hAnsi="Sakkal Majalla" w:cs="Sakkal Majalla"/>
          <w:rtl/>
          <w:lang w:bidi="ar-EG"/>
        </w:rPr>
      </w:pPr>
      <w:r w:rsidRPr="00BF4B09">
        <w:rPr>
          <w:rStyle w:val="FootnoteReference"/>
          <w:rFonts w:ascii="Sakkal Majalla" w:hAnsi="Sakkal Majalla" w:cs="Sakkal Majalla"/>
        </w:rPr>
        <w:footnoteRef/>
      </w:r>
      <w:r w:rsidRPr="00BF4B09">
        <w:rPr>
          <w:rFonts w:ascii="Sakkal Majalla" w:hAnsi="Sakkal Majalla" w:cs="Sakkal Majalla"/>
        </w:rPr>
        <w:t xml:space="preserve"> </w:t>
      </w:r>
      <w:r w:rsidRPr="00BF4B09">
        <w:rPr>
          <w:rFonts w:ascii="Sakkal Majalla" w:hAnsi="Sakkal Majalla" w:cs="Sakkal Majalla"/>
          <w:rtl/>
        </w:rPr>
        <w:t>مسؤول حكومي: جماعة الحوثي جندت 35 ألف طفل وزجت بهم في الحرب، الخبر بوست، 24 سبتمبر 2021،:</w:t>
      </w:r>
      <w:r w:rsidRPr="00BF4B09">
        <w:rPr>
          <w:rFonts w:ascii="Sakkal Majalla" w:hAnsi="Sakkal Majalla" w:cs="Sakkal Majalla"/>
        </w:rPr>
        <w:t xml:space="preserve"> </w:t>
      </w:r>
      <w:hyperlink r:id="rId2" w:history="1">
        <w:r w:rsidRPr="00BF4B09">
          <w:rPr>
            <w:rStyle w:val="Hyperlink1"/>
            <w:rFonts w:ascii="Sakkal Majalla" w:hAnsi="Sakkal Majalla" w:cs="Sakkal Majalla"/>
          </w:rPr>
          <w:t>https://bit.ly/3v66CmC</w:t>
        </w:r>
      </w:hyperlink>
      <w:r w:rsidRPr="00BF4B09">
        <w:rPr>
          <w:rFonts w:ascii="Sakkal Majalla" w:hAnsi="Sakkal Majalla" w:cs="Sakkal Majalla"/>
          <w:rtl/>
        </w:rPr>
        <w:t xml:space="preserve"> </w:t>
      </w:r>
    </w:p>
  </w:footnote>
  <w:footnote w:id="3">
    <w:p w14:paraId="1A5B971F" w14:textId="77777777" w:rsidR="00343C62" w:rsidRDefault="00343C62" w:rsidP="00343C62">
      <w:pPr>
        <w:pStyle w:val="FootnoteText"/>
        <w:bidi/>
        <w:rPr>
          <w:lang w:bidi="ar-EG"/>
        </w:rPr>
      </w:pPr>
      <w:r>
        <w:rPr>
          <w:rStyle w:val="FootnoteReference"/>
        </w:rPr>
        <w:footnoteRef/>
      </w:r>
      <w:r>
        <w:rPr>
          <w:rtl/>
        </w:rPr>
        <w:t xml:space="preserve"> </w:t>
      </w:r>
      <w:r w:rsidRPr="00546481">
        <w:rPr>
          <w:rFonts w:cs="Arial" w:hint="cs"/>
          <w:rtl/>
          <w:lang w:bidi="ar-EG"/>
        </w:rPr>
        <w:t>بلدان</w:t>
      </w:r>
      <w:r w:rsidRPr="00546481">
        <w:rPr>
          <w:rFonts w:cs="Arial"/>
          <w:rtl/>
          <w:lang w:bidi="ar-EG"/>
        </w:rPr>
        <w:t xml:space="preserve"> </w:t>
      </w:r>
      <w:r w:rsidRPr="00546481">
        <w:rPr>
          <w:rFonts w:cs="Arial" w:hint="cs"/>
          <w:rtl/>
          <w:lang w:bidi="ar-EG"/>
        </w:rPr>
        <w:t>الشرق</w:t>
      </w:r>
      <w:r w:rsidRPr="00546481">
        <w:rPr>
          <w:rFonts w:cs="Arial"/>
          <w:rtl/>
          <w:lang w:bidi="ar-EG"/>
        </w:rPr>
        <w:t xml:space="preserve"> </w:t>
      </w:r>
      <w:r w:rsidRPr="00546481">
        <w:rPr>
          <w:rFonts w:cs="Arial" w:hint="cs"/>
          <w:rtl/>
          <w:lang w:bidi="ar-EG"/>
        </w:rPr>
        <w:t>الأوسط</w:t>
      </w:r>
      <w:r w:rsidRPr="00546481">
        <w:rPr>
          <w:rFonts w:cs="Arial"/>
          <w:rtl/>
          <w:lang w:bidi="ar-EG"/>
        </w:rPr>
        <w:t xml:space="preserve"> </w:t>
      </w:r>
      <w:r w:rsidRPr="00546481">
        <w:rPr>
          <w:rFonts w:cs="Arial" w:hint="cs"/>
          <w:rtl/>
          <w:lang w:bidi="ar-EG"/>
        </w:rPr>
        <w:t>وشمال</w:t>
      </w:r>
      <w:r w:rsidRPr="00546481">
        <w:rPr>
          <w:rFonts w:cs="Arial"/>
          <w:rtl/>
          <w:lang w:bidi="ar-EG"/>
        </w:rPr>
        <w:t xml:space="preserve"> </w:t>
      </w:r>
      <w:r w:rsidRPr="00546481">
        <w:rPr>
          <w:rFonts w:cs="Arial" w:hint="cs"/>
          <w:rtl/>
          <w:lang w:bidi="ar-EG"/>
        </w:rPr>
        <w:t>أفريقيا</w:t>
      </w:r>
      <w:r w:rsidRPr="00546481">
        <w:rPr>
          <w:rFonts w:cs="Arial"/>
          <w:rtl/>
          <w:lang w:bidi="ar-EG"/>
        </w:rPr>
        <w:t xml:space="preserve"> </w:t>
      </w:r>
      <w:r w:rsidRPr="00546481">
        <w:rPr>
          <w:rFonts w:cs="Arial" w:hint="cs"/>
          <w:rtl/>
          <w:lang w:bidi="ar-EG"/>
        </w:rPr>
        <w:t>ووجوب</w:t>
      </w:r>
      <w:r w:rsidRPr="00546481">
        <w:rPr>
          <w:rFonts w:cs="Arial"/>
          <w:rtl/>
          <w:lang w:bidi="ar-EG"/>
        </w:rPr>
        <w:t xml:space="preserve"> </w:t>
      </w:r>
      <w:r w:rsidRPr="00546481">
        <w:rPr>
          <w:rFonts w:cs="Arial" w:hint="cs"/>
          <w:rtl/>
          <w:lang w:bidi="ar-EG"/>
        </w:rPr>
        <w:t>اتخاذ</w:t>
      </w:r>
      <w:r w:rsidRPr="00546481">
        <w:rPr>
          <w:rFonts w:cs="Arial"/>
          <w:rtl/>
          <w:lang w:bidi="ar-EG"/>
        </w:rPr>
        <w:t xml:space="preserve"> </w:t>
      </w:r>
      <w:r w:rsidRPr="00546481">
        <w:rPr>
          <w:rFonts w:cs="Arial" w:hint="cs"/>
          <w:rtl/>
          <w:lang w:bidi="ar-EG"/>
        </w:rPr>
        <w:t>إجراءات</w:t>
      </w:r>
      <w:r w:rsidRPr="00546481">
        <w:rPr>
          <w:rFonts w:cs="Arial"/>
          <w:rtl/>
          <w:lang w:bidi="ar-EG"/>
        </w:rPr>
        <w:t xml:space="preserve"> </w:t>
      </w:r>
      <w:r w:rsidRPr="00546481">
        <w:rPr>
          <w:rFonts w:cs="Arial" w:hint="cs"/>
          <w:rtl/>
          <w:lang w:bidi="ar-EG"/>
        </w:rPr>
        <w:t>جريئة</w:t>
      </w:r>
      <w:r w:rsidRPr="00546481">
        <w:rPr>
          <w:rFonts w:cs="Arial"/>
          <w:rtl/>
          <w:lang w:bidi="ar-EG"/>
        </w:rPr>
        <w:t xml:space="preserve"> </w:t>
      </w:r>
      <w:r w:rsidRPr="00546481">
        <w:rPr>
          <w:rFonts w:cs="Arial" w:hint="cs"/>
          <w:rtl/>
          <w:lang w:bidi="ar-EG"/>
        </w:rPr>
        <w:t>لمناهضة</w:t>
      </w:r>
      <w:r w:rsidRPr="00546481">
        <w:rPr>
          <w:rFonts w:cs="Arial"/>
          <w:rtl/>
          <w:lang w:bidi="ar-EG"/>
        </w:rPr>
        <w:t xml:space="preserve"> </w:t>
      </w:r>
      <w:r w:rsidRPr="00546481">
        <w:rPr>
          <w:rFonts w:cs="Arial" w:hint="cs"/>
          <w:rtl/>
          <w:lang w:bidi="ar-EG"/>
        </w:rPr>
        <w:t>العنف</w:t>
      </w:r>
      <w:r w:rsidRPr="00546481">
        <w:rPr>
          <w:rFonts w:cs="Arial"/>
          <w:rtl/>
          <w:lang w:bidi="ar-EG"/>
        </w:rPr>
        <w:t xml:space="preserve"> </w:t>
      </w:r>
      <w:r w:rsidRPr="00546481">
        <w:rPr>
          <w:rFonts w:cs="Arial" w:hint="cs"/>
          <w:rtl/>
          <w:lang w:bidi="ar-EG"/>
        </w:rPr>
        <w:t>ضد</w:t>
      </w:r>
      <w:r w:rsidRPr="00546481">
        <w:rPr>
          <w:rFonts w:cs="Arial"/>
          <w:rtl/>
          <w:lang w:bidi="ar-EG"/>
        </w:rPr>
        <w:t xml:space="preserve"> </w:t>
      </w:r>
      <w:r w:rsidRPr="00546481">
        <w:rPr>
          <w:rFonts w:cs="Arial" w:hint="cs"/>
          <w:rtl/>
          <w:lang w:bidi="ar-EG"/>
        </w:rPr>
        <w:t>المرأة</w:t>
      </w:r>
      <w:r>
        <w:rPr>
          <w:rFonts w:hint="cs"/>
          <w:rtl/>
          <w:lang w:bidi="ar-EG"/>
        </w:rPr>
        <w:t xml:space="preserve">، مدونات البنك الدولي ، ديسمبر 2021 ، </w:t>
      </w:r>
      <w:hyperlink r:id="rId3" w:history="1">
        <w:r w:rsidRPr="00D023C1">
          <w:rPr>
            <w:rStyle w:val="Hyperlink1"/>
            <w:lang w:bidi="ar-EG"/>
          </w:rPr>
          <w:t>https://bit.ly/3CA289w</w:t>
        </w:r>
      </w:hyperlink>
      <w:r>
        <w:rPr>
          <w:rFonts w:hint="cs"/>
          <w:rtl/>
          <w:lang w:bidi="ar-EG"/>
        </w:rPr>
        <w:t xml:space="preserve"> </w:t>
      </w:r>
    </w:p>
  </w:footnote>
  <w:footnote w:id="4">
    <w:p w14:paraId="46C14B7D" w14:textId="77777777" w:rsidR="00343C62" w:rsidRPr="003974A8" w:rsidRDefault="00343C62" w:rsidP="00343C62">
      <w:pPr>
        <w:pStyle w:val="FootnoteText"/>
        <w:bidi/>
        <w:rPr>
          <w:rtl/>
          <w:lang w:bidi="ar-EG"/>
        </w:rPr>
      </w:pPr>
      <w:r>
        <w:rPr>
          <w:rStyle w:val="FootnoteReference"/>
        </w:rPr>
        <w:footnoteRef/>
      </w:r>
      <w:r>
        <w:rPr>
          <w:rtl/>
        </w:rPr>
        <w:t xml:space="preserve"> </w:t>
      </w:r>
      <w:r w:rsidRPr="003974A8">
        <w:rPr>
          <w:rFonts w:cs="Arial" w:hint="cs"/>
          <w:rtl/>
          <w:lang w:bidi="ar-EG"/>
        </w:rPr>
        <w:t>زواج</w:t>
      </w:r>
      <w:r w:rsidRPr="003974A8">
        <w:rPr>
          <w:rFonts w:cs="Arial"/>
          <w:rtl/>
          <w:lang w:bidi="ar-EG"/>
        </w:rPr>
        <w:t xml:space="preserve"> </w:t>
      </w:r>
      <w:r w:rsidRPr="003974A8">
        <w:rPr>
          <w:rFonts w:cs="Arial" w:hint="cs"/>
          <w:rtl/>
          <w:lang w:bidi="ar-EG"/>
        </w:rPr>
        <w:t>الأطفال</w:t>
      </w:r>
      <w:r>
        <w:rPr>
          <w:rFonts w:hint="cs"/>
          <w:rtl/>
          <w:lang w:bidi="ar-EG"/>
        </w:rPr>
        <w:t xml:space="preserve">، اليونسيف الدول العربية ، </w:t>
      </w:r>
      <w:hyperlink r:id="rId4" w:history="1">
        <w:r w:rsidRPr="00D023C1">
          <w:rPr>
            <w:rStyle w:val="Hyperlink1"/>
            <w:lang w:bidi="ar-EG"/>
          </w:rPr>
          <w:t>https://bit.ly/35Sluuz</w:t>
        </w:r>
      </w:hyperlink>
      <w:r>
        <w:rPr>
          <w:rFonts w:hint="cs"/>
          <w:rtl/>
          <w:lang w:bidi="ar-EG"/>
        </w:rPr>
        <w:t xml:space="preserve"> </w:t>
      </w:r>
    </w:p>
  </w:footnote>
  <w:footnote w:id="5">
    <w:p w14:paraId="0079E257" w14:textId="77777777" w:rsidR="00343C62" w:rsidRDefault="00343C62" w:rsidP="00343C62">
      <w:pPr>
        <w:pStyle w:val="FootnoteText"/>
        <w:bidi/>
        <w:rPr>
          <w:lang w:bidi="ar-EG"/>
        </w:rPr>
      </w:pPr>
      <w:r>
        <w:rPr>
          <w:rStyle w:val="FootnoteReference"/>
        </w:rPr>
        <w:footnoteRef/>
      </w:r>
      <w:r>
        <w:rPr>
          <w:rtl/>
        </w:rPr>
        <w:t xml:space="preserve"> </w:t>
      </w:r>
      <w:r w:rsidRPr="009018A1">
        <w:rPr>
          <w:rFonts w:cs="Arial" w:hint="cs"/>
          <w:rtl/>
          <w:lang w:bidi="ar-EG"/>
        </w:rPr>
        <w:t>اليوم</w:t>
      </w:r>
      <w:r w:rsidRPr="009018A1">
        <w:rPr>
          <w:rFonts w:cs="Arial"/>
          <w:rtl/>
          <w:lang w:bidi="ar-EG"/>
        </w:rPr>
        <w:t xml:space="preserve"> </w:t>
      </w:r>
      <w:r w:rsidRPr="009018A1">
        <w:rPr>
          <w:rFonts w:cs="Arial" w:hint="cs"/>
          <w:rtl/>
          <w:lang w:bidi="ar-EG"/>
        </w:rPr>
        <w:t>العالمي</w:t>
      </w:r>
      <w:r w:rsidRPr="009018A1">
        <w:rPr>
          <w:rFonts w:cs="Arial"/>
          <w:rtl/>
          <w:lang w:bidi="ar-EG"/>
        </w:rPr>
        <w:t xml:space="preserve"> </w:t>
      </w:r>
      <w:r w:rsidRPr="009018A1">
        <w:rPr>
          <w:rFonts w:cs="Arial" w:hint="cs"/>
          <w:rtl/>
          <w:lang w:bidi="ar-EG"/>
        </w:rPr>
        <w:t>لعمالة</w:t>
      </w:r>
      <w:r w:rsidRPr="009018A1">
        <w:rPr>
          <w:rFonts w:cs="Arial"/>
          <w:rtl/>
          <w:lang w:bidi="ar-EG"/>
        </w:rPr>
        <w:t xml:space="preserve"> </w:t>
      </w:r>
      <w:r w:rsidRPr="009018A1">
        <w:rPr>
          <w:rFonts w:cs="Arial" w:hint="cs"/>
          <w:rtl/>
          <w:lang w:bidi="ar-EG"/>
        </w:rPr>
        <w:t>الأطفال</w:t>
      </w:r>
      <w:r>
        <w:rPr>
          <w:rFonts w:cs="Arial" w:hint="cs"/>
          <w:rtl/>
          <w:lang w:bidi="ar-EG"/>
        </w:rPr>
        <w:t xml:space="preserve"> </w:t>
      </w:r>
      <w:r w:rsidRPr="009018A1">
        <w:rPr>
          <w:rFonts w:cs="Arial" w:hint="cs"/>
          <w:rtl/>
          <w:lang w:bidi="ar-EG"/>
        </w:rPr>
        <w:t>جهود</w:t>
      </w:r>
      <w:r w:rsidRPr="009018A1">
        <w:rPr>
          <w:rFonts w:cs="Arial"/>
          <w:rtl/>
          <w:lang w:bidi="ar-EG"/>
        </w:rPr>
        <w:t xml:space="preserve"> </w:t>
      </w:r>
      <w:r w:rsidRPr="009018A1">
        <w:rPr>
          <w:rFonts w:cs="Arial" w:hint="cs"/>
          <w:rtl/>
          <w:lang w:bidi="ar-EG"/>
        </w:rPr>
        <w:t>وطنية</w:t>
      </w:r>
      <w:r w:rsidRPr="009018A1">
        <w:rPr>
          <w:rFonts w:cs="Arial"/>
          <w:rtl/>
          <w:lang w:bidi="ar-EG"/>
        </w:rPr>
        <w:t xml:space="preserve"> </w:t>
      </w:r>
      <w:r w:rsidRPr="009018A1">
        <w:rPr>
          <w:rFonts w:cs="Arial" w:hint="cs"/>
          <w:rtl/>
          <w:lang w:bidi="ar-EG"/>
        </w:rPr>
        <w:t>لا</w:t>
      </w:r>
      <w:r w:rsidRPr="009018A1">
        <w:rPr>
          <w:rFonts w:cs="Arial"/>
          <w:rtl/>
          <w:lang w:bidi="ar-EG"/>
        </w:rPr>
        <w:t xml:space="preserve"> </w:t>
      </w:r>
      <w:r w:rsidRPr="009018A1">
        <w:rPr>
          <w:rFonts w:cs="Arial" w:hint="cs"/>
          <w:rtl/>
          <w:lang w:bidi="ar-EG"/>
        </w:rPr>
        <w:t>تتوقف</w:t>
      </w:r>
      <w:r w:rsidRPr="009018A1">
        <w:rPr>
          <w:rFonts w:cs="Arial"/>
          <w:rtl/>
          <w:lang w:bidi="ar-EG"/>
        </w:rPr>
        <w:t xml:space="preserve"> </w:t>
      </w:r>
      <w:r w:rsidRPr="009018A1">
        <w:rPr>
          <w:rFonts w:cs="Arial" w:hint="cs"/>
          <w:rtl/>
          <w:lang w:bidi="ar-EG"/>
        </w:rPr>
        <w:t>لحماية</w:t>
      </w:r>
      <w:r w:rsidRPr="009018A1">
        <w:rPr>
          <w:rFonts w:cs="Arial"/>
          <w:rtl/>
          <w:lang w:bidi="ar-EG"/>
        </w:rPr>
        <w:t xml:space="preserve"> </w:t>
      </w:r>
      <w:r w:rsidRPr="009018A1">
        <w:rPr>
          <w:rFonts w:cs="Arial" w:hint="cs"/>
          <w:rtl/>
          <w:lang w:bidi="ar-EG"/>
        </w:rPr>
        <w:t>أبناء</w:t>
      </w:r>
      <w:r w:rsidRPr="009018A1">
        <w:rPr>
          <w:rFonts w:cs="Arial"/>
          <w:rtl/>
          <w:lang w:bidi="ar-EG"/>
        </w:rPr>
        <w:t xml:space="preserve"> </w:t>
      </w:r>
      <w:r w:rsidRPr="009018A1">
        <w:rPr>
          <w:rFonts w:cs="Arial" w:hint="cs"/>
          <w:rtl/>
          <w:lang w:bidi="ar-EG"/>
        </w:rPr>
        <w:t>مصر</w:t>
      </w:r>
      <w:r>
        <w:rPr>
          <w:rFonts w:hint="cs"/>
          <w:rtl/>
          <w:lang w:bidi="ar-EG"/>
        </w:rPr>
        <w:t xml:space="preserve">، مبتدأ ، ديسمبر 2021 ، </w:t>
      </w:r>
      <w:hyperlink r:id="rId5" w:history="1">
        <w:r w:rsidRPr="00D023C1">
          <w:rPr>
            <w:rStyle w:val="Hyperlink1"/>
            <w:lang w:bidi="ar-EG"/>
          </w:rPr>
          <w:t>https://bit.ly/3tNs4L3</w:t>
        </w:r>
      </w:hyperlink>
      <w:r>
        <w:rPr>
          <w:rFonts w:hint="cs"/>
          <w:rtl/>
          <w:lang w:bidi="ar-EG"/>
        </w:rPr>
        <w:t xml:space="preserve"> </w:t>
      </w:r>
    </w:p>
  </w:footnote>
  <w:footnote w:id="6">
    <w:p w14:paraId="632B526F" w14:textId="77777777" w:rsidR="00821173" w:rsidRDefault="00821173" w:rsidP="00821173">
      <w:pPr>
        <w:pStyle w:val="FootnoteText"/>
      </w:pPr>
      <w:r>
        <w:rPr>
          <w:rStyle w:val="FootnoteReference"/>
        </w:rPr>
        <w:footnoteRef/>
      </w:r>
      <w:r>
        <w:t xml:space="preserve"> </w:t>
      </w:r>
      <w:r>
        <w:rPr>
          <w:rFonts w:cs="Arial"/>
          <w:rtl/>
          <w:lang w:bidi="ar-EG"/>
        </w:rPr>
        <w:t>ورقة حقائق حول أنماط العنف ضد المرأة في منطقة الشرق الأوسط، مرجع سابق ذكره</w:t>
      </w:r>
    </w:p>
  </w:footnote>
  <w:footnote w:id="7">
    <w:p w14:paraId="10064C89" w14:textId="77777777" w:rsidR="00821173" w:rsidRDefault="00821173" w:rsidP="00821173">
      <w:pPr>
        <w:pStyle w:val="FootnoteText"/>
      </w:pPr>
      <w:r>
        <w:rPr>
          <w:rStyle w:val="FootnoteReference"/>
        </w:rPr>
        <w:footnoteRef/>
      </w:r>
      <w:r>
        <w:t xml:space="preserve"> </w:t>
      </w:r>
      <w:r>
        <w:rPr>
          <w:rtl/>
          <w:lang w:bidi="ar-EG"/>
        </w:rPr>
        <w:t xml:space="preserve">دفتر تلوين ، تمكين للمساعدة القانونية وحقوق الإنسان ، يونيو 2021 ، </w:t>
      </w:r>
      <w:hyperlink r:id="rId6" w:history="1">
        <w:r>
          <w:rPr>
            <w:rStyle w:val="Hyperlink"/>
            <w:lang w:bidi="ar-EG"/>
          </w:rPr>
          <w:t>https://bit.ly/3wuoXIR</w:t>
        </w:r>
      </w:hyperlink>
    </w:p>
  </w:footnote>
  <w:footnote w:id="8">
    <w:p w14:paraId="5CB2DFEF" w14:textId="77777777" w:rsidR="00821173" w:rsidRDefault="00821173" w:rsidP="00821173">
      <w:pPr>
        <w:pStyle w:val="FootnoteText"/>
      </w:pPr>
      <w:r>
        <w:rPr>
          <w:rStyle w:val="FootnoteReference"/>
        </w:rPr>
        <w:footnoteRef/>
      </w:r>
      <w:r>
        <w:t xml:space="preserve"> </w:t>
      </w:r>
      <w:r>
        <w:rPr>
          <w:rFonts w:cs="Arial"/>
          <w:rtl/>
        </w:rPr>
        <w:t xml:space="preserve">العتالة مهنة تثقل كاهل الأطفال في الأردن، تمكين للمساعدة القانونية وحقوق الإنسان ، أغسطس 2021 ، </w:t>
      </w:r>
      <w:hyperlink r:id="rId7" w:history="1">
        <w:r>
          <w:rPr>
            <w:rStyle w:val="Hyperlink"/>
            <w:rFonts w:cs="Arial"/>
          </w:rPr>
          <w:t>https://bit.ly/3cdmIQZ</w:t>
        </w:r>
      </w:hyperlink>
    </w:p>
  </w:footnote>
  <w:footnote w:id="9">
    <w:p w14:paraId="5545CE8E" w14:textId="77777777" w:rsidR="00821173" w:rsidRDefault="00821173" w:rsidP="00821173">
      <w:pPr>
        <w:pStyle w:val="FootnoteText"/>
        <w:bidi/>
        <w:rPr>
          <w:lang w:bidi="ar-EG"/>
        </w:rPr>
      </w:pPr>
      <w:r>
        <w:rPr>
          <w:rStyle w:val="FootnoteReference"/>
        </w:rPr>
        <w:footnoteRef/>
      </w:r>
      <w:r>
        <w:t xml:space="preserve"> </w:t>
      </w:r>
      <w:r>
        <w:rPr>
          <w:rFonts w:cs="Arial"/>
          <w:rtl/>
        </w:rPr>
        <w:t xml:space="preserve">لبنان مستقبل الأطفال على المحك، اليونسيف ، يونيو 2021 ، </w:t>
      </w:r>
      <w:hyperlink r:id="rId8" w:history="1">
        <w:r>
          <w:rPr>
            <w:rStyle w:val="Hyperlink"/>
            <w:rFonts w:cs="Arial"/>
          </w:rPr>
          <w:t>https://uni.cf/3nPlqkt</w:t>
        </w:r>
      </w:hyperlink>
      <w:r>
        <w:rPr>
          <w:rFonts w:cs="Arial"/>
          <w:rtl/>
        </w:rPr>
        <w:t xml:space="preserve"> </w:t>
      </w:r>
    </w:p>
  </w:footnote>
  <w:footnote w:id="10">
    <w:p w14:paraId="72120BA7" w14:textId="77777777" w:rsidR="00821173" w:rsidRDefault="00821173" w:rsidP="00821173">
      <w:pPr>
        <w:pStyle w:val="FootnoteText"/>
      </w:pPr>
      <w:r>
        <w:rPr>
          <w:rStyle w:val="FootnoteReference"/>
        </w:rPr>
        <w:footnoteRef/>
      </w:r>
      <w:r>
        <w:t xml:space="preserve"> </w:t>
      </w:r>
      <w:r>
        <w:rPr>
          <w:rtl/>
        </w:rPr>
        <w:t xml:space="preserve">للمرة الأولى منذ عقدين عدد الأطفال العاملين في العالم يرتفع، العربي ، يونيو 2021 ، </w:t>
      </w:r>
      <w:hyperlink r:id="rId9" w:history="1">
        <w:r>
          <w:rPr>
            <w:rStyle w:val="Hyperlink"/>
            <w:lang w:bidi="ar-EG"/>
          </w:rPr>
          <w:t>https://bit.ly/3nALdhq</w:t>
        </w:r>
      </w:hyperlink>
    </w:p>
  </w:footnote>
  <w:footnote w:id="11">
    <w:p w14:paraId="5EA2A1A7" w14:textId="77777777" w:rsidR="00821173" w:rsidRDefault="00821173" w:rsidP="00821173">
      <w:pPr>
        <w:pStyle w:val="FootnoteText"/>
      </w:pPr>
      <w:r>
        <w:rPr>
          <w:rStyle w:val="FootnoteReference"/>
        </w:rPr>
        <w:footnoteRef/>
      </w:r>
      <w:r>
        <w:t xml:space="preserve"> </w:t>
      </w:r>
      <w:r>
        <w:rPr>
          <w:rFonts w:ascii="Sakkal Majalla" w:hAnsi="Sakkal Majalla" w:cs="Sakkal Majalla"/>
          <w:rtl/>
          <w:lang w:bidi="ar-EG"/>
        </w:rPr>
        <w:t>تدشين الدورات الصيفية في 15 محافظة و6 آلاف مركز تحت شعار” علم وجهاد “، صدي نيوز، على الرابط التالي:</w:t>
      </w:r>
      <w:r>
        <w:rPr>
          <w:rFonts w:ascii="Sakkal Majalla" w:hAnsi="Sakkal Majalla" w:cs="Sakkal Majalla"/>
          <w:rtl/>
        </w:rPr>
        <w:t xml:space="preserve"> </w:t>
      </w:r>
      <w:hyperlink r:id="rId10" w:history="1">
        <w:r>
          <w:rPr>
            <w:rStyle w:val="Hyperlink"/>
            <w:rFonts w:ascii="Sakkal Majalla" w:hAnsi="Sakkal Majalla" w:cs="Sakkal Majalla"/>
            <w:lang w:bidi="ar-EG"/>
          </w:rPr>
          <w:t>https://bit.ly/3Bx7xOm</w:t>
        </w:r>
      </w:hyperlink>
    </w:p>
  </w:footnote>
  <w:footnote w:id="12">
    <w:p w14:paraId="20206B99" w14:textId="77777777" w:rsidR="00821173" w:rsidRDefault="00821173" w:rsidP="00821173">
      <w:pPr>
        <w:pStyle w:val="FootnoteText"/>
      </w:pPr>
      <w:r>
        <w:rPr>
          <w:rStyle w:val="FootnoteReference"/>
        </w:rPr>
        <w:footnoteRef/>
      </w:r>
      <w:r>
        <w:t xml:space="preserve"> </w:t>
      </w:r>
      <w:r>
        <w:rPr>
          <w:rFonts w:ascii="Sakkal Majalla" w:hAnsi="Sakkal Majalla" w:cs="Sakkal Majalla"/>
          <w:rtl/>
          <w:lang w:bidi="ar-EG"/>
        </w:rPr>
        <w:t>وقائع حفل التخرج المركزي لطلاب المراكز الصيفية في جامع الشعب بالعاصمة صنعاء، قناة المسيرة على يوتيوب، 5 أغسطس 2019، على الرابط التالي:</w:t>
      </w:r>
      <w:r>
        <w:rPr>
          <w:rFonts w:ascii="Sakkal Majalla" w:hAnsi="Sakkal Majalla" w:cs="Sakkal Majalla"/>
          <w:rtl/>
        </w:rPr>
        <w:t xml:space="preserve"> </w:t>
      </w:r>
      <w:hyperlink r:id="rId11" w:history="1">
        <w:r>
          <w:rPr>
            <w:rStyle w:val="Hyperlink"/>
            <w:rFonts w:ascii="Sakkal Majalla" w:hAnsi="Sakkal Majalla" w:cs="Sakkal Majalla"/>
            <w:lang w:bidi="ar-EG"/>
          </w:rPr>
          <w:t>https://www.youtube.com/watch?v=2opFl1zkY88</w:t>
        </w:r>
      </w:hyperlink>
    </w:p>
  </w:footnote>
  <w:footnote w:id="13">
    <w:p w14:paraId="16CC7D97" w14:textId="77777777" w:rsidR="00821173" w:rsidRDefault="00821173" w:rsidP="00821173">
      <w:pPr>
        <w:pStyle w:val="FootnoteText"/>
      </w:pPr>
      <w:r>
        <w:rPr>
          <w:rStyle w:val="FootnoteReference"/>
        </w:rPr>
        <w:footnoteRef/>
      </w:r>
      <w:r>
        <w:t xml:space="preserve"> </w:t>
      </w:r>
      <w:r>
        <w:rPr>
          <w:rFonts w:ascii="Sakkal Majalla" w:hAnsi="Sakkal Majalla" w:cs="Sakkal Majalla"/>
          <w:rtl/>
          <w:lang w:bidi="ar-EG"/>
        </w:rPr>
        <w:t>رسالة مؤرخة 25 يناير 2022 من فريق الخبراء المعني باليمن إلى مجلس الأمن، فقرة 42، ص 21، على الرابط التالي:</w:t>
      </w:r>
      <w:r>
        <w:rPr>
          <w:rFonts w:ascii="Sakkal Majalla" w:hAnsi="Sakkal Majalla" w:cs="Sakkal Majalla"/>
          <w:rtl/>
        </w:rPr>
        <w:t xml:space="preserve"> </w:t>
      </w:r>
      <w:hyperlink r:id="rId12" w:history="1">
        <w:r>
          <w:rPr>
            <w:rStyle w:val="Hyperlink"/>
            <w:rFonts w:ascii="Sakkal Majalla" w:hAnsi="Sakkal Majalla" w:cs="Sakkal Majalla"/>
            <w:lang w:bidi="ar-EG"/>
          </w:rPr>
          <w:t>https://undocs.org/ar/S/2022/50</w:t>
        </w:r>
      </w:hyperlink>
    </w:p>
  </w:footnote>
  <w:footnote w:id="14">
    <w:p w14:paraId="3DFAB564" w14:textId="77777777" w:rsidR="00821173" w:rsidRDefault="00821173" w:rsidP="00821173">
      <w:pPr>
        <w:pStyle w:val="FootnoteText"/>
      </w:pPr>
      <w:r>
        <w:rPr>
          <w:rStyle w:val="FootnoteReference"/>
        </w:rPr>
        <w:footnoteRef/>
      </w:r>
      <w:r>
        <w:t xml:space="preserve"> </w:t>
      </w:r>
      <w:r>
        <w:rPr>
          <w:rFonts w:ascii="Sakkal Majalla" w:hAnsi="Sakkal Majalla" w:cs="Sakkal Majalla"/>
          <w:rtl/>
          <w:lang w:bidi="ar-EG"/>
        </w:rPr>
        <w:t>المصدر السابق ذكره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CA9D" w14:textId="77777777" w:rsidR="00AC72CC" w:rsidRDefault="000B72A7">
    <w:r>
      <w:rPr>
        <w:rFonts w:hint="cs"/>
        <w:noProof/>
        <w:lang w:eastAsia="en-GB"/>
      </w:rPr>
      <w:drawing>
        <wp:inline distT="0" distB="0" distL="0" distR="0" wp14:anchorId="1A1FE057" wp14:editId="53EE2EEA">
          <wp:extent cx="721378" cy="560173"/>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6B714E" w14:paraId="64162AB5" w14:textId="77777777" w:rsidTr="00295CF7">
      <w:tc>
        <w:tcPr>
          <w:tcW w:w="2500" w:type="pct"/>
        </w:tcPr>
        <w:p w14:paraId="07174B7F" w14:textId="77777777" w:rsidR="006B714E" w:rsidRDefault="000B72A7" w:rsidP="006B714E">
          <w:pPr>
            <w:pStyle w:val="Header"/>
          </w:pPr>
          <w:r>
            <w:rPr>
              <w:rFonts w:hint="cs"/>
              <w:noProof/>
              <w:lang w:eastAsia="en-GB"/>
            </w:rPr>
            <w:drawing>
              <wp:inline distT="0" distB="0" distL="0" distR="0" wp14:anchorId="05CDC559" wp14:editId="42189989">
                <wp:extent cx="1471930" cy="1143000"/>
                <wp:effectExtent l="0" t="0" r="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2065" cy="11431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Pr>
        <w:p w14:paraId="23B7FA9D" w14:textId="77777777" w:rsidR="006B714E" w:rsidRDefault="00814A08" w:rsidP="006B714E">
          <w:pPr>
            <w:pStyle w:val="Header"/>
          </w:pPr>
        </w:p>
      </w:tc>
    </w:tr>
  </w:tbl>
  <w:p w14:paraId="41713B25" w14:textId="77777777" w:rsidR="0071497E" w:rsidRPr="00295CF7" w:rsidRDefault="00814A08" w:rsidP="00295CF7">
    <w:pPr>
      <w:pStyle w:val="Header"/>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7685E"/>
    <w:multiLevelType w:val="hybridMultilevel"/>
    <w:tmpl w:val="68C8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B6104"/>
    <w:multiLevelType w:val="hybridMultilevel"/>
    <w:tmpl w:val="5D96BB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62"/>
    <w:rsid w:val="00047A60"/>
    <w:rsid w:val="000B72A7"/>
    <w:rsid w:val="000D6B19"/>
    <w:rsid w:val="000E4AEC"/>
    <w:rsid w:val="00206F4F"/>
    <w:rsid w:val="00250353"/>
    <w:rsid w:val="00295EB6"/>
    <w:rsid w:val="003104BE"/>
    <w:rsid w:val="00343C62"/>
    <w:rsid w:val="003B5E8D"/>
    <w:rsid w:val="00424F7C"/>
    <w:rsid w:val="004E38D3"/>
    <w:rsid w:val="006B36CE"/>
    <w:rsid w:val="00724A2D"/>
    <w:rsid w:val="007D08EE"/>
    <w:rsid w:val="00814A08"/>
    <w:rsid w:val="00821173"/>
    <w:rsid w:val="008B3F99"/>
    <w:rsid w:val="00961645"/>
    <w:rsid w:val="009A44F1"/>
    <w:rsid w:val="009F38E7"/>
    <w:rsid w:val="00A25192"/>
    <w:rsid w:val="00A27563"/>
    <w:rsid w:val="00A676A1"/>
    <w:rsid w:val="00B07126"/>
    <w:rsid w:val="00B921A7"/>
    <w:rsid w:val="00B9376D"/>
    <w:rsid w:val="00B93C69"/>
    <w:rsid w:val="00B95463"/>
    <w:rsid w:val="00C1036B"/>
    <w:rsid w:val="00CC38AB"/>
    <w:rsid w:val="00DB536F"/>
    <w:rsid w:val="00E76854"/>
    <w:rsid w:val="00EA2A07"/>
    <w:rsid w:val="00EC24B7"/>
    <w:rsid w:val="00F518A1"/>
    <w:rsid w:val="00F66B9F"/>
    <w:rsid w:val="00FA25C4"/>
    <w:rsid w:val="00FE7A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20C5"/>
  <w15:chartTrackingRefBased/>
  <w15:docId w15:val="{9C87638D-0B2C-4351-8C2C-FACBD8AC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3C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3C62"/>
  </w:style>
  <w:style w:type="paragraph" w:styleId="Footer">
    <w:name w:val="footer"/>
    <w:basedOn w:val="Normal"/>
    <w:link w:val="FooterChar"/>
    <w:uiPriority w:val="99"/>
    <w:semiHidden/>
    <w:unhideWhenUsed/>
    <w:rsid w:val="00343C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3C62"/>
  </w:style>
  <w:style w:type="character" w:styleId="FootnoteReference">
    <w:name w:val="footnote reference"/>
    <w:aliases w:val="4_G,4_GA"/>
    <w:basedOn w:val="DefaultParagraphFont"/>
    <w:uiPriority w:val="99"/>
    <w:unhideWhenUsed/>
    <w:qFormat/>
    <w:rsid w:val="00343C62"/>
    <w:rPr>
      <w:vertAlign w:val="superscript"/>
    </w:rPr>
  </w:style>
  <w:style w:type="paragraph" w:styleId="FootnoteText">
    <w:name w:val="footnote text"/>
    <w:aliases w:val="5_G"/>
    <w:basedOn w:val="Normal"/>
    <w:link w:val="FootnoteTextChar"/>
    <w:uiPriority w:val="99"/>
    <w:unhideWhenUsed/>
    <w:qFormat/>
    <w:rsid w:val="00343C62"/>
    <w:pPr>
      <w:spacing w:after="0" w:line="240" w:lineRule="auto"/>
    </w:pPr>
    <w:rPr>
      <w:sz w:val="20"/>
      <w:szCs w:val="20"/>
      <w:lang w:val="en-US"/>
    </w:rPr>
  </w:style>
  <w:style w:type="character" w:customStyle="1" w:styleId="FootnoteTextChar">
    <w:name w:val="Footnote Text Char"/>
    <w:aliases w:val="5_G Char"/>
    <w:basedOn w:val="DefaultParagraphFont"/>
    <w:link w:val="FootnoteText"/>
    <w:uiPriority w:val="99"/>
    <w:rsid w:val="00343C62"/>
    <w:rPr>
      <w:sz w:val="20"/>
      <w:szCs w:val="20"/>
      <w:lang w:val="en-US"/>
    </w:rPr>
  </w:style>
  <w:style w:type="character" w:customStyle="1" w:styleId="Hyperlink1">
    <w:name w:val="Hyperlink1"/>
    <w:basedOn w:val="DefaultParagraphFont"/>
    <w:uiPriority w:val="99"/>
    <w:unhideWhenUsed/>
    <w:rsid w:val="00343C62"/>
    <w:rPr>
      <w:color w:val="0000FF"/>
      <w:u w:val="single"/>
    </w:rPr>
  </w:style>
  <w:style w:type="table" w:styleId="TableGrid">
    <w:name w:val="Table Grid"/>
    <w:basedOn w:val="TableNormal"/>
    <w:uiPriority w:val="39"/>
    <w:rsid w:val="00343C6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343C62"/>
  </w:style>
  <w:style w:type="character" w:styleId="Hyperlink">
    <w:name w:val="Hyperlink"/>
    <w:basedOn w:val="DefaultParagraphFont"/>
    <w:uiPriority w:val="99"/>
    <w:semiHidden/>
    <w:unhideWhenUsed/>
    <w:rsid w:val="00343C62"/>
    <w:rPr>
      <w:color w:val="0563C1" w:themeColor="hyperlink"/>
      <w:u w:val="single"/>
    </w:rPr>
  </w:style>
  <w:style w:type="paragraph" w:styleId="ListParagraph">
    <w:name w:val="List Paragraph"/>
    <w:basedOn w:val="Normal"/>
    <w:uiPriority w:val="34"/>
    <w:qFormat/>
    <w:rsid w:val="00FA2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uni.cf/3nPlqkt" TargetMode="External"/><Relationship Id="rId3" Type="http://schemas.openxmlformats.org/officeDocument/2006/relationships/hyperlink" Target="https://bit.ly/3CA289w" TargetMode="External"/><Relationship Id="rId7" Type="http://schemas.openxmlformats.org/officeDocument/2006/relationships/hyperlink" Target="https://bit.ly/3cdmIQZ" TargetMode="External"/><Relationship Id="rId12" Type="http://schemas.openxmlformats.org/officeDocument/2006/relationships/hyperlink" Target="https://undocs.org/ar/S/2022/50" TargetMode="External"/><Relationship Id="rId2" Type="http://schemas.openxmlformats.org/officeDocument/2006/relationships/hyperlink" Target="https://bit.ly/3v66CmC" TargetMode="External"/><Relationship Id="rId1" Type="http://schemas.openxmlformats.org/officeDocument/2006/relationships/hyperlink" Target="https://uni.cf/3pUs6iY" TargetMode="External"/><Relationship Id="rId6" Type="http://schemas.openxmlformats.org/officeDocument/2006/relationships/hyperlink" Target="https://bit.ly/3wuoXIR" TargetMode="External"/><Relationship Id="rId11" Type="http://schemas.openxmlformats.org/officeDocument/2006/relationships/hyperlink" Target="https://www.youtube.com/watch?v=2opFl1zkY88" TargetMode="External"/><Relationship Id="rId5" Type="http://schemas.openxmlformats.org/officeDocument/2006/relationships/hyperlink" Target="https://bit.ly/3tNs4L3" TargetMode="External"/><Relationship Id="rId10" Type="http://schemas.openxmlformats.org/officeDocument/2006/relationships/hyperlink" Target="https://bit.ly/3Bx7xOm" TargetMode="External"/><Relationship Id="rId4" Type="http://schemas.openxmlformats.org/officeDocument/2006/relationships/hyperlink" Target="https://bit.ly/35Sluuz" TargetMode="External"/><Relationship Id="rId9" Type="http://schemas.openxmlformats.org/officeDocument/2006/relationships/hyperlink" Target="https://bit.ly/3nALdh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9172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Antara Singh</cp:lastModifiedBy>
  <cp:revision>2</cp:revision>
  <dcterms:created xsi:type="dcterms:W3CDTF">2022-03-14T16:34:00Z</dcterms:created>
  <dcterms:modified xsi:type="dcterms:W3CDTF">2022-03-14T16:34:00Z</dcterms:modified>
</cp:coreProperties>
</file>