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0EA2" w14:textId="6225E573" w:rsidR="00CC5A32" w:rsidRPr="00424D17" w:rsidRDefault="00424D17" w:rsidP="00CC5A32">
      <w:pPr>
        <w:jc w:val="center"/>
        <w:rPr>
          <w:b/>
          <w:bCs/>
          <w:sz w:val="32"/>
          <w:szCs w:val="32"/>
        </w:rPr>
      </w:pPr>
      <w:r w:rsidRPr="00424D17">
        <w:rPr>
          <w:b/>
          <w:bCs/>
          <w:sz w:val="32"/>
          <w:szCs w:val="32"/>
        </w:rPr>
        <w:t>TIC, VULNERABILIDAD</w:t>
      </w:r>
      <w:r w:rsidR="00CC5A32" w:rsidRPr="00424D17">
        <w:rPr>
          <w:b/>
          <w:bCs/>
          <w:sz w:val="32"/>
          <w:szCs w:val="32"/>
        </w:rPr>
        <w:t xml:space="preserve"> Y EXPLOTACI</w:t>
      </w:r>
      <w:r w:rsidR="00194770">
        <w:rPr>
          <w:b/>
          <w:bCs/>
          <w:sz w:val="32"/>
          <w:szCs w:val="32"/>
        </w:rPr>
        <w:t>Ó</w:t>
      </w:r>
      <w:r w:rsidR="00CC5A32" w:rsidRPr="00424D17">
        <w:rPr>
          <w:b/>
          <w:bCs/>
          <w:sz w:val="32"/>
          <w:szCs w:val="32"/>
        </w:rPr>
        <w:t>N SEXUAL DE NIÑOS, NIÑAS Y</w:t>
      </w:r>
      <w:r w:rsidR="00674F9C">
        <w:rPr>
          <w:b/>
          <w:bCs/>
          <w:sz w:val="32"/>
          <w:szCs w:val="32"/>
        </w:rPr>
        <w:t xml:space="preserve"> </w:t>
      </w:r>
      <w:r w:rsidR="00CC5A32" w:rsidRPr="00424D17">
        <w:rPr>
          <w:b/>
          <w:bCs/>
          <w:sz w:val="32"/>
          <w:szCs w:val="32"/>
        </w:rPr>
        <w:t>ADOLESCENTES DURANTE LA PANDEMIA DE COVID</w:t>
      </w:r>
      <w:r w:rsidR="009F3EF6" w:rsidRPr="00424D17">
        <w:rPr>
          <w:b/>
          <w:bCs/>
          <w:sz w:val="32"/>
          <w:szCs w:val="32"/>
        </w:rPr>
        <w:t>-</w:t>
      </w:r>
      <w:r w:rsidR="00CC5A32" w:rsidRPr="00424D17">
        <w:rPr>
          <w:b/>
          <w:bCs/>
          <w:sz w:val="32"/>
          <w:szCs w:val="32"/>
        </w:rPr>
        <w:t xml:space="preserve">19 </w:t>
      </w:r>
      <w:r w:rsidR="00A146F0">
        <w:rPr>
          <w:b/>
          <w:bCs/>
          <w:sz w:val="32"/>
          <w:szCs w:val="32"/>
        </w:rPr>
        <w:t>EN 4 PA</w:t>
      </w:r>
      <w:r w:rsidR="00C81D57">
        <w:rPr>
          <w:b/>
          <w:bCs/>
          <w:sz w:val="32"/>
          <w:szCs w:val="32"/>
        </w:rPr>
        <w:t>Í</w:t>
      </w:r>
      <w:r w:rsidR="00A146F0">
        <w:rPr>
          <w:b/>
          <w:bCs/>
          <w:sz w:val="32"/>
          <w:szCs w:val="32"/>
        </w:rPr>
        <w:t>SES DE LATINOAMERICA</w:t>
      </w:r>
      <w:r w:rsidR="00CC5A32" w:rsidRPr="00424D17">
        <w:rPr>
          <w:b/>
          <w:bCs/>
          <w:sz w:val="32"/>
          <w:szCs w:val="32"/>
        </w:rPr>
        <w:t xml:space="preserve">  </w:t>
      </w:r>
    </w:p>
    <w:p w14:paraId="7896FBF8" w14:textId="6146DD7F" w:rsidR="00CC5A32" w:rsidRDefault="00CC5A32" w:rsidP="00CC5A3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bookmarkStart w:id="0" w:name="_GoBack"/>
      <w:r>
        <w:rPr>
          <w:b/>
          <w:bCs/>
        </w:rPr>
        <w:t>ANTECEDENTES</w:t>
      </w:r>
    </w:p>
    <w:p w14:paraId="20A741ED" w14:textId="559E0D14" w:rsidR="007F1045" w:rsidRPr="00DB4478" w:rsidRDefault="00DC6DA8" w:rsidP="00CC5A32">
      <w:pPr>
        <w:jc w:val="both"/>
        <w:rPr>
          <w:color w:val="000000" w:themeColor="text1"/>
        </w:rPr>
      </w:pPr>
      <w:r w:rsidRPr="00DB4478">
        <w:rPr>
          <w:color w:val="000000" w:themeColor="text1"/>
        </w:rPr>
        <w:t xml:space="preserve">La Alianza </w:t>
      </w:r>
      <w:r w:rsidR="007F1045" w:rsidRPr="00DB4478">
        <w:rPr>
          <w:color w:val="000000" w:themeColor="text1"/>
        </w:rPr>
        <w:t>Down to Zero (DtZ)</w:t>
      </w:r>
      <w:r w:rsidR="001D2D25" w:rsidRPr="00DB4478">
        <w:rPr>
          <w:color w:val="000000" w:themeColor="text1"/>
        </w:rPr>
        <w:t xml:space="preserve"> está</w:t>
      </w:r>
      <w:r w:rsidR="007F1045" w:rsidRPr="00DB4478">
        <w:rPr>
          <w:color w:val="000000" w:themeColor="text1"/>
        </w:rPr>
        <w:t xml:space="preserve"> formada por cinco ONG holandesas: Terre des Hommes Países Bajos (líder), Free a Girl, Defence for Children-ECPAT Países Bajos, ICCO</w:t>
      </w:r>
      <w:r w:rsidR="00C81904">
        <w:rPr>
          <w:color w:val="000000" w:themeColor="text1"/>
        </w:rPr>
        <w:t>-Conexión</w:t>
      </w:r>
      <w:r w:rsidR="0081206A" w:rsidRPr="00DB4478">
        <w:rPr>
          <w:color w:val="000000" w:themeColor="text1"/>
        </w:rPr>
        <w:t>, Plan</w:t>
      </w:r>
      <w:r w:rsidR="007F1045" w:rsidRPr="00DB4478">
        <w:rPr>
          <w:color w:val="000000" w:themeColor="text1"/>
        </w:rPr>
        <w:t xml:space="preserve"> International </w:t>
      </w:r>
      <w:r w:rsidR="0081206A" w:rsidRPr="00DB4478">
        <w:rPr>
          <w:color w:val="000000" w:themeColor="text1"/>
        </w:rPr>
        <w:t>Países y</w:t>
      </w:r>
      <w:r w:rsidR="007F1045" w:rsidRPr="00DB4478">
        <w:rPr>
          <w:color w:val="000000" w:themeColor="text1"/>
        </w:rPr>
        <w:t xml:space="preserve"> sus respectivos socios (26 en total)</w:t>
      </w:r>
      <w:r w:rsidR="001D2D25" w:rsidRPr="00DB4478">
        <w:rPr>
          <w:color w:val="000000" w:themeColor="text1"/>
        </w:rPr>
        <w:t xml:space="preserve">. Estas </w:t>
      </w:r>
      <w:r w:rsidR="00DB4478" w:rsidRPr="00DB4478">
        <w:rPr>
          <w:color w:val="000000" w:themeColor="text1"/>
        </w:rPr>
        <w:t>instituciones trabajan</w:t>
      </w:r>
      <w:r w:rsidR="007F1045" w:rsidRPr="00DB4478">
        <w:rPr>
          <w:color w:val="000000" w:themeColor="text1"/>
        </w:rPr>
        <w:t xml:space="preserve"> por la reducción de la Explotación Sexual de Niños, Niñas y Adolescentes (ESNNA) mediante los programas Down to Zero 1.0 (2016-2020), Voices for Change (2020-2021) y</w:t>
      </w:r>
      <w:r w:rsidR="00B05CD1" w:rsidRPr="00DB4478">
        <w:rPr>
          <w:color w:val="000000" w:themeColor="text1"/>
        </w:rPr>
        <w:t xml:space="preserve"> Building Back Better in times of Covid</w:t>
      </w:r>
      <w:r w:rsidR="001D2D25" w:rsidRPr="00DB4478">
        <w:rPr>
          <w:color w:val="000000" w:themeColor="text1"/>
        </w:rPr>
        <w:t>-</w:t>
      </w:r>
      <w:r w:rsidR="00B05CD1" w:rsidRPr="00DB4478">
        <w:rPr>
          <w:color w:val="000000" w:themeColor="text1"/>
        </w:rPr>
        <w:t>19</w:t>
      </w:r>
      <w:r w:rsidR="007F1045" w:rsidRPr="00DB4478">
        <w:rPr>
          <w:color w:val="000000" w:themeColor="text1"/>
        </w:rPr>
        <w:t xml:space="preserve"> (BBB) (2021-2022</w:t>
      </w:r>
      <w:r w:rsidR="001D2D25" w:rsidRPr="00DB4478">
        <w:rPr>
          <w:color w:val="000000" w:themeColor="text1"/>
        </w:rPr>
        <w:t xml:space="preserve">). </w:t>
      </w:r>
    </w:p>
    <w:p w14:paraId="06BB13CE" w14:textId="5F7D4E8F" w:rsidR="006C4EFC" w:rsidRPr="00DB4478" w:rsidRDefault="00B05CD1" w:rsidP="00CC5A32">
      <w:pPr>
        <w:jc w:val="both"/>
        <w:rPr>
          <w:color w:val="000000" w:themeColor="text1"/>
        </w:rPr>
      </w:pPr>
      <w:r w:rsidRPr="00DB4478">
        <w:rPr>
          <w:color w:val="000000" w:themeColor="text1"/>
        </w:rPr>
        <w:t>El pro</w:t>
      </w:r>
      <w:r w:rsidR="00DC6DA8" w:rsidRPr="00DB4478">
        <w:rPr>
          <w:color w:val="000000" w:themeColor="text1"/>
        </w:rPr>
        <w:t>yecto</w:t>
      </w:r>
      <w:r w:rsidRPr="00DB4478">
        <w:rPr>
          <w:color w:val="000000" w:themeColor="text1"/>
        </w:rPr>
        <w:t xml:space="preserve"> BBB se ejecuta en 12 países de Asia y América Latina </w:t>
      </w:r>
      <w:r w:rsidR="00DC6DA8" w:rsidRPr="00DB4478">
        <w:rPr>
          <w:color w:val="000000" w:themeColor="text1"/>
        </w:rPr>
        <w:t>con el objetivo de fortalecer los sistemas de protección infantil en ambas regiones</w:t>
      </w:r>
      <w:r w:rsidR="009C5CD9" w:rsidRPr="00DB4478">
        <w:rPr>
          <w:color w:val="000000" w:themeColor="text1"/>
        </w:rPr>
        <w:t xml:space="preserve">, debilitados por el efecto de la pandemia </w:t>
      </w:r>
      <w:r w:rsidR="001D2D25" w:rsidRPr="00DB4478">
        <w:rPr>
          <w:color w:val="000000" w:themeColor="text1"/>
        </w:rPr>
        <w:t>de Covid-</w:t>
      </w:r>
      <w:r w:rsidR="009C5CD9" w:rsidRPr="00DB4478">
        <w:rPr>
          <w:color w:val="000000" w:themeColor="text1"/>
        </w:rPr>
        <w:t xml:space="preserve">19. En este proyecto, </w:t>
      </w:r>
      <w:r w:rsidRPr="00DB4478">
        <w:rPr>
          <w:color w:val="000000" w:themeColor="text1"/>
        </w:rPr>
        <w:t xml:space="preserve">ICCO </w:t>
      </w:r>
      <w:r w:rsidR="00C81904">
        <w:rPr>
          <w:color w:val="000000" w:themeColor="text1"/>
        </w:rPr>
        <w:t>-Conexión</w:t>
      </w:r>
      <w:r w:rsidRPr="00DB4478">
        <w:rPr>
          <w:color w:val="000000" w:themeColor="text1"/>
        </w:rPr>
        <w:t xml:space="preserve"> trabaja con 4 socios latinoamericanos: </w:t>
      </w:r>
      <w:r w:rsidR="005330B2" w:rsidRPr="00DB4478">
        <w:rPr>
          <w:color w:val="000000" w:themeColor="text1"/>
        </w:rPr>
        <w:t>Fundación Renacer (Colombia), Fundación Munasim K</w:t>
      </w:r>
      <w:r w:rsidR="00783A6B" w:rsidRPr="00DB4478">
        <w:rPr>
          <w:color w:val="000000" w:themeColor="text1"/>
        </w:rPr>
        <w:t>u</w:t>
      </w:r>
      <w:r w:rsidR="005330B2" w:rsidRPr="00DB4478">
        <w:rPr>
          <w:color w:val="000000" w:themeColor="text1"/>
        </w:rPr>
        <w:t>llakita (Bolivia), Asociación Tesis (Nicaragua), CHS Alternativo</w:t>
      </w:r>
      <w:r w:rsidR="009C5CD9" w:rsidRPr="00DB4478">
        <w:rPr>
          <w:color w:val="000000" w:themeColor="text1"/>
        </w:rPr>
        <w:t xml:space="preserve"> (Perú</w:t>
      </w:r>
      <w:r w:rsidR="00CC5A32" w:rsidRPr="00DB4478">
        <w:rPr>
          <w:color w:val="000000" w:themeColor="text1"/>
        </w:rPr>
        <w:t xml:space="preserve">). </w:t>
      </w:r>
    </w:p>
    <w:bookmarkEnd w:id="0"/>
    <w:p w14:paraId="1AA9D642" w14:textId="017CFDBF" w:rsidR="00EF1EB2" w:rsidRPr="00DB4478" w:rsidRDefault="00783A6B" w:rsidP="00CC5A32">
      <w:pPr>
        <w:jc w:val="both"/>
        <w:rPr>
          <w:color w:val="000000" w:themeColor="text1"/>
        </w:rPr>
      </w:pPr>
      <w:r w:rsidRPr="00DB4478">
        <w:rPr>
          <w:color w:val="000000" w:themeColor="text1"/>
        </w:rPr>
        <w:t>Estas</w:t>
      </w:r>
      <w:r w:rsidR="00CC5A32" w:rsidRPr="00DB4478">
        <w:rPr>
          <w:color w:val="000000" w:themeColor="text1"/>
        </w:rPr>
        <w:t xml:space="preserve"> organizaciones han llevado a cabo investigaciones </w:t>
      </w:r>
      <w:r w:rsidR="00C81D57" w:rsidRPr="00DB4478">
        <w:rPr>
          <w:color w:val="000000" w:themeColor="text1"/>
        </w:rPr>
        <w:t>cualitativas</w:t>
      </w:r>
      <w:r w:rsidR="009E3552" w:rsidRPr="00DB4478">
        <w:rPr>
          <w:color w:val="000000" w:themeColor="text1"/>
        </w:rPr>
        <w:t xml:space="preserve"> en sus territorios de trabajo</w:t>
      </w:r>
      <w:r w:rsidR="002C055D" w:rsidRPr="00DB4478">
        <w:rPr>
          <w:color w:val="000000" w:themeColor="text1"/>
        </w:rPr>
        <w:t xml:space="preserve"> </w:t>
      </w:r>
      <w:r w:rsidR="00CC5A32" w:rsidRPr="00DB4478">
        <w:rPr>
          <w:color w:val="000000" w:themeColor="text1"/>
        </w:rPr>
        <w:t xml:space="preserve">sobre el uso de TIC durante la pandemia y su relación con la vulnerabilidad y </w:t>
      </w:r>
      <w:r w:rsidR="009C5CD9" w:rsidRPr="00DB4478">
        <w:rPr>
          <w:color w:val="000000" w:themeColor="text1"/>
        </w:rPr>
        <w:t>la ESNNA</w:t>
      </w:r>
      <w:r w:rsidR="00CC5A32" w:rsidRPr="00DB4478">
        <w:rPr>
          <w:color w:val="000000" w:themeColor="text1"/>
        </w:rPr>
        <w:t xml:space="preserve">. Estas investigaciones tienen el objetivo de generar evidencia y fortalecer recomendaciones para el </w:t>
      </w:r>
      <w:r w:rsidR="009F3EF6" w:rsidRPr="00DB4478">
        <w:rPr>
          <w:color w:val="000000" w:themeColor="text1"/>
        </w:rPr>
        <w:t>diseño,</w:t>
      </w:r>
      <w:r w:rsidR="00CC5A32" w:rsidRPr="00DB4478">
        <w:rPr>
          <w:color w:val="000000" w:themeColor="text1"/>
        </w:rPr>
        <w:t xml:space="preserve"> así como</w:t>
      </w:r>
      <w:r w:rsidR="009C5CD9" w:rsidRPr="00DB4478">
        <w:rPr>
          <w:color w:val="000000" w:themeColor="text1"/>
        </w:rPr>
        <w:t xml:space="preserve"> la</w:t>
      </w:r>
      <w:r w:rsidR="00CC5A32" w:rsidRPr="00DB4478">
        <w:rPr>
          <w:color w:val="000000" w:themeColor="text1"/>
        </w:rPr>
        <w:t xml:space="preserve"> mejora en la implementación de políticas p</w:t>
      </w:r>
      <w:r w:rsidR="00EF1EB2" w:rsidRPr="00DB4478">
        <w:rPr>
          <w:color w:val="000000" w:themeColor="text1"/>
        </w:rPr>
        <w:t>ú</w:t>
      </w:r>
      <w:r w:rsidR="00CC5A32" w:rsidRPr="00DB4478">
        <w:rPr>
          <w:color w:val="000000" w:themeColor="text1"/>
        </w:rPr>
        <w:t>blicas para la protección</w:t>
      </w:r>
      <w:r w:rsidR="00EF1EB2" w:rsidRPr="00DB4478">
        <w:rPr>
          <w:color w:val="000000" w:themeColor="text1"/>
        </w:rPr>
        <w:t xml:space="preserve"> de </w:t>
      </w:r>
      <w:r w:rsidR="00FF13AD" w:rsidRPr="00DB4478">
        <w:rPr>
          <w:color w:val="000000" w:themeColor="text1"/>
        </w:rPr>
        <w:t xml:space="preserve">niños, niñas y adolescentes </w:t>
      </w:r>
      <w:r w:rsidR="00CC5A32" w:rsidRPr="00DB4478">
        <w:rPr>
          <w:color w:val="000000" w:themeColor="text1"/>
        </w:rPr>
        <w:t>y la luc</w:t>
      </w:r>
      <w:r w:rsidR="00EF1EB2" w:rsidRPr="00DB4478">
        <w:rPr>
          <w:color w:val="000000" w:themeColor="text1"/>
        </w:rPr>
        <w:t>ha contra los delitos de ESNNA</w:t>
      </w:r>
      <w:r w:rsidR="009C5CD9" w:rsidRPr="00DB4478">
        <w:rPr>
          <w:color w:val="000000" w:themeColor="text1"/>
        </w:rPr>
        <w:t>, incluida la ESNNA</w:t>
      </w:r>
      <w:r w:rsidR="006C4EFC" w:rsidRPr="00DB4478">
        <w:rPr>
          <w:color w:val="000000" w:themeColor="text1"/>
        </w:rPr>
        <w:t xml:space="preserve"> en línea</w:t>
      </w:r>
      <w:r w:rsidR="00EF1EB2" w:rsidRPr="00DB4478">
        <w:rPr>
          <w:color w:val="000000" w:themeColor="text1"/>
        </w:rPr>
        <w:t>.</w:t>
      </w:r>
    </w:p>
    <w:p w14:paraId="4A6A3B2C" w14:textId="4EF8BCFC" w:rsidR="009E3552" w:rsidRPr="00DB4478" w:rsidRDefault="00A146F0" w:rsidP="00CC5A32">
      <w:pPr>
        <w:jc w:val="both"/>
        <w:rPr>
          <w:color w:val="000000" w:themeColor="text1"/>
        </w:rPr>
      </w:pPr>
      <w:r w:rsidRPr="00DB4478">
        <w:rPr>
          <w:color w:val="000000" w:themeColor="text1"/>
        </w:rPr>
        <w:t>Metodológicamente, las investigaciones</w:t>
      </w:r>
      <w:r w:rsidR="00CA5D2A" w:rsidRPr="00DB4478">
        <w:rPr>
          <w:color w:val="000000" w:themeColor="text1"/>
        </w:rPr>
        <w:t xml:space="preserve"> usaron </w:t>
      </w:r>
      <w:r w:rsidR="00DE4CC1" w:rsidRPr="00DB4478">
        <w:rPr>
          <w:color w:val="000000" w:themeColor="text1"/>
        </w:rPr>
        <w:t xml:space="preserve">fuentes primarias y secundarias, mediante </w:t>
      </w:r>
      <w:r w:rsidR="004D6F91" w:rsidRPr="00DB4478">
        <w:rPr>
          <w:color w:val="000000" w:themeColor="text1"/>
        </w:rPr>
        <w:t xml:space="preserve">grupos focales, </w:t>
      </w:r>
      <w:r w:rsidR="00DE4CC1" w:rsidRPr="00DB4478">
        <w:rPr>
          <w:color w:val="000000" w:themeColor="text1"/>
        </w:rPr>
        <w:t>observación directa</w:t>
      </w:r>
      <w:r w:rsidR="002F71E2">
        <w:rPr>
          <w:color w:val="000000" w:themeColor="text1"/>
        </w:rPr>
        <w:t xml:space="preserve">, </w:t>
      </w:r>
      <w:r w:rsidR="00CA5D2A" w:rsidRPr="00DB4478">
        <w:rPr>
          <w:color w:val="000000" w:themeColor="text1"/>
        </w:rPr>
        <w:t>entrevistas semi estructuradas</w:t>
      </w:r>
      <w:r w:rsidR="00DE4CC1" w:rsidRPr="00DB4478">
        <w:rPr>
          <w:color w:val="000000" w:themeColor="text1"/>
        </w:rPr>
        <w:t xml:space="preserve"> </w:t>
      </w:r>
      <w:r w:rsidR="00CA5D2A" w:rsidRPr="00DB4478">
        <w:rPr>
          <w:color w:val="000000" w:themeColor="text1"/>
        </w:rPr>
        <w:t>e historias de vida. El grupo de análisis para las entrevistas fue el de operadores públicos encargados de la política p</w:t>
      </w:r>
      <w:r w:rsidR="00011865" w:rsidRPr="00DB4478">
        <w:rPr>
          <w:color w:val="000000" w:themeColor="text1"/>
        </w:rPr>
        <w:t>ú</w:t>
      </w:r>
      <w:r w:rsidR="00CA5D2A" w:rsidRPr="00DB4478">
        <w:rPr>
          <w:color w:val="000000" w:themeColor="text1"/>
        </w:rPr>
        <w:t>blica de ESNNA, padres o tutores de NNA, funcionarios de proyectos de ONG relacionadas con el tema</w:t>
      </w:r>
      <w:r w:rsidR="00011865" w:rsidRPr="00DB4478">
        <w:rPr>
          <w:color w:val="000000" w:themeColor="text1"/>
        </w:rPr>
        <w:t xml:space="preserve"> y NNA como población vulnerable.</w:t>
      </w:r>
      <w:r w:rsidR="00CA5D2A" w:rsidRPr="00DB4478">
        <w:rPr>
          <w:color w:val="000000" w:themeColor="text1"/>
        </w:rPr>
        <w:t xml:space="preserve"> </w:t>
      </w:r>
    </w:p>
    <w:p w14:paraId="3414A55C" w14:textId="183061A5" w:rsidR="00CB42C9" w:rsidRPr="00DB4478" w:rsidRDefault="008F500E" w:rsidP="00CC5A32">
      <w:pPr>
        <w:jc w:val="both"/>
        <w:rPr>
          <w:color w:val="000000" w:themeColor="text1"/>
        </w:rPr>
      </w:pPr>
      <w:r w:rsidRPr="00DB4478">
        <w:rPr>
          <w:color w:val="000000" w:themeColor="text1"/>
        </w:rPr>
        <w:t xml:space="preserve">Con estas herramientas </w:t>
      </w:r>
      <w:r w:rsidR="004D6F91" w:rsidRPr="00DB4478">
        <w:rPr>
          <w:color w:val="000000" w:themeColor="text1"/>
        </w:rPr>
        <w:t>se recolectaron las percepciones de</w:t>
      </w:r>
      <w:r w:rsidRPr="00DB4478">
        <w:rPr>
          <w:color w:val="000000" w:themeColor="text1"/>
        </w:rPr>
        <w:t xml:space="preserve"> 317 NNA, 38 funcionarios públicos y 20 miembros de organizaciones de la sociedad civil</w:t>
      </w:r>
      <w:r w:rsidR="00DF552D" w:rsidRPr="00DB4478">
        <w:rPr>
          <w:color w:val="000000" w:themeColor="text1"/>
        </w:rPr>
        <w:t>.</w:t>
      </w:r>
      <w:r w:rsidRPr="00DB4478">
        <w:rPr>
          <w:color w:val="000000" w:themeColor="text1"/>
        </w:rPr>
        <w:t xml:space="preserve"> </w:t>
      </w:r>
      <w:r w:rsidR="004D6F91" w:rsidRPr="00DB4478">
        <w:rPr>
          <w:color w:val="000000" w:themeColor="text1"/>
        </w:rPr>
        <w:t xml:space="preserve">    </w:t>
      </w:r>
      <w:r w:rsidR="00CA5D2A" w:rsidRPr="00DB4478">
        <w:rPr>
          <w:color w:val="000000" w:themeColor="text1"/>
        </w:rPr>
        <w:t xml:space="preserve"> </w:t>
      </w:r>
    </w:p>
    <w:p w14:paraId="4B1C5D67" w14:textId="1E2B642A" w:rsidR="00EF1EB2" w:rsidRPr="00EF1EB2" w:rsidRDefault="002B0F63" w:rsidP="00EF1EB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USO DE TIC Y RIESGOS</w:t>
      </w:r>
    </w:p>
    <w:p w14:paraId="16632A0C" w14:textId="529C0D08" w:rsidR="007A3FB7" w:rsidRDefault="00D6329C" w:rsidP="007A3FB7">
      <w:pPr>
        <w:jc w:val="both"/>
      </w:pPr>
      <w:r>
        <w:t xml:space="preserve">A </w:t>
      </w:r>
      <w:r w:rsidR="00775AA2">
        <w:t xml:space="preserve">pesar de las limitaciones </w:t>
      </w:r>
      <w:r w:rsidR="002F71E2">
        <w:t xml:space="preserve">estructurales </w:t>
      </w:r>
      <w:r w:rsidR="00775AA2">
        <w:t>y la brecha digital, se ha incrementado el acceso y uso</w:t>
      </w:r>
      <w:r>
        <w:t xml:space="preserve"> de las TIC</w:t>
      </w:r>
      <w:r w:rsidR="00775AA2">
        <w:t xml:space="preserve"> en las familias de la región y en especial en el grupo de NNA</w:t>
      </w:r>
      <w:r w:rsidR="000D5D9B">
        <w:t>,</w:t>
      </w:r>
      <w:r w:rsidR="00CD4DBE">
        <w:t xml:space="preserve"> también</w:t>
      </w:r>
      <w:r w:rsidR="000D5D9B">
        <w:t>,</w:t>
      </w:r>
      <w:r w:rsidR="00CD4DBE">
        <w:t xml:space="preserve"> como producto </w:t>
      </w:r>
      <w:r w:rsidR="009E6789">
        <w:t xml:space="preserve">fundamental </w:t>
      </w:r>
      <w:r w:rsidR="00CD4DBE">
        <w:t>de la</w:t>
      </w:r>
      <w:r w:rsidR="007A3FB7">
        <w:t xml:space="preserve"> suspensión de la escuela presencial. </w:t>
      </w:r>
    </w:p>
    <w:p w14:paraId="446BC8BC" w14:textId="78C01F86" w:rsidR="0087683C" w:rsidRDefault="00BA068B" w:rsidP="007A3FB7">
      <w:pPr>
        <w:jc w:val="both"/>
      </w:pPr>
      <w:r>
        <w:t>En Perú</w:t>
      </w:r>
      <w:r w:rsidR="00D6329C">
        <w:rPr>
          <w:rStyle w:val="FootnoteReference"/>
        </w:rPr>
        <w:footnoteReference w:id="1"/>
      </w:r>
      <w:r>
        <w:t>, en un rango de edad entre los 5 a los 17 años, 7 de cada 10 entrevistados utilizaba la red internet diariamente</w:t>
      </w:r>
      <w:r w:rsidR="00E62A16">
        <w:t>,</w:t>
      </w:r>
      <w:r>
        <w:t xml:space="preserve"> en un contexto d</w:t>
      </w:r>
      <w:r w:rsidR="00E62A16">
        <w:t>onde la</w:t>
      </w:r>
      <w:r>
        <w:t xml:space="preserve"> </w:t>
      </w:r>
      <w:r w:rsidR="00E62A16">
        <w:t xml:space="preserve">perspectiva es también de </w:t>
      </w:r>
      <w:r>
        <w:t xml:space="preserve">aumento del tiempo destinado en </w:t>
      </w:r>
      <w:r w:rsidR="00E62A16">
        <w:t>el uso de la red</w:t>
      </w:r>
      <w:r w:rsidR="00A91B47">
        <w:t xml:space="preserve"> y reducción de la edad de quienes la usan</w:t>
      </w:r>
      <w:r w:rsidR="00E62A16">
        <w:t>; e</w:t>
      </w:r>
      <w:r>
        <w:t>n Bolivia</w:t>
      </w:r>
      <w:r w:rsidR="00696826">
        <w:rPr>
          <w:rStyle w:val="FootnoteReference"/>
        </w:rPr>
        <w:footnoteReference w:id="2"/>
      </w:r>
      <w:r>
        <w:t xml:space="preserve">, los </w:t>
      </w:r>
      <w:r>
        <w:lastRenderedPageBreak/>
        <w:t>resultados del estudio reflejan que 55% de adolescentes</w:t>
      </w:r>
      <w:r w:rsidR="00BC2830">
        <w:t xml:space="preserve"> entrevistados </w:t>
      </w:r>
      <w:r>
        <w:t>accede a la red más de 120 minutos diarios.</w:t>
      </w:r>
      <w:r w:rsidR="00E62A16">
        <w:t xml:space="preserve"> </w:t>
      </w:r>
    </w:p>
    <w:p w14:paraId="5F8752D6" w14:textId="3776E2A5" w:rsidR="001F6993" w:rsidRDefault="008F74FC" w:rsidP="0087683C">
      <w:pPr>
        <w:jc w:val="both"/>
      </w:pPr>
      <w:r w:rsidRPr="0087683C">
        <w:t>En Nicaragua</w:t>
      </w:r>
      <w:r w:rsidR="00696826">
        <w:rPr>
          <w:rStyle w:val="FootnoteReference"/>
        </w:rPr>
        <w:footnoteReference w:id="3"/>
      </w:r>
      <w:r w:rsidR="00BC2830">
        <w:t>,</w:t>
      </w:r>
      <w:r w:rsidR="0087683C" w:rsidRPr="0087683C">
        <w:t xml:space="preserve"> los NNA en promedio invierten entre cuatro a seis horas al día</w:t>
      </w:r>
      <w:r w:rsidR="00BC2830">
        <w:t xml:space="preserve"> en acceso a la red internet</w:t>
      </w:r>
      <w:r w:rsidR="0087683C" w:rsidRPr="0087683C">
        <w:t>; esta duración integra el tiempo que dedican a las clases en línea, investigaciones escolares y en actividades de entretenimiento.</w:t>
      </w:r>
    </w:p>
    <w:p w14:paraId="6D2D74BE" w14:textId="66E19846" w:rsidR="009A23F7" w:rsidRDefault="00E62A16" w:rsidP="005469C8">
      <w:pPr>
        <w:jc w:val="both"/>
      </w:pPr>
      <w:r>
        <w:t>Con mayor acceso y frecuencia</w:t>
      </w:r>
      <w:r w:rsidR="002157E8">
        <w:t xml:space="preserve"> de uso</w:t>
      </w:r>
      <w:r>
        <w:t>, los riesgos también son mayores y los padres o tutores de NNA están conscientes de los mismos</w:t>
      </w:r>
      <w:r w:rsidR="00BC2830">
        <w:t xml:space="preserve"> a nivel general</w:t>
      </w:r>
      <w:r>
        <w:t xml:space="preserve">, pero no </w:t>
      </w:r>
      <w:r w:rsidR="000D5D9B">
        <w:t xml:space="preserve">tanto </w:t>
      </w:r>
      <w:r>
        <w:t>en términos específicos</w:t>
      </w:r>
      <w:r w:rsidR="002157E8">
        <w:t xml:space="preserve"> y vinculados al uso de TIC</w:t>
      </w:r>
      <w:r w:rsidR="00115A03">
        <w:t xml:space="preserve"> (en Perú</w:t>
      </w:r>
      <w:r w:rsidR="009C5175">
        <w:t>,</w:t>
      </w:r>
      <w:r w:rsidR="00C82F15">
        <w:t xml:space="preserve"> por ejemplo</w:t>
      </w:r>
      <w:r w:rsidR="00115A03">
        <w:t xml:space="preserve">, 54% </w:t>
      </w:r>
      <w:r w:rsidR="008B4323">
        <w:t>de los entrevistados</w:t>
      </w:r>
      <w:r w:rsidR="00A91B47">
        <w:t xml:space="preserve"> tiene una idea </w:t>
      </w:r>
      <w:r w:rsidR="00115A03">
        <w:t xml:space="preserve">de las diversas modalidades de </w:t>
      </w:r>
      <w:r w:rsidR="000D3237">
        <w:t>ES</w:t>
      </w:r>
      <w:r w:rsidR="00115A03">
        <w:t xml:space="preserve">NNA, mientras </w:t>
      </w:r>
      <w:r w:rsidR="00DF552D">
        <w:t>que,</w:t>
      </w:r>
      <w:r w:rsidR="00115A03">
        <w:t xml:space="preserve"> en Bolivia</w:t>
      </w:r>
      <w:r w:rsidR="0036197F">
        <w:t>, Colombia</w:t>
      </w:r>
      <w:r w:rsidR="007D35B9">
        <w:rPr>
          <w:rStyle w:val="FootnoteReference"/>
        </w:rPr>
        <w:footnoteReference w:id="4"/>
      </w:r>
      <w:r w:rsidR="0036197F">
        <w:t xml:space="preserve"> y Nicaragua</w:t>
      </w:r>
      <w:r w:rsidR="00115A03">
        <w:t xml:space="preserve"> </w:t>
      </w:r>
      <w:r w:rsidR="000D5D9B">
        <w:t>l</w:t>
      </w:r>
      <w:r w:rsidR="00523F27">
        <w:t>a</w:t>
      </w:r>
      <w:r w:rsidR="000D5D9B">
        <w:t xml:space="preserve"> cifra</w:t>
      </w:r>
      <w:r w:rsidR="00115A03">
        <w:t xml:space="preserve"> no llega ni a la mitad de este porcentaje)</w:t>
      </w:r>
      <w:r>
        <w:t>.</w:t>
      </w:r>
      <w:r w:rsidR="00523F27">
        <w:t xml:space="preserve"> </w:t>
      </w:r>
      <w:r w:rsidR="007E4782">
        <w:t xml:space="preserve">Asimismo, alrededor de un 90% de los padres no llegan a supervisar </w:t>
      </w:r>
      <w:r w:rsidR="00EE12A8">
        <w:t xml:space="preserve">los contenidos de navegación de sus hijos. </w:t>
      </w:r>
    </w:p>
    <w:p w14:paraId="6C6516B1" w14:textId="2180F152" w:rsidR="005469C8" w:rsidRDefault="007A677D" w:rsidP="005469C8">
      <w:pPr>
        <w:jc w:val="both"/>
      </w:pPr>
      <w:r w:rsidRPr="00DF552D">
        <w:rPr>
          <w:b/>
          <w:bCs/>
        </w:rPr>
        <w:t>El</w:t>
      </w:r>
      <w:r w:rsidR="005469C8" w:rsidRPr="00DF552D">
        <w:rPr>
          <w:b/>
          <w:bCs/>
        </w:rPr>
        <w:t xml:space="preserve"> desconocimiento </w:t>
      </w:r>
      <w:r w:rsidR="006A6C16" w:rsidRPr="00DF552D">
        <w:rPr>
          <w:b/>
          <w:bCs/>
        </w:rPr>
        <w:t>de la relación de TIC y riesgos</w:t>
      </w:r>
      <w:r w:rsidR="006A6C16">
        <w:t xml:space="preserve"> </w:t>
      </w:r>
      <w:r w:rsidR="00EE12A8">
        <w:t>se explica</w:t>
      </w:r>
      <w:r w:rsidR="005469C8" w:rsidRPr="005469C8">
        <w:t xml:space="preserve"> en parte </w:t>
      </w:r>
      <w:r w:rsidR="00C04E68">
        <w:t>por</w:t>
      </w:r>
      <w:r w:rsidR="00C04E68" w:rsidRPr="005469C8">
        <w:t xml:space="preserve"> </w:t>
      </w:r>
      <w:r w:rsidR="005469C8" w:rsidRPr="005469C8">
        <w:t xml:space="preserve">la brecha digital </w:t>
      </w:r>
      <w:r w:rsidR="00D42AE7" w:rsidRPr="005469C8">
        <w:t>existente,</w:t>
      </w:r>
      <w:r w:rsidR="005469C8" w:rsidRPr="005469C8">
        <w:t xml:space="preserve"> pero </w:t>
      </w:r>
      <w:r w:rsidR="009A23F7" w:rsidRPr="005469C8">
        <w:t>también</w:t>
      </w:r>
      <w:r w:rsidR="005469C8" w:rsidRPr="005469C8">
        <w:t xml:space="preserve"> porque buena parte de las personas adultas cuidadoras de NNA </w:t>
      </w:r>
      <w:r w:rsidR="00EE12A8">
        <w:t>están centrados en la generación de ingresos para sus familias</w:t>
      </w:r>
      <w:r w:rsidR="00C04E68">
        <w:t xml:space="preserve"> con poco tiempo de</w:t>
      </w:r>
      <w:r w:rsidR="00B40E9D">
        <w:t>stinado a la</w:t>
      </w:r>
      <w:r w:rsidR="00C04E68">
        <w:t xml:space="preserve"> supervisión.</w:t>
      </w:r>
      <w:r w:rsidR="00EE12A8">
        <w:t xml:space="preserve"> </w:t>
      </w:r>
    </w:p>
    <w:p w14:paraId="370B2137" w14:textId="30B4B587" w:rsidR="00524422" w:rsidRDefault="00E62A16" w:rsidP="00524422">
      <w:pPr>
        <w:jc w:val="both"/>
      </w:pPr>
      <w:r>
        <w:t xml:space="preserve">Los riesgos </w:t>
      </w:r>
      <w:r w:rsidR="00B40E9D">
        <w:t xml:space="preserve">asociados al uso de TIC </w:t>
      </w:r>
      <w:r>
        <w:t xml:space="preserve">identificados </w:t>
      </w:r>
      <w:r w:rsidR="008F320C">
        <w:t xml:space="preserve">por autoridades públicas entrevistadas </w:t>
      </w:r>
      <w:r w:rsidR="00BC2830">
        <w:t>e intensificados en este periodo de pandemia</w:t>
      </w:r>
      <w:r w:rsidR="007A677D">
        <w:t>,</w:t>
      </w:r>
      <w:r>
        <w:t xml:space="preserve"> son los vinculados al grooming, al sexting, a la sextorsión y al </w:t>
      </w:r>
      <w:r w:rsidRPr="00DF552D">
        <w:rPr>
          <w:b/>
          <w:bCs/>
        </w:rPr>
        <w:t>uso fre</w:t>
      </w:r>
      <w:r w:rsidR="008B4323" w:rsidRPr="00DF552D">
        <w:rPr>
          <w:b/>
          <w:bCs/>
        </w:rPr>
        <w:t>cue</w:t>
      </w:r>
      <w:r w:rsidRPr="00DF552D">
        <w:rPr>
          <w:b/>
          <w:bCs/>
        </w:rPr>
        <w:t>nte de redes</w:t>
      </w:r>
      <w:r w:rsidR="0087683C" w:rsidRPr="00DF552D">
        <w:rPr>
          <w:b/>
          <w:bCs/>
        </w:rPr>
        <w:t xml:space="preserve"> sociales</w:t>
      </w:r>
      <w:r w:rsidR="00BC2830">
        <w:t>,</w:t>
      </w:r>
      <w:r>
        <w:t xml:space="preserve"> así como </w:t>
      </w:r>
      <w:r w:rsidRPr="00DF552D">
        <w:rPr>
          <w:b/>
          <w:bCs/>
        </w:rPr>
        <w:t>de juegos en línea</w:t>
      </w:r>
      <w:r>
        <w:t xml:space="preserve"> como mecanismos que depredadores sexuales y redes mafiosas asociadas a la ESNNA</w:t>
      </w:r>
      <w:r w:rsidR="00302EC2">
        <w:t xml:space="preserve"> han usado en este periodo para violentar a NNA.</w:t>
      </w:r>
      <w:r w:rsidR="002E5650">
        <w:t xml:space="preserve"> </w:t>
      </w:r>
      <w:r w:rsidR="00961D7E">
        <w:rPr>
          <w:lang w:val="es-PE"/>
        </w:rPr>
        <w:t>En</w:t>
      </w:r>
      <w:r w:rsidR="00524422">
        <w:rPr>
          <w:lang w:val="es-PE"/>
        </w:rPr>
        <w:t xml:space="preserve"> Perú,</w:t>
      </w:r>
      <w:r w:rsidR="00524422" w:rsidRPr="003E494D">
        <w:rPr>
          <w:lang w:val="es-PE"/>
        </w:rPr>
        <w:t xml:space="preserve"> 7 de cada 10 padres consideran que sus hijos están expuestos a estas situaciones</w:t>
      </w:r>
      <w:r w:rsidR="00524422">
        <w:rPr>
          <w:lang w:val="es-PE"/>
        </w:rPr>
        <w:t xml:space="preserve"> y un</w:t>
      </w:r>
      <w:r w:rsidR="00524422" w:rsidRPr="003E494D">
        <w:rPr>
          <w:lang w:val="es-PE"/>
        </w:rPr>
        <w:t xml:space="preserve"> 48% se ha enfrentado a </w:t>
      </w:r>
      <w:r w:rsidR="006A7AFE">
        <w:rPr>
          <w:lang w:val="es-PE"/>
        </w:rPr>
        <w:t>algunos</w:t>
      </w:r>
      <w:r w:rsidR="006A7AFE" w:rsidRPr="003E494D">
        <w:rPr>
          <w:lang w:val="es-PE"/>
        </w:rPr>
        <w:t xml:space="preserve"> </w:t>
      </w:r>
      <w:r w:rsidR="00524422" w:rsidRPr="003E494D">
        <w:rPr>
          <w:lang w:val="es-PE"/>
        </w:rPr>
        <w:t>de est</w:t>
      </w:r>
      <w:r w:rsidR="007A677D">
        <w:rPr>
          <w:lang w:val="es-PE"/>
        </w:rPr>
        <w:t>os riesgo</w:t>
      </w:r>
      <w:r w:rsidR="00674F9C">
        <w:rPr>
          <w:lang w:val="es-PE"/>
        </w:rPr>
        <w:t>s</w:t>
      </w:r>
      <w:r w:rsidR="007D35B9">
        <w:rPr>
          <w:lang w:val="es-PE"/>
        </w:rPr>
        <w:t xml:space="preserve"> (CHS, 2022)</w:t>
      </w:r>
      <w:r w:rsidR="00524422" w:rsidRPr="003E494D">
        <w:rPr>
          <w:lang w:val="es-PE"/>
        </w:rPr>
        <w:t>.</w:t>
      </w:r>
    </w:p>
    <w:p w14:paraId="56A3AB71" w14:textId="3F2AC385" w:rsidR="007163B1" w:rsidRDefault="00EE5754" w:rsidP="007A3FB7">
      <w:pPr>
        <w:jc w:val="both"/>
      </w:pPr>
      <w:r>
        <w:t>Las entrevistas</w:t>
      </w:r>
      <w:r w:rsidR="007A677D">
        <w:t xml:space="preserve"> </w:t>
      </w:r>
      <w:r w:rsidR="00A66649">
        <w:t>realizadas</w:t>
      </w:r>
      <w:r>
        <w:t xml:space="preserve"> con adolescentes muestran</w:t>
      </w:r>
      <w:r w:rsidR="00B15323">
        <w:t xml:space="preserve"> también</w:t>
      </w:r>
      <w:r>
        <w:t xml:space="preserve"> </w:t>
      </w:r>
      <w:r w:rsidR="00C93FE1">
        <w:t>que,</w:t>
      </w:r>
      <w:r>
        <w:t xml:space="preserve"> aprovechando </w:t>
      </w:r>
      <w:r w:rsidR="0087683C">
        <w:t xml:space="preserve">las necesidades económicas de las familias, los procesos de captación para ESNNA han estado </w:t>
      </w:r>
      <w:r w:rsidR="0087683C" w:rsidRPr="00DB4478">
        <w:rPr>
          <w:b/>
          <w:bCs/>
        </w:rPr>
        <w:t xml:space="preserve">ocultas bajo </w:t>
      </w:r>
      <w:r w:rsidRPr="00DB4478">
        <w:rPr>
          <w:b/>
          <w:bCs/>
        </w:rPr>
        <w:t xml:space="preserve">la </w:t>
      </w:r>
      <w:r w:rsidR="0087683C" w:rsidRPr="00DB4478">
        <w:rPr>
          <w:b/>
          <w:bCs/>
        </w:rPr>
        <w:t>facha</w:t>
      </w:r>
      <w:r w:rsidRPr="00DB4478">
        <w:rPr>
          <w:b/>
          <w:bCs/>
        </w:rPr>
        <w:t xml:space="preserve">da </w:t>
      </w:r>
      <w:r w:rsidR="0087683C" w:rsidRPr="00DB4478">
        <w:rPr>
          <w:b/>
          <w:bCs/>
        </w:rPr>
        <w:t xml:space="preserve">de </w:t>
      </w:r>
      <w:r w:rsidR="0080286C" w:rsidRPr="00DB4478">
        <w:rPr>
          <w:b/>
          <w:bCs/>
        </w:rPr>
        <w:t xml:space="preserve">agencias </w:t>
      </w:r>
      <w:r w:rsidR="0087683C" w:rsidRPr="00DB4478">
        <w:rPr>
          <w:b/>
          <w:bCs/>
        </w:rPr>
        <w:t>de empleos</w:t>
      </w:r>
      <w:r w:rsidR="0080286C">
        <w:t xml:space="preserve"> ofertadas en redes sociales</w:t>
      </w:r>
      <w:r w:rsidR="0087683C">
        <w:t xml:space="preserve"> que han conducido a muchas adolescentes</w:t>
      </w:r>
      <w:r w:rsidR="00A66649">
        <w:t>,</w:t>
      </w:r>
      <w:r w:rsidR="0087683C">
        <w:t xml:space="preserve"> </w:t>
      </w:r>
      <w:r w:rsidR="00474D0C">
        <w:t>motivadas por ayudar a su familia en la generación de ingresos</w:t>
      </w:r>
      <w:r w:rsidR="00A66649">
        <w:t>,</w:t>
      </w:r>
      <w:r w:rsidR="00474D0C">
        <w:t xml:space="preserve"> </w:t>
      </w:r>
      <w:r w:rsidR="0087683C">
        <w:t>a caer bajo el influjo de redes mafiosas</w:t>
      </w:r>
      <w:r w:rsidR="007163B1">
        <w:t>.</w:t>
      </w:r>
    </w:p>
    <w:p w14:paraId="5F5973F6" w14:textId="77777777" w:rsidR="00696826" w:rsidRDefault="006B0393" w:rsidP="006B0393">
      <w:pPr>
        <w:jc w:val="both"/>
      </w:pPr>
      <w:r>
        <w:t>Los</w:t>
      </w:r>
      <w:r w:rsidRPr="006B0393">
        <w:t xml:space="preserve"> explotadores/explotadoras sexuales han identificado en las redes sociales un nicho de captación de víctimas, puesto que es dond</w:t>
      </w:r>
      <w:r>
        <w:t xml:space="preserve">e </w:t>
      </w:r>
      <w:r w:rsidRPr="006B0393">
        <w:t xml:space="preserve">los </w:t>
      </w:r>
      <w:r>
        <w:t>NNA ahora</w:t>
      </w:r>
      <w:r w:rsidRPr="006B0393">
        <w:t xml:space="preserve"> exponen sus problemas, emociones, sentimientos, deseos, anhelos y necesidades</w:t>
      </w:r>
      <w:r>
        <w:t xml:space="preserve">. Existen </w:t>
      </w:r>
      <w:r w:rsidRPr="00DF552D">
        <w:rPr>
          <w:b/>
          <w:bCs/>
        </w:rPr>
        <w:t>factores culturales</w:t>
      </w:r>
      <w:r>
        <w:t xml:space="preserve"> que también facilitan estos procesos</w:t>
      </w:r>
      <w:r w:rsidR="00C03ED3">
        <w:t>.</w:t>
      </w:r>
      <w:r>
        <w:t xml:space="preserve"> </w:t>
      </w:r>
    </w:p>
    <w:p w14:paraId="4AF8B8E1" w14:textId="75FFC866" w:rsidR="006B0393" w:rsidRPr="006B0393" w:rsidRDefault="00C03ED3" w:rsidP="006B0393">
      <w:pPr>
        <w:jc w:val="both"/>
      </w:pPr>
      <w:r>
        <w:t>P</w:t>
      </w:r>
      <w:r w:rsidR="006B0393">
        <w:t xml:space="preserve">or ejemplo, </w:t>
      </w:r>
      <w:r w:rsidR="00EE5754">
        <w:t xml:space="preserve">la investigación en Nicaragua muestra que </w:t>
      </w:r>
      <w:r w:rsidR="006B0393">
        <w:t xml:space="preserve">en </w:t>
      </w:r>
      <w:r w:rsidR="00674F9C">
        <w:t>su</w:t>
      </w:r>
      <w:r w:rsidR="006B0393" w:rsidRPr="006B0393">
        <w:t xml:space="preserve"> sociedad existe </w:t>
      </w:r>
      <w:r w:rsidR="006B0393" w:rsidRPr="00B16AD5">
        <w:rPr>
          <w:b/>
          <w:bCs/>
        </w:rPr>
        <w:t>un gran nivel de tolerancia y normalización</w:t>
      </w:r>
      <w:r w:rsidR="006B0393">
        <w:t xml:space="preserve"> al </w:t>
      </w:r>
      <w:r w:rsidR="006B0393" w:rsidRPr="006B0393">
        <w:t>hecho que una adolescente de 16, 17 o 18 años</w:t>
      </w:r>
      <w:r w:rsidR="00523F27">
        <w:t xml:space="preserve"> se contacte y </w:t>
      </w:r>
      <w:r w:rsidR="006B0393" w:rsidRPr="006B0393">
        <w:t xml:space="preserve">establezca una relación sentimental con un hombre </w:t>
      </w:r>
      <w:r w:rsidR="00C93FE1">
        <w:t xml:space="preserve">mayor de 40 </w:t>
      </w:r>
      <w:r w:rsidR="006B0393" w:rsidRPr="006B0393">
        <w:t>años</w:t>
      </w:r>
      <w:r>
        <w:t>,</w:t>
      </w:r>
      <w:r w:rsidR="006B0393" w:rsidRPr="006B0393">
        <w:t xml:space="preserve"> exaltando los beneficios de dicha relación en función de mejorar su situación económica y la de su familia</w:t>
      </w:r>
      <w:r w:rsidR="00CE5DCD">
        <w:t xml:space="preserve"> </w:t>
      </w:r>
      <w:r w:rsidR="009E3552">
        <w:t xml:space="preserve">(M; Bustos E; </w:t>
      </w:r>
      <w:r w:rsidR="00B16AD5">
        <w:t>Martínez</w:t>
      </w:r>
      <w:r w:rsidR="009E3552">
        <w:t xml:space="preserve">, y W; Ottoniel Y (2022). </w:t>
      </w:r>
      <w:r w:rsidR="005325B0" w:rsidRPr="004E1F94">
        <w:t>De igual manera, en Perú</w:t>
      </w:r>
      <w:r w:rsidR="005A30B6" w:rsidRPr="004E1F94">
        <w:t>,</w:t>
      </w:r>
      <w:r w:rsidR="005325B0" w:rsidRPr="004E1F94">
        <w:t xml:space="preserve"> </w:t>
      </w:r>
      <w:r w:rsidR="00523F27" w:rsidRPr="004E1F94">
        <w:t xml:space="preserve">existen estos procesos de validación social donde </w:t>
      </w:r>
      <w:r w:rsidR="005325B0" w:rsidRPr="004E1F94">
        <w:t>cerca del 60% de entrevistados considera</w:t>
      </w:r>
      <w:r w:rsidR="006A7AFE" w:rsidRPr="004E1F94">
        <w:t>ba</w:t>
      </w:r>
      <w:r w:rsidR="005325B0" w:rsidRPr="004E1F94">
        <w:t xml:space="preserve"> la violencia contra NNA aceptable y 21% p</w:t>
      </w:r>
      <w:r w:rsidR="006A7AFE" w:rsidRPr="004E1F94">
        <w:t>ensaba</w:t>
      </w:r>
      <w:r w:rsidR="005325B0" w:rsidRPr="004E1F94">
        <w:t xml:space="preserve"> que </w:t>
      </w:r>
      <w:r w:rsidR="006A7AFE" w:rsidRPr="004E1F94">
        <w:t xml:space="preserve">era </w:t>
      </w:r>
      <w:r w:rsidR="005325B0" w:rsidRPr="004E1F94">
        <w:t>mejor no intervenir en casos de abusos sexuales</w:t>
      </w:r>
      <w:r w:rsidR="0032039E">
        <w:rPr>
          <w:rStyle w:val="FootnoteReference"/>
        </w:rPr>
        <w:footnoteReference w:id="5"/>
      </w:r>
      <w:r w:rsidR="005325B0" w:rsidRPr="004E1F94">
        <w:t>.</w:t>
      </w:r>
      <w:r w:rsidR="005325B0">
        <w:t xml:space="preserve"> </w:t>
      </w:r>
    </w:p>
    <w:p w14:paraId="2ED4ABA6" w14:textId="1FF2D6FE" w:rsidR="002976BC" w:rsidRDefault="001A76BC" w:rsidP="00474D0C">
      <w:pPr>
        <w:pStyle w:val="Footer"/>
        <w:jc w:val="both"/>
      </w:pPr>
      <w:r w:rsidRPr="00CE5DCD">
        <w:rPr>
          <w:b/>
          <w:bCs/>
        </w:rPr>
        <w:t>El</w:t>
      </w:r>
      <w:r w:rsidR="007163B1" w:rsidRPr="00CE5DCD">
        <w:rPr>
          <w:b/>
          <w:bCs/>
        </w:rPr>
        <w:t xml:space="preserve"> anonimato del internet dificulta la denuncia</w:t>
      </w:r>
      <w:r w:rsidR="007163B1" w:rsidRPr="00723610">
        <w:t xml:space="preserve">, </w:t>
      </w:r>
      <w:r w:rsidR="007163B1" w:rsidRPr="006D1352">
        <w:rPr>
          <w:b/>
          <w:bCs/>
        </w:rPr>
        <w:t>la investigación, la persecución y sanción penal</w:t>
      </w:r>
      <w:r w:rsidR="007163B1" w:rsidRPr="00723610">
        <w:t xml:space="preserve"> </w:t>
      </w:r>
      <w:r w:rsidR="007163B1" w:rsidRPr="006D1352">
        <w:rPr>
          <w:b/>
          <w:bCs/>
        </w:rPr>
        <w:t>de la ESNNA</w:t>
      </w:r>
      <w:r w:rsidR="006A6C16" w:rsidRPr="006D1352">
        <w:rPr>
          <w:b/>
          <w:bCs/>
        </w:rPr>
        <w:t xml:space="preserve"> a través del uso de TIC</w:t>
      </w:r>
      <w:r w:rsidR="00474D0C">
        <w:t xml:space="preserve">. </w:t>
      </w:r>
      <w:r w:rsidR="007163B1" w:rsidRPr="00723610">
        <w:t>Los primeros pasos de toda investigación policial acerca de un delito se dirigen hacia la determinación del autor o autores, sin embargo, en los delitos cometidos a través de las TIC, donde e</w:t>
      </w:r>
      <w:r w:rsidR="004E4AF6">
        <w:t>l</w:t>
      </w:r>
      <w:r w:rsidR="007163B1" w:rsidRPr="00723610">
        <w:t xml:space="preserve"> anonimato es la regla y no la excepción, la investigación se torna complicada</w:t>
      </w:r>
      <w:r w:rsidR="00C03ED3">
        <w:t>.</w:t>
      </w:r>
    </w:p>
    <w:p w14:paraId="0ED47BE5" w14:textId="77777777" w:rsidR="002976BC" w:rsidRDefault="002976BC" w:rsidP="00474D0C">
      <w:pPr>
        <w:pStyle w:val="Footer"/>
        <w:jc w:val="both"/>
      </w:pPr>
    </w:p>
    <w:p w14:paraId="2FD939D2" w14:textId="08769FE3" w:rsidR="007163B1" w:rsidRPr="00723610" w:rsidRDefault="00C03ED3" w:rsidP="00474D0C">
      <w:pPr>
        <w:pStyle w:val="Footer"/>
        <w:jc w:val="both"/>
      </w:pPr>
      <w:r>
        <w:t>Q</w:t>
      </w:r>
      <w:r w:rsidR="007163B1" w:rsidRPr="00723610">
        <w:t xml:space="preserve">uien comete el delito </w:t>
      </w:r>
      <w:r w:rsidR="006A6C16">
        <w:t xml:space="preserve">se escuda detrás de la red </w:t>
      </w:r>
      <w:r w:rsidR="007163B1" w:rsidRPr="00723610">
        <w:t xml:space="preserve">Internet </w:t>
      </w:r>
      <w:r w:rsidR="006A6C16">
        <w:t xml:space="preserve">que </w:t>
      </w:r>
      <w:r w:rsidR="007163B1" w:rsidRPr="00723610">
        <w:t>le permite mostrar sólo una representación virtual que puede ser una dirección IP, a la que necesariamente se debe atribuir una persona física, detalle que exige la investigación a muchos actores</w:t>
      </w:r>
      <w:r w:rsidR="009A26C5">
        <w:t>,</w:t>
      </w:r>
      <w:r w:rsidR="007163B1" w:rsidRPr="00723610">
        <w:t xml:space="preserve"> desde la empresa proveedora del servicio, hasta el titular del sistema informático y la concreción del usuario que realizó la acción.</w:t>
      </w:r>
    </w:p>
    <w:p w14:paraId="0DC542A5" w14:textId="77777777" w:rsidR="00474D0C" w:rsidRDefault="00474D0C" w:rsidP="00474D0C">
      <w:pPr>
        <w:pStyle w:val="Footer"/>
        <w:jc w:val="both"/>
      </w:pPr>
    </w:p>
    <w:p w14:paraId="6D451B26" w14:textId="612DD573" w:rsidR="009F3EF6" w:rsidRDefault="003E494D" w:rsidP="009F3EF6">
      <w:pPr>
        <w:pStyle w:val="Footer"/>
        <w:jc w:val="both"/>
      </w:pPr>
      <w:r>
        <w:t xml:space="preserve">Estas situaciones </w:t>
      </w:r>
      <w:r w:rsidR="00474D0C" w:rsidRPr="00723610">
        <w:t>obliga</w:t>
      </w:r>
      <w:r>
        <w:t>n</w:t>
      </w:r>
      <w:r w:rsidR="00474D0C" w:rsidRPr="00723610">
        <w:t xml:space="preserve"> a desarrollar</w:t>
      </w:r>
      <w:r w:rsidR="00ED2886">
        <w:t>,</w:t>
      </w:r>
      <w:r w:rsidR="00474D0C" w:rsidRPr="00723610">
        <w:t xml:space="preserve"> </w:t>
      </w:r>
      <w:r w:rsidR="00ED2886">
        <w:t xml:space="preserve">cada vez más, </w:t>
      </w:r>
      <w:r w:rsidR="00474D0C" w:rsidRPr="00723610">
        <w:t xml:space="preserve">mecanismos de detección precoz, denuncia efectiva y persecución con la ayuda de personal policial especializado y </w:t>
      </w:r>
      <w:r w:rsidR="00703179">
        <w:t xml:space="preserve">tecnología de punta </w:t>
      </w:r>
      <w:r w:rsidR="00474D0C" w:rsidRPr="00723610">
        <w:t>que permita la conexión de internet de alta calidad</w:t>
      </w:r>
      <w:r w:rsidR="00194770">
        <w:t>.</w:t>
      </w:r>
      <w:r>
        <w:t xml:space="preserve"> </w:t>
      </w:r>
      <w:r w:rsidR="00194770">
        <w:t>L</w:t>
      </w:r>
      <w:r>
        <w:t>amentablemente</w:t>
      </w:r>
      <w:r w:rsidR="00D42AE7">
        <w:t>,</w:t>
      </w:r>
      <w:r>
        <w:t xml:space="preserve"> en muchos países de la región y como consecuencia de las prioridades estatales frente a los efectos económicos de la pandemia</w:t>
      </w:r>
      <w:r w:rsidR="00D42AE7">
        <w:t>,</w:t>
      </w:r>
      <w:r>
        <w:t xml:space="preserve"> se han debilitado las asignaciones de presupuestos que permitan</w:t>
      </w:r>
      <w:r w:rsidR="006A6C16">
        <w:t xml:space="preserve"> un mejor trabajo</w:t>
      </w:r>
      <w:r>
        <w:t xml:space="preserve"> a unidades </w:t>
      </w:r>
      <w:r w:rsidR="00D42AE7">
        <w:t>especializadas</w:t>
      </w:r>
      <w:r w:rsidR="00194770">
        <w:t>.</w:t>
      </w:r>
      <w:r w:rsidR="006A6C16">
        <w:t xml:space="preserve"> </w:t>
      </w:r>
      <w:r w:rsidR="00194770">
        <w:t>L</w:t>
      </w:r>
      <w:r w:rsidR="00474D0C" w:rsidRPr="00723610">
        <w:t xml:space="preserve">a sofisticación de </w:t>
      </w:r>
      <w:r w:rsidR="00474D0C">
        <w:t>los</w:t>
      </w:r>
      <w:r w:rsidR="00474D0C" w:rsidRPr="00723610">
        <w:t xml:space="preserve"> delincuentes obliga a extremar recursos para su abordaje.</w:t>
      </w:r>
    </w:p>
    <w:p w14:paraId="29C31A83" w14:textId="77777777" w:rsidR="009F3EF6" w:rsidRDefault="009F3EF6" w:rsidP="009F3EF6">
      <w:pPr>
        <w:pStyle w:val="Footer"/>
        <w:jc w:val="both"/>
      </w:pPr>
    </w:p>
    <w:p w14:paraId="0217834D" w14:textId="22A9750E" w:rsidR="00FE2DA6" w:rsidRDefault="009F3EF6" w:rsidP="00FE2DA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 </w:t>
      </w:r>
      <w:r w:rsidR="00524422" w:rsidRPr="00524422">
        <w:rPr>
          <w:b/>
          <w:bCs/>
        </w:rPr>
        <w:t>LOS MECANISMOS DEPROTECCI</w:t>
      </w:r>
      <w:r w:rsidR="00194770">
        <w:rPr>
          <w:b/>
          <w:bCs/>
        </w:rPr>
        <w:t>Ó</w:t>
      </w:r>
      <w:r w:rsidR="00524422" w:rsidRPr="00524422">
        <w:rPr>
          <w:b/>
          <w:bCs/>
        </w:rPr>
        <w:t>N</w:t>
      </w:r>
      <w:r w:rsidR="002976BC">
        <w:rPr>
          <w:b/>
          <w:bCs/>
        </w:rPr>
        <w:t xml:space="preserve"> PARA ABORDAR VULNERABILIDADES</w:t>
      </w:r>
      <w:r w:rsidR="00302EC2" w:rsidRPr="00524422">
        <w:rPr>
          <w:b/>
          <w:bCs/>
        </w:rPr>
        <w:t xml:space="preserve"> </w:t>
      </w:r>
      <w:r w:rsidR="00E62A16" w:rsidRPr="00524422">
        <w:rPr>
          <w:b/>
          <w:bCs/>
        </w:rPr>
        <w:t xml:space="preserve"> </w:t>
      </w:r>
    </w:p>
    <w:p w14:paraId="52FDF19B" w14:textId="331D5D92" w:rsidR="00FE2DA6" w:rsidRDefault="00FE2DA6" w:rsidP="00FE2DA6">
      <w:pPr>
        <w:jc w:val="both"/>
      </w:pPr>
      <w:r w:rsidRPr="0034570B">
        <w:rPr>
          <w:b/>
          <w:bCs/>
        </w:rPr>
        <w:t>La sociedad civil</w:t>
      </w:r>
      <w:r w:rsidRPr="00431FE2">
        <w:t xml:space="preserve"> ha desarrollado algunas acciones de prevención en el tema de las TIC relacionadas a la ESNNA</w:t>
      </w:r>
      <w:r w:rsidR="009A26C5">
        <w:t>,</w:t>
      </w:r>
      <w:r w:rsidRPr="00431FE2">
        <w:t xml:space="preserve"> </w:t>
      </w:r>
      <w:r w:rsidR="00BE0312">
        <w:t xml:space="preserve">las cuales </w:t>
      </w:r>
      <w:r w:rsidRPr="00431FE2">
        <w:t>fueron dirigidas a la familia como la base para el desarrollo</w:t>
      </w:r>
      <w:r>
        <w:t xml:space="preserve"> y protección de </w:t>
      </w:r>
      <w:r w:rsidRPr="00431FE2">
        <w:t>NNA, tomando en cuenta que las víctimas de ESNNA mayoritariamente venían de familias desestructuradas que no garantizaban las condiciones necesarias para la crianza y el desarrollo de NNA</w:t>
      </w:r>
      <w:r w:rsidR="00907DE6">
        <w:t xml:space="preserve">. </w:t>
      </w:r>
    </w:p>
    <w:p w14:paraId="17A52684" w14:textId="07048F36" w:rsidR="00907DE6" w:rsidRDefault="00FE2DA6" w:rsidP="00FE2DA6">
      <w:pPr>
        <w:jc w:val="both"/>
      </w:pPr>
      <w:r>
        <w:t xml:space="preserve">Las iniciativas que desarrollan organizaciones de la sociedad civil y la cooperación internacional comprenden acciones de protección </w:t>
      </w:r>
      <w:r w:rsidR="00ED2886">
        <w:t xml:space="preserve">que </w:t>
      </w:r>
      <w:r>
        <w:t xml:space="preserve">van desde </w:t>
      </w:r>
      <w:r w:rsidRPr="00CE5DCD">
        <w:rPr>
          <w:b/>
          <w:bCs/>
        </w:rPr>
        <w:t>líneas de atención</w:t>
      </w:r>
      <w:r>
        <w:t xml:space="preserve"> para casos de acoso de NNA y en posible situación de explotación sexual</w:t>
      </w:r>
      <w:r w:rsidR="009A26C5">
        <w:t>,</w:t>
      </w:r>
      <w:r>
        <w:t xml:space="preserve"> hasta procesos sostenidos de conformación de redes de adolescentes para la prevención de riesgos en el uso de TIC. </w:t>
      </w:r>
      <w:r w:rsidR="002B1133">
        <w:t xml:space="preserve">Sin embargo, </w:t>
      </w:r>
      <w:r>
        <w:t xml:space="preserve">el problema de estas iniciativas es que </w:t>
      </w:r>
      <w:r w:rsidRPr="00CE5DCD">
        <w:rPr>
          <w:b/>
          <w:bCs/>
        </w:rPr>
        <w:t>son demasiado locales</w:t>
      </w:r>
      <w:r>
        <w:t>, inherentes a las lógicas de proyectos encarados por estas instituciones y, en muchos casos, sin recursos para la replicación de experiencias exitosas.</w:t>
      </w:r>
    </w:p>
    <w:p w14:paraId="352E3274" w14:textId="1B984E8D" w:rsidR="008B78DD" w:rsidRDefault="008C6D28" w:rsidP="00524422">
      <w:pPr>
        <w:jc w:val="both"/>
      </w:pPr>
      <w:r>
        <w:t xml:space="preserve">Considerando el </w:t>
      </w:r>
      <w:r w:rsidRPr="0034570B">
        <w:rPr>
          <w:b/>
          <w:bCs/>
        </w:rPr>
        <w:t>sector público</w:t>
      </w:r>
      <w:r>
        <w:t xml:space="preserve">, </w:t>
      </w:r>
      <w:r w:rsidR="00524422">
        <w:t>t</w:t>
      </w:r>
      <w:r w:rsidR="00524422" w:rsidRPr="00524422">
        <w:t>odos</w:t>
      </w:r>
      <w:r w:rsidR="00524422">
        <w:t xml:space="preserve"> los países de la región cuenta</w:t>
      </w:r>
      <w:r>
        <w:t>n</w:t>
      </w:r>
      <w:r w:rsidR="00524422">
        <w:t xml:space="preserve"> con </w:t>
      </w:r>
      <w:r w:rsidR="00524422" w:rsidRPr="00CE5DCD">
        <w:rPr>
          <w:b/>
          <w:bCs/>
        </w:rPr>
        <w:t xml:space="preserve">normativas y </w:t>
      </w:r>
      <w:r w:rsidR="00FE2DA6" w:rsidRPr="00CE5DCD">
        <w:rPr>
          <w:b/>
          <w:bCs/>
        </w:rPr>
        <w:t>políticas</w:t>
      </w:r>
      <w:r w:rsidR="00524422" w:rsidRPr="00CE5DCD">
        <w:rPr>
          <w:b/>
          <w:bCs/>
        </w:rPr>
        <w:t xml:space="preserve"> públicas de protección</w:t>
      </w:r>
      <w:r w:rsidR="00FE2DA6" w:rsidRPr="00CE5DCD">
        <w:rPr>
          <w:b/>
          <w:bCs/>
        </w:rPr>
        <w:t xml:space="preserve"> de NNA</w:t>
      </w:r>
      <w:r w:rsidR="00FE2DA6">
        <w:t xml:space="preserve"> </w:t>
      </w:r>
      <w:r w:rsidR="006B0393">
        <w:t>contra la</w:t>
      </w:r>
      <w:r w:rsidR="00FE2DA6">
        <w:t xml:space="preserve"> ESNNA, emp</w:t>
      </w:r>
      <w:r w:rsidR="006B0393">
        <w:t xml:space="preserve">ero, se han encontrado dos niveles de problemáticas: aquellas relacionadas con </w:t>
      </w:r>
      <w:r w:rsidR="006B0393" w:rsidRPr="00CE5DCD">
        <w:rPr>
          <w:b/>
          <w:bCs/>
        </w:rPr>
        <w:t>vacíos en normativas</w:t>
      </w:r>
      <w:r w:rsidR="00BE1902">
        <w:t xml:space="preserve"> especialmente relacionadas al uso de TIC</w:t>
      </w:r>
      <w:r w:rsidR="00316E91">
        <w:t xml:space="preserve"> para cometer delitos </w:t>
      </w:r>
      <w:r w:rsidR="00BE1902">
        <w:t>vinculado</w:t>
      </w:r>
      <w:r w:rsidR="00316E91">
        <w:t>s</w:t>
      </w:r>
      <w:r w:rsidR="00BE1902">
        <w:t xml:space="preserve"> a la ESNNA</w:t>
      </w:r>
      <w:r w:rsidR="00A04465">
        <w:t xml:space="preserve"> (el caso de Bolivia, por ejemplo)</w:t>
      </w:r>
      <w:r w:rsidR="008B78DD">
        <w:t xml:space="preserve"> y las directamente relacionadas con fallas en la implementación de las políticas públicas ya existentes</w:t>
      </w:r>
      <w:r w:rsidR="00A04465">
        <w:t xml:space="preserve"> que</w:t>
      </w:r>
      <w:r w:rsidR="00C52435">
        <w:t xml:space="preserve"> </w:t>
      </w:r>
      <w:r w:rsidR="00A04465">
        <w:t xml:space="preserve">comprenden los delitos </w:t>
      </w:r>
      <w:r w:rsidR="00ED2886">
        <w:t xml:space="preserve">a través del uso de </w:t>
      </w:r>
      <w:r w:rsidR="00A04465">
        <w:t xml:space="preserve">TIC y ESNNA (caso de </w:t>
      </w:r>
      <w:r w:rsidR="002E5DAD">
        <w:t xml:space="preserve">Nicaragua, </w:t>
      </w:r>
      <w:r w:rsidR="00A04465">
        <w:t>Perú</w:t>
      </w:r>
      <w:r w:rsidR="00572222">
        <w:t xml:space="preserve"> y de </w:t>
      </w:r>
      <w:r w:rsidR="00A04465">
        <w:t>Colombia)</w:t>
      </w:r>
      <w:r w:rsidR="008B78DD">
        <w:t>.</w:t>
      </w:r>
    </w:p>
    <w:p w14:paraId="4894B40A" w14:textId="7D865D93" w:rsidR="008B78DD" w:rsidRDefault="00ED2886" w:rsidP="00BE1902">
      <w:pPr>
        <w:jc w:val="both"/>
      </w:pPr>
      <w:r>
        <w:t>D</w:t>
      </w:r>
      <w:r w:rsidR="008C6D28">
        <w:t xml:space="preserve">urante </w:t>
      </w:r>
      <w:r w:rsidR="008B78DD">
        <w:t xml:space="preserve">este periodo de pandemia, </w:t>
      </w:r>
      <w:r w:rsidR="008B78DD" w:rsidRPr="00CE5DCD">
        <w:rPr>
          <w:b/>
          <w:bCs/>
        </w:rPr>
        <w:t>los servicios</w:t>
      </w:r>
      <w:r w:rsidR="00572222" w:rsidRPr="00CE5DCD">
        <w:rPr>
          <w:b/>
          <w:bCs/>
        </w:rPr>
        <w:t xml:space="preserve"> públicos</w:t>
      </w:r>
      <w:r w:rsidR="008B78DD" w:rsidRPr="00CE5DCD">
        <w:rPr>
          <w:b/>
          <w:bCs/>
        </w:rPr>
        <w:t xml:space="preserve"> de protección</w:t>
      </w:r>
      <w:r w:rsidR="008B78DD">
        <w:t xml:space="preserve"> </w:t>
      </w:r>
      <w:r w:rsidR="00380675">
        <w:t xml:space="preserve">en general </w:t>
      </w:r>
      <w:r w:rsidR="008B78DD">
        <w:t>han tendido prestaciones irregulares</w:t>
      </w:r>
      <w:r w:rsidR="00BE1902">
        <w:t xml:space="preserve"> generad</w:t>
      </w:r>
      <w:r w:rsidR="002B1133">
        <w:t>a</w:t>
      </w:r>
      <w:r w:rsidR="00BE1902">
        <w:t>s por las restricciones de movilidad, falta de recursos humanos y económicos o rotación de personal que no se encuentra previamente sensibilizado y capacitado para enfrentar la temática</w:t>
      </w:r>
      <w:r w:rsidR="004A5865">
        <w:rPr>
          <w:rStyle w:val="FootnoteReference"/>
        </w:rPr>
        <w:footnoteReference w:id="6"/>
      </w:r>
      <w:r w:rsidR="00BE1902">
        <w:t>. L</w:t>
      </w:r>
      <w:r w:rsidR="008B78DD" w:rsidRPr="004E1220">
        <w:t xml:space="preserve">os depredadores sexuales que dinamizan la ESNNA se encuentran organizados entre sí, adaptando constantemente sus estrategias a las circunstancias cambiantes del ritmo de vida de la sociedad, al contrario de los servicios de protección de </w:t>
      </w:r>
      <w:r w:rsidR="00572222">
        <w:t>las</w:t>
      </w:r>
      <w:r w:rsidR="00572222" w:rsidRPr="004E1220">
        <w:t xml:space="preserve"> </w:t>
      </w:r>
      <w:r w:rsidR="008B78DD" w:rsidRPr="004E1220">
        <w:t>instituciones del Estado y la sociedad civil</w:t>
      </w:r>
      <w:r w:rsidR="00BE1902">
        <w:t>.</w:t>
      </w:r>
    </w:p>
    <w:p w14:paraId="5A4566D2" w14:textId="7D72EAA3" w:rsidR="007B19D8" w:rsidRDefault="00BE1902" w:rsidP="00BE1902">
      <w:pPr>
        <w:jc w:val="both"/>
      </w:pPr>
      <w:r w:rsidRPr="00BE1902">
        <w:t xml:space="preserve">Frente a esta situación, la población en general y las </w:t>
      </w:r>
      <w:r w:rsidR="00C057AF" w:rsidRPr="00BE1902">
        <w:t>víctimas</w:t>
      </w:r>
      <w:r w:rsidRPr="00BE1902">
        <w:t xml:space="preserve"> de algún delito relacionado con la ESNNA y el uso de TIC han agrandado su brecha de conocimiento de las instancias de protección a las que acudir. En Perú</w:t>
      </w:r>
      <w:r w:rsidR="00E25946">
        <w:t>,</w:t>
      </w:r>
      <w:r w:rsidR="001539BB">
        <w:t xml:space="preserve"> por ejemplo, </w:t>
      </w:r>
      <w:r w:rsidRPr="00BE1902">
        <w:t>un 30%</w:t>
      </w:r>
      <w:r w:rsidR="002976BC">
        <w:t xml:space="preserve"> de las personas </w:t>
      </w:r>
      <w:r w:rsidRPr="00BE1902">
        <w:t xml:space="preserve">no sabe </w:t>
      </w:r>
      <w:r w:rsidR="00FC5680">
        <w:t xml:space="preserve">específicamente </w:t>
      </w:r>
      <w:r w:rsidRPr="00BE1902">
        <w:t xml:space="preserve">dónde </w:t>
      </w:r>
      <w:r w:rsidR="00E25946">
        <w:t xml:space="preserve">acudir </w:t>
      </w:r>
      <w:r w:rsidRPr="00BE1902">
        <w:t xml:space="preserve">en caso de presentarse una situación de </w:t>
      </w:r>
      <w:r w:rsidR="002E5DAD">
        <w:t>agresión</w:t>
      </w:r>
      <w:r w:rsidR="00CE5DCD">
        <w:t>,</w:t>
      </w:r>
      <w:r w:rsidR="002976BC">
        <w:t xml:space="preserve"> mientras que </w:t>
      </w:r>
      <w:r>
        <w:t xml:space="preserve">las valoraciones de la efectividad de realizar denuncias en </w:t>
      </w:r>
      <w:r w:rsidR="00C057AF">
        <w:t>medios estatales, a excepción de la policía</w:t>
      </w:r>
      <w:r w:rsidR="00316E91">
        <w:t>,</w:t>
      </w:r>
      <w:r w:rsidR="00C057AF">
        <w:t xml:space="preserve"> no sobrepasa al 11% de </w:t>
      </w:r>
      <w:r w:rsidR="00316E91">
        <w:t>opinión</w:t>
      </w:r>
      <w:r w:rsidR="008C6D28">
        <w:t xml:space="preserve"> favorable</w:t>
      </w:r>
      <w:r w:rsidR="00316E91">
        <w:t xml:space="preserve"> de los</w:t>
      </w:r>
      <w:r w:rsidR="00C057AF">
        <w:t xml:space="preserve"> consultados</w:t>
      </w:r>
      <w:r w:rsidR="00E25946">
        <w:t xml:space="preserve">; lo cual </w:t>
      </w:r>
      <w:r w:rsidR="005A30B6">
        <w:t>refleja</w:t>
      </w:r>
      <w:r w:rsidR="00E25946">
        <w:t xml:space="preserve"> no s</w:t>
      </w:r>
      <w:r w:rsidR="005A30B6">
        <w:t>ó</w:t>
      </w:r>
      <w:r w:rsidR="00E25946">
        <w:t xml:space="preserve">lo desconocimiento sino también un debilitamiento en la legitimidad de las instituciones </w:t>
      </w:r>
      <w:r w:rsidR="0081206A">
        <w:t>públicas (</w:t>
      </w:r>
      <w:r w:rsidR="00722263">
        <w:t>CHS, 2022)</w:t>
      </w:r>
      <w:r w:rsidR="00C057AF">
        <w:t>.</w:t>
      </w:r>
    </w:p>
    <w:p w14:paraId="4DE30BAE" w14:textId="77777777" w:rsidR="00FC5680" w:rsidRDefault="008C6D28" w:rsidP="00BE1902">
      <w:pPr>
        <w:jc w:val="both"/>
      </w:pPr>
      <w:r>
        <w:t xml:space="preserve">Los operadores públicos </w:t>
      </w:r>
      <w:r w:rsidRPr="00640C17">
        <w:t>manifiestan que, a raíz de la pandemia, los esfuerzos se han centrado en la denuncia, más no en la prevención de la ESNNA.</w:t>
      </w:r>
    </w:p>
    <w:p w14:paraId="42772E63" w14:textId="721F0F37" w:rsidR="00722263" w:rsidRDefault="007B19D8" w:rsidP="00BE1902">
      <w:pPr>
        <w:jc w:val="both"/>
      </w:pPr>
      <w:r w:rsidRPr="00CE5DCD">
        <w:rPr>
          <w:b/>
          <w:bCs/>
        </w:rPr>
        <w:t>En cuanto al sector privado empresarial</w:t>
      </w:r>
      <w:r>
        <w:t>, existen diversas iniciativas de trabajo en la región para protección de NNA y la ESNNA</w:t>
      </w:r>
      <w:r w:rsidR="00722263">
        <w:t>,</w:t>
      </w:r>
      <w:r>
        <w:t xml:space="preserve"> especialmente con el tema de turismo</w:t>
      </w:r>
      <w:r w:rsidR="00703179">
        <w:t>. Tanto</w:t>
      </w:r>
      <w:r w:rsidR="00B060B0">
        <w:t xml:space="preserve"> en </w:t>
      </w:r>
      <w:r w:rsidR="00703179">
        <w:t>Perú</w:t>
      </w:r>
      <w:r w:rsidR="00B060B0">
        <w:t xml:space="preserve"> como </w:t>
      </w:r>
      <w:r w:rsidR="00703179">
        <w:t>e</w:t>
      </w:r>
      <w:r w:rsidR="00B060B0">
        <w:t>n Colombia</w:t>
      </w:r>
      <w:r w:rsidR="00722263">
        <w:t>,</w:t>
      </w:r>
      <w:r w:rsidR="00B060B0">
        <w:t xml:space="preserve"> </w:t>
      </w:r>
      <w:r w:rsidR="00703179">
        <w:t>las</w:t>
      </w:r>
      <w:r w:rsidR="00B060B0">
        <w:t xml:space="preserve"> leyes de turismo aplican códigos de conducta que las empresas vinculadas al </w:t>
      </w:r>
      <w:r w:rsidR="004E01F3">
        <w:t xml:space="preserve">sector </w:t>
      </w:r>
      <w:r w:rsidR="00B060B0">
        <w:t xml:space="preserve">deben </w:t>
      </w:r>
      <w:r w:rsidR="00FC2BED">
        <w:t>implementar con la finalidad de prevenir situaciones de ESNNA</w:t>
      </w:r>
    </w:p>
    <w:p w14:paraId="0CE3C361" w14:textId="3CA05F9C" w:rsidR="00FC2BED" w:rsidRDefault="00722263" w:rsidP="00BE1902">
      <w:pPr>
        <w:jc w:val="both"/>
      </w:pPr>
      <w:r>
        <w:t>En</w:t>
      </w:r>
      <w:r w:rsidR="00FC2BED">
        <w:t xml:space="preserve"> </w:t>
      </w:r>
      <w:r w:rsidR="0081206A">
        <w:t>cambio,</w:t>
      </w:r>
      <w:r w:rsidR="00FC2BED">
        <w:t xml:space="preserve"> en Bolivia y Nicaragua no existe una ley específica, lo cual dificulta la aplicación de estas medidas en el sector vinculado al turismo</w:t>
      </w:r>
      <w:r w:rsidR="007B19D8">
        <w:t xml:space="preserve">. </w:t>
      </w:r>
    </w:p>
    <w:p w14:paraId="33F71A48" w14:textId="4E255B7B" w:rsidR="004E01F3" w:rsidRDefault="004E01F3" w:rsidP="004E01F3">
      <w:pPr>
        <w:jc w:val="both"/>
      </w:pPr>
      <w:r>
        <w:t xml:space="preserve">En los cuatro países (Bolivia, Colombia, Nicaragua y Perú), organizaciones de la sociedad civil vinculadas a ECPAT Internacional implementan acciones de prevención de ESNNA con el sector privado aplicando el </w:t>
      </w:r>
      <w:r w:rsidRPr="0038359C">
        <w:rPr>
          <w:b/>
          <w:bCs/>
        </w:rPr>
        <w:t>THE CODE</w:t>
      </w:r>
      <w:r>
        <w:t>, sello de responsabilidad social internacional direccionado a la implementación de códigos de conducta para prevenir la ESNNA en viajes y turismo, acciones que los 4 gobiernos deberían tomar en cuenta como modelos sostenibles para la prevención de este delito.</w:t>
      </w:r>
    </w:p>
    <w:p w14:paraId="44A1A765" w14:textId="0091DA23" w:rsidR="00C057AF" w:rsidRDefault="00FC2BED" w:rsidP="00BE1902">
      <w:pPr>
        <w:jc w:val="both"/>
      </w:pPr>
      <w:r>
        <w:t>E</w:t>
      </w:r>
      <w:r w:rsidR="007B19D8">
        <w:t xml:space="preserve">s importante </w:t>
      </w:r>
      <w:r w:rsidR="004E01F3">
        <w:t xml:space="preserve">también, </w:t>
      </w:r>
      <w:r w:rsidR="007B19D8">
        <w:t xml:space="preserve">que las acciones de prevención sean incorporadas </w:t>
      </w:r>
      <w:r w:rsidR="00B45AEB">
        <w:t>dentro de los marcos de responsabilidad social empresarial y se extiendan</w:t>
      </w:r>
      <w:r w:rsidR="004E01F3">
        <w:t xml:space="preserve"> </w:t>
      </w:r>
      <w:r w:rsidR="00B45AEB">
        <w:t xml:space="preserve">a </w:t>
      </w:r>
      <w:r w:rsidR="007B19D8">
        <w:t>las empresas proveedoras de servicios tecnológicos (internet)</w:t>
      </w:r>
      <w:r w:rsidR="004E01F3">
        <w:t>,</w:t>
      </w:r>
      <w:r w:rsidR="007B19D8">
        <w:t xml:space="preserve"> para que las mismas aporten soluciones a la construcción de mecanismos de protección de NNA</w:t>
      </w:r>
      <w:r w:rsidR="0031442D">
        <w:t xml:space="preserve">. Estos actores privados deben comprender </w:t>
      </w:r>
      <w:r w:rsidR="007B19D8">
        <w:t xml:space="preserve">que muchas de </w:t>
      </w:r>
      <w:r w:rsidR="00E700B8">
        <w:t>sus plataformas</w:t>
      </w:r>
      <w:r w:rsidR="007B19D8">
        <w:t xml:space="preserve"> de servicio (por ejemplo, pagos en línea) están siendo utilizadas frecuentemente para procesos de extorsión </w:t>
      </w:r>
      <w:r w:rsidR="0031442D">
        <w:t xml:space="preserve">y violencia </w:t>
      </w:r>
      <w:r w:rsidR="007B19D8">
        <w:t>tanto a mujeres como a NNA.</w:t>
      </w:r>
      <w:r w:rsidR="00C057AF">
        <w:t xml:space="preserve"> </w:t>
      </w:r>
    </w:p>
    <w:p w14:paraId="7C0E78CA" w14:textId="1F88232C" w:rsidR="00BE1902" w:rsidRPr="00C057AF" w:rsidRDefault="00C057AF" w:rsidP="00C057A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057AF">
        <w:rPr>
          <w:b/>
          <w:bCs/>
        </w:rPr>
        <w:t>RECOMENDACIONES</w:t>
      </w:r>
      <w:r w:rsidR="009D7794">
        <w:rPr>
          <w:b/>
          <w:bCs/>
        </w:rPr>
        <w:t xml:space="preserve"> PARA DISMINUIR LAS VULNERABILIDADES E INCREMENTAR LA PROTECCION DE NNA</w:t>
      </w:r>
      <w:r w:rsidR="0004274D">
        <w:rPr>
          <w:b/>
          <w:bCs/>
        </w:rPr>
        <w:t xml:space="preserve"> </w:t>
      </w:r>
    </w:p>
    <w:p w14:paraId="30F024C6" w14:textId="57C7927B" w:rsidR="00685435" w:rsidRPr="00CE5DCD" w:rsidRDefault="00685435" w:rsidP="007C463F">
      <w:pPr>
        <w:jc w:val="both"/>
      </w:pPr>
      <w:r w:rsidRPr="00CE5DCD">
        <w:t>A partir de la evidencia encontrada</w:t>
      </w:r>
      <w:r w:rsidR="00C04981" w:rsidRPr="00CE5DCD">
        <w:t>,</w:t>
      </w:r>
      <w:r w:rsidRPr="00CE5DCD">
        <w:t xml:space="preserve"> </w:t>
      </w:r>
      <w:r w:rsidR="00C17E61" w:rsidRPr="00CE5DCD">
        <w:t xml:space="preserve">establecemos algunas recomendaciones para abordar las vulnerabilidades en entornos </w:t>
      </w:r>
      <w:r w:rsidR="008F74FC" w:rsidRPr="00CE5DCD">
        <w:t>institucionales,</w:t>
      </w:r>
      <w:r w:rsidR="00C17E61" w:rsidRPr="00CE5DCD">
        <w:t xml:space="preserve"> </w:t>
      </w:r>
      <w:r w:rsidR="00C04981" w:rsidRPr="00CE5DCD">
        <w:t>así como</w:t>
      </w:r>
      <w:r w:rsidR="00C17E61" w:rsidRPr="00CE5DCD">
        <w:t xml:space="preserve"> sociales </w:t>
      </w:r>
      <w:r w:rsidR="00C04981" w:rsidRPr="00CE5DCD">
        <w:t xml:space="preserve">y </w:t>
      </w:r>
      <w:r w:rsidR="00C17E61" w:rsidRPr="00CE5DCD">
        <w:t xml:space="preserve">para evitar que más NNA sean víctimas de explotación sexual a través de las </w:t>
      </w:r>
      <w:r w:rsidR="00C04981" w:rsidRPr="00CE5DCD">
        <w:t>m</w:t>
      </w:r>
      <w:r w:rsidR="00C17E61" w:rsidRPr="00CE5DCD">
        <w:t xml:space="preserve">odalidades en línea.  </w:t>
      </w:r>
      <w:r w:rsidRPr="00CE5DCD">
        <w:t xml:space="preserve">  </w:t>
      </w:r>
    </w:p>
    <w:p w14:paraId="10D7337B" w14:textId="61757548" w:rsidR="008F0596" w:rsidRPr="00640C17" w:rsidRDefault="00845BC6" w:rsidP="007C463F">
      <w:pPr>
        <w:jc w:val="both"/>
        <w:rPr>
          <w:u w:val="single"/>
        </w:rPr>
      </w:pPr>
      <w:r w:rsidRPr="00640C17">
        <w:rPr>
          <w:u w:val="single"/>
        </w:rPr>
        <w:t>A nivel normativo</w:t>
      </w:r>
      <w:r w:rsidR="00C17E61">
        <w:rPr>
          <w:u w:val="single"/>
        </w:rPr>
        <w:t xml:space="preserve"> para los Estados</w:t>
      </w:r>
      <w:r w:rsidR="00482819">
        <w:rPr>
          <w:u w:val="single"/>
        </w:rPr>
        <w:t xml:space="preserve"> que no tienen delitos relacionados a ESNNA en línea</w:t>
      </w:r>
    </w:p>
    <w:p w14:paraId="24CD2F25" w14:textId="484CB4DA" w:rsidR="0099774A" w:rsidRDefault="0099774A" w:rsidP="00AF5F7B">
      <w:pPr>
        <w:pStyle w:val="ListParagraph"/>
        <w:numPr>
          <w:ilvl w:val="0"/>
          <w:numId w:val="4"/>
        </w:numPr>
        <w:jc w:val="both"/>
      </w:pPr>
      <w:r>
        <w:t xml:space="preserve">En </w:t>
      </w:r>
      <w:r w:rsidR="00845BC6">
        <w:t>Bolivia</w:t>
      </w:r>
      <w:r>
        <w:t xml:space="preserve">, </w:t>
      </w:r>
      <w:r w:rsidR="00316E91">
        <w:t xml:space="preserve">se </w:t>
      </w:r>
      <w:r w:rsidR="00C17E61">
        <w:t xml:space="preserve">requiere </w:t>
      </w:r>
      <w:r w:rsidR="00316E91">
        <w:t>la firma d</w:t>
      </w:r>
      <w:r w:rsidRPr="001C24E9">
        <w:t>el Convenio de Budapest, para vincular al país a los aspectos procesales y de cooperación internacional, lo que implicaría modernizar las formas de obtención de evidencia digital aplicadas a la investigación de cualquier ciber-delito, y ser parte de un sistema de cooperación internacional que coordinaría acciones de prevención, denuncia, investigación y rescate de víctimas</w:t>
      </w:r>
      <w:r>
        <w:t xml:space="preserve">. </w:t>
      </w:r>
    </w:p>
    <w:p w14:paraId="6EE57E3C" w14:textId="612A4DB1" w:rsidR="00FB61D3" w:rsidRDefault="00FB61D3" w:rsidP="00FB61D3">
      <w:pPr>
        <w:pStyle w:val="ListParagraph"/>
        <w:numPr>
          <w:ilvl w:val="0"/>
          <w:numId w:val="4"/>
        </w:numPr>
        <w:jc w:val="both"/>
      </w:pPr>
      <w:r>
        <w:t>Es</w:t>
      </w:r>
      <w:r w:rsidRPr="001C24E9">
        <w:t xml:space="preserve"> imp</w:t>
      </w:r>
      <w:r>
        <w:t>ortante pensar en la modificación del Códi</w:t>
      </w:r>
      <w:r w:rsidRPr="001C24E9">
        <w:t xml:space="preserve">go Penal para ajustar o introducir tipos penales capaces de abordar </w:t>
      </w:r>
      <w:r>
        <w:t>delitos como el grooming, el sexting no consentido, el abuso sexual en línea y la sextorsión entre otros</w:t>
      </w:r>
      <w:r w:rsidR="00AF5F7B">
        <w:t>, debido a que la ESNNA en línea es abordada desde el delito vinculado a la pornografía infantil, situación que tiende a retardar los procesos investigativos y sancionatorios.</w:t>
      </w:r>
    </w:p>
    <w:p w14:paraId="3AADE811" w14:textId="794B94DB" w:rsidR="00482819" w:rsidRPr="00482819" w:rsidRDefault="00482819" w:rsidP="00482819">
      <w:pPr>
        <w:jc w:val="both"/>
        <w:rPr>
          <w:u w:val="single"/>
        </w:rPr>
      </w:pPr>
      <w:bookmarkStart w:id="1" w:name="_Hlk96771942"/>
      <w:r w:rsidRPr="00482819">
        <w:rPr>
          <w:u w:val="single"/>
        </w:rPr>
        <w:t>A nivel normativo para los Estados que tienen delitos relacionados a ESNNA en línea</w:t>
      </w:r>
      <w:r>
        <w:rPr>
          <w:u w:val="single"/>
        </w:rPr>
        <w:t xml:space="preserve"> en sus legislaciones</w:t>
      </w:r>
    </w:p>
    <w:p w14:paraId="010D46DD" w14:textId="199202C8" w:rsidR="00FB61D3" w:rsidRDefault="00FB61D3" w:rsidP="00FB61D3">
      <w:pPr>
        <w:pStyle w:val="ListParagraph"/>
        <w:numPr>
          <w:ilvl w:val="0"/>
          <w:numId w:val="4"/>
        </w:numPr>
        <w:jc w:val="both"/>
      </w:pPr>
      <w:r>
        <w:t xml:space="preserve">En Nicaragua, </w:t>
      </w:r>
      <w:r w:rsidRPr="00F85D0D">
        <w:t xml:space="preserve">para la aplicabilidad de la </w:t>
      </w:r>
      <w:r w:rsidR="00722263">
        <w:t>Le</w:t>
      </w:r>
      <w:r w:rsidR="00722263" w:rsidRPr="00F85D0D">
        <w:t xml:space="preserve">y </w:t>
      </w:r>
      <w:r w:rsidRPr="00F85D0D">
        <w:t xml:space="preserve">especializada contra el </w:t>
      </w:r>
      <w:r w:rsidR="00722263">
        <w:t>C</w:t>
      </w:r>
      <w:r w:rsidR="00722263" w:rsidRPr="00F85D0D">
        <w:t xml:space="preserve">iberdelito </w:t>
      </w:r>
      <w:r w:rsidRPr="00F85D0D">
        <w:t xml:space="preserve">se debe crear/organizar un equipo de personas expertas/especializadas en el manejo de </w:t>
      </w:r>
      <w:r>
        <w:t>TIC</w:t>
      </w:r>
      <w:r w:rsidRPr="00F85D0D">
        <w:t xml:space="preserve">; además </w:t>
      </w:r>
      <w:r>
        <w:t xml:space="preserve">se </w:t>
      </w:r>
      <w:r w:rsidRPr="00F85D0D">
        <w:t>debe contar con un presupuesto anual aprobado por la Asamblea Nacional en el Presupuesto General de la República</w:t>
      </w:r>
      <w:r>
        <w:t xml:space="preserve"> que viabilice la aplicación de las normas.</w:t>
      </w:r>
    </w:p>
    <w:bookmarkEnd w:id="1"/>
    <w:p w14:paraId="7D5E6F62" w14:textId="77777777" w:rsidR="00B16AD5" w:rsidRDefault="00B16AD5" w:rsidP="00B16AD5">
      <w:pPr>
        <w:pStyle w:val="ListParagraph"/>
        <w:ind w:left="360"/>
        <w:jc w:val="both"/>
      </w:pPr>
    </w:p>
    <w:p w14:paraId="30828D50" w14:textId="2EF36355" w:rsidR="00AD4774" w:rsidRDefault="004C6627">
      <w:pPr>
        <w:pStyle w:val="ListParagraph"/>
        <w:numPr>
          <w:ilvl w:val="0"/>
          <w:numId w:val="4"/>
        </w:numPr>
        <w:jc w:val="both"/>
      </w:pPr>
      <w:r>
        <w:t>En Perú, e</w:t>
      </w:r>
      <w:r w:rsidR="00AD4774" w:rsidRPr="00640C17">
        <w:t xml:space="preserve">l ordenamiento jurídico cuenta con una mayor cantidad de iniciativas legislativas y políticas nacionales que tienen por objetivo atacar la ESNNA en línea. No obstante, también debe tomarse en cuenta aquellas normativas que sancionan la explotación sexual de </w:t>
      </w:r>
      <w:r w:rsidR="001A76BC">
        <w:t xml:space="preserve">NNA </w:t>
      </w:r>
      <w:r w:rsidR="00AD4774" w:rsidRPr="00640C17">
        <w:t>ejercida en el entorno físico y no virtual en tanto constituye el marco normativo general relevante.</w:t>
      </w:r>
      <w:r w:rsidR="00AD4774">
        <w:t xml:space="preserve"> Los operadores públicos deben tomar en consideración </w:t>
      </w:r>
      <w:r w:rsidR="00AD4774" w:rsidRPr="00640C17">
        <w:t xml:space="preserve">los tipos penales vinculados a la explotación sexual de NNA en línea que se encuentran recogidos en </w:t>
      </w:r>
      <w:r w:rsidR="00DD7E80" w:rsidRPr="00640C17">
        <w:t>los artículos 129-H, 129-K, 129-L y 129-I</w:t>
      </w:r>
      <w:r w:rsidR="00DD7E80">
        <w:t xml:space="preserve"> d</w:t>
      </w:r>
      <w:r w:rsidR="00AD4774" w:rsidRPr="00640C17">
        <w:t>el Código Penal peruano</w:t>
      </w:r>
      <w:r w:rsidR="00B16AD5">
        <w:t>.</w:t>
      </w:r>
      <w:r w:rsidR="00AD4774" w:rsidRPr="00640C17">
        <w:t xml:space="preserve"> </w:t>
      </w:r>
    </w:p>
    <w:p w14:paraId="79B4A33F" w14:textId="77777777" w:rsidR="00B16AD5" w:rsidRDefault="00B16AD5" w:rsidP="00B16AD5">
      <w:pPr>
        <w:pStyle w:val="ListParagraph"/>
        <w:ind w:left="360"/>
        <w:jc w:val="both"/>
      </w:pPr>
    </w:p>
    <w:p w14:paraId="555E326F" w14:textId="65293A76" w:rsidR="00FB61D3" w:rsidRDefault="00412C32" w:rsidP="00FC5680">
      <w:pPr>
        <w:pStyle w:val="ListParagraph"/>
        <w:numPr>
          <w:ilvl w:val="0"/>
          <w:numId w:val="4"/>
        </w:numPr>
        <w:jc w:val="both"/>
      </w:pPr>
      <w:r>
        <w:t xml:space="preserve">En Colombia se requiere aumentar las voluntades políticas y los recursos para una continuidad en la aplicación de la </w:t>
      </w:r>
      <w:r w:rsidR="00DD7E80">
        <w:t>L</w:t>
      </w:r>
      <w:r>
        <w:t>ey 679</w:t>
      </w:r>
      <w:r w:rsidR="00FC5680">
        <w:t>,</w:t>
      </w:r>
      <w:r>
        <w:t xml:space="preserve"> fortalecida por la </w:t>
      </w:r>
      <w:r w:rsidR="00DD7E80">
        <w:t>L</w:t>
      </w:r>
      <w:r>
        <w:t xml:space="preserve">ey 136 que establece medidas de control </w:t>
      </w:r>
      <w:r w:rsidRPr="00FC5680">
        <w:t xml:space="preserve">en casos de explotación sexual de </w:t>
      </w:r>
      <w:r w:rsidR="00FC5680" w:rsidRPr="00FC5680">
        <w:t>NNA</w:t>
      </w:r>
      <w:r w:rsidRPr="00FC5680">
        <w:t xml:space="preserve"> y tipifica el delito de almacenamiento e intercambio de pornografía infantil. </w:t>
      </w:r>
    </w:p>
    <w:p w14:paraId="4C3FCD86" w14:textId="77777777" w:rsidR="00B16AD5" w:rsidRDefault="00B16AD5" w:rsidP="00B16AD5">
      <w:pPr>
        <w:pStyle w:val="ListParagraph"/>
        <w:ind w:left="360"/>
        <w:jc w:val="both"/>
      </w:pPr>
    </w:p>
    <w:p w14:paraId="2E26F3D8" w14:textId="0D4048B8" w:rsidR="00750540" w:rsidRDefault="00750540" w:rsidP="00FC5680">
      <w:pPr>
        <w:pStyle w:val="ListParagraph"/>
        <w:numPr>
          <w:ilvl w:val="0"/>
          <w:numId w:val="4"/>
        </w:numPr>
        <w:jc w:val="both"/>
      </w:pPr>
      <w:r w:rsidRPr="00FC5680">
        <w:t>E</w:t>
      </w:r>
      <w:r w:rsidR="00FB61D3">
        <w:t>n cada país, es</w:t>
      </w:r>
      <w:r w:rsidRPr="00FC5680">
        <w:t xml:space="preserve"> necesario</w:t>
      </w:r>
      <w:r w:rsidR="00014D69">
        <w:t xml:space="preserve"> contar con </w:t>
      </w:r>
      <w:r w:rsidR="00722263">
        <w:t>procesos</w:t>
      </w:r>
      <w:r w:rsidR="00FB61D3">
        <w:t xml:space="preserve"> </w:t>
      </w:r>
      <w:r w:rsidR="00014D69">
        <w:t>permanentes de monitoreo</w:t>
      </w:r>
      <w:r w:rsidR="00722263">
        <w:t xml:space="preserve"> y evaluación </w:t>
      </w:r>
      <w:r w:rsidR="00014D69">
        <w:t xml:space="preserve">de las políticas públicas para </w:t>
      </w:r>
      <w:r w:rsidRPr="00FC5680">
        <w:t xml:space="preserve">fortalecer </w:t>
      </w:r>
      <w:r w:rsidR="00FC5680">
        <w:t xml:space="preserve">aún más </w:t>
      </w:r>
      <w:r w:rsidRPr="00FC5680">
        <w:t xml:space="preserve">el marco normativo </w:t>
      </w:r>
      <w:r w:rsidR="00014D69">
        <w:t xml:space="preserve">y </w:t>
      </w:r>
      <w:r w:rsidRPr="00FC5680">
        <w:t>tipificar, atender, investigar y judicializar adecuadamente los delitos relacionados a la ESNNA específicamente en los entornos digitales.</w:t>
      </w:r>
    </w:p>
    <w:p w14:paraId="0D46B7B9" w14:textId="26F95F46" w:rsidR="007C463F" w:rsidRPr="004E1F94" w:rsidRDefault="005C1B81" w:rsidP="004E1F94">
      <w:pPr>
        <w:jc w:val="both"/>
        <w:rPr>
          <w:u w:val="single"/>
        </w:rPr>
      </w:pPr>
      <w:r w:rsidRPr="004E1F94">
        <w:rPr>
          <w:u w:val="single"/>
        </w:rPr>
        <w:t xml:space="preserve">A nivel </w:t>
      </w:r>
      <w:r w:rsidR="008E31C8">
        <w:rPr>
          <w:u w:val="single"/>
        </w:rPr>
        <w:t>i</w:t>
      </w:r>
      <w:r w:rsidRPr="004E1F94">
        <w:rPr>
          <w:u w:val="single"/>
        </w:rPr>
        <w:t xml:space="preserve">nstitucional </w:t>
      </w:r>
      <w:r w:rsidR="00286AFE">
        <w:rPr>
          <w:u w:val="single"/>
        </w:rPr>
        <w:t>para la lucha contra la ESNNA</w:t>
      </w:r>
    </w:p>
    <w:p w14:paraId="43C55788" w14:textId="77777777" w:rsidR="00B16AD5" w:rsidRDefault="00B16AD5" w:rsidP="00B16AD5">
      <w:pPr>
        <w:pStyle w:val="ListParagraph"/>
        <w:ind w:left="360"/>
        <w:jc w:val="both"/>
      </w:pPr>
    </w:p>
    <w:p w14:paraId="4ADEEB4A" w14:textId="0A3367A3" w:rsidR="00AF47B6" w:rsidRDefault="00C04981" w:rsidP="00BC6911">
      <w:pPr>
        <w:pStyle w:val="ListParagraph"/>
        <w:numPr>
          <w:ilvl w:val="0"/>
          <w:numId w:val="4"/>
        </w:numPr>
        <w:jc w:val="both"/>
      </w:pPr>
      <w:r>
        <w:t xml:space="preserve">Se deben </w:t>
      </w:r>
      <w:r w:rsidR="00AF47B6">
        <w:t>crea</w:t>
      </w:r>
      <w:r>
        <w:t>r</w:t>
      </w:r>
      <w:r w:rsidR="00286AFE">
        <w:t xml:space="preserve"> y ampliar</w:t>
      </w:r>
      <w:r>
        <w:t xml:space="preserve"> procesos </w:t>
      </w:r>
      <w:r w:rsidR="00AF47B6">
        <w:t>sostenidos de capacitación y formación a funcionarios públicos sobre las normas vigentes, y las normas internacionales en el tema de ESNNA e introducir específicamente los riesgos generados por el uso de las TIC.</w:t>
      </w:r>
    </w:p>
    <w:p w14:paraId="376FC588" w14:textId="77777777" w:rsidR="00B16AD5" w:rsidRDefault="00B16AD5" w:rsidP="00B16AD5">
      <w:pPr>
        <w:pStyle w:val="ListParagraph"/>
        <w:ind w:left="360"/>
        <w:jc w:val="both"/>
      </w:pPr>
    </w:p>
    <w:p w14:paraId="205A4001" w14:textId="42DFF67B" w:rsidR="005D2A47" w:rsidRDefault="005D2A47" w:rsidP="00B16AD5">
      <w:pPr>
        <w:pStyle w:val="ListParagraph"/>
        <w:numPr>
          <w:ilvl w:val="0"/>
          <w:numId w:val="4"/>
        </w:numPr>
        <w:jc w:val="both"/>
      </w:pPr>
      <w:r w:rsidRPr="0032328E">
        <w:t xml:space="preserve">Los Estados deben fortalecer la cooperación en el ámbito de los mecanismos de integración regional como </w:t>
      </w:r>
      <w:r w:rsidR="006C3412">
        <w:t>la OEA,</w:t>
      </w:r>
      <w:r>
        <w:t xml:space="preserve"> Comunidad Andina</w:t>
      </w:r>
      <w:r w:rsidR="004E1F94">
        <w:t xml:space="preserve">, </w:t>
      </w:r>
      <w:r w:rsidR="00750540">
        <w:t>Ameripol</w:t>
      </w:r>
      <w:r w:rsidRPr="0032328E">
        <w:t xml:space="preserve"> y otros bloques regionales a fin de facilitar el intercambio de información y colaborar en las investigaciones de casos de ESNNA en línea</w:t>
      </w:r>
      <w:r w:rsidR="00C04981">
        <w:t xml:space="preserve">. </w:t>
      </w:r>
    </w:p>
    <w:p w14:paraId="68741D35" w14:textId="77777777" w:rsidR="00B16AD5" w:rsidRDefault="00B16AD5" w:rsidP="00B16AD5">
      <w:pPr>
        <w:pStyle w:val="ListParagraph"/>
        <w:ind w:left="360"/>
        <w:jc w:val="both"/>
      </w:pPr>
    </w:p>
    <w:p w14:paraId="1E702BEF" w14:textId="24FF96F1" w:rsidR="004E1F94" w:rsidRDefault="00C04981" w:rsidP="004E1F94">
      <w:pPr>
        <w:pStyle w:val="ListParagraph"/>
        <w:numPr>
          <w:ilvl w:val="0"/>
          <w:numId w:val="4"/>
        </w:numPr>
        <w:jc w:val="both"/>
      </w:pPr>
      <w:r>
        <w:t>En cada país, se debe</w:t>
      </w:r>
      <w:r w:rsidR="00286AFE">
        <w:t>n</w:t>
      </w:r>
      <w:r>
        <w:t xml:space="preserve"> f</w:t>
      </w:r>
      <w:r w:rsidR="004E1F94" w:rsidRPr="004E1F94">
        <w:t xml:space="preserve">ortalecer los mecanismos de denuncia respecto a este tipo de violencias e identificar si son lo suficientemente pertinentes y amigables para </w:t>
      </w:r>
      <w:r w:rsidR="00FC5680">
        <w:t>NNA</w:t>
      </w:r>
      <w:r w:rsidR="004E1F94" w:rsidRPr="004E1F94">
        <w:t>. Esto implica evaluar los canales de denuncia, los mecanismos para la gestión de dichas denuncias, así como la difusión de la información respecto a cómo actuar si se conoce un caso o se tiene una sospecha de ESNNA</w:t>
      </w:r>
      <w:r w:rsidR="00FC5680">
        <w:t xml:space="preserve"> en línea</w:t>
      </w:r>
      <w:r w:rsidR="004E1F94" w:rsidRPr="004E1F94">
        <w:t>.</w:t>
      </w:r>
    </w:p>
    <w:p w14:paraId="69E630C6" w14:textId="77777777" w:rsidR="00B16AD5" w:rsidRDefault="00B16AD5" w:rsidP="00B16AD5">
      <w:pPr>
        <w:pStyle w:val="ListParagraph"/>
        <w:ind w:left="360"/>
        <w:jc w:val="both"/>
      </w:pPr>
    </w:p>
    <w:p w14:paraId="5074FF7B" w14:textId="1F6C337D" w:rsidR="00685C8F" w:rsidRDefault="001B01F4" w:rsidP="00EC1738">
      <w:pPr>
        <w:pStyle w:val="ListParagraph"/>
        <w:numPr>
          <w:ilvl w:val="0"/>
          <w:numId w:val="4"/>
        </w:numPr>
        <w:jc w:val="both"/>
      </w:pPr>
      <w:r w:rsidRPr="001B01F4">
        <w:t xml:space="preserve">Fortalecer </w:t>
      </w:r>
      <w:r w:rsidR="00C04981">
        <w:t xml:space="preserve">los servicios </w:t>
      </w:r>
      <w:r w:rsidRPr="001B01F4">
        <w:t>de atención psicosocial y el seguimiento a los casos</w:t>
      </w:r>
      <w:r w:rsidR="00014D69">
        <w:t xml:space="preserve"> de ESNNA</w:t>
      </w:r>
      <w:r w:rsidRPr="001B01F4">
        <w:t>, para apoyar la reconstrucción de los proyectos de vida de víctimas y sobrevivientes.</w:t>
      </w:r>
    </w:p>
    <w:p w14:paraId="32C25E81" w14:textId="77777777" w:rsidR="00B16AD5" w:rsidRDefault="00B16AD5" w:rsidP="00B16AD5">
      <w:pPr>
        <w:pStyle w:val="ListParagraph"/>
        <w:ind w:left="360"/>
        <w:jc w:val="both"/>
      </w:pPr>
    </w:p>
    <w:p w14:paraId="7DCF2B6A" w14:textId="15001535" w:rsidR="00B16AD5" w:rsidRDefault="00685C8F" w:rsidP="00B16AD5">
      <w:pPr>
        <w:pStyle w:val="ListParagraph"/>
        <w:numPr>
          <w:ilvl w:val="0"/>
          <w:numId w:val="4"/>
        </w:numPr>
        <w:jc w:val="both"/>
      </w:pPr>
      <w:r>
        <w:t xml:space="preserve">Los Estados deben garantizar </w:t>
      </w:r>
      <w:r w:rsidR="00727BE2">
        <w:t xml:space="preserve">el </w:t>
      </w:r>
      <w:r>
        <w:t>derecho de acceso a la información, lo cual implica generar estadísticas permanentes sobre la situación de ESNNA y en partic</w:t>
      </w:r>
      <w:r w:rsidR="00896E7A">
        <w:t xml:space="preserve">ular sobre aquellos en entornos que usan TIC. La falta de estadística impide comprender a cabalidad los avances de las políticas públicas.  </w:t>
      </w:r>
      <w:r>
        <w:t xml:space="preserve">   </w:t>
      </w:r>
    </w:p>
    <w:p w14:paraId="01150772" w14:textId="3E703BA2" w:rsidR="006860EF" w:rsidRPr="004E1F94" w:rsidRDefault="004E1F94" w:rsidP="00640C17">
      <w:pPr>
        <w:jc w:val="both"/>
        <w:rPr>
          <w:u w:val="single"/>
        </w:rPr>
      </w:pPr>
      <w:r w:rsidRPr="004E1F94">
        <w:rPr>
          <w:u w:val="single"/>
        </w:rPr>
        <w:t xml:space="preserve">A nivel </w:t>
      </w:r>
      <w:r w:rsidR="008E31C8">
        <w:rPr>
          <w:u w:val="single"/>
        </w:rPr>
        <w:t>g</w:t>
      </w:r>
      <w:r w:rsidR="006860EF" w:rsidRPr="004E1F94">
        <w:rPr>
          <w:u w:val="single"/>
        </w:rPr>
        <w:t>eneral</w:t>
      </w:r>
    </w:p>
    <w:p w14:paraId="00EA3BBE" w14:textId="7C4E4F3F" w:rsidR="00F277A0" w:rsidRDefault="00286AFE" w:rsidP="00BC6911">
      <w:pPr>
        <w:pStyle w:val="ListParagraph"/>
        <w:numPr>
          <w:ilvl w:val="0"/>
          <w:numId w:val="4"/>
        </w:numPr>
        <w:jc w:val="both"/>
      </w:pPr>
      <w:r>
        <w:t xml:space="preserve">Se deben impulsar </w:t>
      </w:r>
      <w:r w:rsidR="00F277A0">
        <w:t>programas de prevención de ESNNA y TIC. Estas estrategias deben centrase en varios aspectos como son: las E-adicciones (relacionadas con los juegos, por ejemplo), el ciberacoso, el grooming, el sexting, la pornografía infantil y la sextorsión como los fenómenos más recurrentes y peligrosos a los que se exponen los NNA.</w:t>
      </w:r>
    </w:p>
    <w:p w14:paraId="367248CD" w14:textId="77777777" w:rsidR="00B16AD5" w:rsidRDefault="00B16AD5" w:rsidP="00B16AD5">
      <w:pPr>
        <w:pStyle w:val="ListParagraph"/>
        <w:ind w:left="360"/>
        <w:jc w:val="both"/>
      </w:pPr>
    </w:p>
    <w:p w14:paraId="2A25C446" w14:textId="3AF29962" w:rsidR="00F277A0" w:rsidRDefault="002912FA" w:rsidP="006C743A">
      <w:pPr>
        <w:pStyle w:val="ListParagraph"/>
        <w:numPr>
          <w:ilvl w:val="0"/>
          <w:numId w:val="4"/>
        </w:numPr>
        <w:jc w:val="both"/>
      </w:pPr>
      <w:r>
        <w:t>Es</w:t>
      </w:r>
      <w:r w:rsidR="00014D69">
        <w:t xml:space="preserve"> importante que las </w:t>
      </w:r>
      <w:r w:rsidR="00F277A0">
        <w:t xml:space="preserve">estrategias de prevención tengan </w:t>
      </w:r>
      <w:r w:rsidR="00727BE2">
        <w:t xml:space="preserve">al sistema educativo y las familias </w:t>
      </w:r>
      <w:r w:rsidR="00F277A0">
        <w:t>como actor</w:t>
      </w:r>
      <w:r w:rsidR="00656CC7">
        <w:t>es</w:t>
      </w:r>
      <w:r w:rsidR="00F277A0">
        <w:t xml:space="preserve"> central</w:t>
      </w:r>
      <w:r w:rsidR="00656CC7">
        <w:t>es</w:t>
      </w:r>
      <w:r w:rsidR="00F277A0">
        <w:t xml:space="preserve">. Los profesores, padres, madres deben ser preparados para explotar las potencialidades positivas de las TIC y contar con herramientas para transmitir procesos de cuidado de los riesgos para minimizar las vulnerabilidades. </w:t>
      </w:r>
    </w:p>
    <w:p w14:paraId="7EA88D43" w14:textId="77777777" w:rsidR="00B16AD5" w:rsidRPr="00B16AD5" w:rsidRDefault="00B16AD5" w:rsidP="00B16AD5">
      <w:pPr>
        <w:pStyle w:val="ListParagraph"/>
        <w:ind w:left="360"/>
        <w:jc w:val="both"/>
        <w:rPr>
          <w:b/>
          <w:bCs/>
        </w:rPr>
      </w:pPr>
    </w:p>
    <w:p w14:paraId="23A2CCBF" w14:textId="6A9CF6C2" w:rsidR="00BC6911" w:rsidRPr="004C6627" w:rsidRDefault="00286AFE" w:rsidP="004E1F94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E</w:t>
      </w:r>
      <w:r w:rsidR="00014D69">
        <w:t>s</w:t>
      </w:r>
      <w:r w:rsidR="009F6EF8">
        <w:t xml:space="preserve"> fundamental cerrar la brecha digital en la región</w:t>
      </w:r>
      <w:r w:rsidR="000A6065">
        <w:t xml:space="preserve"> y</w:t>
      </w:r>
      <w:r w:rsidR="00656CC7">
        <w:t>a</w:t>
      </w:r>
      <w:r w:rsidR="000A6065">
        <w:t xml:space="preserve"> que</w:t>
      </w:r>
      <w:r w:rsidR="009F6EF8">
        <w:t xml:space="preserve"> tiene efectos asimétricos entre diversas áreas geográficas</w:t>
      </w:r>
      <w:r w:rsidR="000A6065">
        <w:t xml:space="preserve"> (asimetría urbana/rural)</w:t>
      </w:r>
      <w:r w:rsidR="009F6EF8">
        <w:t>. Así</w:t>
      </w:r>
      <w:r w:rsidR="000A6065">
        <w:t>,</w:t>
      </w:r>
      <w:r w:rsidR="009F6EF8">
        <w:t xml:space="preserve"> se debería trabajar estratégicamente entre la ampliación al acceso de un Internet de mejor calidad, complementado con una clara y sostenida estrategia de alfabetización digital</w:t>
      </w:r>
      <w:r w:rsidR="00685C8F">
        <w:t>.</w:t>
      </w:r>
      <w:r w:rsidR="009F6EF8">
        <w:t xml:space="preserve"> </w:t>
      </w:r>
    </w:p>
    <w:p w14:paraId="705B409F" w14:textId="77777777" w:rsidR="00B16AD5" w:rsidRDefault="00B16AD5" w:rsidP="00B16AD5">
      <w:pPr>
        <w:pStyle w:val="ListParagraph"/>
        <w:ind w:left="360"/>
        <w:jc w:val="both"/>
      </w:pPr>
    </w:p>
    <w:p w14:paraId="3F55DC06" w14:textId="634330D3" w:rsidR="00286AFE" w:rsidRDefault="00845BC6" w:rsidP="00640C17">
      <w:pPr>
        <w:pStyle w:val="ListParagraph"/>
        <w:numPr>
          <w:ilvl w:val="0"/>
          <w:numId w:val="4"/>
        </w:numPr>
        <w:jc w:val="both"/>
      </w:pPr>
      <w:r w:rsidRPr="007C463F">
        <w:t>Debe haber esfuerzos a nivel</w:t>
      </w:r>
      <w:r w:rsidR="004C6627">
        <w:t xml:space="preserve"> regional con proyección internacional </w:t>
      </w:r>
      <w:r w:rsidR="006860EF">
        <w:t xml:space="preserve">para que las empresas privadas creen </w:t>
      </w:r>
      <w:r w:rsidRPr="007C463F">
        <w:t xml:space="preserve">software orientado a la protección de </w:t>
      </w:r>
      <w:r w:rsidR="001B508A">
        <w:t>NNA</w:t>
      </w:r>
      <w:r w:rsidRPr="007C463F">
        <w:t xml:space="preserve"> relacionados a la ES</w:t>
      </w:r>
      <w:r>
        <w:t>NNA</w:t>
      </w:r>
      <w:r w:rsidRPr="007C463F">
        <w:t xml:space="preserve"> en las plataformas digitales.</w:t>
      </w:r>
      <w:r w:rsidR="001B508A">
        <w:t xml:space="preserve"> </w:t>
      </w:r>
    </w:p>
    <w:p w14:paraId="5BC00713" w14:textId="77777777" w:rsidR="00286AFE" w:rsidRDefault="00286AFE" w:rsidP="00B16AD5">
      <w:pPr>
        <w:pStyle w:val="ListParagraph"/>
        <w:ind w:left="360"/>
        <w:jc w:val="both"/>
      </w:pPr>
    </w:p>
    <w:p w14:paraId="6FDE3537" w14:textId="23B5021E" w:rsidR="001B508A" w:rsidRDefault="001B508A" w:rsidP="00286AFE">
      <w:pPr>
        <w:pStyle w:val="ListParagraph"/>
        <w:ind w:left="360"/>
        <w:jc w:val="both"/>
      </w:pPr>
      <w:r w:rsidRPr="004E1F94">
        <w:t xml:space="preserve">Los proveedores de servicios de internet y las empresas dueñas de las plataformas de mensajería instantánea y de redes sociales son aliados fundamentales para detectar contenidos relacionados con las ESNNA. </w:t>
      </w:r>
      <w:r w:rsidR="0081206A">
        <w:t xml:space="preserve">Los </w:t>
      </w:r>
      <w:r w:rsidRPr="004E1F94">
        <w:t>operadores privados</w:t>
      </w:r>
      <w:r w:rsidR="00685C8F">
        <w:t xml:space="preserve"> </w:t>
      </w:r>
      <w:r w:rsidR="0081206A">
        <w:t xml:space="preserve">deben incrementar </w:t>
      </w:r>
      <w:r w:rsidR="0081206A" w:rsidRPr="004E1F94">
        <w:t>su</w:t>
      </w:r>
      <w:r w:rsidRPr="004E1F94">
        <w:t xml:space="preserve"> compromiso en establecer y aplicar protocolos de seguridad que bloqueen material atentatorio contra NNA y sancionen a los usuarios responsables de difundirlo</w:t>
      </w:r>
    </w:p>
    <w:p w14:paraId="42EF71E4" w14:textId="77777777" w:rsidR="00B16AD5" w:rsidRDefault="00B16AD5" w:rsidP="00B16AD5">
      <w:pPr>
        <w:pStyle w:val="ListParagraph"/>
        <w:spacing w:after="0"/>
        <w:ind w:left="360"/>
        <w:jc w:val="both"/>
      </w:pPr>
    </w:p>
    <w:p w14:paraId="1AE0BCCB" w14:textId="77CB0799" w:rsidR="00750540" w:rsidRDefault="00750540" w:rsidP="00750540">
      <w:pPr>
        <w:pStyle w:val="ListParagraph"/>
        <w:numPr>
          <w:ilvl w:val="0"/>
          <w:numId w:val="6"/>
        </w:numPr>
        <w:spacing w:after="0"/>
        <w:jc w:val="both"/>
      </w:pPr>
      <w:r w:rsidRPr="004E1F94">
        <w:t xml:space="preserve">Generar alianzas con los medios de comunicación, para la difusión de información respecto al uso responsable y productivo del internet con énfasis en las redes sociales, así como información pertinente y clara, que ofrezca herramientas para padres, madres, personas cuidadoras, comunidades y NNA, frente a la identificación de los riesgos en entornos digitales. </w:t>
      </w:r>
    </w:p>
    <w:p w14:paraId="08FC9798" w14:textId="77777777" w:rsidR="001B01F4" w:rsidRPr="004E1F94" w:rsidRDefault="001B01F4" w:rsidP="001B01F4">
      <w:pPr>
        <w:pStyle w:val="ListParagraph"/>
        <w:spacing w:after="0"/>
        <w:ind w:left="360"/>
        <w:jc w:val="both"/>
      </w:pPr>
    </w:p>
    <w:p w14:paraId="498E2B96" w14:textId="3AB76959" w:rsidR="00845BC6" w:rsidRDefault="00845BC6" w:rsidP="004E1F94">
      <w:pPr>
        <w:pStyle w:val="ListParagraph"/>
        <w:ind w:left="360"/>
        <w:jc w:val="both"/>
      </w:pPr>
    </w:p>
    <w:p w14:paraId="79164420" w14:textId="713055C4" w:rsidR="00506398" w:rsidRPr="00CC5A32" w:rsidRDefault="00506398" w:rsidP="00CC5A32">
      <w:pPr>
        <w:jc w:val="both"/>
        <w:rPr>
          <w:b/>
          <w:bCs/>
        </w:rPr>
      </w:pPr>
    </w:p>
    <w:sectPr w:rsidR="00506398" w:rsidRPr="00CC5A3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98884" w14:textId="77777777" w:rsidR="00D01438" w:rsidRDefault="00D01438" w:rsidP="003F4242">
      <w:pPr>
        <w:spacing w:after="0" w:line="240" w:lineRule="auto"/>
      </w:pPr>
      <w:r>
        <w:separator/>
      </w:r>
    </w:p>
  </w:endnote>
  <w:endnote w:type="continuationSeparator" w:id="0">
    <w:p w14:paraId="2DB691F0" w14:textId="77777777" w:rsidR="00D01438" w:rsidRDefault="00D01438" w:rsidP="003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082421"/>
      <w:docPartObj>
        <w:docPartGallery w:val="Page Numbers (Bottom of Page)"/>
        <w:docPartUnique/>
      </w:docPartObj>
    </w:sdtPr>
    <w:sdtEndPr/>
    <w:sdtContent>
      <w:p w14:paraId="695C6118" w14:textId="288F634D" w:rsidR="00D42AE7" w:rsidRDefault="00D42AE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1E" w:rsidRPr="001A421E">
          <w:rPr>
            <w:noProof/>
            <w:lang w:val="es-ES"/>
          </w:rPr>
          <w:t>1</w:t>
        </w:r>
        <w:r>
          <w:fldChar w:fldCharType="end"/>
        </w:r>
      </w:p>
    </w:sdtContent>
  </w:sdt>
  <w:p w14:paraId="5B9C7CE3" w14:textId="77777777" w:rsidR="00D42AE7" w:rsidRDefault="00D42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1DCF" w14:textId="77777777" w:rsidR="00D01438" w:rsidRDefault="00D01438" w:rsidP="003F4242">
      <w:pPr>
        <w:spacing w:after="0" w:line="240" w:lineRule="auto"/>
      </w:pPr>
      <w:r>
        <w:separator/>
      </w:r>
    </w:p>
  </w:footnote>
  <w:footnote w:type="continuationSeparator" w:id="0">
    <w:p w14:paraId="4F8A77AE" w14:textId="77777777" w:rsidR="00D01438" w:rsidRDefault="00D01438" w:rsidP="003F4242">
      <w:pPr>
        <w:spacing w:after="0" w:line="240" w:lineRule="auto"/>
      </w:pPr>
      <w:r>
        <w:continuationSeparator/>
      </w:r>
    </w:p>
  </w:footnote>
  <w:footnote w:id="1">
    <w:p w14:paraId="74213E18" w14:textId="77777777" w:rsidR="00D6329C" w:rsidRDefault="00D6329C" w:rsidP="00D632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Citado en CHS (2022) </w:t>
      </w:r>
      <w:r w:rsidRPr="00B16AD5">
        <w:rPr>
          <w:i/>
          <w:iCs/>
        </w:rPr>
        <w:t xml:space="preserve">Informe sobre percepciones de la explotación sexual de menores en internet </w:t>
      </w:r>
      <w:r>
        <w:t xml:space="preserve">(inédito). CHS. Perú </w:t>
      </w:r>
    </w:p>
  </w:footnote>
  <w:footnote w:id="2">
    <w:p w14:paraId="31FBFC09" w14:textId="77777777" w:rsidR="00696826" w:rsidRPr="00CF4E6A" w:rsidRDefault="00696826" w:rsidP="00696826">
      <w:pPr>
        <w:pStyle w:val="FootnoteText"/>
        <w:jc w:val="both"/>
        <w:rPr>
          <w:i/>
          <w:iCs/>
        </w:rPr>
      </w:pPr>
      <w:r>
        <w:rPr>
          <w:rStyle w:val="FootnoteReference"/>
        </w:rPr>
        <w:footnoteRef/>
      </w:r>
      <w:r>
        <w:t xml:space="preserve"> Citado en Zabala, E; Pabón, E (2021) </w:t>
      </w:r>
      <w:r w:rsidRPr="00CF4E6A">
        <w:rPr>
          <w:i/>
          <w:iCs/>
        </w:rPr>
        <w:t>Tic y Factores de Vulnerabilidad en relación a su impacto en la explotación sexual de niños, niñas y adolescentes durante la pandemia del Covid-19</w:t>
      </w:r>
      <w:r>
        <w:t xml:space="preserve"> (inédito). CEBEM, Bolivia</w:t>
      </w:r>
    </w:p>
    <w:p w14:paraId="3C374278" w14:textId="2B00C375" w:rsidR="00696826" w:rsidRDefault="00696826">
      <w:pPr>
        <w:pStyle w:val="FootnoteText"/>
      </w:pPr>
    </w:p>
  </w:footnote>
  <w:footnote w:id="3">
    <w:p w14:paraId="11AB762A" w14:textId="6D56EBB8" w:rsidR="00696826" w:rsidRDefault="00696826" w:rsidP="00DB447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Citado en Cruz, M; Bustos E; Martínez, y W; Ottoniel Y (2022) </w:t>
      </w:r>
      <w:r w:rsidRPr="00DF552D">
        <w:rPr>
          <w:i/>
          <w:iCs/>
        </w:rPr>
        <w:t>El impacto de las TIC en la vulnerabilidad de NNA ante la ESC durante la pandemia del covid-19 en Nicaragua</w:t>
      </w:r>
      <w:r>
        <w:t xml:space="preserve"> (inédito). Asociación Tesis. Nicaragua. </w:t>
      </w:r>
    </w:p>
  </w:footnote>
  <w:footnote w:id="4">
    <w:p w14:paraId="523EBC9E" w14:textId="2C02EEA1" w:rsidR="007D35B9" w:rsidRPr="00482819" w:rsidRDefault="007D35B9" w:rsidP="00DF552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Ver Gordillo A; Niño J; Willamsom M; Ortega J; Cabrera D y Fierro V (2022) </w:t>
      </w:r>
      <w:r w:rsidRPr="00B16AD5">
        <w:rPr>
          <w:i/>
          <w:iCs/>
        </w:rPr>
        <w:t>Estudio sobre los comportamientos de riesgo de explotación sexual de niños, niñas y adolescentes en contextos digitales y la respuesta institucional</w:t>
      </w:r>
      <w:r>
        <w:t xml:space="preserve"> (inédito). </w:t>
      </w:r>
      <w:r w:rsidRPr="00482819">
        <w:rPr>
          <w:lang w:val="en-US"/>
        </w:rPr>
        <w:t>ISEGORÍA. Colombia</w:t>
      </w:r>
    </w:p>
  </w:footnote>
  <w:footnote w:id="5">
    <w:p w14:paraId="2C6AF29F" w14:textId="007CC50F" w:rsidR="0032039E" w:rsidRPr="00482819" w:rsidRDefault="0032039E">
      <w:pPr>
        <w:pStyle w:val="FootnoteText"/>
      </w:pPr>
      <w:r>
        <w:rPr>
          <w:rStyle w:val="FootnoteReference"/>
        </w:rPr>
        <w:footnoteRef/>
      </w:r>
      <w:r w:rsidRPr="00B16AD5">
        <w:rPr>
          <w:lang w:val="en-US"/>
        </w:rPr>
        <w:t xml:space="preserve"> ECPAT (2021) Country Overview: A report</w:t>
      </w:r>
      <w:r>
        <w:rPr>
          <w:lang w:val="en-US"/>
        </w:rPr>
        <w:t xml:space="preserve"> </w:t>
      </w:r>
      <w:r w:rsidRPr="00B16AD5">
        <w:rPr>
          <w:lang w:val="en-US"/>
        </w:rPr>
        <w:t>on the scale, scope and con</w:t>
      </w:r>
      <w:r>
        <w:rPr>
          <w:lang w:val="en-US"/>
        </w:rPr>
        <w:t xml:space="preserve">text of sexual exploitation of children. </w:t>
      </w:r>
      <w:r w:rsidRPr="00482819">
        <w:t xml:space="preserve">ECPAT. Perú. </w:t>
      </w:r>
    </w:p>
  </w:footnote>
  <w:footnote w:id="6">
    <w:p w14:paraId="1A170EF0" w14:textId="398D5D61" w:rsidR="004A5865" w:rsidRDefault="004A5865" w:rsidP="00B16AD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 CHS (2022) </w:t>
      </w:r>
      <w:r w:rsidRPr="00B16AD5">
        <w:rPr>
          <w:i/>
          <w:iCs/>
        </w:rPr>
        <w:t>Investigaci</w:t>
      </w:r>
      <w:r w:rsidR="00A8573A" w:rsidRPr="00B16AD5">
        <w:rPr>
          <w:i/>
          <w:iCs/>
        </w:rPr>
        <w:t>ó</w:t>
      </w:r>
      <w:r w:rsidRPr="00B16AD5">
        <w:rPr>
          <w:i/>
          <w:iCs/>
        </w:rPr>
        <w:t xml:space="preserve">n sobre TIC, factores de vulnerabilidad y capacidades de resiliencia en relación a su impacto en la explotación sexual de niños, niñas y adolescentes </w:t>
      </w:r>
      <w:r w:rsidR="00A8573A" w:rsidRPr="00B16AD5">
        <w:rPr>
          <w:i/>
          <w:iCs/>
        </w:rPr>
        <w:t>durante la pandemia covid-19 a nivel regional</w:t>
      </w:r>
      <w:r w:rsidR="00A8573A">
        <w:t xml:space="preserve"> (inédito). CHS. Perú.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C07"/>
    <w:multiLevelType w:val="hybridMultilevel"/>
    <w:tmpl w:val="A118C2F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46F91"/>
    <w:multiLevelType w:val="hybridMultilevel"/>
    <w:tmpl w:val="1CCE7F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7DEE"/>
    <w:multiLevelType w:val="hybridMultilevel"/>
    <w:tmpl w:val="56BAA37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E68F3"/>
    <w:multiLevelType w:val="hybridMultilevel"/>
    <w:tmpl w:val="F3164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E386C"/>
    <w:multiLevelType w:val="hybridMultilevel"/>
    <w:tmpl w:val="FFFFFFFF"/>
    <w:lvl w:ilvl="0" w:tplc="A83C8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22CA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2EF8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DADC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C97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C0A2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66A0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AEF8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D465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53CFE"/>
    <w:multiLevelType w:val="hybridMultilevel"/>
    <w:tmpl w:val="5DDC1EA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E1B"/>
    <w:multiLevelType w:val="hybridMultilevel"/>
    <w:tmpl w:val="FFFFFFFF"/>
    <w:lvl w:ilvl="0" w:tplc="BDD42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C870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06AEB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0EEB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AE99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46A7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5A9F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58D3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896C2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32"/>
    <w:rsid w:val="00002D2B"/>
    <w:rsid w:val="00011865"/>
    <w:rsid w:val="00014C41"/>
    <w:rsid w:val="00014D69"/>
    <w:rsid w:val="00042329"/>
    <w:rsid w:val="0004274D"/>
    <w:rsid w:val="00043A5B"/>
    <w:rsid w:val="0006677F"/>
    <w:rsid w:val="00096AF5"/>
    <w:rsid w:val="000A6065"/>
    <w:rsid w:val="000C7FD3"/>
    <w:rsid w:val="000D0922"/>
    <w:rsid w:val="000D3237"/>
    <w:rsid w:val="000D42D9"/>
    <w:rsid w:val="000D5D9B"/>
    <w:rsid w:val="00100089"/>
    <w:rsid w:val="00115A03"/>
    <w:rsid w:val="001539BB"/>
    <w:rsid w:val="001553F6"/>
    <w:rsid w:val="00157D48"/>
    <w:rsid w:val="00165B1E"/>
    <w:rsid w:val="001764BB"/>
    <w:rsid w:val="00194770"/>
    <w:rsid w:val="0019768A"/>
    <w:rsid w:val="001A421E"/>
    <w:rsid w:val="001A76BC"/>
    <w:rsid w:val="001B01F4"/>
    <w:rsid w:val="001B508A"/>
    <w:rsid w:val="001D15A4"/>
    <w:rsid w:val="001D2D25"/>
    <w:rsid w:val="001F3068"/>
    <w:rsid w:val="001F6993"/>
    <w:rsid w:val="0020594E"/>
    <w:rsid w:val="002157E8"/>
    <w:rsid w:val="002250B1"/>
    <w:rsid w:val="00275E0F"/>
    <w:rsid w:val="00286AFE"/>
    <w:rsid w:val="002912FA"/>
    <w:rsid w:val="002975A5"/>
    <w:rsid w:val="002976BC"/>
    <w:rsid w:val="002A1F91"/>
    <w:rsid w:val="002B0F63"/>
    <w:rsid w:val="002B1133"/>
    <w:rsid w:val="002B637B"/>
    <w:rsid w:val="002C055D"/>
    <w:rsid w:val="002E5650"/>
    <w:rsid w:val="002E5DAD"/>
    <w:rsid w:val="002F71E2"/>
    <w:rsid w:val="00302EC2"/>
    <w:rsid w:val="0031442D"/>
    <w:rsid w:val="00316E91"/>
    <w:rsid w:val="0032039E"/>
    <w:rsid w:val="003242EF"/>
    <w:rsid w:val="003252C5"/>
    <w:rsid w:val="003274F9"/>
    <w:rsid w:val="00337CCC"/>
    <w:rsid w:val="003419F0"/>
    <w:rsid w:val="003426C8"/>
    <w:rsid w:val="0034570B"/>
    <w:rsid w:val="0036197F"/>
    <w:rsid w:val="00367EA3"/>
    <w:rsid w:val="003774D4"/>
    <w:rsid w:val="00380675"/>
    <w:rsid w:val="0038359C"/>
    <w:rsid w:val="003C4470"/>
    <w:rsid w:val="003C5F08"/>
    <w:rsid w:val="003E494D"/>
    <w:rsid w:val="003F4242"/>
    <w:rsid w:val="0040036C"/>
    <w:rsid w:val="004004ED"/>
    <w:rsid w:val="00412C32"/>
    <w:rsid w:val="00424D17"/>
    <w:rsid w:val="00444D7C"/>
    <w:rsid w:val="00474D0C"/>
    <w:rsid w:val="00482819"/>
    <w:rsid w:val="004A5865"/>
    <w:rsid w:val="004B2EB0"/>
    <w:rsid w:val="004C2F5F"/>
    <w:rsid w:val="004C6627"/>
    <w:rsid w:val="004D6F91"/>
    <w:rsid w:val="004E01F3"/>
    <w:rsid w:val="004E05E6"/>
    <w:rsid w:val="004E1F94"/>
    <w:rsid w:val="004E4AF6"/>
    <w:rsid w:val="004F36D6"/>
    <w:rsid w:val="004F4E5C"/>
    <w:rsid w:val="00506398"/>
    <w:rsid w:val="0052365F"/>
    <w:rsid w:val="00523F27"/>
    <w:rsid w:val="00524422"/>
    <w:rsid w:val="005325B0"/>
    <w:rsid w:val="005330B2"/>
    <w:rsid w:val="0054085A"/>
    <w:rsid w:val="0054121D"/>
    <w:rsid w:val="00541EBD"/>
    <w:rsid w:val="005469C8"/>
    <w:rsid w:val="005565FC"/>
    <w:rsid w:val="00572222"/>
    <w:rsid w:val="005728EE"/>
    <w:rsid w:val="00582F96"/>
    <w:rsid w:val="005A30B6"/>
    <w:rsid w:val="005A58B8"/>
    <w:rsid w:val="005B4FB3"/>
    <w:rsid w:val="005C1B81"/>
    <w:rsid w:val="005D2A47"/>
    <w:rsid w:val="00640C17"/>
    <w:rsid w:val="00641227"/>
    <w:rsid w:val="00656CC7"/>
    <w:rsid w:val="00674F9C"/>
    <w:rsid w:val="00685435"/>
    <w:rsid w:val="00685C8F"/>
    <w:rsid w:val="006860EF"/>
    <w:rsid w:val="00696826"/>
    <w:rsid w:val="006A5CE3"/>
    <w:rsid w:val="006A6C16"/>
    <w:rsid w:val="006A7AFE"/>
    <w:rsid w:val="006B0393"/>
    <w:rsid w:val="006B0D05"/>
    <w:rsid w:val="006C3412"/>
    <w:rsid w:val="006C4EFC"/>
    <w:rsid w:val="006D1352"/>
    <w:rsid w:val="00703179"/>
    <w:rsid w:val="00705D2D"/>
    <w:rsid w:val="007163B1"/>
    <w:rsid w:val="00721BA1"/>
    <w:rsid w:val="00722263"/>
    <w:rsid w:val="00727BE2"/>
    <w:rsid w:val="00736217"/>
    <w:rsid w:val="00750540"/>
    <w:rsid w:val="00775AA2"/>
    <w:rsid w:val="00783A6B"/>
    <w:rsid w:val="007A3FB7"/>
    <w:rsid w:val="007A677D"/>
    <w:rsid w:val="007B19D8"/>
    <w:rsid w:val="007B3BE9"/>
    <w:rsid w:val="007C2125"/>
    <w:rsid w:val="007C463F"/>
    <w:rsid w:val="007C564E"/>
    <w:rsid w:val="007D35B9"/>
    <w:rsid w:val="007E4782"/>
    <w:rsid w:val="007F1045"/>
    <w:rsid w:val="0080286C"/>
    <w:rsid w:val="0081206A"/>
    <w:rsid w:val="00814730"/>
    <w:rsid w:val="008359FD"/>
    <w:rsid w:val="008435F7"/>
    <w:rsid w:val="00845BC6"/>
    <w:rsid w:val="0087683C"/>
    <w:rsid w:val="008967A0"/>
    <w:rsid w:val="00896B65"/>
    <w:rsid w:val="00896E7A"/>
    <w:rsid w:val="008B4323"/>
    <w:rsid w:val="008B78DD"/>
    <w:rsid w:val="008C6D28"/>
    <w:rsid w:val="008E31C8"/>
    <w:rsid w:val="008F0596"/>
    <w:rsid w:val="008F320C"/>
    <w:rsid w:val="008F500E"/>
    <w:rsid w:val="008F74FC"/>
    <w:rsid w:val="00905812"/>
    <w:rsid w:val="00907DE6"/>
    <w:rsid w:val="00925E89"/>
    <w:rsid w:val="00927096"/>
    <w:rsid w:val="00944437"/>
    <w:rsid w:val="00952F1B"/>
    <w:rsid w:val="00953394"/>
    <w:rsid w:val="00961D7E"/>
    <w:rsid w:val="0099774A"/>
    <w:rsid w:val="009A23F7"/>
    <w:rsid w:val="009A26C5"/>
    <w:rsid w:val="009C5175"/>
    <w:rsid w:val="009C5CD9"/>
    <w:rsid w:val="009D0B8B"/>
    <w:rsid w:val="009D7794"/>
    <w:rsid w:val="009E3552"/>
    <w:rsid w:val="009E6789"/>
    <w:rsid w:val="009F3EF6"/>
    <w:rsid w:val="009F6EF8"/>
    <w:rsid w:val="00A04465"/>
    <w:rsid w:val="00A146F0"/>
    <w:rsid w:val="00A40E10"/>
    <w:rsid w:val="00A52101"/>
    <w:rsid w:val="00A62E6B"/>
    <w:rsid w:val="00A66649"/>
    <w:rsid w:val="00A8573A"/>
    <w:rsid w:val="00A911DB"/>
    <w:rsid w:val="00A91B47"/>
    <w:rsid w:val="00AA2D75"/>
    <w:rsid w:val="00AD3DF0"/>
    <w:rsid w:val="00AD4774"/>
    <w:rsid w:val="00AF47B6"/>
    <w:rsid w:val="00AF5F7B"/>
    <w:rsid w:val="00B02AD0"/>
    <w:rsid w:val="00B05CD1"/>
    <w:rsid w:val="00B060B0"/>
    <w:rsid w:val="00B06DB8"/>
    <w:rsid w:val="00B15323"/>
    <w:rsid w:val="00B16AD5"/>
    <w:rsid w:val="00B16B86"/>
    <w:rsid w:val="00B30378"/>
    <w:rsid w:val="00B40E9D"/>
    <w:rsid w:val="00B45AEB"/>
    <w:rsid w:val="00B651A7"/>
    <w:rsid w:val="00B66C2C"/>
    <w:rsid w:val="00BA068B"/>
    <w:rsid w:val="00BC2830"/>
    <w:rsid w:val="00BC6911"/>
    <w:rsid w:val="00BD6E05"/>
    <w:rsid w:val="00BE0312"/>
    <w:rsid w:val="00BE1902"/>
    <w:rsid w:val="00BF0CC2"/>
    <w:rsid w:val="00BF244E"/>
    <w:rsid w:val="00C03ED3"/>
    <w:rsid w:val="00C04981"/>
    <w:rsid w:val="00C04E68"/>
    <w:rsid w:val="00C057AF"/>
    <w:rsid w:val="00C17E61"/>
    <w:rsid w:val="00C20736"/>
    <w:rsid w:val="00C52435"/>
    <w:rsid w:val="00C81904"/>
    <w:rsid w:val="00C81D57"/>
    <w:rsid w:val="00C82F15"/>
    <w:rsid w:val="00C93FE1"/>
    <w:rsid w:val="00C96875"/>
    <w:rsid w:val="00CA5D2A"/>
    <w:rsid w:val="00CA6D54"/>
    <w:rsid w:val="00CB42C9"/>
    <w:rsid w:val="00CC4501"/>
    <w:rsid w:val="00CC45C5"/>
    <w:rsid w:val="00CC5A32"/>
    <w:rsid w:val="00CC7BF3"/>
    <w:rsid w:val="00CD4DBE"/>
    <w:rsid w:val="00CE5DCD"/>
    <w:rsid w:val="00CE6FD7"/>
    <w:rsid w:val="00CF406C"/>
    <w:rsid w:val="00D01438"/>
    <w:rsid w:val="00D116F2"/>
    <w:rsid w:val="00D20709"/>
    <w:rsid w:val="00D223B8"/>
    <w:rsid w:val="00D337AC"/>
    <w:rsid w:val="00D42AE7"/>
    <w:rsid w:val="00D6329C"/>
    <w:rsid w:val="00DB4478"/>
    <w:rsid w:val="00DC17C1"/>
    <w:rsid w:val="00DC6DA8"/>
    <w:rsid w:val="00DD7E80"/>
    <w:rsid w:val="00DE4CC1"/>
    <w:rsid w:val="00DF552D"/>
    <w:rsid w:val="00E16C6E"/>
    <w:rsid w:val="00E23FD3"/>
    <w:rsid w:val="00E24955"/>
    <w:rsid w:val="00E25946"/>
    <w:rsid w:val="00E55364"/>
    <w:rsid w:val="00E62A16"/>
    <w:rsid w:val="00E66008"/>
    <w:rsid w:val="00E700B8"/>
    <w:rsid w:val="00E7777E"/>
    <w:rsid w:val="00E832F7"/>
    <w:rsid w:val="00ED2886"/>
    <w:rsid w:val="00ED644F"/>
    <w:rsid w:val="00EE12A8"/>
    <w:rsid w:val="00EE3453"/>
    <w:rsid w:val="00EE5754"/>
    <w:rsid w:val="00EF1EB2"/>
    <w:rsid w:val="00F277A0"/>
    <w:rsid w:val="00F27C50"/>
    <w:rsid w:val="00F34C45"/>
    <w:rsid w:val="00F703E2"/>
    <w:rsid w:val="00FA61E9"/>
    <w:rsid w:val="00FB61D3"/>
    <w:rsid w:val="00FC2BED"/>
    <w:rsid w:val="00FC5680"/>
    <w:rsid w:val="00FE2DA6"/>
    <w:rsid w:val="00FF13AD"/>
    <w:rsid w:val="00FF2F61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4C04"/>
  <w15:chartTrackingRefBased/>
  <w15:docId w15:val="{ADF9AD48-C702-4BFC-B228-130B40B5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61,List Paragraph1,Antes de enumeración,Ha,21. Párrafo de lista,Bullets,Bullet List,FooterText,Colorful List Accent 1,numbered,Paragraphe de liste1,列出段落,列出段落1,Bulletr List Paragraph,List Paragraph2,List Paragraph21,リスト段落1,U 5"/>
    <w:basedOn w:val="Normal"/>
    <w:link w:val="ListParagraphChar"/>
    <w:uiPriority w:val="34"/>
    <w:qFormat/>
    <w:rsid w:val="00CC5A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F42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42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F424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16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B1"/>
  </w:style>
  <w:style w:type="paragraph" w:styleId="Header">
    <w:name w:val="header"/>
    <w:basedOn w:val="Normal"/>
    <w:link w:val="HeaderChar"/>
    <w:uiPriority w:val="99"/>
    <w:unhideWhenUsed/>
    <w:rsid w:val="00D42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E7"/>
  </w:style>
  <w:style w:type="paragraph" w:styleId="NormalWeb">
    <w:name w:val="Normal (Web)"/>
    <w:basedOn w:val="Normal"/>
    <w:uiPriority w:val="99"/>
    <w:semiHidden/>
    <w:unhideWhenUsed/>
    <w:rsid w:val="00BE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hgkelc">
    <w:name w:val="hgkelc"/>
    <w:basedOn w:val="DefaultParagraphFont"/>
    <w:rsid w:val="0099774A"/>
  </w:style>
  <w:style w:type="paragraph" w:styleId="Revision">
    <w:name w:val="Revision"/>
    <w:hidden/>
    <w:uiPriority w:val="99"/>
    <w:semiHidden/>
    <w:rsid w:val="005330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0B2"/>
    <w:rPr>
      <w:b/>
      <w:bCs/>
      <w:sz w:val="20"/>
      <w:szCs w:val="20"/>
    </w:rPr>
  </w:style>
  <w:style w:type="character" w:customStyle="1" w:styleId="ListParagraphChar">
    <w:name w:val="List Paragraph Char"/>
    <w:aliases w:val="Heading 61 Char,List Paragraph1 Char,Antes de enumeración Char,Ha Char,21. Párrafo de lista Char,Bullets Char,Bullet List Char,FooterText Char,Colorful List Accent 1 Char,numbered Char,Paragraphe de liste1 Char,列出段落 Char,列出段落1 Char"/>
    <w:link w:val="ListParagraph"/>
    <w:uiPriority w:val="34"/>
    <w:qFormat/>
    <w:locked/>
    <w:rsid w:val="007C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FEED-2D7B-460C-B08E-1C423DBF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2670</Words>
  <Characters>15224</Characters>
  <Application>Microsoft Office Word</Application>
  <DocSecurity>4</DocSecurity>
  <Lines>126</Lines>
  <Paragraphs>35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Antara Singh</cp:lastModifiedBy>
  <cp:revision>2</cp:revision>
  <dcterms:created xsi:type="dcterms:W3CDTF">2022-03-16T12:49:00Z</dcterms:created>
  <dcterms:modified xsi:type="dcterms:W3CDTF">2022-03-16T12:49:00Z</dcterms:modified>
</cp:coreProperties>
</file>