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891B" w14:textId="20F355DD" w:rsidR="009D7D68" w:rsidRPr="009D7D68" w:rsidRDefault="009D7D68" w:rsidP="00633DE1">
      <w:pPr>
        <w:pStyle w:val="Heading1"/>
        <w:spacing w:line="276" w:lineRule="auto"/>
        <w:jc w:val="center"/>
        <w:rPr>
          <w:color w:val="auto"/>
        </w:rPr>
      </w:pPr>
      <w:r w:rsidRPr="009D7D68">
        <w:rPr>
          <w:color w:val="auto"/>
        </w:rPr>
        <w:t>Call for Input to inform the High Commissioner’s report to the Human Rights Council on the impact of casualty recording</w:t>
      </w:r>
    </w:p>
    <w:p w14:paraId="4646FC78" w14:textId="7A284555" w:rsidR="000235EF" w:rsidRPr="009D7D68" w:rsidRDefault="000235EF" w:rsidP="00633DE1">
      <w:pPr>
        <w:pStyle w:val="Heading1"/>
        <w:spacing w:line="276" w:lineRule="auto"/>
        <w:jc w:val="center"/>
        <w:rPr>
          <w:color w:val="auto"/>
        </w:rPr>
      </w:pPr>
      <w:r w:rsidRPr="009D7D68">
        <w:rPr>
          <w:color w:val="auto"/>
        </w:rPr>
        <w:t xml:space="preserve">Submission by </w:t>
      </w:r>
      <w:r w:rsidR="00A707A7">
        <w:rPr>
          <w:color w:val="auto"/>
        </w:rPr>
        <w:t xml:space="preserve">Action on Armed Violence </w:t>
      </w:r>
      <w:r w:rsidR="009D7D68" w:rsidRPr="009D7D68">
        <w:rPr>
          <w:color w:val="auto"/>
        </w:rPr>
        <w:t>and Every Casualty Counts</w:t>
      </w:r>
    </w:p>
    <w:p w14:paraId="1B0B4DD3" w14:textId="71823D55" w:rsidR="000235EF" w:rsidRPr="009D7D68" w:rsidRDefault="000235EF" w:rsidP="00633DE1">
      <w:pPr>
        <w:spacing w:line="276" w:lineRule="auto"/>
      </w:pPr>
    </w:p>
    <w:p w14:paraId="258AAFD6" w14:textId="240A7F97" w:rsidR="00102E2E" w:rsidRPr="009D7D68" w:rsidRDefault="00102E2E" w:rsidP="00633DE1">
      <w:pPr>
        <w:spacing w:line="276" w:lineRule="auto"/>
        <w:jc w:val="right"/>
      </w:pPr>
      <w:r w:rsidRPr="009D7D68">
        <w:t>1</w:t>
      </w:r>
      <w:r w:rsidR="00A23BB6">
        <w:t>2</w:t>
      </w:r>
      <w:r w:rsidRPr="009D7D68">
        <w:t xml:space="preserve"> February 2023</w:t>
      </w:r>
    </w:p>
    <w:p w14:paraId="58C834B4" w14:textId="2ABCD17C" w:rsidR="00C34F0B" w:rsidRDefault="00A707A7" w:rsidP="00633DE1">
      <w:pPr>
        <w:pStyle w:val="NormalWeb"/>
        <w:spacing w:line="276" w:lineRule="auto"/>
        <w:rPr>
          <w:rFonts w:asciiTheme="minorHAnsi" w:hAnsiTheme="minorHAnsi" w:cstheme="minorHAnsi"/>
          <w:sz w:val="22"/>
          <w:szCs w:val="22"/>
        </w:rPr>
      </w:pPr>
      <w:r w:rsidRPr="00A707A7">
        <w:rPr>
          <w:rFonts w:asciiTheme="minorHAnsi" w:hAnsiTheme="minorHAnsi" w:cstheme="minorHAnsi"/>
          <w:sz w:val="22"/>
          <w:szCs w:val="22"/>
        </w:rPr>
        <w:t xml:space="preserve">Action on Armed Violence </w:t>
      </w:r>
      <w:r w:rsidR="00842AA9">
        <w:rPr>
          <w:rFonts w:asciiTheme="minorHAnsi" w:hAnsiTheme="minorHAnsi" w:cstheme="minorHAnsi"/>
          <w:sz w:val="22"/>
          <w:szCs w:val="22"/>
        </w:rPr>
        <w:t xml:space="preserve">(AOAV) </w:t>
      </w:r>
      <w:r w:rsidRPr="00A707A7">
        <w:rPr>
          <w:rFonts w:asciiTheme="minorHAnsi" w:hAnsiTheme="minorHAnsi" w:cstheme="minorHAnsi"/>
          <w:sz w:val="22"/>
          <w:szCs w:val="22"/>
        </w:rPr>
        <w:t>seeks to reduce the impact of armed violence through monitoring and research of the causes and consequences of weapon-based violence</w:t>
      </w:r>
      <w:r w:rsidR="000D477F">
        <w:rPr>
          <w:rFonts w:asciiTheme="minorHAnsi" w:hAnsiTheme="minorHAnsi" w:cstheme="minorHAnsi"/>
          <w:sz w:val="22"/>
          <w:szCs w:val="22"/>
        </w:rPr>
        <w:t xml:space="preserve"> around the world</w:t>
      </w:r>
      <w:r w:rsidR="000624F1">
        <w:rPr>
          <w:rFonts w:asciiTheme="minorHAnsi" w:hAnsiTheme="minorHAnsi" w:cstheme="minorHAnsi"/>
          <w:sz w:val="22"/>
          <w:szCs w:val="22"/>
        </w:rPr>
        <w:t>.</w:t>
      </w:r>
      <w:r w:rsidRPr="00A707A7">
        <w:rPr>
          <w:rFonts w:asciiTheme="minorHAnsi" w:hAnsiTheme="minorHAnsi" w:cstheme="minorHAnsi"/>
          <w:sz w:val="22"/>
          <w:szCs w:val="22"/>
        </w:rPr>
        <w:t xml:space="preserve"> We have a specific focus on the impact of explosive weapons. </w:t>
      </w:r>
      <w:r w:rsidRPr="00A707A7">
        <w:rPr>
          <w:rFonts w:asciiTheme="minorHAnsi" w:hAnsiTheme="minorHAnsi" w:cstheme="minorHAnsi"/>
          <w:sz w:val="22"/>
          <w:szCs w:val="22"/>
        </w:rPr>
        <w:br/>
      </w:r>
      <w:r w:rsidRPr="00A707A7">
        <w:rPr>
          <w:rFonts w:asciiTheme="minorHAnsi" w:hAnsiTheme="minorHAnsi" w:cstheme="minorHAnsi"/>
          <w:sz w:val="22"/>
          <w:szCs w:val="22"/>
        </w:rPr>
        <w:br/>
        <w:t xml:space="preserve">In addition to monitoring harm, we have investigated numerous case studies of explosive weapon harm, including the long-term harm from explosive weapons in Sri Lanka, Lebanon and Syria, air strikes by NATO forces, improvised explosive device attacks by jihadist terrorists and the wide area harm of explosive weapons in Ukraine, Jordan and Israel, amongst others. </w:t>
      </w:r>
      <w:r w:rsidRPr="00A707A7">
        <w:rPr>
          <w:rFonts w:asciiTheme="minorHAnsi" w:hAnsiTheme="minorHAnsi" w:cstheme="minorHAnsi"/>
          <w:sz w:val="22"/>
          <w:szCs w:val="22"/>
        </w:rPr>
        <w:br/>
      </w:r>
      <w:r w:rsidRPr="00A707A7">
        <w:rPr>
          <w:rFonts w:asciiTheme="minorHAnsi" w:hAnsiTheme="minorHAnsi" w:cstheme="minorHAnsi"/>
          <w:sz w:val="22"/>
          <w:szCs w:val="22"/>
        </w:rPr>
        <w:br/>
      </w:r>
      <w:r w:rsidRPr="00A707A7">
        <w:rPr>
          <w:rFonts w:asciiTheme="minorHAnsi" w:hAnsiTheme="minorHAnsi" w:cstheme="minorHAnsi"/>
          <w:sz w:val="22"/>
          <w:szCs w:val="22"/>
        </w:rPr>
        <w:t>Our work is</w:t>
      </w:r>
      <w:r w:rsidR="0099028A">
        <w:rPr>
          <w:rFonts w:asciiTheme="minorHAnsi" w:hAnsiTheme="minorHAnsi" w:cstheme="minorHAnsi"/>
          <w:sz w:val="22"/>
          <w:szCs w:val="22"/>
        </w:rPr>
        <w:t xml:space="preserve"> regularly</w:t>
      </w:r>
      <w:r w:rsidRPr="00A707A7">
        <w:rPr>
          <w:rFonts w:asciiTheme="minorHAnsi" w:hAnsiTheme="minorHAnsi" w:cstheme="minorHAnsi"/>
          <w:sz w:val="22"/>
          <w:szCs w:val="22"/>
        </w:rPr>
        <w:t xml:space="preserve"> disseminated at</w:t>
      </w:r>
      <w:r w:rsidR="0099028A">
        <w:rPr>
          <w:rFonts w:asciiTheme="minorHAnsi" w:hAnsiTheme="minorHAnsi" w:cstheme="minorHAnsi"/>
          <w:sz w:val="22"/>
          <w:szCs w:val="22"/>
        </w:rPr>
        <w:t xml:space="preserve"> national and</w:t>
      </w:r>
      <w:r w:rsidRPr="00A707A7">
        <w:rPr>
          <w:rFonts w:asciiTheme="minorHAnsi" w:hAnsiTheme="minorHAnsi" w:cstheme="minorHAnsi"/>
          <w:sz w:val="22"/>
          <w:szCs w:val="22"/>
        </w:rPr>
        <w:t xml:space="preserve"> international </w:t>
      </w:r>
      <w:r w:rsidR="0099028A">
        <w:rPr>
          <w:rFonts w:asciiTheme="minorHAnsi" w:hAnsiTheme="minorHAnsi" w:cstheme="minorHAnsi"/>
          <w:sz w:val="22"/>
          <w:szCs w:val="22"/>
        </w:rPr>
        <w:t xml:space="preserve">fora, both political and </w:t>
      </w:r>
      <w:proofErr w:type="gramStart"/>
      <w:r w:rsidR="0099028A">
        <w:rPr>
          <w:rFonts w:asciiTheme="minorHAnsi" w:hAnsiTheme="minorHAnsi" w:cstheme="minorHAnsi"/>
          <w:sz w:val="22"/>
          <w:szCs w:val="22"/>
        </w:rPr>
        <w:t>technical.</w:t>
      </w:r>
      <w:r w:rsidRPr="00A707A7">
        <w:rPr>
          <w:rFonts w:asciiTheme="minorHAnsi" w:hAnsiTheme="minorHAnsi" w:cstheme="minorHAnsi"/>
          <w:sz w:val="22"/>
          <w:szCs w:val="22"/>
        </w:rPr>
        <w:t>.</w:t>
      </w:r>
      <w:proofErr w:type="gramEnd"/>
      <w:r w:rsidRPr="00A707A7">
        <w:rPr>
          <w:rFonts w:asciiTheme="minorHAnsi" w:hAnsiTheme="minorHAnsi" w:cstheme="minorHAnsi"/>
          <w:sz w:val="22"/>
          <w:szCs w:val="22"/>
        </w:rPr>
        <w:t xml:space="preserve"> Our work is widely cited in the media and we are a regular commentator on armed violence internationally. </w:t>
      </w:r>
      <w:r w:rsidR="00842AA9">
        <w:rPr>
          <w:rFonts w:asciiTheme="minorHAnsi" w:hAnsiTheme="minorHAnsi" w:cstheme="minorHAnsi"/>
          <w:sz w:val="22"/>
          <w:szCs w:val="22"/>
        </w:rPr>
        <w:t xml:space="preserve">AOAV’s casualty data has informed and been cited in the </w:t>
      </w:r>
      <w:hyperlink r:id="rId8" w:history="1">
        <w:r w:rsidR="00842AA9" w:rsidRPr="00B43F46">
          <w:rPr>
            <w:rStyle w:val="Hyperlink"/>
            <w:rFonts w:asciiTheme="minorHAnsi" w:hAnsiTheme="minorHAnsi" w:cstheme="minorHAnsi"/>
            <w:sz w:val="22"/>
            <w:szCs w:val="22"/>
          </w:rPr>
          <w:t>report of the Secretary General on the protection of civilians in armed conflict since 2012</w:t>
        </w:r>
      </w:hyperlink>
      <w:r w:rsidR="00842AA9" w:rsidRPr="00C34F0B">
        <w:rPr>
          <w:rFonts w:asciiTheme="minorHAnsi" w:hAnsiTheme="minorHAnsi" w:cstheme="minorHAnsi"/>
          <w:sz w:val="22"/>
          <w:szCs w:val="22"/>
        </w:rPr>
        <w:t>.</w:t>
      </w:r>
      <w:r w:rsidR="000624F1" w:rsidRPr="00C34F0B">
        <w:rPr>
          <w:rFonts w:asciiTheme="minorHAnsi" w:hAnsiTheme="minorHAnsi" w:cstheme="minorHAnsi"/>
          <w:sz w:val="22"/>
          <w:szCs w:val="22"/>
        </w:rPr>
        <w:t xml:space="preserve"> AOAV also collaborates closely with many civil society organisations as part of the International Network on Explosive Weapons</w:t>
      </w:r>
      <w:r w:rsidR="001335A8" w:rsidRPr="00C34F0B">
        <w:rPr>
          <w:rFonts w:asciiTheme="minorHAnsi" w:hAnsiTheme="minorHAnsi" w:cstheme="minorHAnsi"/>
          <w:sz w:val="22"/>
          <w:szCs w:val="22"/>
        </w:rPr>
        <w:t xml:space="preserve"> (</w:t>
      </w:r>
      <w:hyperlink r:id="rId9" w:history="1">
        <w:r w:rsidR="001335A8" w:rsidRPr="00C34F0B">
          <w:rPr>
            <w:rStyle w:val="Hyperlink"/>
            <w:rFonts w:asciiTheme="minorHAnsi" w:hAnsiTheme="minorHAnsi" w:cstheme="minorHAnsi"/>
            <w:sz w:val="22"/>
            <w:szCs w:val="22"/>
          </w:rPr>
          <w:t>INEW</w:t>
        </w:r>
      </w:hyperlink>
      <w:r w:rsidR="001335A8" w:rsidRPr="00C34F0B">
        <w:rPr>
          <w:rFonts w:asciiTheme="minorHAnsi" w:hAnsiTheme="minorHAnsi" w:cstheme="minorHAnsi"/>
          <w:sz w:val="22"/>
          <w:szCs w:val="22"/>
        </w:rPr>
        <w:t>)</w:t>
      </w:r>
      <w:r w:rsidR="00C34F0B">
        <w:rPr>
          <w:rFonts w:asciiTheme="minorHAnsi" w:hAnsiTheme="minorHAnsi" w:cstheme="minorHAnsi"/>
          <w:sz w:val="22"/>
          <w:szCs w:val="22"/>
        </w:rPr>
        <w:t xml:space="preserve">. </w:t>
      </w:r>
    </w:p>
    <w:p w14:paraId="7FF86769" w14:textId="42B6E937" w:rsidR="00A707A7" w:rsidRPr="00C34F0B" w:rsidRDefault="00A707A7" w:rsidP="00633DE1">
      <w:pPr>
        <w:pStyle w:val="text-justify"/>
        <w:spacing w:line="276" w:lineRule="auto"/>
        <w:rPr>
          <w:rFonts w:asciiTheme="minorHAnsi" w:hAnsiTheme="minorHAnsi" w:cstheme="minorHAnsi"/>
          <w:sz w:val="22"/>
          <w:szCs w:val="22"/>
        </w:rPr>
      </w:pPr>
      <w:r>
        <w:rPr>
          <w:rFonts w:asciiTheme="minorHAnsi" w:hAnsiTheme="minorHAnsi" w:cstheme="minorHAnsi"/>
          <w:sz w:val="22"/>
          <w:szCs w:val="22"/>
        </w:rPr>
        <w:t xml:space="preserve">AOAV’s </w:t>
      </w:r>
      <w:hyperlink r:id="rId10" w:history="1">
        <w:r w:rsidRPr="00A707A7">
          <w:rPr>
            <w:rStyle w:val="Hyperlink"/>
            <w:rFonts w:asciiTheme="minorHAnsi" w:hAnsiTheme="minorHAnsi" w:cstheme="minorHAnsi"/>
            <w:sz w:val="22"/>
            <w:szCs w:val="22"/>
          </w:rPr>
          <w:t>database of explosive violence incidents</w:t>
        </w:r>
      </w:hyperlink>
      <w:r>
        <w:rPr>
          <w:rFonts w:asciiTheme="minorHAnsi" w:hAnsiTheme="minorHAnsi" w:cstheme="minorHAnsi"/>
          <w:sz w:val="22"/>
          <w:szCs w:val="22"/>
        </w:rPr>
        <w:t xml:space="preserve"> documents civilian and combatant casualties since October 2010</w:t>
      </w:r>
      <w:r w:rsidR="007118B4">
        <w:rPr>
          <w:rFonts w:asciiTheme="minorHAnsi" w:hAnsiTheme="minorHAnsi" w:cstheme="minorHAnsi"/>
          <w:sz w:val="22"/>
          <w:szCs w:val="22"/>
        </w:rPr>
        <w:t>, compiled from English-language media sources</w:t>
      </w:r>
      <w:r>
        <w:rPr>
          <w:rFonts w:asciiTheme="minorHAnsi" w:hAnsiTheme="minorHAnsi" w:cstheme="minorHAnsi"/>
          <w:sz w:val="22"/>
          <w:szCs w:val="22"/>
        </w:rPr>
        <w:t xml:space="preserve">. As of February 2023, the database contains </w:t>
      </w:r>
      <w:r w:rsidRPr="00A707A7">
        <w:rPr>
          <w:rFonts w:asciiTheme="minorHAnsi" w:hAnsiTheme="minorHAnsi" w:cstheme="minorHAnsi"/>
          <w:sz w:val="22"/>
          <w:szCs w:val="22"/>
        </w:rPr>
        <w:t xml:space="preserve">over </w:t>
      </w:r>
      <w:r w:rsidR="000D477F">
        <w:rPr>
          <w:rFonts w:asciiTheme="minorHAnsi" w:hAnsiTheme="minorHAnsi" w:cstheme="minorHAnsi"/>
          <w:sz w:val="22"/>
          <w:szCs w:val="22"/>
        </w:rPr>
        <w:t>39</w:t>
      </w:r>
      <w:r w:rsidRPr="00A707A7">
        <w:rPr>
          <w:rFonts w:asciiTheme="minorHAnsi" w:hAnsiTheme="minorHAnsi" w:cstheme="minorHAnsi"/>
          <w:sz w:val="22"/>
          <w:szCs w:val="22"/>
        </w:rPr>
        <w:t>,000 explosive violence incidents reported from 119 countries, and</w:t>
      </w:r>
      <w:r w:rsidR="006A7130">
        <w:rPr>
          <w:rFonts w:asciiTheme="minorHAnsi" w:hAnsiTheme="minorHAnsi" w:cstheme="minorHAnsi"/>
          <w:sz w:val="22"/>
          <w:szCs w:val="22"/>
        </w:rPr>
        <w:t xml:space="preserve"> details of</w:t>
      </w:r>
      <w:r w:rsidRPr="00A707A7">
        <w:rPr>
          <w:rFonts w:asciiTheme="minorHAnsi" w:hAnsiTheme="minorHAnsi" w:cstheme="minorHAnsi"/>
          <w:sz w:val="22"/>
          <w:szCs w:val="22"/>
        </w:rPr>
        <w:t xml:space="preserve"> over 300,000 casualties. </w:t>
      </w:r>
      <w:r>
        <w:rPr>
          <w:rFonts w:asciiTheme="minorHAnsi" w:hAnsiTheme="minorHAnsi" w:cstheme="minorHAnsi"/>
          <w:sz w:val="22"/>
          <w:szCs w:val="22"/>
        </w:rPr>
        <w:t>Details of our methodology are available at</w:t>
      </w:r>
      <w:r w:rsidR="00633DE1">
        <w:rPr>
          <w:rFonts w:asciiTheme="minorHAnsi" w:hAnsiTheme="minorHAnsi" w:cstheme="minorHAnsi"/>
          <w:sz w:val="22"/>
          <w:szCs w:val="22"/>
        </w:rPr>
        <w:t xml:space="preserve"> </w:t>
      </w:r>
      <w:hyperlink r:id="rId11" w:history="1">
        <w:r w:rsidR="00633DE1" w:rsidRPr="0016241B">
          <w:rPr>
            <w:rStyle w:val="Hyperlink"/>
            <w:rFonts w:asciiTheme="minorHAnsi" w:hAnsiTheme="minorHAnsi" w:cstheme="minorHAnsi"/>
            <w:sz w:val="22"/>
            <w:szCs w:val="22"/>
          </w:rPr>
          <w:t>http://www.explosiveviolencedata.com/about</w:t>
        </w:r>
      </w:hyperlink>
      <w:r>
        <w:rPr>
          <w:rFonts w:asciiTheme="minorHAnsi" w:hAnsiTheme="minorHAnsi" w:cstheme="minorHAnsi"/>
          <w:sz w:val="22"/>
          <w:szCs w:val="22"/>
        </w:rPr>
        <w:t>.</w:t>
      </w:r>
      <w:r w:rsidR="000624F1">
        <w:rPr>
          <w:rFonts w:asciiTheme="minorHAnsi" w:hAnsiTheme="minorHAnsi" w:cstheme="minorHAnsi"/>
          <w:sz w:val="22"/>
          <w:szCs w:val="22"/>
        </w:rPr>
        <w:t xml:space="preserve"> </w:t>
      </w:r>
      <w:r w:rsidR="000624F1" w:rsidRPr="00C34F0B">
        <w:rPr>
          <w:rFonts w:asciiTheme="minorHAnsi" w:hAnsiTheme="minorHAnsi" w:cstheme="minorHAnsi"/>
          <w:sz w:val="22"/>
          <w:szCs w:val="22"/>
        </w:rPr>
        <w:t>Our data is verified and cross-checked by an independent assessor on a regular basis.</w:t>
      </w:r>
    </w:p>
    <w:p w14:paraId="37FA2F03" w14:textId="7DE93595" w:rsidR="00A23BB6" w:rsidRPr="0062171F" w:rsidRDefault="00A23BB6" w:rsidP="00633DE1">
      <w:pPr>
        <w:pStyle w:val="NormalWeb"/>
        <w:spacing w:line="276" w:lineRule="auto"/>
        <w:rPr>
          <w:rFonts w:asciiTheme="minorHAnsi" w:hAnsiTheme="minorHAnsi" w:cstheme="minorHAnsi"/>
          <w:sz w:val="22"/>
          <w:szCs w:val="22"/>
        </w:rPr>
      </w:pPr>
      <w:r w:rsidRPr="00C34F0B">
        <w:rPr>
          <w:rFonts w:asciiTheme="minorHAnsi" w:hAnsiTheme="minorHAnsi" w:cstheme="minorHAnsi"/>
          <w:sz w:val="22"/>
          <w:szCs w:val="22"/>
        </w:rPr>
        <w:t>This submission to the OHCHR study on the impact of casualty</w:t>
      </w:r>
      <w:r w:rsidRPr="00A707A7">
        <w:rPr>
          <w:rFonts w:asciiTheme="minorHAnsi" w:hAnsiTheme="minorHAnsi" w:cstheme="minorHAnsi"/>
          <w:sz w:val="22"/>
          <w:szCs w:val="22"/>
        </w:rPr>
        <w:t xml:space="preserve"> recording on</w:t>
      </w:r>
      <w:r>
        <w:rPr>
          <w:rFonts w:asciiTheme="minorHAnsi" w:hAnsiTheme="minorHAnsi" w:cstheme="minorHAnsi"/>
          <w:sz w:val="22"/>
          <w:szCs w:val="22"/>
        </w:rPr>
        <w:t xml:space="preserve"> human rights </w:t>
      </w:r>
      <w:r w:rsidR="00E479A3">
        <w:rPr>
          <w:rFonts w:asciiTheme="minorHAnsi" w:hAnsiTheme="minorHAnsi" w:cstheme="minorHAnsi"/>
          <w:sz w:val="22"/>
          <w:szCs w:val="22"/>
        </w:rPr>
        <w:t>provides evidence of</w:t>
      </w:r>
      <w:r>
        <w:rPr>
          <w:rFonts w:asciiTheme="minorHAnsi" w:hAnsiTheme="minorHAnsi" w:cstheme="minorHAnsi"/>
          <w:sz w:val="22"/>
          <w:szCs w:val="22"/>
        </w:rPr>
        <w:t xml:space="preserve"> </w:t>
      </w:r>
      <w:r w:rsidR="00633DE1">
        <w:rPr>
          <w:rFonts w:asciiTheme="minorHAnsi" w:hAnsiTheme="minorHAnsi" w:cstheme="minorHAnsi"/>
          <w:sz w:val="22"/>
          <w:szCs w:val="22"/>
        </w:rPr>
        <w:t xml:space="preserve">impact in two areas: protection of civilians and investigations into unlawful deaths. For further information on these issues, or additional examples of the impact of AOAV’s work, please contact </w:t>
      </w:r>
      <w:r w:rsidR="00E479A3">
        <w:rPr>
          <w:rFonts w:asciiTheme="minorHAnsi" w:hAnsiTheme="minorHAnsi" w:cstheme="minorHAnsi"/>
          <w:sz w:val="22"/>
          <w:szCs w:val="22"/>
        </w:rPr>
        <w:t xml:space="preserve">Iain Overton, </w:t>
      </w:r>
      <w:hyperlink r:id="rId12" w:history="1">
        <w:r w:rsidR="00E479A3">
          <w:rPr>
            <w:rStyle w:val="Hyperlink"/>
            <w:rFonts w:asciiTheme="minorHAnsi" w:hAnsiTheme="minorHAnsi" w:cstheme="minorHAnsi"/>
            <w:sz w:val="22"/>
            <w:szCs w:val="22"/>
          </w:rPr>
          <w:t>ioverton@aoav.org.uk</w:t>
        </w:r>
      </w:hyperlink>
      <w:r w:rsidR="00E479A3">
        <w:rPr>
          <w:rFonts w:asciiTheme="minorHAnsi" w:hAnsiTheme="minorHAnsi" w:cstheme="minorHAnsi"/>
          <w:sz w:val="22"/>
          <w:szCs w:val="22"/>
        </w:rPr>
        <w:t xml:space="preserve">. </w:t>
      </w:r>
    </w:p>
    <w:p w14:paraId="5D881B9F" w14:textId="300C6541" w:rsidR="00E14CA4" w:rsidRPr="0050652E" w:rsidRDefault="00E14CA4" w:rsidP="00633DE1">
      <w:pPr>
        <w:pStyle w:val="Heading2"/>
        <w:spacing w:line="276" w:lineRule="auto"/>
      </w:pPr>
      <w:r w:rsidRPr="0050652E">
        <w:t xml:space="preserve">Impact on </w:t>
      </w:r>
      <w:r w:rsidR="00A707A7">
        <w:t>protection of civilians</w:t>
      </w:r>
    </w:p>
    <w:p w14:paraId="6D78E111" w14:textId="0ABB6277" w:rsidR="00994CF0" w:rsidRDefault="00994CF0" w:rsidP="00994CF0">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AOAV uses the casualty data it records as an evidence base for advocacy to reduce harm from explosive weapons. </w:t>
      </w:r>
      <w:r w:rsidR="00B43F46">
        <w:rPr>
          <w:rFonts w:asciiTheme="minorHAnsi" w:hAnsiTheme="minorHAnsi" w:cstheme="minorHAnsi"/>
          <w:sz w:val="22"/>
          <w:szCs w:val="22"/>
        </w:rPr>
        <w:t>Due to the length of time AOAV has been recording casualtie</w:t>
      </w:r>
      <w:r>
        <w:rPr>
          <w:rFonts w:asciiTheme="minorHAnsi" w:hAnsiTheme="minorHAnsi" w:cstheme="minorHAnsi"/>
          <w:sz w:val="22"/>
          <w:szCs w:val="22"/>
        </w:rPr>
        <w:t>s</w:t>
      </w:r>
      <w:r w:rsidR="00B43F46">
        <w:rPr>
          <w:rFonts w:asciiTheme="minorHAnsi" w:hAnsiTheme="minorHAnsi" w:cstheme="minorHAnsi"/>
          <w:sz w:val="22"/>
          <w:szCs w:val="22"/>
        </w:rPr>
        <w:t xml:space="preserve"> and the breadth </w:t>
      </w:r>
      <w:r w:rsidR="00B43F46">
        <w:rPr>
          <w:rFonts w:asciiTheme="minorHAnsi" w:hAnsiTheme="minorHAnsi" w:cstheme="minorHAnsi"/>
          <w:sz w:val="22"/>
          <w:szCs w:val="22"/>
        </w:rPr>
        <w:lastRenderedPageBreak/>
        <w:t xml:space="preserve">of conflicts covered, </w:t>
      </w:r>
      <w:r>
        <w:rPr>
          <w:rFonts w:asciiTheme="minorHAnsi" w:hAnsiTheme="minorHAnsi" w:cstheme="minorHAnsi"/>
          <w:sz w:val="22"/>
          <w:szCs w:val="22"/>
        </w:rPr>
        <w:t>we are able to demonstrate the scale and human impact of particular weapons and military strategies.</w:t>
      </w:r>
    </w:p>
    <w:p w14:paraId="51BD23C1" w14:textId="582CF5DF" w:rsidR="003707DF" w:rsidRDefault="003707DF" w:rsidP="00994CF0">
      <w:pPr>
        <w:pStyle w:val="NormalWeb"/>
        <w:spacing w:line="276" w:lineRule="auto"/>
        <w:rPr>
          <w:rFonts w:asciiTheme="minorHAnsi" w:hAnsiTheme="minorHAnsi" w:cstheme="minorHAnsi"/>
          <w:sz w:val="22"/>
          <w:szCs w:val="22"/>
        </w:rPr>
      </w:pPr>
      <w:r w:rsidRPr="00BC7EF3">
        <w:rPr>
          <w:rFonts w:asciiTheme="minorHAnsi" w:hAnsiTheme="minorHAnsi" w:cstheme="minorHAnsi"/>
          <w:sz w:val="22"/>
          <w:szCs w:val="22"/>
        </w:rPr>
        <w:t xml:space="preserve">In 2014, AOAV </w:t>
      </w:r>
      <w:r w:rsidR="00BC7EF3" w:rsidRPr="00BC7EF3">
        <w:rPr>
          <w:rFonts w:asciiTheme="minorHAnsi" w:hAnsiTheme="minorHAnsi" w:cstheme="minorHAnsi"/>
          <w:sz w:val="22"/>
          <w:szCs w:val="22"/>
        </w:rPr>
        <w:t xml:space="preserve">published a report on state-led casualty recording practices, </w:t>
      </w:r>
      <w:hyperlink r:id="rId13" w:history="1">
        <w:r w:rsidRPr="00BC7EF3">
          <w:rPr>
            <w:rStyle w:val="Hyperlink"/>
            <w:rFonts w:asciiTheme="minorHAnsi" w:hAnsiTheme="minorHAnsi" w:cstheme="minorHAnsi"/>
            <w:sz w:val="22"/>
            <w:szCs w:val="22"/>
          </w:rPr>
          <w:t>Countin</w:t>
        </w:r>
        <w:r w:rsidRPr="00BC7EF3">
          <w:rPr>
            <w:rStyle w:val="Hyperlink"/>
            <w:rFonts w:asciiTheme="minorHAnsi" w:hAnsiTheme="minorHAnsi" w:cstheme="minorHAnsi"/>
            <w:sz w:val="22"/>
            <w:szCs w:val="22"/>
          </w:rPr>
          <w:t>g</w:t>
        </w:r>
        <w:r w:rsidRPr="00BC7EF3">
          <w:rPr>
            <w:rStyle w:val="Hyperlink"/>
            <w:rFonts w:asciiTheme="minorHAnsi" w:hAnsiTheme="minorHAnsi" w:cstheme="minorHAnsi"/>
            <w:sz w:val="22"/>
            <w:szCs w:val="22"/>
          </w:rPr>
          <w:t xml:space="preserve"> the Cost</w:t>
        </w:r>
      </w:hyperlink>
      <w:r w:rsidR="00BC7EF3" w:rsidRPr="00BC7EF3">
        <w:rPr>
          <w:rStyle w:val="Hyperlink"/>
          <w:rFonts w:asciiTheme="minorHAnsi" w:hAnsiTheme="minorHAnsi" w:cstheme="minorHAnsi"/>
          <w:sz w:val="22"/>
          <w:szCs w:val="22"/>
        </w:rPr>
        <w:t xml:space="preserve">. </w:t>
      </w:r>
      <w:r w:rsidR="00BC7EF3">
        <w:rPr>
          <w:rFonts w:asciiTheme="minorHAnsi" w:hAnsiTheme="minorHAnsi" w:cstheme="minorHAnsi"/>
          <w:sz w:val="22"/>
          <w:szCs w:val="22"/>
        </w:rPr>
        <w:t xml:space="preserve">The </w:t>
      </w:r>
      <w:r w:rsidRPr="00BC7EF3">
        <w:rPr>
          <w:rFonts w:asciiTheme="minorHAnsi" w:hAnsiTheme="minorHAnsi" w:cstheme="minorHAnsi"/>
          <w:sz w:val="22"/>
          <w:szCs w:val="22"/>
        </w:rPr>
        <w:t>report</w:t>
      </w:r>
      <w:r w:rsidR="00BC7EF3">
        <w:rPr>
          <w:rFonts w:asciiTheme="minorHAnsi" w:hAnsiTheme="minorHAnsi" w:cstheme="minorHAnsi"/>
          <w:sz w:val="22"/>
          <w:szCs w:val="22"/>
        </w:rPr>
        <w:t xml:space="preserve"> contained analysis and recommendations to </w:t>
      </w:r>
      <w:r w:rsidRPr="00BC7EF3">
        <w:rPr>
          <w:rFonts w:asciiTheme="minorHAnsi" w:hAnsiTheme="minorHAnsi" w:cstheme="minorHAnsi"/>
          <w:sz w:val="22"/>
          <w:szCs w:val="22"/>
        </w:rPr>
        <w:t xml:space="preserve">help states and </w:t>
      </w:r>
      <w:r w:rsidR="00BC7EF3">
        <w:rPr>
          <w:rFonts w:asciiTheme="minorHAnsi" w:hAnsiTheme="minorHAnsi" w:cstheme="minorHAnsi"/>
          <w:sz w:val="22"/>
          <w:szCs w:val="22"/>
        </w:rPr>
        <w:t xml:space="preserve">international </w:t>
      </w:r>
      <w:r w:rsidRPr="00BC7EF3">
        <w:rPr>
          <w:rFonts w:asciiTheme="minorHAnsi" w:hAnsiTheme="minorHAnsi" w:cstheme="minorHAnsi"/>
          <w:sz w:val="22"/>
          <w:szCs w:val="22"/>
        </w:rPr>
        <w:t xml:space="preserve">organisations establish a </w:t>
      </w:r>
      <w:r w:rsidR="00BC7EF3">
        <w:rPr>
          <w:rFonts w:asciiTheme="minorHAnsi" w:hAnsiTheme="minorHAnsi" w:cstheme="minorHAnsi"/>
          <w:sz w:val="22"/>
          <w:szCs w:val="22"/>
        </w:rPr>
        <w:t xml:space="preserve">common </w:t>
      </w:r>
      <w:r w:rsidRPr="00BC7EF3">
        <w:rPr>
          <w:rFonts w:asciiTheme="minorHAnsi" w:hAnsiTheme="minorHAnsi" w:cstheme="minorHAnsi"/>
          <w:sz w:val="22"/>
          <w:szCs w:val="22"/>
        </w:rPr>
        <w:t>way to systematically record civilian casualties</w:t>
      </w:r>
      <w:r w:rsidR="0099615C" w:rsidRPr="00BC7EF3">
        <w:rPr>
          <w:rFonts w:asciiTheme="minorHAnsi" w:hAnsiTheme="minorHAnsi" w:cstheme="minorHAnsi"/>
          <w:sz w:val="22"/>
          <w:szCs w:val="22"/>
        </w:rPr>
        <w:t>,</w:t>
      </w:r>
      <w:r w:rsidRPr="00BC7EF3">
        <w:rPr>
          <w:rFonts w:asciiTheme="minorHAnsi" w:hAnsiTheme="minorHAnsi" w:cstheme="minorHAnsi"/>
          <w:sz w:val="22"/>
          <w:szCs w:val="22"/>
        </w:rPr>
        <w:t xml:space="preserve"> in response to the recommendations of the </w:t>
      </w:r>
      <w:r w:rsidR="00BC7EF3">
        <w:rPr>
          <w:rFonts w:asciiTheme="minorHAnsi" w:hAnsiTheme="minorHAnsi" w:cstheme="minorHAnsi"/>
          <w:sz w:val="22"/>
          <w:szCs w:val="22"/>
        </w:rPr>
        <w:t xml:space="preserve">2013 Report of the </w:t>
      </w:r>
      <w:r w:rsidRPr="00BC7EF3">
        <w:rPr>
          <w:rFonts w:asciiTheme="minorHAnsi" w:hAnsiTheme="minorHAnsi" w:cstheme="minorHAnsi"/>
          <w:sz w:val="22"/>
          <w:szCs w:val="22"/>
        </w:rPr>
        <w:t>Secretary</w:t>
      </w:r>
      <w:r w:rsidR="00BC7EF3">
        <w:rPr>
          <w:rFonts w:asciiTheme="minorHAnsi" w:hAnsiTheme="minorHAnsi" w:cstheme="minorHAnsi"/>
          <w:sz w:val="22"/>
          <w:szCs w:val="22"/>
        </w:rPr>
        <w:t>-</w:t>
      </w:r>
      <w:r w:rsidRPr="00BC7EF3">
        <w:rPr>
          <w:rFonts w:asciiTheme="minorHAnsi" w:hAnsiTheme="minorHAnsi" w:cstheme="minorHAnsi"/>
          <w:sz w:val="22"/>
          <w:szCs w:val="22"/>
        </w:rPr>
        <w:t>General</w:t>
      </w:r>
      <w:r w:rsidR="00BC7EF3">
        <w:rPr>
          <w:rFonts w:asciiTheme="minorHAnsi" w:hAnsiTheme="minorHAnsi" w:cstheme="minorHAnsi"/>
          <w:sz w:val="22"/>
          <w:szCs w:val="22"/>
        </w:rPr>
        <w:t xml:space="preserve"> </w:t>
      </w:r>
      <w:r w:rsidRPr="00BC7EF3">
        <w:rPr>
          <w:rFonts w:asciiTheme="minorHAnsi" w:hAnsiTheme="minorHAnsi" w:cstheme="minorHAnsi"/>
          <w:sz w:val="22"/>
          <w:szCs w:val="22"/>
        </w:rPr>
        <w:t xml:space="preserve">on the </w:t>
      </w:r>
      <w:r w:rsidR="00BC7EF3">
        <w:rPr>
          <w:rFonts w:asciiTheme="minorHAnsi" w:hAnsiTheme="minorHAnsi" w:cstheme="minorHAnsi"/>
          <w:sz w:val="22"/>
          <w:szCs w:val="22"/>
        </w:rPr>
        <w:t>p</w:t>
      </w:r>
      <w:r w:rsidRPr="00BC7EF3">
        <w:rPr>
          <w:rFonts w:asciiTheme="minorHAnsi" w:hAnsiTheme="minorHAnsi" w:cstheme="minorHAnsi"/>
          <w:sz w:val="22"/>
          <w:szCs w:val="22"/>
        </w:rPr>
        <w:t xml:space="preserve">rotection of </w:t>
      </w:r>
      <w:r w:rsidR="00BC7EF3">
        <w:rPr>
          <w:rFonts w:asciiTheme="minorHAnsi" w:hAnsiTheme="minorHAnsi" w:cstheme="minorHAnsi"/>
          <w:sz w:val="22"/>
          <w:szCs w:val="22"/>
        </w:rPr>
        <w:t>c</w:t>
      </w:r>
      <w:r w:rsidRPr="00BC7EF3">
        <w:rPr>
          <w:rFonts w:asciiTheme="minorHAnsi" w:hAnsiTheme="minorHAnsi" w:cstheme="minorHAnsi"/>
          <w:sz w:val="22"/>
          <w:szCs w:val="22"/>
        </w:rPr>
        <w:t>ivilians</w:t>
      </w:r>
      <w:r w:rsidR="00BC7EF3">
        <w:rPr>
          <w:rFonts w:asciiTheme="minorHAnsi" w:hAnsiTheme="minorHAnsi" w:cstheme="minorHAnsi"/>
          <w:sz w:val="22"/>
          <w:szCs w:val="22"/>
        </w:rPr>
        <w:t xml:space="preserve"> in armed conflict</w:t>
      </w:r>
      <w:r w:rsidR="0099615C" w:rsidRPr="00BC7EF3">
        <w:rPr>
          <w:rFonts w:asciiTheme="minorHAnsi" w:hAnsiTheme="minorHAnsi" w:cstheme="minorHAnsi"/>
          <w:sz w:val="22"/>
          <w:szCs w:val="22"/>
        </w:rPr>
        <w:t xml:space="preserve"> (</w:t>
      </w:r>
      <w:hyperlink r:id="rId14" w:history="1">
        <w:r w:rsidR="0099615C" w:rsidRPr="00BC7EF3">
          <w:rPr>
            <w:rStyle w:val="Hyperlink"/>
            <w:rFonts w:asciiTheme="minorHAnsi" w:hAnsiTheme="minorHAnsi" w:cstheme="minorHAnsi"/>
            <w:sz w:val="22"/>
            <w:szCs w:val="22"/>
          </w:rPr>
          <w:t>S/2013/689</w:t>
        </w:r>
      </w:hyperlink>
      <w:r w:rsidR="00BC7EF3">
        <w:rPr>
          <w:rFonts w:asciiTheme="minorHAnsi" w:hAnsiTheme="minorHAnsi" w:cstheme="minorHAnsi"/>
          <w:sz w:val="22"/>
          <w:szCs w:val="22"/>
        </w:rPr>
        <w:t>)</w:t>
      </w:r>
      <w:r w:rsidRPr="00BC7EF3">
        <w:rPr>
          <w:rFonts w:asciiTheme="minorHAnsi" w:hAnsiTheme="minorHAnsi" w:cstheme="minorHAnsi"/>
          <w:sz w:val="22"/>
          <w:szCs w:val="22"/>
        </w:rPr>
        <w:t>.</w:t>
      </w:r>
    </w:p>
    <w:p w14:paraId="233F4BBA" w14:textId="658FD54A" w:rsidR="006A7130" w:rsidRPr="0099028A" w:rsidRDefault="00167774" w:rsidP="006A7130">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AOAV’s </w:t>
      </w:r>
      <w:r>
        <w:rPr>
          <w:rFonts w:asciiTheme="minorHAnsi" w:hAnsiTheme="minorHAnsi" w:cstheme="minorHAnsi"/>
          <w:sz w:val="22"/>
          <w:szCs w:val="22"/>
        </w:rPr>
        <w:t>casualty data and analysis</w:t>
      </w:r>
      <w:r w:rsidR="00B40BCC">
        <w:rPr>
          <w:rFonts w:asciiTheme="minorHAnsi" w:hAnsiTheme="minorHAnsi" w:cstheme="minorHAnsi"/>
          <w:sz w:val="22"/>
          <w:szCs w:val="22"/>
        </w:rPr>
        <w:t xml:space="preserve"> has</w:t>
      </w:r>
      <w:r>
        <w:rPr>
          <w:rFonts w:asciiTheme="minorHAnsi" w:hAnsiTheme="minorHAnsi" w:cstheme="minorHAnsi"/>
          <w:sz w:val="22"/>
          <w:szCs w:val="22"/>
        </w:rPr>
        <w:t xml:space="preserve"> helped highlight the impact of anti-personnel landmines </w:t>
      </w:r>
      <w:r w:rsidR="00B40BCC">
        <w:rPr>
          <w:rFonts w:asciiTheme="minorHAnsi" w:hAnsiTheme="minorHAnsi" w:cstheme="minorHAnsi"/>
          <w:sz w:val="22"/>
          <w:szCs w:val="22"/>
        </w:rPr>
        <w:t xml:space="preserve">and </w:t>
      </w:r>
      <w:hyperlink r:id="rId15" w:history="1">
        <w:r w:rsidR="00B40BCC" w:rsidRPr="00B40BCC">
          <w:rPr>
            <w:rStyle w:val="Hyperlink"/>
            <w:rFonts w:asciiTheme="minorHAnsi" w:hAnsiTheme="minorHAnsi" w:cstheme="minorHAnsi"/>
            <w:sz w:val="22"/>
            <w:szCs w:val="22"/>
          </w:rPr>
          <w:t>improvised explosive devices</w:t>
        </w:r>
      </w:hyperlink>
      <w:r w:rsidR="00B40BCC">
        <w:rPr>
          <w:rFonts w:asciiTheme="minorHAnsi" w:hAnsiTheme="minorHAnsi" w:cstheme="minorHAnsi"/>
          <w:sz w:val="22"/>
          <w:szCs w:val="22"/>
        </w:rPr>
        <w:t xml:space="preserve">, encouraging international </w:t>
      </w:r>
      <w:hyperlink r:id="rId16" w:history="1">
        <w:r w:rsidR="00B40BCC" w:rsidRPr="000D477F">
          <w:rPr>
            <w:rStyle w:val="Hyperlink"/>
            <w:rFonts w:asciiTheme="minorHAnsi" w:hAnsiTheme="minorHAnsi" w:cstheme="minorHAnsi"/>
            <w:sz w:val="22"/>
            <w:szCs w:val="22"/>
          </w:rPr>
          <w:t>action</w:t>
        </w:r>
      </w:hyperlink>
      <w:r w:rsidR="00B40BCC">
        <w:rPr>
          <w:rFonts w:asciiTheme="minorHAnsi" w:hAnsiTheme="minorHAnsi" w:cstheme="minorHAnsi"/>
          <w:sz w:val="22"/>
          <w:szCs w:val="22"/>
        </w:rPr>
        <w:t xml:space="preserve"> on these </w:t>
      </w:r>
      <w:r w:rsidR="00B40BCC" w:rsidRPr="000D477F">
        <w:rPr>
          <w:rFonts w:asciiTheme="minorHAnsi" w:hAnsiTheme="minorHAnsi" w:cstheme="minorHAnsi"/>
          <w:sz w:val="22"/>
          <w:szCs w:val="22"/>
        </w:rPr>
        <w:t>issues</w:t>
      </w:r>
      <w:r w:rsidR="00B40BCC">
        <w:rPr>
          <w:rFonts w:asciiTheme="minorHAnsi" w:hAnsiTheme="minorHAnsi" w:cstheme="minorHAnsi"/>
          <w:sz w:val="22"/>
          <w:szCs w:val="22"/>
        </w:rPr>
        <w:t xml:space="preserve">. </w:t>
      </w:r>
      <w:r w:rsidR="0099028A">
        <w:rPr>
          <w:rFonts w:asciiTheme="minorHAnsi" w:hAnsiTheme="minorHAnsi" w:cstheme="minorHAnsi"/>
          <w:sz w:val="22"/>
          <w:szCs w:val="22"/>
        </w:rPr>
        <w:t xml:space="preserve">AOAV has produced </w:t>
      </w:r>
      <w:hyperlink r:id="rId17" w:history="1">
        <w:r w:rsidR="0099028A" w:rsidRPr="003E3275">
          <w:rPr>
            <w:rStyle w:val="Hyperlink"/>
            <w:rFonts w:asciiTheme="minorHAnsi" w:hAnsiTheme="minorHAnsi" w:cstheme="minorHAnsi"/>
            <w:sz w:val="22"/>
            <w:szCs w:val="22"/>
          </w:rPr>
          <w:t>four expert papers on IEDs</w:t>
        </w:r>
      </w:hyperlink>
      <w:r w:rsidR="0099028A" w:rsidRPr="003E3275">
        <w:rPr>
          <w:rFonts w:asciiTheme="minorHAnsi" w:hAnsiTheme="minorHAnsi" w:cstheme="minorHAnsi"/>
          <w:sz w:val="22"/>
          <w:szCs w:val="22"/>
        </w:rPr>
        <w:t xml:space="preserve"> as part of a two-year study</w:t>
      </w:r>
      <w:r w:rsidR="0099028A">
        <w:rPr>
          <w:rFonts w:asciiTheme="minorHAnsi" w:hAnsiTheme="minorHAnsi" w:cstheme="minorHAnsi"/>
          <w:sz w:val="22"/>
          <w:szCs w:val="22"/>
        </w:rPr>
        <w:t xml:space="preserve"> commissioned by </w:t>
      </w:r>
      <w:r w:rsidR="0099028A" w:rsidRPr="003E3275">
        <w:rPr>
          <w:rFonts w:asciiTheme="minorHAnsi" w:hAnsiTheme="minorHAnsi" w:cstheme="minorHAnsi"/>
          <w:sz w:val="22"/>
          <w:szCs w:val="22"/>
        </w:rPr>
        <w:t>the United Nations Mine Action Service (UNMAS), with the support of</w:t>
      </w:r>
      <w:r w:rsidR="0099028A">
        <w:rPr>
          <w:rFonts w:asciiTheme="minorHAnsi" w:hAnsiTheme="minorHAnsi" w:cstheme="minorHAnsi"/>
          <w:sz w:val="22"/>
          <w:szCs w:val="22"/>
        </w:rPr>
        <w:t xml:space="preserve"> </w:t>
      </w:r>
      <w:r w:rsidR="0099028A" w:rsidRPr="003E3275">
        <w:rPr>
          <w:rFonts w:asciiTheme="minorHAnsi" w:hAnsiTheme="minorHAnsi" w:cstheme="minorHAnsi"/>
          <w:sz w:val="22"/>
          <w:szCs w:val="22"/>
        </w:rPr>
        <w:t xml:space="preserve">the French government. </w:t>
      </w:r>
      <w:r>
        <w:rPr>
          <w:rFonts w:asciiTheme="minorHAnsi" w:hAnsiTheme="minorHAnsi" w:cstheme="minorHAnsi"/>
          <w:sz w:val="22"/>
          <w:szCs w:val="22"/>
        </w:rPr>
        <w:t xml:space="preserve">More recently, </w:t>
      </w:r>
      <w:r w:rsidR="007118B4">
        <w:rPr>
          <w:rFonts w:asciiTheme="minorHAnsi" w:hAnsiTheme="minorHAnsi" w:cstheme="minorHAnsi"/>
          <w:sz w:val="22"/>
          <w:szCs w:val="22"/>
        </w:rPr>
        <w:t>AOAV’s data</w:t>
      </w:r>
      <w:r>
        <w:rPr>
          <w:rFonts w:asciiTheme="minorHAnsi" w:hAnsiTheme="minorHAnsi" w:cstheme="minorHAnsi"/>
          <w:sz w:val="22"/>
          <w:szCs w:val="22"/>
        </w:rPr>
        <w:t xml:space="preserve"> has been instrumental</w:t>
      </w:r>
      <w:r w:rsidR="007118B4">
        <w:rPr>
          <w:rFonts w:asciiTheme="minorHAnsi" w:hAnsiTheme="minorHAnsi" w:cstheme="minorHAnsi"/>
          <w:sz w:val="22"/>
          <w:szCs w:val="22"/>
        </w:rPr>
        <w:t xml:space="preserve"> in the campaign to </w:t>
      </w:r>
      <w:r w:rsidR="00633DE1">
        <w:rPr>
          <w:rFonts w:asciiTheme="minorHAnsi" w:hAnsiTheme="minorHAnsi" w:cstheme="minorHAnsi"/>
          <w:sz w:val="22"/>
          <w:szCs w:val="22"/>
        </w:rPr>
        <w:t>prevent</w:t>
      </w:r>
      <w:r w:rsidR="007118B4">
        <w:rPr>
          <w:rFonts w:asciiTheme="minorHAnsi" w:hAnsiTheme="minorHAnsi" w:cstheme="minorHAnsi"/>
          <w:sz w:val="22"/>
          <w:szCs w:val="22"/>
        </w:rPr>
        <w:t xml:space="preserve"> the use of explosive weapons in populated areas. </w:t>
      </w:r>
      <w:r w:rsidR="00B43F46">
        <w:rPr>
          <w:rFonts w:asciiTheme="minorHAnsi" w:hAnsiTheme="minorHAnsi" w:cstheme="minorHAnsi"/>
          <w:sz w:val="22"/>
          <w:szCs w:val="22"/>
        </w:rPr>
        <w:t xml:space="preserve">AOAV’s </w:t>
      </w:r>
      <w:hyperlink r:id="rId18" w:history="1">
        <w:r w:rsidR="00B43F46" w:rsidRPr="000D477F">
          <w:rPr>
            <w:rStyle w:val="Hyperlink"/>
            <w:rFonts w:asciiTheme="minorHAnsi" w:hAnsiTheme="minorHAnsi" w:cstheme="minorHAnsi"/>
            <w:sz w:val="22"/>
            <w:szCs w:val="22"/>
          </w:rPr>
          <w:t>analysis</w:t>
        </w:r>
      </w:hyperlink>
      <w:r w:rsidR="00B43F46">
        <w:rPr>
          <w:rFonts w:asciiTheme="minorHAnsi" w:hAnsiTheme="minorHAnsi" w:cstheme="minorHAnsi"/>
          <w:sz w:val="22"/>
          <w:szCs w:val="22"/>
        </w:rPr>
        <w:t xml:space="preserve"> of a decade’s worth of casualty records </w:t>
      </w:r>
      <w:r w:rsidR="007118B4" w:rsidRPr="00C34F0B">
        <w:rPr>
          <w:rFonts w:asciiTheme="minorHAnsi" w:hAnsiTheme="minorHAnsi" w:cstheme="minorHAnsi"/>
          <w:sz w:val="22"/>
          <w:szCs w:val="22"/>
        </w:rPr>
        <w:t>found</w:t>
      </w:r>
      <w:r w:rsidR="00B43F46" w:rsidRPr="00C34F0B">
        <w:rPr>
          <w:rFonts w:asciiTheme="minorHAnsi" w:hAnsiTheme="minorHAnsi" w:cstheme="minorHAnsi"/>
          <w:sz w:val="22"/>
          <w:szCs w:val="22"/>
        </w:rPr>
        <w:t xml:space="preserve"> that when explosive weapons are used in populated areas, 90 per cent of casualties are civilians. Thi</w:t>
      </w:r>
      <w:r w:rsidR="00B43F46">
        <w:rPr>
          <w:rFonts w:asciiTheme="minorHAnsi" w:hAnsiTheme="minorHAnsi" w:cstheme="minorHAnsi"/>
          <w:sz w:val="22"/>
          <w:szCs w:val="22"/>
        </w:rPr>
        <w:t xml:space="preserve">s finding </w:t>
      </w:r>
      <w:r w:rsidR="007118B4">
        <w:rPr>
          <w:rFonts w:asciiTheme="minorHAnsi" w:hAnsiTheme="minorHAnsi" w:cstheme="minorHAnsi"/>
          <w:sz w:val="22"/>
          <w:szCs w:val="22"/>
        </w:rPr>
        <w:t>was</w:t>
      </w:r>
      <w:r w:rsidR="00B43F46">
        <w:rPr>
          <w:rFonts w:asciiTheme="minorHAnsi" w:hAnsiTheme="minorHAnsi" w:cstheme="minorHAnsi"/>
          <w:sz w:val="22"/>
          <w:szCs w:val="22"/>
        </w:rPr>
        <w:t xml:space="preserve"> cited repeatedly in humanitarian fora, by </w:t>
      </w:r>
      <w:hyperlink r:id="rId19" w:history="1">
        <w:r w:rsidR="00B43F46" w:rsidRPr="00B43F46">
          <w:rPr>
            <w:rStyle w:val="Hyperlink"/>
            <w:rFonts w:asciiTheme="minorHAnsi" w:hAnsiTheme="minorHAnsi" w:cstheme="minorHAnsi"/>
            <w:sz w:val="22"/>
            <w:szCs w:val="22"/>
          </w:rPr>
          <w:t>states</w:t>
        </w:r>
      </w:hyperlink>
      <w:r w:rsidR="00B43F46">
        <w:rPr>
          <w:rFonts w:asciiTheme="minorHAnsi" w:hAnsiTheme="minorHAnsi" w:cstheme="minorHAnsi"/>
          <w:sz w:val="22"/>
          <w:szCs w:val="22"/>
        </w:rPr>
        <w:t xml:space="preserve"> as well as civil society</w:t>
      </w:r>
      <w:r w:rsidR="007118B4">
        <w:rPr>
          <w:rFonts w:asciiTheme="minorHAnsi" w:hAnsiTheme="minorHAnsi" w:cstheme="minorHAnsi"/>
          <w:sz w:val="22"/>
          <w:szCs w:val="22"/>
        </w:rPr>
        <w:t xml:space="preserve"> and UN actors</w:t>
      </w:r>
      <w:r w:rsidR="00B43F46">
        <w:rPr>
          <w:rFonts w:asciiTheme="minorHAnsi" w:hAnsiTheme="minorHAnsi" w:cstheme="minorHAnsi"/>
          <w:sz w:val="22"/>
          <w:szCs w:val="22"/>
        </w:rPr>
        <w:t xml:space="preserve">, as </w:t>
      </w:r>
      <w:r w:rsidR="007118B4">
        <w:rPr>
          <w:rFonts w:asciiTheme="minorHAnsi" w:hAnsiTheme="minorHAnsi" w:cstheme="minorHAnsi"/>
          <w:sz w:val="22"/>
          <w:szCs w:val="22"/>
        </w:rPr>
        <w:t>crucial evidence to</w:t>
      </w:r>
      <w:r w:rsidR="00B43F46">
        <w:rPr>
          <w:rFonts w:asciiTheme="minorHAnsi" w:hAnsiTheme="minorHAnsi" w:cstheme="minorHAnsi"/>
          <w:sz w:val="22"/>
          <w:szCs w:val="22"/>
        </w:rPr>
        <w:t xml:space="preserve"> support</w:t>
      </w:r>
      <w:r w:rsidR="007118B4">
        <w:rPr>
          <w:rFonts w:asciiTheme="minorHAnsi" w:hAnsiTheme="minorHAnsi" w:cstheme="minorHAnsi"/>
          <w:sz w:val="22"/>
          <w:szCs w:val="22"/>
        </w:rPr>
        <w:t xml:space="preserve"> </w:t>
      </w:r>
      <w:r w:rsidR="00B43F46">
        <w:rPr>
          <w:rFonts w:asciiTheme="minorHAnsi" w:hAnsiTheme="minorHAnsi" w:cstheme="minorHAnsi"/>
          <w:sz w:val="22"/>
          <w:szCs w:val="22"/>
        </w:rPr>
        <w:t xml:space="preserve">an international declaration </w:t>
      </w:r>
      <w:r w:rsidR="00633DE1">
        <w:rPr>
          <w:rFonts w:asciiTheme="minorHAnsi" w:hAnsiTheme="minorHAnsi" w:cstheme="minorHAnsi"/>
          <w:sz w:val="22"/>
          <w:szCs w:val="22"/>
        </w:rPr>
        <w:t>to protect civilians from</w:t>
      </w:r>
      <w:r w:rsidR="00B43F46">
        <w:rPr>
          <w:rFonts w:asciiTheme="minorHAnsi" w:hAnsiTheme="minorHAnsi" w:cstheme="minorHAnsi"/>
          <w:sz w:val="22"/>
          <w:szCs w:val="22"/>
        </w:rPr>
        <w:t xml:space="preserve"> the use of explosive weapons in populated areas. </w:t>
      </w:r>
      <w:r w:rsidR="007118B4">
        <w:rPr>
          <w:rFonts w:asciiTheme="minorHAnsi" w:hAnsiTheme="minorHAnsi" w:cstheme="minorHAnsi"/>
          <w:sz w:val="22"/>
          <w:szCs w:val="22"/>
        </w:rPr>
        <w:t>Th</w:t>
      </w:r>
      <w:r w:rsidR="006A7130">
        <w:rPr>
          <w:rFonts w:asciiTheme="minorHAnsi" w:hAnsiTheme="minorHAnsi" w:cstheme="minorHAnsi"/>
          <w:sz w:val="22"/>
          <w:szCs w:val="22"/>
        </w:rPr>
        <w:t xml:space="preserve">e </w:t>
      </w:r>
      <w:r w:rsidR="006A7130" w:rsidRPr="006A7130">
        <w:rPr>
          <w:rFonts w:asciiTheme="minorHAnsi" w:hAnsiTheme="minorHAnsi" w:cstheme="minorHAnsi"/>
          <w:sz w:val="22"/>
          <w:szCs w:val="22"/>
        </w:rPr>
        <w:t>Political Declaration on Strengthening the Protection of Civilians from the Humanitarian Consequences arising from the use of Explosive Weapons in Populated Areas</w:t>
      </w:r>
      <w:r w:rsidR="006A7130">
        <w:rPr>
          <w:rFonts w:asciiTheme="minorHAnsi" w:hAnsiTheme="minorHAnsi" w:cstheme="minorHAnsi"/>
          <w:sz w:val="22"/>
          <w:szCs w:val="22"/>
        </w:rPr>
        <w:t xml:space="preserve"> </w:t>
      </w:r>
      <w:r w:rsidR="007118B4">
        <w:rPr>
          <w:rFonts w:asciiTheme="minorHAnsi" w:hAnsiTheme="minorHAnsi" w:cstheme="minorHAnsi"/>
          <w:sz w:val="22"/>
          <w:szCs w:val="22"/>
        </w:rPr>
        <w:t xml:space="preserve">was adopted in </w:t>
      </w:r>
      <w:r w:rsidR="00633DE1" w:rsidRPr="0099028A">
        <w:rPr>
          <w:rFonts w:asciiTheme="minorHAnsi" w:hAnsiTheme="minorHAnsi" w:cstheme="minorHAnsi"/>
          <w:sz w:val="22"/>
          <w:szCs w:val="22"/>
        </w:rPr>
        <w:t>November 2022.</w:t>
      </w:r>
    </w:p>
    <w:p w14:paraId="59F66188" w14:textId="3F28FC1B" w:rsidR="0099028A" w:rsidRPr="0099028A" w:rsidRDefault="0099028A" w:rsidP="0099028A">
      <w:pPr>
        <w:pStyle w:val="NormalWeb"/>
        <w:spacing w:line="276" w:lineRule="auto"/>
        <w:rPr>
          <w:rFonts w:asciiTheme="minorHAnsi" w:hAnsiTheme="minorHAnsi" w:cstheme="minorHAnsi"/>
          <w:sz w:val="22"/>
          <w:szCs w:val="22"/>
        </w:rPr>
      </w:pPr>
      <w:r w:rsidRPr="0099028A">
        <w:rPr>
          <w:rFonts w:asciiTheme="minorHAnsi" w:hAnsiTheme="minorHAnsi" w:cstheme="minorHAnsi"/>
          <w:sz w:val="22"/>
          <w:szCs w:val="22"/>
        </w:rPr>
        <w:t xml:space="preserve">AOAV’s </w:t>
      </w:r>
      <w:r>
        <w:rPr>
          <w:rFonts w:asciiTheme="minorHAnsi" w:hAnsiTheme="minorHAnsi" w:cstheme="minorHAnsi"/>
          <w:sz w:val="22"/>
          <w:szCs w:val="22"/>
        </w:rPr>
        <w:t xml:space="preserve">casualty </w:t>
      </w:r>
      <w:r w:rsidRPr="0099028A">
        <w:rPr>
          <w:rFonts w:asciiTheme="minorHAnsi" w:hAnsiTheme="minorHAnsi" w:cstheme="minorHAnsi"/>
          <w:sz w:val="22"/>
          <w:szCs w:val="22"/>
        </w:rPr>
        <w:t>data also plays a role in monitoring and implementation, as demonstrated by our forthcoming report</w:t>
      </w:r>
      <w:r w:rsidR="00364A9C">
        <w:rPr>
          <w:rFonts w:asciiTheme="minorHAnsi" w:hAnsiTheme="minorHAnsi" w:cstheme="minorHAnsi"/>
          <w:sz w:val="22"/>
          <w:szCs w:val="22"/>
        </w:rPr>
        <w:t xml:space="preserve">, </w:t>
      </w:r>
      <w:hyperlink r:id="rId20" w:history="1">
        <w:r w:rsidR="00364A9C" w:rsidRPr="00364A9C">
          <w:rPr>
            <w:rStyle w:val="Hyperlink"/>
            <w:rFonts w:asciiTheme="minorHAnsi" w:hAnsiTheme="minorHAnsi" w:cstheme="minorHAnsi"/>
            <w:sz w:val="22"/>
            <w:szCs w:val="22"/>
          </w:rPr>
          <w:t>Explosive Weapons and the Arms Trade Treaty</w:t>
        </w:r>
      </w:hyperlink>
      <w:r w:rsidR="00364A9C">
        <w:rPr>
          <w:rFonts w:asciiTheme="minorHAnsi" w:hAnsiTheme="minorHAnsi" w:cstheme="minorHAnsi"/>
          <w:sz w:val="22"/>
          <w:szCs w:val="22"/>
        </w:rPr>
        <w:t xml:space="preserve">, </w:t>
      </w:r>
      <w:r w:rsidRPr="0099028A">
        <w:rPr>
          <w:rFonts w:asciiTheme="minorHAnsi" w:hAnsiTheme="minorHAnsi" w:cstheme="minorHAnsi"/>
          <w:sz w:val="22"/>
          <w:szCs w:val="22"/>
        </w:rPr>
        <w:t xml:space="preserve">assessing the effectiveness of the Arms Trade Treaty (ATT) on reducing civilian casualties from explosive weapons. The report analyses the harms caused by explosive weapons in the hands of state actors, either directly or through the provision of those arms to perpetrators of explosive violence. The report </w:t>
      </w:r>
      <w:r>
        <w:rPr>
          <w:rFonts w:asciiTheme="minorHAnsi" w:hAnsiTheme="minorHAnsi" w:cstheme="minorHAnsi"/>
          <w:sz w:val="22"/>
          <w:szCs w:val="22"/>
        </w:rPr>
        <w:t>was</w:t>
      </w:r>
      <w:r w:rsidRPr="0099028A">
        <w:rPr>
          <w:rFonts w:asciiTheme="minorHAnsi" w:hAnsiTheme="minorHAnsi" w:cstheme="minorHAnsi"/>
          <w:sz w:val="22"/>
          <w:szCs w:val="22"/>
        </w:rPr>
        <w:t xml:space="preserve"> </w:t>
      </w:r>
      <w:hyperlink r:id="rId21" w:history="1">
        <w:r w:rsidRPr="00E928D3">
          <w:rPr>
            <w:rStyle w:val="Hyperlink"/>
            <w:rFonts w:asciiTheme="minorHAnsi" w:hAnsiTheme="minorHAnsi" w:cstheme="minorHAnsi"/>
            <w:sz w:val="22"/>
            <w:szCs w:val="22"/>
          </w:rPr>
          <w:t>presented</w:t>
        </w:r>
      </w:hyperlink>
      <w:r w:rsidRPr="0099028A">
        <w:rPr>
          <w:rFonts w:asciiTheme="minorHAnsi" w:hAnsiTheme="minorHAnsi" w:cstheme="minorHAnsi"/>
          <w:sz w:val="22"/>
          <w:szCs w:val="22"/>
        </w:rPr>
        <w:t xml:space="preserve"> at a side event during the Working Group Meetings and 1st CSP9 Informal Preparatory Meeting, on 16 February 2023.</w:t>
      </w:r>
    </w:p>
    <w:p w14:paraId="78397F82" w14:textId="6A7780E8" w:rsidR="00B43F46" w:rsidRDefault="00B40BCC" w:rsidP="006A7130">
      <w:pPr>
        <w:pStyle w:val="NormalWeb"/>
        <w:spacing w:line="276" w:lineRule="auto"/>
        <w:rPr>
          <w:rFonts w:asciiTheme="minorHAnsi" w:hAnsiTheme="minorHAnsi" w:cstheme="minorHAnsi"/>
          <w:sz w:val="22"/>
          <w:szCs w:val="22"/>
        </w:rPr>
      </w:pPr>
      <w:r w:rsidRPr="0099028A">
        <w:rPr>
          <w:rFonts w:asciiTheme="minorHAnsi" w:hAnsiTheme="minorHAnsi" w:cstheme="minorHAnsi"/>
          <w:sz w:val="22"/>
          <w:szCs w:val="22"/>
        </w:rPr>
        <w:t xml:space="preserve">The structure of </w:t>
      </w:r>
      <w:r w:rsidR="00220A4F" w:rsidRPr="0099028A">
        <w:rPr>
          <w:rFonts w:asciiTheme="minorHAnsi" w:hAnsiTheme="minorHAnsi" w:cstheme="minorHAnsi"/>
          <w:sz w:val="22"/>
          <w:szCs w:val="22"/>
        </w:rPr>
        <w:t xml:space="preserve">AOAV’s casualty records also </w:t>
      </w:r>
      <w:r w:rsidR="006A7130" w:rsidRPr="0099028A">
        <w:rPr>
          <w:rFonts w:asciiTheme="minorHAnsi" w:hAnsiTheme="minorHAnsi" w:cstheme="minorHAnsi"/>
          <w:sz w:val="22"/>
          <w:szCs w:val="22"/>
        </w:rPr>
        <w:t>enable</w:t>
      </w:r>
      <w:r w:rsidRPr="0099028A">
        <w:rPr>
          <w:rFonts w:asciiTheme="minorHAnsi" w:hAnsiTheme="minorHAnsi" w:cstheme="minorHAnsi"/>
          <w:sz w:val="22"/>
          <w:szCs w:val="22"/>
        </w:rPr>
        <w:t>s</w:t>
      </w:r>
      <w:r w:rsidR="006A7130" w:rsidRPr="0099028A">
        <w:rPr>
          <w:rFonts w:asciiTheme="minorHAnsi" w:hAnsiTheme="minorHAnsi" w:cstheme="minorHAnsi"/>
          <w:sz w:val="22"/>
          <w:szCs w:val="22"/>
        </w:rPr>
        <w:t xml:space="preserve"> us to identify the impact</w:t>
      </w:r>
      <w:r w:rsidR="006A7130">
        <w:rPr>
          <w:rFonts w:asciiTheme="minorHAnsi" w:hAnsiTheme="minorHAnsi" w:cstheme="minorHAnsi"/>
          <w:sz w:val="22"/>
          <w:szCs w:val="22"/>
        </w:rPr>
        <w:t xml:space="preserve"> of particular weapons on specific demographic groups, such as children.</w:t>
      </w:r>
      <w:r w:rsidR="00842AA9">
        <w:rPr>
          <w:rFonts w:asciiTheme="minorHAnsi" w:hAnsiTheme="minorHAnsi" w:cstheme="minorHAnsi"/>
          <w:sz w:val="22"/>
          <w:szCs w:val="22"/>
        </w:rPr>
        <w:t xml:space="preserve"> </w:t>
      </w:r>
      <w:r w:rsidR="006A7130">
        <w:rPr>
          <w:rFonts w:asciiTheme="minorHAnsi" w:hAnsiTheme="minorHAnsi" w:cstheme="minorHAnsi"/>
          <w:sz w:val="22"/>
          <w:szCs w:val="22"/>
        </w:rPr>
        <w:t xml:space="preserve">In </w:t>
      </w:r>
      <w:r w:rsidR="00842AA9">
        <w:rPr>
          <w:rFonts w:asciiTheme="minorHAnsi" w:hAnsiTheme="minorHAnsi" w:cstheme="minorHAnsi"/>
          <w:sz w:val="22"/>
          <w:szCs w:val="22"/>
        </w:rPr>
        <w:t xml:space="preserve">Afghanistan, </w:t>
      </w:r>
      <w:r w:rsidR="006A7130">
        <w:rPr>
          <w:rFonts w:asciiTheme="minorHAnsi" w:hAnsiTheme="minorHAnsi" w:cstheme="minorHAnsi"/>
          <w:sz w:val="22"/>
          <w:szCs w:val="22"/>
        </w:rPr>
        <w:t xml:space="preserve">for example, </w:t>
      </w:r>
      <w:r w:rsidR="00B43F46">
        <w:rPr>
          <w:rFonts w:asciiTheme="minorHAnsi" w:hAnsiTheme="minorHAnsi" w:cstheme="minorHAnsi"/>
          <w:sz w:val="22"/>
          <w:szCs w:val="22"/>
        </w:rPr>
        <w:t>AOAV</w:t>
      </w:r>
      <w:r w:rsidR="00C075EC">
        <w:rPr>
          <w:rFonts w:asciiTheme="minorHAnsi" w:hAnsiTheme="minorHAnsi" w:cstheme="minorHAnsi"/>
          <w:sz w:val="22"/>
          <w:szCs w:val="22"/>
        </w:rPr>
        <w:t xml:space="preserve"> compiled and analysed casualty records produced by the </w:t>
      </w:r>
      <w:r w:rsidR="00C075EC" w:rsidRPr="00C075EC">
        <w:rPr>
          <w:rFonts w:asciiTheme="minorHAnsi" w:hAnsiTheme="minorHAnsi" w:cstheme="minorHAnsi"/>
          <w:sz w:val="22"/>
          <w:szCs w:val="22"/>
        </w:rPr>
        <w:t>United Nations Assistance Mission in Afghanist</w:t>
      </w:r>
      <w:r w:rsidR="006A7130">
        <w:rPr>
          <w:rFonts w:asciiTheme="minorHAnsi" w:hAnsiTheme="minorHAnsi" w:cstheme="minorHAnsi"/>
          <w:sz w:val="22"/>
          <w:szCs w:val="22"/>
        </w:rPr>
        <w:t>an</w:t>
      </w:r>
      <w:r w:rsidR="00C075EC">
        <w:rPr>
          <w:rFonts w:asciiTheme="minorHAnsi" w:hAnsiTheme="minorHAnsi" w:cstheme="minorHAnsi"/>
          <w:sz w:val="22"/>
          <w:szCs w:val="22"/>
        </w:rPr>
        <w:t xml:space="preserve"> to reveal that </w:t>
      </w:r>
      <w:hyperlink r:id="rId22" w:history="1">
        <w:r w:rsidR="00C075EC">
          <w:rPr>
            <w:rStyle w:val="Hyperlink"/>
            <w:rFonts w:asciiTheme="minorHAnsi" w:hAnsiTheme="minorHAnsi" w:cstheme="minorHAnsi"/>
            <w:sz w:val="22"/>
            <w:szCs w:val="22"/>
          </w:rPr>
          <w:t>37</w:t>
        </w:r>
        <w:r w:rsidR="00C075EC" w:rsidRPr="00C075EC">
          <w:rPr>
            <w:rStyle w:val="Hyperlink"/>
            <w:rFonts w:asciiTheme="minorHAnsi" w:hAnsiTheme="minorHAnsi" w:cstheme="minorHAnsi"/>
            <w:sz w:val="22"/>
            <w:szCs w:val="22"/>
          </w:rPr>
          <w:t xml:space="preserve"> per cent of all civilian </w:t>
        </w:r>
        <w:r w:rsidR="00C075EC">
          <w:rPr>
            <w:rStyle w:val="Hyperlink"/>
            <w:rFonts w:asciiTheme="minorHAnsi" w:hAnsiTheme="minorHAnsi" w:cstheme="minorHAnsi"/>
            <w:sz w:val="22"/>
            <w:szCs w:val="22"/>
          </w:rPr>
          <w:t>fatalities</w:t>
        </w:r>
        <w:r w:rsidR="00C075EC" w:rsidRPr="00C075EC">
          <w:rPr>
            <w:rStyle w:val="Hyperlink"/>
            <w:rFonts w:asciiTheme="minorHAnsi" w:hAnsiTheme="minorHAnsi" w:cstheme="minorHAnsi"/>
            <w:sz w:val="22"/>
            <w:szCs w:val="22"/>
          </w:rPr>
          <w:t xml:space="preserve"> from airstrikes in the past five years were children</w:t>
        </w:r>
      </w:hyperlink>
      <w:r w:rsidR="006A7130">
        <w:rPr>
          <w:rFonts w:asciiTheme="minorHAnsi" w:hAnsiTheme="minorHAnsi" w:cstheme="minorHAnsi"/>
          <w:sz w:val="22"/>
          <w:szCs w:val="22"/>
        </w:rPr>
        <w:t>, and t</w:t>
      </w:r>
      <w:r w:rsidR="00C075EC">
        <w:rPr>
          <w:rFonts w:asciiTheme="minorHAnsi" w:hAnsiTheme="minorHAnsi" w:cstheme="minorHAnsi"/>
          <w:sz w:val="22"/>
          <w:szCs w:val="22"/>
        </w:rPr>
        <w:t xml:space="preserve">he majority were caused by international forces. AOAV </w:t>
      </w:r>
      <w:r w:rsidR="006A7130">
        <w:rPr>
          <w:rFonts w:asciiTheme="minorHAnsi" w:hAnsiTheme="minorHAnsi" w:cstheme="minorHAnsi"/>
          <w:sz w:val="22"/>
          <w:szCs w:val="22"/>
        </w:rPr>
        <w:t xml:space="preserve">was also able to </w:t>
      </w:r>
      <w:hyperlink r:id="rId23" w:history="1">
        <w:r w:rsidR="00842AA9" w:rsidRPr="00842AA9">
          <w:rPr>
            <w:rStyle w:val="Hyperlink"/>
            <w:rFonts w:asciiTheme="minorHAnsi" w:hAnsiTheme="minorHAnsi" w:cstheme="minorHAnsi"/>
            <w:sz w:val="22"/>
            <w:szCs w:val="22"/>
          </w:rPr>
          <w:t xml:space="preserve">compile and analyse data on civilian casualties caused by British military </w:t>
        </w:r>
        <w:r w:rsidR="006A7130">
          <w:rPr>
            <w:rStyle w:val="Hyperlink"/>
            <w:rFonts w:asciiTheme="minorHAnsi" w:hAnsiTheme="minorHAnsi" w:cstheme="minorHAnsi"/>
            <w:sz w:val="22"/>
            <w:szCs w:val="22"/>
          </w:rPr>
          <w:t>force</w:t>
        </w:r>
        <w:r w:rsidR="00842AA9" w:rsidRPr="00842AA9">
          <w:rPr>
            <w:rStyle w:val="Hyperlink"/>
            <w:rFonts w:asciiTheme="minorHAnsi" w:hAnsiTheme="minorHAnsi" w:cstheme="minorHAnsi"/>
            <w:sz w:val="22"/>
            <w:szCs w:val="22"/>
          </w:rPr>
          <w:t>s</w:t>
        </w:r>
      </w:hyperlink>
      <w:r w:rsidR="006A7130">
        <w:rPr>
          <w:rFonts w:asciiTheme="minorHAnsi" w:hAnsiTheme="minorHAnsi" w:cstheme="minorHAnsi"/>
          <w:sz w:val="22"/>
          <w:szCs w:val="22"/>
        </w:rPr>
        <w:t xml:space="preserve"> in Afghanistan</w:t>
      </w:r>
      <w:r w:rsidR="00842AA9">
        <w:rPr>
          <w:rFonts w:asciiTheme="minorHAnsi" w:hAnsiTheme="minorHAnsi" w:cstheme="minorHAnsi"/>
          <w:sz w:val="22"/>
          <w:szCs w:val="22"/>
        </w:rPr>
        <w:t xml:space="preserve">, including </w:t>
      </w:r>
      <w:hyperlink r:id="rId24" w:history="1">
        <w:r w:rsidR="00842AA9" w:rsidRPr="00842AA9">
          <w:rPr>
            <w:rStyle w:val="Hyperlink"/>
            <w:rFonts w:asciiTheme="minorHAnsi" w:hAnsiTheme="minorHAnsi" w:cstheme="minorHAnsi"/>
            <w:sz w:val="22"/>
            <w:szCs w:val="22"/>
          </w:rPr>
          <w:t>data on child</w:t>
        </w:r>
        <w:r w:rsidR="00842AA9">
          <w:rPr>
            <w:rStyle w:val="Hyperlink"/>
            <w:rFonts w:asciiTheme="minorHAnsi" w:hAnsiTheme="minorHAnsi" w:cstheme="minorHAnsi"/>
            <w:sz w:val="22"/>
            <w:szCs w:val="22"/>
          </w:rPr>
          <w:t xml:space="preserve"> casualties</w:t>
        </w:r>
        <w:r w:rsidR="00842AA9" w:rsidRPr="00842AA9">
          <w:rPr>
            <w:rStyle w:val="Hyperlink"/>
            <w:rFonts w:asciiTheme="minorHAnsi" w:hAnsiTheme="minorHAnsi" w:cstheme="minorHAnsi"/>
            <w:sz w:val="22"/>
            <w:szCs w:val="22"/>
          </w:rPr>
          <w:t xml:space="preserve"> specifically</w:t>
        </w:r>
      </w:hyperlink>
      <w:r w:rsidR="006A7130">
        <w:rPr>
          <w:rFonts w:asciiTheme="minorHAnsi" w:hAnsiTheme="minorHAnsi" w:cstheme="minorHAnsi"/>
          <w:sz w:val="22"/>
          <w:szCs w:val="22"/>
        </w:rPr>
        <w:t xml:space="preserve">, and use this </w:t>
      </w:r>
      <w:r w:rsidR="00842AA9">
        <w:rPr>
          <w:rFonts w:asciiTheme="minorHAnsi" w:hAnsiTheme="minorHAnsi" w:cstheme="minorHAnsi"/>
          <w:sz w:val="22"/>
          <w:szCs w:val="22"/>
        </w:rPr>
        <w:t xml:space="preserve">to advocate for </w:t>
      </w:r>
      <w:r w:rsidR="00C075EC">
        <w:rPr>
          <w:rFonts w:asciiTheme="minorHAnsi" w:hAnsiTheme="minorHAnsi" w:cstheme="minorHAnsi"/>
          <w:sz w:val="22"/>
          <w:szCs w:val="22"/>
        </w:rPr>
        <w:t>improved measures to protect civilians.</w:t>
      </w:r>
    </w:p>
    <w:p w14:paraId="02A69F86" w14:textId="192A3AD5" w:rsidR="00842AA9" w:rsidRDefault="00842AA9" w:rsidP="00633DE1">
      <w:pPr>
        <w:pStyle w:val="Heading2"/>
        <w:spacing w:line="276" w:lineRule="auto"/>
      </w:pPr>
      <w:r>
        <w:t>Impact on combating impunity</w:t>
      </w:r>
      <w:r w:rsidR="00B40BCC">
        <w:t xml:space="preserve"> and </w:t>
      </w:r>
      <w:r w:rsidR="00214E84">
        <w:t>investigating unlawful killings</w:t>
      </w:r>
    </w:p>
    <w:p w14:paraId="106CB178" w14:textId="6DE47DA0" w:rsidR="00B70EB6" w:rsidRDefault="00842AA9" w:rsidP="00633DE1">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AOAV</w:t>
      </w:r>
      <w:r w:rsidR="006A7130">
        <w:rPr>
          <w:rFonts w:asciiTheme="minorHAnsi" w:hAnsiTheme="minorHAnsi" w:cstheme="minorHAnsi"/>
          <w:sz w:val="22"/>
          <w:szCs w:val="22"/>
        </w:rPr>
        <w:t xml:space="preserve"> has</w:t>
      </w:r>
      <w:r w:rsidR="00633DE1">
        <w:rPr>
          <w:rFonts w:asciiTheme="minorHAnsi" w:hAnsiTheme="minorHAnsi" w:cstheme="minorHAnsi"/>
          <w:sz w:val="22"/>
          <w:szCs w:val="22"/>
        </w:rPr>
        <w:t xml:space="preserve"> helped uphold the right to life, including states’ procedural obligations to investigate possible violations of the right to life, though its analysis of casualty data. Using casualty records, </w:t>
      </w:r>
      <w:r w:rsidR="002E3FE8">
        <w:rPr>
          <w:rFonts w:asciiTheme="minorHAnsi" w:hAnsiTheme="minorHAnsi" w:cstheme="minorHAnsi"/>
          <w:sz w:val="22"/>
          <w:szCs w:val="22"/>
        </w:rPr>
        <w:lastRenderedPageBreak/>
        <w:t xml:space="preserve">including details from British military reports, </w:t>
      </w:r>
      <w:r w:rsidR="00633DE1">
        <w:rPr>
          <w:rFonts w:asciiTheme="minorHAnsi" w:hAnsiTheme="minorHAnsi" w:cstheme="minorHAnsi"/>
          <w:sz w:val="22"/>
          <w:szCs w:val="22"/>
        </w:rPr>
        <w:t>AOAV identified</w:t>
      </w:r>
      <w:r w:rsidR="002E3FE8">
        <w:rPr>
          <w:rFonts w:asciiTheme="minorHAnsi" w:hAnsiTheme="minorHAnsi" w:cstheme="minorHAnsi"/>
          <w:sz w:val="22"/>
          <w:szCs w:val="22"/>
        </w:rPr>
        <w:t xml:space="preserve"> </w:t>
      </w:r>
      <w:r w:rsidR="006A7130">
        <w:rPr>
          <w:rFonts w:asciiTheme="minorHAnsi" w:hAnsiTheme="minorHAnsi" w:cstheme="minorHAnsi"/>
          <w:sz w:val="22"/>
          <w:szCs w:val="22"/>
        </w:rPr>
        <w:t xml:space="preserve">a number of </w:t>
      </w:r>
      <w:r w:rsidR="002E3FE8">
        <w:rPr>
          <w:rFonts w:asciiTheme="minorHAnsi" w:hAnsiTheme="minorHAnsi" w:cstheme="minorHAnsi"/>
          <w:sz w:val="22"/>
          <w:szCs w:val="22"/>
        </w:rPr>
        <w:t>possible unlawful killings and war crimes by UK Special Forces in Afghanistan in 2010/11. In many cases, in</w:t>
      </w:r>
      <w:r w:rsidR="00B40BCC">
        <w:rPr>
          <w:rFonts w:asciiTheme="minorHAnsi" w:hAnsiTheme="minorHAnsi" w:cstheme="minorHAnsi"/>
          <w:sz w:val="22"/>
          <w:szCs w:val="22"/>
        </w:rPr>
        <w:t>ternal in</w:t>
      </w:r>
      <w:r w:rsidR="002E3FE8">
        <w:rPr>
          <w:rFonts w:asciiTheme="minorHAnsi" w:hAnsiTheme="minorHAnsi" w:cstheme="minorHAnsi"/>
          <w:sz w:val="22"/>
          <w:szCs w:val="22"/>
        </w:rPr>
        <w:t xml:space="preserve">vestigations into these incidents </w:t>
      </w:r>
      <w:r w:rsidR="00B40BCC">
        <w:rPr>
          <w:rFonts w:asciiTheme="minorHAnsi" w:hAnsiTheme="minorHAnsi" w:cstheme="minorHAnsi"/>
          <w:sz w:val="22"/>
          <w:szCs w:val="22"/>
        </w:rPr>
        <w:t>had been</w:t>
      </w:r>
      <w:r w:rsidR="002E3FE8">
        <w:rPr>
          <w:rFonts w:asciiTheme="minorHAnsi" w:hAnsiTheme="minorHAnsi" w:cstheme="minorHAnsi"/>
          <w:sz w:val="22"/>
          <w:szCs w:val="22"/>
        </w:rPr>
        <w:t xml:space="preserve"> weak or non-existent</w:t>
      </w:r>
      <w:r w:rsidR="00214E84">
        <w:rPr>
          <w:rFonts w:asciiTheme="minorHAnsi" w:hAnsiTheme="minorHAnsi" w:cstheme="minorHAnsi"/>
          <w:sz w:val="22"/>
          <w:szCs w:val="22"/>
        </w:rPr>
        <w:t>, in violation of the state’s obligations under Article 2 of the European Convention on Human Rights</w:t>
      </w:r>
      <w:r w:rsidR="002E3FE8">
        <w:rPr>
          <w:rFonts w:asciiTheme="minorHAnsi" w:hAnsiTheme="minorHAnsi" w:cstheme="minorHAnsi"/>
          <w:sz w:val="22"/>
          <w:szCs w:val="22"/>
        </w:rPr>
        <w:t xml:space="preserve">. AOAV published its findings in July 2022, in the report </w:t>
      </w:r>
      <w:hyperlink r:id="rId25" w:history="1">
        <w:r w:rsidR="002E3FE8" w:rsidRPr="002E3FE8">
          <w:rPr>
            <w:rStyle w:val="Hyperlink"/>
            <w:rFonts w:asciiTheme="minorHAnsi" w:hAnsiTheme="minorHAnsi" w:cstheme="minorHAnsi"/>
            <w:sz w:val="22"/>
            <w:szCs w:val="22"/>
          </w:rPr>
          <w:t>Killing in the Shadows</w:t>
        </w:r>
      </w:hyperlink>
      <w:r w:rsidR="002E3FE8">
        <w:rPr>
          <w:rFonts w:asciiTheme="minorHAnsi" w:hAnsiTheme="minorHAnsi" w:cstheme="minorHAnsi"/>
          <w:sz w:val="22"/>
          <w:szCs w:val="22"/>
        </w:rPr>
        <w:t xml:space="preserve">. </w:t>
      </w:r>
      <w:r w:rsidR="00214E84">
        <w:rPr>
          <w:rFonts w:asciiTheme="minorHAnsi" w:hAnsiTheme="minorHAnsi" w:cstheme="minorHAnsi"/>
          <w:sz w:val="22"/>
          <w:szCs w:val="22"/>
        </w:rPr>
        <w:t xml:space="preserve">Two weeks after the </w:t>
      </w:r>
      <w:r w:rsidR="002E3FE8">
        <w:rPr>
          <w:rFonts w:asciiTheme="minorHAnsi" w:hAnsiTheme="minorHAnsi" w:cstheme="minorHAnsi"/>
          <w:sz w:val="22"/>
          <w:szCs w:val="22"/>
        </w:rPr>
        <w:t xml:space="preserve">publication of this report, the </w:t>
      </w:r>
      <w:hyperlink r:id="rId26" w:history="1">
        <w:r w:rsidR="002E3FE8" w:rsidRPr="002E3FE8">
          <w:rPr>
            <w:rStyle w:val="Hyperlink"/>
            <w:rFonts w:asciiTheme="minorHAnsi" w:hAnsiTheme="minorHAnsi" w:cstheme="minorHAnsi"/>
            <w:sz w:val="22"/>
            <w:szCs w:val="22"/>
          </w:rPr>
          <w:t xml:space="preserve">Ministry of Defence announced that it was proposing a judge-led independent review into the handling of the </w:t>
        </w:r>
        <w:r w:rsidR="006A7130">
          <w:rPr>
            <w:rStyle w:val="Hyperlink"/>
            <w:rFonts w:asciiTheme="minorHAnsi" w:hAnsiTheme="minorHAnsi" w:cstheme="minorHAnsi"/>
            <w:sz w:val="22"/>
            <w:szCs w:val="22"/>
          </w:rPr>
          <w:t>investigations</w:t>
        </w:r>
      </w:hyperlink>
      <w:r w:rsidR="002E3FE8">
        <w:rPr>
          <w:rFonts w:asciiTheme="minorHAnsi" w:hAnsiTheme="minorHAnsi" w:cstheme="minorHAnsi"/>
          <w:sz w:val="22"/>
          <w:szCs w:val="22"/>
        </w:rPr>
        <w:t xml:space="preserve">. </w:t>
      </w:r>
      <w:r w:rsidR="00214E84">
        <w:rPr>
          <w:rFonts w:asciiTheme="minorHAnsi" w:hAnsiTheme="minorHAnsi" w:cstheme="minorHAnsi"/>
          <w:sz w:val="22"/>
          <w:szCs w:val="22"/>
        </w:rPr>
        <w:t xml:space="preserve">A </w:t>
      </w:r>
      <w:hyperlink r:id="rId27" w:history="1">
        <w:r w:rsidR="00214E84" w:rsidRPr="00633DE1">
          <w:rPr>
            <w:rStyle w:val="Hyperlink"/>
            <w:rFonts w:asciiTheme="minorHAnsi" w:hAnsiTheme="minorHAnsi" w:cstheme="minorHAnsi"/>
            <w:sz w:val="22"/>
            <w:szCs w:val="22"/>
          </w:rPr>
          <w:t>senior judge was appointed to lead the review</w:t>
        </w:r>
      </w:hyperlink>
      <w:r w:rsidR="00214E84">
        <w:rPr>
          <w:rFonts w:asciiTheme="minorHAnsi" w:hAnsiTheme="minorHAnsi" w:cstheme="minorHAnsi"/>
          <w:sz w:val="22"/>
          <w:szCs w:val="22"/>
        </w:rPr>
        <w:t xml:space="preserve"> by the Defence Secretary in December 2022</w:t>
      </w:r>
      <w:r w:rsidR="00CF56F2">
        <w:rPr>
          <w:rFonts w:asciiTheme="minorHAnsi" w:hAnsiTheme="minorHAnsi" w:cstheme="minorHAnsi"/>
          <w:sz w:val="22"/>
          <w:szCs w:val="22"/>
        </w:rPr>
        <w:t>.</w:t>
      </w:r>
    </w:p>
    <w:p w14:paraId="249121B6" w14:textId="433D2B06" w:rsidR="009007B7" w:rsidRDefault="009007B7" w:rsidP="009007B7">
      <w:pPr>
        <w:pStyle w:val="Heading2"/>
      </w:pPr>
      <w:r>
        <w:t>Recommendations</w:t>
      </w:r>
    </w:p>
    <w:p w14:paraId="1CA858A7" w14:textId="62A0C48E" w:rsidR="009007B7" w:rsidRDefault="009007B7" w:rsidP="00633DE1">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Casualty recording through consistent and wide-ranging media monitoring can provide vital ‘big data’ insights into the causes of harm to civilians, impacts of particular weapons, and patterns of IHL or human rights violations. This evidence base has been, and will continue to be, fundamental to international efforts to reduce the human harm caused by armed conflict.</w:t>
      </w:r>
    </w:p>
    <w:p w14:paraId="4CA1762B" w14:textId="6E74BD1F" w:rsidR="009007B7" w:rsidRDefault="009007B7" w:rsidP="00633DE1">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For this type of casualty recording to be conducted, it is essential that independent news media and humanitarian organisations are able to access and report from conflict-affected areas. The international community should ensure that adequate attention and support is given to protecting media access and journalists at all times.</w:t>
      </w:r>
    </w:p>
    <w:p w14:paraId="05470056" w14:textId="1DCCB07F" w:rsidR="009007B7" w:rsidRDefault="009007B7" w:rsidP="00633DE1">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State transparency about military actions is also vital for compiling accurate data on casualties and the causes of harm to particular segments of the population. States should limit the use of official secret or national security restrictions as much as possible, and uphold the rights associated with the freedom to seek, receive and impart information. States should report routinely and publicly on all casualties believed to have resulted from their military interventions.</w:t>
      </w:r>
      <w:r w:rsidR="004C68BD">
        <w:rPr>
          <w:rFonts w:asciiTheme="minorHAnsi" w:hAnsiTheme="minorHAnsi" w:cstheme="minorHAnsi"/>
          <w:sz w:val="22"/>
          <w:szCs w:val="22"/>
        </w:rPr>
        <w:t xml:space="preserve"> This transparency enables disaggregated analysis of military actions which can identify and reduce causes of unintended harm, such as the killing of children.</w:t>
      </w:r>
    </w:p>
    <w:p w14:paraId="509BA83D" w14:textId="48361700" w:rsidR="004C68BD" w:rsidRPr="00F035F8" w:rsidRDefault="004C68BD" w:rsidP="00633DE1">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The quantity and quality of data compiled, and the analysis thereof, is enhanced by the involvement of multiple actors. Monopolisation of casualty recording and analysis, for example by the military or national statistics agencies, reduces independent oversight and can lead to perceived or actual bias which undermines trust in the findings. States and the international community should enable and facilitate the involvement of a range of actors in the gathering and analysis of casualty records. Internationally agreed standards and principles should be developed to enable casualty data to be shared and interpreted effectively across multiple actors. </w:t>
      </w:r>
    </w:p>
    <w:sectPr w:rsidR="004C68BD" w:rsidRPr="00F035F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EC0F" w14:textId="77777777" w:rsidR="00E47AF8" w:rsidRDefault="00E47AF8" w:rsidP="009C0B2C">
      <w:pPr>
        <w:spacing w:after="0" w:line="240" w:lineRule="auto"/>
      </w:pPr>
      <w:r>
        <w:separator/>
      </w:r>
    </w:p>
  </w:endnote>
  <w:endnote w:type="continuationSeparator" w:id="0">
    <w:p w14:paraId="5A95760B" w14:textId="77777777" w:rsidR="00E47AF8" w:rsidRDefault="00E47AF8" w:rsidP="009C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65219"/>
      <w:docPartObj>
        <w:docPartGallery w:val="Page Numbers (Bottom of Page)"/>
        <w:docPartUnique/>
      </w:docPartObj>
    </w:sdtPr>
    <w:sdtEndPr>
      <w:rPr>
        <w:noProof/>
      </w:rPr>
    </w:sdtEndPr>
    <w:sdtContent>
      <w:p w14:paraId="0C4284E7" w14:textId="39957EA4" w:rsidR="00750685" w:rsidRDefault="007506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88EE3" w14:textId="77777777" w:rsidR="00750685" w:rsidRDefault="0075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B2E5" w14:textId="77777777" w:rsidR="00E47AF8" w:rsidRDefault="00E47AF8" w:rsidP="009C0B2C">
      <w:pPr>
        <w:spacing w:after="0" w:line="240" w:lineRule="auto"/>
      </w:pPr>
      <w:r>
        <w:separator/>
      </w:r>
    </w:p>
  </w:footnote>
  <w:footnote w:type="continuationSeparator" w:id="0">
    <w:p w14:paraId="43C1E0EC" w14:textId="77777777" w:rsidR="00E47AF8" w:rsidRDefault="00E47AF8" w:rsidP="009C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7367" w14:textId="02414CC8" w:rsidR="009D7D68" w:rsidRDefault="00E74B2E">
    <w:pPr>
      <w:pStyle w:val="Header"/>
    </w:pPr>
    <w:r>
      <w:rPr>
        <w:noProof/>
      </w:rPr>
      <w:drawing>
        <wp:anchor distT="0" distB="0" distL="114300" distR="114300" simplePos="0" relativeHeight="251658240" behindDoc="0" locked="0" layoutInCell="1" allowOverlap="1" wp14:anchorId="783E97D9" wp14:editId="02AD4AF2">
          <wp:simplePos x="0" y="0"/>
          <wp:positionH relativeFrom="column">
            <wp:posOffset>4565496</wp:posOffset>
          </wp:positionH>
          <wp:positionV relativeFrom="paragraph">
            <wp:posOffset>-822</wp:posOffset>
          </wp:positionV>
          <wp:extent cx="987425" cy="910590"/>
          <wp:effectExtent l="0" t="0" r="3175" b="381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425" cy="910590"/>
                  </a:xfrm>
                  <a:prstGeom prst="rect">
                    <a:avLst/>
                  </a:prstGeom>
                </pic:spPr>
              </pic:pic>
            </a:graphicData>
          </a:graphic>
        </wp:anchor>
      </w:drawing>
    </w:r>
    <w:r>
      <w:rPr>
        <w:noProof/>
      </w:rPr>
      <w:t xml:space="preserve"> </w:t>
    </w:r>
    <w:r w:rsidR="009D7D68">
      <w:t xml:space="preserve"> </w:t>
    </w:r>
    <w:r w:rsidR="007670B5">
      <w:rPr>
        <w:noProof/>
      </w:rPr>
      <w:drawing>
        <wp:inline distT="0" distB="0" distL="0" distR="0" wp14:anchorId="1E2B413E" wp14:editId="39DF101D">
          <wp:extent cx="938530" cy="93324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947976" cy="942634"/>
                  </a:xfrm>
                  <a:prstGeom prst="rect">
                    <a:avLst/>
                  </a:prstGeom>
                </pic:spPr>
              </pic:pic>
            </a:graphicData>
          </a:graphic>
        </wp:inline>
      </w:drawing>
    </w:r>
  </w:p>
  <w:p w14:paraId="35E4EAAE" w14:textId="787ED743" w:rsidR="009D7D68" w:rsidRDefault="009D7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237DC"/>
    <w:multiLevelType w:val="hybridMultilevel"/>
    <w:tmpl w:val="25B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1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A7"/>
    <w:rsid w:val="000235EF"/>
    <w:rsid w:val="00046E2F"/>
    <w:rsid w:val="00051864"/>
    <w:rsid w:val="000624F1"/>
    <w:rsid w:val="000B7BB3"/>
    <w:rsid w:val="000D477F"/>
    <w:rsid w:val="00100F12"/>
    <w:rsid w:val="00102E2E"/>
    <w:rsid w:val="0012138D"/>
    <w:rsid w:val="001335A8"/>
    <w:rsid w:val="00167774"/>
    <w:rsid w:val="001C034A"/>
    <w:rsid w:val="001F7DB5"/>
    <w:rsid w:val="00210E2B"/>
    <w:rsid w:val="00211B3B"/>
    <w:rsid w:val="00212779"/>
    <w:rsid w:val="00214E84"/>
    <w:rsid w:val="00220A4F"/>
    <w:rsid w:val="002E3FE8"/>
    <w:rsid w:val="002E4AB8"/>
    <w:rsid w:val="002E50BE"/>
    <w:rsid w:val="002F1CC3"/>
    <w:rsid w:val="00364A9C"/>
    <w:rsid w:val="003707DF"/>
    <w:rsid w:val="003C7F0B"/>
    <w:rsid w:val="0045489C"/>
    <w:rsid w:val="00460C82"/>
    <w:rsid w:val="00467E86"/>
    <w:rsid w:val="004759D9"/>
    <w:rsid w:val="00492214"/>
    <w:rsid w:val="004A5FAC"/>
    <w:rsid w:val="004C0F0A"/>
    <w:rsid w:val="004C68BD"/>
    <w:rsid w:val="004F6B54"/>
    <w:rsid w:val="0050652E"/>
    <w:rsid w:val="005227AC"/>
    <w:rsid w:val="00560BDA"/>
    <w:rsid w:val="005F2FC8"/>
    <w:rsid w:val="005F6F09"/>
    <w:rsid w:val="0062171F"/>
    <w:rsid w:val="00633DE1"/>
    <w:rsid w:val="00654496"/>
    <w:rsid w:val="006738AC"/>
    <w:rsid w:val="006A6935"/>
    <w:rsid w:val="006A7130"/>
    <w:rsid w:val="006C3926"/>
    <w:rsid w:val="006C5B64"/>
    <w:rsid w:val="006C6012"/>
    <w:rsid w:val="006E355D"/>
    <w:rsid w:val="006E470B"/>
    <w:rsid w:val="007118B4"/>
    <w:rsid w:val="00743F8B"/>
    <w:rsid w:val="00750685"/>
    <w:rsid w:val="007649A3"/>
    <w:rsid w:val="007670B5"/>
    <w:rsid w:val="007B06A7"/>
    <w:rsid w:val="0081647D"/>
    <w:rsid w:val="00842AA9"/>
    <w:rsid w:val="008C0BE8"/>
    <w:rsid w:val="008C1ACA"/>
    <w:rsid w:val="009007B7"/>
    <w:rsid w:val="0094452D"/>
    <w:rsid w:val="00955885"/>
    <w:rsid w:val="0099028A"/>
    <w:rsid w:val="00994CF0"/>
    <w:rsid w:val="0099615C"/>
    <w:rsid w:val="009C0B2C"/>
    <w:rsid w:val="009D7D68"/>
    <w:rsid w:val="009E5059"/>
    <w:rsid w:val="00A1648F"/>
    <w:rsid w:val="00A23BB6"/>
    <w:rsid w:val="00A530C5"/>
    <w:rsid w:val="00A707A7"/>
    <w:rsid w:val="00B21E22"/>
    <w:rsid w:val="00B37DF2"/>
    <w:rsid w:val="00B40BCC"/>
    <w:rsid w:val="00B414DC"/>
    <w:rsid w:val="00B43F46"/>
    <w:rsid w:val="00B70EB6"/>
    <w:rsid w:val="00BC7EF3"/>
    <w:rsid w:val="00C075EC"/>
    <w:rsid w:val="00C34F0B"/>
    <w:rsid w:val="00CB4A81"/>
    <w:rsid w:val="00CC0F7F"/>
    <w:rsid w:val="00CF56F2"/>
    <w:rsid w:val="00D41AF2"/>
    <w:rsid w:val="00D54551"/>
    <w:rsid w:val="00D96072"/>
    <w:rsid w:val="00DE508E"/>
    <w:rsid w:val="00DE6EA7"/>
    <w:rsid w:val="00E14CA4"/>
    <w:rsid w:val="00E479A3"/>
    <w:rsid w:val="00E47AF8"/>
    <w:rsid w:val="00E74B2E"/>
    <w:rsid w:val="00E928D3"/>
    <w:rsid w:val="00F035F8"/>
    <w:rsid w:val="00F0427D"/>
    <w:rsid w:val="00F92F47"/>
    <w:rsid w:val="00FE2D12"/>
    <w:rsid w:val="00FF7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38091"/>
  <w15:chartTrackingRefBased/>
  <w15:docId w15:val="{C2447545-A8D5-4B45-9300-4FEDA80D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A7"/>
  </w:style>
  <w:style w:type="paragraph" w:styleId="Heading1">
    <w:name w:val="heading 1"/>
    <w:basedOn w:val="Normal"/>
    <w:next w:val="Normal"/>
    <w:link w:val="Heading1Char"/>
    <w:uiPriority w:val="9"/>
    <w:qFormat/>
    <w:rsid w:val="00023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6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6A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B06A7"/>
    <w:rPr>
      <w:color w:val="0563C1" w:themeColor="hyperlink"/>
      <w:u w:val="single"/>
    </w:rPr>
  </w:style>
  <w:style w:type="character" w:styleId="CommentReference">
    <w:name w:val="annotation reference"/>
    <w:basedOn w:val="DefaultParagraphFont"/>
    <w:uiPriority w:val="99"/>
    <w:semiHidden/>
    <w:unhideWhenUsed/>
    <w:rsid w:val="007B06A7"/>
    <w:rPr>
      <w:sz w:val="16"/>
      <w:szCs w:val="16"/>
    </w:rPr>
  </w:style>
  <w:style w:type="paragraph" w:styleId="CommentText">
    <w:name w:val="annotation text"/>
    <w:basedOn w:val="Normal"/>
    <w:link w:val="CommentTextChar"/>
    <w:uiPriority w:val="99"/>
    <w:unhideWhenUsed/>
    <w:rsid w:val="007B06A7"/>
    <w:pPr>
      <w:spacing w:line="240" w:lineRule="auto"/>
    </w:pPr>
    <w:rPr>
      <w:sz w:val="20"/>
      <w:szCs w:val="20"/>
    </w:rPr>
  </w:style>
  <w:style w:type="character" w:customStyle="1" w:styleId="CommentTextChar">
    <w:name w:val="Comment Text Char"/>
    <w:basedOn w:val="DefaultParagraphFont"/>
    <w:link w:val="CommentText"/>
    <w:uiPriority w:val="99"/>
    <w:rsid w:val="007B06A7"/>
    <w:rPr>
      <w:sz w:val="20"/>
      <w:szCs w:val="20"/>
    </w:rPr>
  </w:style>
  <w:style w:type="paragraph" w:styleId="NormalWeb">
    <w:name w:val="Normal (Web)"/>
    <w:basedOn w:val="Normal"/>
    <w:uiPriority w:val="99"/>
    <w:unhideWhenUsed/>
    <w:rsid w:val="007B0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7E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5059"/>
    <w:rPr>
      <w:b/>
      <w:bCs/>
    </w:rPr>
  </w:style>
  <w:style w:type="character" w:customStyle="1" w:styleId="CommentSubjectChar">
    <w:name w:val="Comment Subject Char"/>
    <w:basedOn w:val="CommentTextChar"/>
    <w:link w:val="CommentSubject"/>
    <w:uiPriority w:val="99"/>
    <w:semiHidden/>
    <w:rsid w:val="009E5059"/>
    <w:rPr>
      <w:b/>
      <w:bCs/>
      <w:sz w:val="20"/>
      <w:szCs w:val="20"/>
    </w:rPr>
  </w:style>
  <w:style w:type="paragraph" w:styleId="FootnoteText">
    <w:name w:val="footnote text"/>
    <w:basedOn w:val="Normal"/>
    <w:link w:val="FootnoteTextChar"/>
    <w:uiPriority w:val="99"/>
    <w:semiHidden/>
    <w:unhideWhenUsed/>
    <w:rsid w:val="009C0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B2C"/>
    <w:rPr>
      <w:sz w:val="20"/>
      <w:szCs w:val="20"/>
    </w:rPr>
  </w:style>
  <w:style w:type="character" w:styleId="FootnoteReference">
    <w:name w:val="footnote reference"/>
    <w:basedOn w:val="DefaultParagraphFont"/>
    <w:uiPriority w:val="99"/>
    <w:semiHidden/>
    <w:unhideWhenUsed/>
    <w:rsid w:val="009C0B2C"/>
    <w:rPr>
      <w:vertAlign w:val="superscript"/>
    </w:rPr>
  </w:style>
  <w:style w:type="character" w:customStyle="1" w:styleId="s68f5eaef">
    <w:name w:val="s68f5eaef"/>
    <w:basedOn w:val="DefaultParagraphFont"/>
    <w:rsid w:val="006E355D"/>
  </w:style>
  <w:style w:type="character" w:customStyle="1" w:styleId="txt-bold">
    <w:name w:val="txt-bold"/>
    <w:basedOn w:val="DefaultParagraphFont"/>
    <w:rsid w:val="000235EF"/>
  </w:style>
  <w:style w:type="character" w:customStyle="1" w:styleId="text--body-copy">
    <w:name w:val="text--body-copy"/>
    <w:basedOn w:val="DefaultParagraphFont"/>
    <w:rsid w:val="000235EF"/>
  </w:style>
  <w:style w:type="character" w:customStyle="1" w:styleId="Heading1Char">
    <w:name w:val="Heading 1 Char"/>
    <w:basedOn w:val="DefaultParagraphFont"/>
    <w:link w:val="Heading1"/>
    <w:uiPriority w:val="9"/>
    <w:rsid w:val="000235E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227AC"/>
    <w:rPr>
      <w:b/>
      <w:bCs/>
    </w:rPr>
  </w:style>
  <w:style w:type="paragraph" w:styleId="Header">
    <w:name w:val="header"/>
    <w:basedOn w:val="Normal"/>
    <w:link w:val="HeaderChar"/>
    <w:uiPriority w:val="99"/>
    <w:unhideWhenUsed/>
    <w:rsid w:val="009D7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D68"/>
  </w:style>
  <w:style w:type="paragraph" w:styleId="Footer">
    <w:name w:val="footer"/>
    <w:basedOn w:val="Normal"/>
    <w:link w:val="FooterChar"/>
    <w:uiPriority w:val="99"/>
    <w:unhideWhenUsed/>
    <w:rsid w:val="009D7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D68"/>
  </w:style>
  <w:style w:type="character" w:customStyle="1" w:styleId="markedcontent">
    <w:name w:val="markedcontent"/>
    <w:basedOn w:val="DefaultParagraphFont"/>
    <w:rsid w:val="002E4AB8"/>
  </w:style>
  <w:style w:type="character" w:styleId="FollowedHyperlink">
    <w:name w:val="FollowedHyperlink"/>
    <w:basedOn w:val="DefaultParagraphFont"/>
    <w:uiPriority w:val="99"/>
    <w:semiHidden/>
    <w:unhideWhenUsed/>
    <w:rsid w:val="002E50BE"/>
    <w:rPr>
      <w:color w:val="954F72" w:themeColor="followedHyperlink"/>
      <w:u w:val="single"/>
    </w:rPr>
  </w:style>
  <w:style w:type="paragraph" w:styleId="ListParagraph">
    <w:name w:val="List Paragraph"/>
    <w:basedOn w:val="Normal"/>
    <w:uiPriority w:val="34"/>
    <w:qFormat/>
    <w:rsid w:val="00F035F8"/>
    <w:pPr>
      <w:ind w:left="720"/>
      <w:contextualSpacing/>
    </w:pPr>
  </w:style>
  <w:style w:type="paragraph" w:customStyle="1" w:styleId="text-justify">
    <w:name w:val="text-justify"/>
    <w:basedOn w:val="Normal"/>
    <w:rsid w:val="00A70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C34F0B"/>
  </w:style>
  <w:style w:type="paragraph" w:styleId="Revision">
    <w:name w:val="Revision"/>
    <w:hidden/>
    <w:uiPriority w:val="99"/>
    <w:semiHidden/>
    <w:rsid w:val="00C34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044">
      <w:bodyDiv w:val="1"/>
      <w:marLeft w:val="0"/>
      <w:marRight w:val="0"/>
      <w:marTop w:val="0"/>
      <w:marBottom w:val="0"/>
      <w:divBdr>
        <w:top w:val="none" w:sz="0" w:space="0" w:color="auto"/>
        <w:left w:val="none" w:sz="0" w:space="0" w:color="auto"/>
        <w:bottom w:val="none" w:sz="0" w:space="0" w:color="auto"/>
        <w:right w:val="none" w:sz="0" w:space="0" w:color="auto"/>
      </w:divBdr>
    </w:div>
    <w:div w:id="86997916">
      <w:bodyDiv w:val="1"/>
      <w:marLeft w:val="0"/>
      <w:marRight w:val="0"/>
      <w:marTop w:val="0"/>
      <w:marBottom w:val="0"/>
      <w:divBdr>
        <w:top w:val="none" w:sz="0" w:space="0" w:color="auto"/>
        <w:left w:val="none" w:sz="0" w:space="0" w:color="auto"/>
        <w:bottom w:val="none" w:sz="0" w:space="0" w:color="auto"/>
        <w:right w:val="none" w:sz="0" w:space="0" w:color="auto"/>
      </w:divBdr>
    </w:div>
    <w:div w:id="683631640">
      <w:bodyDiv w:val="1"/>
      <w:marLeft w:val="0"/>
      <w:marRight w:val="0"/>
      <w:marTop w:val="0"/>
      <w:marBottom w:val="0"/>
      <w:divBdr>
        <w:top w:val="none" w:sz="0" w:space="0" w:color="auto"/>
        <w:left w:val="none" w:sz="0" w:space="0" w:color="auto"/>
        <w:bottom w:val="none" w:sz="0" w:space="0" w:color="auto"/>
        <w:right w:val="none" w:sz="0" w:space="0" w:color="auto"/>
      </w:divBdr>
      <w:divsChild>
        <w:div w:id="380398370">
          <w:marLeft w:val="0"/>
          <w:marRight w:val="0"/>
          <w:marTop w:val="0"/>
          <w:marBottom w:val="0"/>
          <w:divBdr>
            <w:top w:val="none" w:sz="0" w:space="0" w:color="auto"/>
            <w:left w:val="none" w:sz="0" w:space="0" w:color="auto"/>
            <w:bottom w:val="none" w:sz="0" w:space="0" w:color="auto"/>
            <w:right w:val="none" w:sz="0" w:space="0" w:color="auto"/>
          </w:divBdr>
        </w:div>
      </w:divsChild>
    </w:div>
    <w:div w:id="721949732">
      <w:bodyDiv w:val="1"/>
      <w:marLeft w:val="0"/>
      <w:marRight w:val="0"/>
      <w:marTop w:val="0"/>
      <w:marBottom w:val="0"/>
      <w:divBdr>
        <w:top w:val="none" w:sz="0" w:space="0" w:color="auto"/>
        <w:left w:val="none" w:sz="0" w:space="0" w:color="auto"/>
        <w:bottom w:val="none" w:sz="0" w:space="0" w:color="auto"/>
        <w:right w:val="none" w:sz="0" w:space="0" w:color="auto"/>
      </w:divBdr>
    </w:div>
    <w:div w:id="738480709">
      <w:bodyDiv w:val="1"/>
      <w:marLeft w:val="0"/>
      <w:marRight w:val="0"/>
      <w:marTop w:val="0"/>
      <w:marBottom w:val="0"/>
      <w:divBdr>
        <w:top w:val="none" w:sz="0" w:space="0" w:color="auto"/>
        <w:left w:val="none" w:sz="0" w:space="0" w:color="auto"/>
        <w:bottom w:val="none" w:sz="0" w:space="0" w:color="auto"/>
        <w:right w:val="none" w:sz="0" w:space="0" w:color="auto"/>
      </w:divBdr>
    </w:div>
    <w:div w:id="844131841">
      <w:bodyDiv w:val="1"/>
      <w:marLeft w:val="0"/>
      <w:marRight w:val="0"/>
      <w:marTop w:val="0"/>
      <w:marBottom w:val="0"/>
      <w:divBdr>
        <w:top w:val="none" w:sz="0" w:space="0" w:color="auto"/>
        <w:left w:val="none" w:sz="0" w:space="0" w:color="auto"/>
        <w:bottom w:val="none" w:sz="0" w:space="0" w:color="auto"/>
        <w:right w:val="none" w:sz="0" w:space="0" w:color="auto"/>
      </w:divBdr>
    </w:div>
    <w:div w:id="1105538114">
      <w:bodyDiv w:val="1"/>
      <w:marLeft w:val="0"/>
      <w:marRight w:val="0"/>
      <w:marTop w:val="0"/>
      <w:marBottom w:val="0"/>
      <w:divBdr>
        <w:top w:val="none" w:sz="0" w:space="0" w:color="auto"/>
        <w:left w:val="none" w:sz="0" w:space="0" w:color="auto"/>
        <w:bottom w:val="none" w:sz="0" w:space="0" w:color="auto"/>
        <w:right w:val="none" w:sz="0" w:space="0" w:color="auto"/>
      </w:divBdr>
    </w:div>
    <w:div w:id="1190682173">
      <w:bodyDiv w:val="1"/>
      <w:marLeft w:val="0"/>
      <w:marRight w:val="0"/>
      <w:marTop w:val="0"/>
      <w:marBottom w:val="0"/>
      <w:divBdr>
        <w:top w:val="none" w:sz="0" w:space="0" w:color="auto"/>
        <w:left w:val="none" w:sz="0" w:space="0" w:color="auto"/>
        <w:bottom w:val="none" w:sz="0" w:space="0" w:color="auto"/>
        <w:right w:val="none" w:sz="0" w:space="0" w:color="auto"/>
      </w:divBdr>
    </w:div>
    <w:div w:id="1533611482">
      <w:bodyDiv w:val="1"/>
      <w:marLeft w:val="0"/>
      <w:marRight w:val="0"/>
      <w:marTop w:val="0"/>
      <w:marBottom w:val="0"/>
      <w:divBdr>
        <w:top w:val="none" w:sz="0" w:space="0" w:color="auto"/>
        <w:left w:val="none" w:sz="0" w:space="0" w:color="auto"/>
        <w:bottom w:val="none" w:sz="0" w:space="0" w:color="auto"/>
        <w:right w:val="none" w:sz="0" w:space="0" w:color="auto"/>
      </w:divBdr>
    </w:div>
    <w:div w:id="1678343839">
      <w:bodyDiv w:val="1"/>
      <w:marLeft w:val="0"/>
      <w:marRight w:val="0"/>
      <w:marTop w:val="0"/>
      <w:marBottom w:val="0"/>
      <w:divBdr>
        <w:top w:val="none" w:sz="0" w:space="0" w:color="auto"/>
        <w:left w:val="none" w:sz="0" w:space="0" w:color="auto"/>
        <w:bottom w:val="none" w:sz="0" w:space="0" w:color="auto"/>
        <w:right w:val="none" w:sz="0" w:space="0" w:color="auto"/>
      </w:divBdr>
    </w:div>
    <w:div w:id="20029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rycasualty.org/wp-content/uploads/2021/02/AOAV-Counting-the-Cost-2014.pdf" TargetMode="External"/><Relationship Id="rId18" Type="http://schemas.openxmlformats.org/officeDocument/2006/relationships/hyperlink" Target="https://www.inew.org/aoav-releases-latest-annual-report-on-explosive-violence/" TargetMode="External"/><Relationship Id="rId26" Type="http://schemas.openxmlformats.org/officeDocument/2006/relationships/hyperlink" Target="https://www.bbc.co.uk/news/uk-62307351" TargetMode="External"/><Relationship Id="rId3" Type="http://schemas.openxmlformats.org/officeDocument/2006/relationships/styles" Target="styles.xml"/><Relationship Id="rId21" Type="http://schemas.openxmlformats.org/officeDocument/2006/relationships/hyperlink" Target="https://aoav.org.uk/wp-content/uploads/2023/02/Explosive-Weapons-and-the-ATT-side-event.jpg"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ioverton@aoav.org" TargetMode="External"/><Relationship Id="rId17" Type="http://schemas.openxmlformats.org/officeDocument/2006/relationships/hyperlink" Target="https://aoav.org.uk/wp-content/uploads/2022/10/How-to-address-the-harms-from-ieds.pdf" TargetMode="External"/><Relationship Id="rId25" Type="http://schemas.openxmlformats.org/officeDocument/2006/relationships/hyperlink" Target="https://aoav.org.uk/wp-content/uploads/2022/07/Killing-in-the-Shadows.p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aoav.org.uk/2022/unga-adopts-draft-resolution-countering-the-threat-posed-by-improvised-explosive-devices/" TargetMode="External"/><Relationship Id="rId20" Type="http://schemas.openxmlformats.org/officeDocument/2006/relationships/hyperlink" Target="https://aoav.org.uk/wp-content/uploads/2023/02/Explosive-weapons-and-the-Arms-Trade-Treat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siveviolencedata.com/about" TargetMode="External"/><Relationship Id="rId24" Type="http://schemas.openxmlformats.org/officeDocument/2006/relationships/hyperlink" Target="https://aoav.org.uk/2022/between-64-and-135-children-killed-in-british-military-action-in-afghanistan-analysis-of-mod-compensation-payments-reveals/"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aoav.org.uk/2017/aoavs-improvised-explosive-device-ied-monitor/" TargetMode="External"/><Relationship Id="rId23" Type="http://schemas.openxmlformats.org/officeDocument/2006/relationships/hyperlink" Target="https://aoav.org.uk/2022/civilian-casualties-from-british-military-the-afghanistan-war/" TargetMode="External"/><Relationship Id="rId28" Type="http://schemas.openxmlformats.org/officeDocument/2006/relationships/header" Target="header1.xml"/><Relationship Id="rId10" Type="http://schemas.openxmlformats.org/officeDocument/2006/relationships/hyperlink" Target="http://www.explosiveviolencedata.com/filters" TargetMode="External"/><Relationship Id="rId19" Type="http://schemas.openxmlformats.org/officeDocument/2006/relationships/hyperlink" Target="https://www.dfa.ie/media/dfa/ourrolepolicies/peaceandsecurity/ewipa/New-Zealand.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oav.org.uk/2021/inew-turns-ten-a-decade-of-progress-and-challenges/" TargetMode="External"/><Relationship Id="rId14" Type="http://schemas.openxmlformats.org/officeDocument/2006/relationships/hyperlink" Target="http://www.securitycouncilreport.org/atf/cf/%7B65BFCF9B-6D27-4E9C-8CD3-CF6E4FF96FF9%7D/s_2013_689.pdf" TargetMode="External"/><Relationship Id="rId22" Type="http://schemas.openxmlformats.org/officeDocument/2006/relationships/hyperlink" Target="https://aoav.org.uk/2021/40-of-all-civilian-casualties-from-airstrikes-in-afghanistan-almost-1600-in-the-last-five-years-were-children/" TargetMode="External"/><Relationship Id="rId27" Type="http://schemas.openxmlformats.org/officeDocument/2006/relationships/hyperlink" Target="https://rozenberg.substack.com/p/senior-judge-to-investigate-sas-killings" TargetMode="External"/><Relationship Id="rId30" Type="http://schemas.openxmlformats.org/officeDocument/2006/relationships/fontTable" Target="fontTable.xml"/><Relationship Id="rId8" Type="http://schemas.openxmlformats.org/officeDocument/2006/relationships/hyperlink" Target="https://www.securitycouncilreport.org/un_documents_type/secretary-generals-reports/?ctype=Protection%20of%20Civilians&amp;cbtype=protection-of-civilia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485FAFF-A7D4-47B5-88F5-119EADF75D49}">
  <ds:schemaRefs>
    <ds:schemaRef ds:uri="http://schemas.openxmlformats.org/officeDocument/2006/bibliography"/>
  </ds:schemaRefs>
</ds:datastoreItem>
</file>

<file path=customXml/itemProps2.xml><?xml version="1.0" encoding="utf-8"?>
<ds:datastoreItem xmlns:ds="http://schemas.openxmlformats.org/officeDocument/2006/customXml" ds:itemID="{80BE9B6C-E8F1-4642-92C5-BABE1E765C2C}"/>
</file>

<file path=customXml/itemProps3.xml><?xml version="1.0" encoding="utf-8"?>
<ds:datastoreItem xmlns:ds="http://schemas.openxmlformats.org/officeDocument/2006/customXml" ds:itemID="{C5CAF459-1C42-4766-836E-DECE96C1D083}"/>
</file>

<file path=customXml/itemProps4.xml><?xml version="1.0" encoding="utf-8"?>
<ds:datastoreItem xmlns:ds="http://schemas.openxmlformats.org/officeDocument/2006/customXml" ds:itemID="{A7513F0A-A261-421B-8B5B-1730A37B0FAA}"/>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2</cp:revision>
  <dcterms:created xsi:type="dcterms:W3CDTF">2023-02-16T11:34:00Z</dcterms:created>
  <dcterms:modified xsi:type="dcterms:W3CDTF">2023-02-16T11:34:00Z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