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365C" w:rsidRPr="00B4507A" w:rsidRDefault="001C365C" w:rsidP="008F66C6">
      <w:pPr>
        <w:pStyle w:val="Body"/>
        <w:spacing w:line="360" w:lineRule="auto"/>
        <w:jc w:val="both"/>
        <w:rPr>
          <w:rFonts w:ascii="Arial" w:hAnsi="Arial" w:cs="Arial"/>
          <w:b/>
          <w:sz w:val="24"/>
          <w:szCs w:val="24"/>
          <w:u w:color="000000"/>
          <w:lang w:val="en-GB"/>
        </w:rPr>
      </w:pPr>
      <w:r w:rsidRPr="00B4507A">
        <w:rPr>
          <w:rFonts w:ascii="Arial" w:hAnsi="Arial" w:cs="Arial"/>
          <w:b/>
          <w:sz w:val="24"/>
          <w:szCs w:val="24"/>
          <w:u w:color="000000"/>
          <w:lang w:val="en-GB"/>
        </w:rPr>
        <w:t>UNCTAD HIGH LEVEL IIA CONFERENCE</w:t>
      </w:r>
      <w:r w:rsidR="000A018C" w:rsidRPr="00B4507A">
        <w:rPr>
          <w:rFonts w:ascii="Arial" w:hAnsi="Arial" w:cs="Arial"/>
          <w:b/>
          <w:sz w:val="24"/>
          <w:szCs w:val="24"/>
          <w:u w:color="000000"/>
          <w:lang w:val="en-GB"/>
        </w:rPr>
        <w:t xml:space="preserve"> 2019</w:t>
      </w:r>
      <w:r w:rsidRPr="00B4507A">
        <w:rPr>
          <w:rFonts w:ascii="Arial" w:hAnsi="Arial" w:cs="Arial"/>
          <w:b/>
          <w:sz w:val="24"/>
          <w:szCs w:val="24"/>
          <w:u w:color="000000"/>
          <w:lang w:val="en-GB"/>
        </w:rPr>
        <w:t xml:space="preserve">: </w:t>
      </w:r>
      <w:r w:rsidR="00132F58" w:rsidRPr="00B4507A">
        <w:rPr>
          <w:rFonts w:ascii="Arial" w:hAnsi="Arial" w:cs="Arial"/>
          <w:b/>
          <w:sz w:val="24"/>
          <w:szCs w:val="24"/>
          <w:u w:color="000000"/>
          <w:lang w:val="en-GB"/>
        </w:rPr>
        <w:t>ENSURING RESPONSIBLE INVESTMENT</w:t>
      </w:r>
    </w:p>
    <w:p w:rsidR="001C365C" w:rsidRPr="00B4507A" w:rsidRDefault="001C365C" w:rsidP="008F66C6">
      <w:pPr>
        <w:pStyle w:val="Body"/>
        <w:spacing w:line="360" w:lineRule="auto"/>
        <w:jc w:val="both"/>
        <w:rPr>
          <w:rFonts w:ascii="Arial" w:hAnsi="Arial" w:cs="Arial"/>
          <w:b/>
          <w:sz w:val="24"/>
          <w:szCs w:val="24"/>
          <w:u w:color="000000"/>
          <w:lang w:val="en-GB"/>
        </w:rPr>
      </w:pPr>
    </w:p>
    <w:p w:rsidR="008F66C6" w:rsidRPr="00B4507A" w:rsidRDefault="00132F58" w:rsidP="008F66C6">
      <w:pPr>
        <w:pStyle w:val="Body"/>
        <w:spacing w:line="360" w:lineRule="auto"/>
        <w:jc w:val="both"/>
        <w:rPr>
          <w:rFonts w:ascii="Arial" w:hAnsi="Arial" w:cs="Arial"/>
          <w:sz w:val="24"/>
          <w:szCs w:val="24"/>
          <w:u w:color="000000"/>
          <w:lang w:val="en-GB"/>
        </w:rPr>
      </w:pPr>
      <w:r w:rsidRPr="00B4507A">
        <w:rPr>
          <w:rFonts w:ascii="Arial" w:hAnsi="Arial" w:cs="Arial"/>
          <w:sz w:val="24"/>
          <w:szCs w:val="24"/>
          <w:u w:color="000000"/>
          <w:lang w:val="en-GB"/>
        </w:rPr>
        <w:t xml:space="preserve">Thank you for according me this opportunity to address this session on ensuring responsible investment. </w:t>
      </w:r>
    </w:p>
    <w:p w:rsidR="008F66C6" w:rsidRPr="00B4507A" w:rsidRDefault="008F66C6">
      <w:pPr>
        <w:pStyle w:val="Body"/>
        <w:spacing w:line="360" w:lineRule="auto"/>
        <w:jc w:val="both"/>
        <w:rPr>
          <w:rFonts w:ascii="Arial" w:hAnsi="Arial" w:cs="Arial"/>
          <w:sz w:val="24"/>
          <w:szCs w:val="24"/>
          <w:u w:color="000000"/>
          <w:lang w:val="en-GB"/>
        </w:rPr>
      </w:pPr>
      <w:r w:rsidRPr="00B4507A">
        <w:rPr>
          <w:rFonts w:ascii="Arial" w:hAnsi="Arial" w:cs="Arial"/>
          <w:noProof/>
          <w:sz w:val="24"/>
          <w:szCs w:val="24"/>
          <w:u w:color="000000"/>
        </w:rPr>
        <mc:AlternateContent>
          <mc:Choice Requires="wps">
            <w:drawing>
              <wp:anchor distT="152400" distB="152400" distL="152400" distR="152400" simplePos="0" relativeHeight="251659264" behindDoc="0" locked="0" layoutInCell="1" allowOverlap="1">
                <wp:simplePos x="0" y="0"/>
                <wp:positionH relativeFrom="margin">
                  <wp:posOffset>-5080</wp:posOffset>
                </wp:positionH>
                <wp:positionV relativeFrom="page">
                  <wp:posOffset>349250</wp:posOffset>
                </wp:positionV>
                <wp:extent cx="5287010" cy="45085"/>
                <wp:effectExtent l="0" t="19050" r="0" b="12065"/>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287010" cy="45085"/>
                        </a:xfrm>
                        <a:prstGeom prst="rect">
                          <a:avLst/>
                        </a:prstGeom>
                        <a:noFill/>
                        <a:ln w="12700" cap="flat">
                          <a:noFill/>
                          <a:miter lim="400000"/>
                        </a:ln>
                        <a:effectLst/>
                      </wps:spPr>
                      <wps:txbx>
                        <w:txbxContent>
                          <w:p w:rsidR="008A4FE7" w:rsidRDefault="008A4FE7">
                            <w:pPr>
                              <w:pStyle w:val="Default"/>
                              <w:rPr>
                                <w:rFonts w:hint="eastAsi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4pt;margin-top:27.5pt;width:416.3pt;height:3.5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" filled="f" stroked="f" strokeweight="1pt">
                <v:stroke miterlimit="4"/>
                <v:textbox inset="4pt,4pt,4pt,4pt">
                  <w:txbxContent>
                    <w:p w:rsidR="008A4FE7" w:rsidRDefault="008A4FE7">
                      <w:pPr>
                        <w:pStyle w:val="Default"/>
                        <w:rPr>
                          <w:rFonts w:hint="eastAsia"/>
                        </w:rPr>
                      </w:pPr>
                    </w:p>
                  </w:txbxContent>
                </v:textbox>
                <w10:wrap type="topAndBottom" anchorx="margin" anchory="page"/>
              </v:shape>
            </w:pict>
          </mc:Fallback>
        </mc:AlternateContent>
      </w:r>
    </w:p>
    <w:p w:rsidR="00D1643A" w:rsidRPr="00B4507A" w:rsidRDefault="00400EA2" w:rsidP="008F66C6">
      <w:pPr>
        <w:pStyle w:val="Body"/>
        <w:spacing w:line="360" w:lineRule="auto"/>
        <w:jc w:val="both"/>
        <w:rPr>
          <w:rFonts w:ascii="Arial" w:hAnsi="Arial" w:cs="Arial"/>
          <w:sz w:val="24"/>
          <w:szCs w:val="24"/>
          <w:u w:color="000000"/>
          <w:lang w:val="en-GB"/>
        </w:rPr>
      </w:pPr>
      <w:r w:rsidRPr="00B4507A">
        <w:rPr>
          <w:rFonts w:ascii="Arial" w:hAnsi="Arial" w:cs="Arial"/>
          <w:sz w:val="24"/>
          <w:szCs w:val="24"/>
          <w:u w:color="000000"/>
          <w:lang w:val="en-GB"/>
        </w:rPr>
        <w:t xml:space="preserve">Though the IIA reform is well under way and involves countries at all levels of development and from all geographical region, we remain with a number of challenges under the existing old </w:t>
      </w:r>
      <w:r w:rsidR="009E6F0F" w:rsidRPr="00B4507A">
        <w:rPr>
          <w:rFonts w:ascii="Arial" w:hAnsi="Arial" w:cs="Arial"/>
          <w:sz w:val="24"/>
          <w:szCs w:val="24"/>
          <w:u w:color="000000"/>
          <w:lang w:val="en-GB"/>
        </w:rPr>
        <w:t xml:space="preserve">generation treaty regime. As </w:t>
      </w:r>
      <w:r w:rsidR="000A018C" w:rsidRPr="00B4507A">
        <w:rPr>
          <w:rFonts w:ascii="Arial" w:hAnsi="Arial" w:cs="Arial"/>
          <w:sz w:val="24"/>
          <w:szCs w:val="24"/>
          <w:u w:color="000000"/>
          <w:lang w:val="en-GB"/>
        </w:rPr>
        <w:t>UNCTAD</w:t>
      </w:r>
      <w:r w:rsidR="009E6F0F" w:rsidRPr="00B4507A">
        <w:rPr>
          <w:rFonts w:ascii="Arial" w:hAnsi="Arial" w:cs="Arial"/>
          <w:sz w:val="24"/>
          <w:szCs w:val="24"/>
          <w:u w:color="000000"/>
          <w:lang w:val="en-GB"/>
        </w:rPr>
        <w:t xml:space="preserve"> reports, the stock of old-generation treaties is still 10 times larger than the number of new, reform-oriented </w:t>
      </w:r>
      <w:r w:rsidR="0060250A" w:rsidRPr="00B4507A">
        <w:rPr>
          <w:rFonts w:ascii="Arial" w:hAnsi="Arial" w:cs="Arial"/>
          <w:sz w:val="24"/>
          <w:szCs w:val="24"/>
          <w:u w:color="000000"/>
          <w:lang w:val="en-GB"/>
        </w:rPr>
        <w:t>treaties. This said, ISDS cases remain high,</w:t>
      </w:r>
      <w:r w:rsidR="00235531" w:rsidRPr="00B4507A">
        <w:rPr>
          <w:rFonts w:ascii="Arial" w:hAnsi="Arial" w:cs="Arial"/>
          <w:sz w:val="24"/>
          <w:szCs w:val="24"/>
          <w:u w:color="000000"/>
          <w:lang w:val="en-GB"/>
        </w:rPr>
        <w:t xml:space="preserve"> and</w:t>
      </w:r>
      <w:r w:rsidR="0060250A" w:rsidRPr="00B4507A">
        <w:rPr>
          <w:rFonts w:ascii="Arial" w:hAnsi="Arial" w:cs="Arial"/>
          <w:sz w:val="24"/>
          <w:szCs w:val="24"/>
          <w:u w:color="000000"/>
          <w:lang w:val="en-GB"/>
        </w:rPr>
        <w:t xml:space="preserve"> </w:t>
      </w:r>
      <w:r w:rsidR="00235531" w:rsidRPr="00B4507A">
        <w:rPr>
          <w:rFonts w:ascii="Arial" w:hAnsi="Arial" w:cs="Arial"/>
          <w:sz w:val="24"/>
          <w:szCs w:val="24"/>
          <w:u w:color="000000"/>
          <w:lang w:val="en-GB"/>
        </w:rPr>
        <w:t xml:space="preserve">in 2018, </w:t>
      </w:r>
      <w:r w:rsidR="0047425D" w:rsidRPr="00B4507A">
        <w:rPr>
          <w:rFonts w:ascii="Arial" w:hAnsi="Arial" w:cs="Arial"/>
          <w:sz w:val="24"/>
          <w:szCs w:val="24"/>
          <w:u w:color="000000"/>
          <w:lang w:val="en-GB"/>
        </w:rPr>
        <w:t xml:space="preserve">most of </w:t>
      </w:r>
      <w:r w:rsidR="00235531" w:rsidRPr="00B4507A">
        <w:rPr>
          <w:rFonts w:ascii="Arial" w:hAnsi="Arial" w:cs="Arial"/>
          <w:sz w:val="24"/>
          <w:szCs w:val="24"/>
          <w:u w:color="000000"/>
          <w:lang w:val="en-GB"/>
        </w:rPr>
        <w:t>substantive decisions rendered by ISDS tribunals in investor–State disputes, which are in the public domain were decided in favour of the investor, either on jurisdictional grounds or on the merits</w:t>
      </w:r>
      <w:r w:rsidR="0047425D" w:rsidRPr="00B4507A">
        <w:rPr>
          <w:rFonts w:ascii="Arial" w:hAnsi="Arial" w:cs="Arial"/>
          <w:sz w:val="24"/>
          <w:szCs w:val="24"/>
          <w:u w:color="000000"/>
          <w:lang w:val="en-GB"/>
        </w:rPr>
        <w:t>.</w:t>
      </w:r>
    </w:p>
    <w:p w:rsidR="00D1643A" w:rsidRPr="00B4507A" w:rsidRDefault="00D1643A" w:rsidP="008F66C6">
      <w:pPr>
        <w:pStyle w:val="Body"/>
        <w:spacing w:line="360" w:lineRule="auto"/>
        <w:jc w:val="both"/>
        <w:rPr>
          <w:rFonts w:ascii="Arial" w:hAnsi="Arial" w:cs="Arial"/>
          <w:sz w:val="24"/>
          <w:szCs w:val="24"/>
          <w:u w:color="000000"/>
          <w:lang w:val="en-GB"/>
        </w:rPr>
      </w:pPr>
    </w:p>
    <w:p w:rsidR="00D1643A" w:rsidRPr="00B4507A" w:rsidRDefault="008F66C6" w:rsidP="008F66C6">
      <w:pPr>
        <w:pStyle w:val="Body"/>
        <w:spacing w:line="360" w:lineRule="auto"/>
        <w:jc w:val="both"/>
        <w:rPr>
          <w:rFonts w:ascii="Arial" w:hAnsi="Arial" w:cs="Arial"/>
          <w:sz w:val="24"/>
          <w:szCs w:val="24"/>
          <w:u w:color="000000"/>
          <w:lang w:val="en-GB"/>
        </w:rPr>
      </w:pPr>
      <w:r w:rsidRPr="00B4507A">
        <w:rPr>
          <w:rFonts w:ascii="Arial" w:hAnsi="Arial" w:cs="Arial"/>
          <w:sz w:val="24"/>
          <w:szCs w:val="24"/>
          <w:u w:color="000000"/>
          <w:lang w:val="en-GB"/>
        </w:rPr>
        <w:t xml:space="preserve">Not only are legal and arbitration costs significant but the resulting awards can pose serious budgetary threat and challenges specifically to developing countries. </w:t>
      </w:r>
      <w:r w:rsidR="0082651A" w:rsidRPr="00B4507A">
        <w:rPr>
          <w:rFonts w:ascii="Arial" w:hAnsi="Arial" w:cs="Arial"/>
          <w:sz w:val="24"/>
          <w:szCs w:val="24"/>
          <w:u w:color="000000"/>
          <w:lang w:val="en-GB"/>
        </w:rPr>
        <w:t>Though we understand</w:t>
      </w:r>
      <w:r w:rsidR="00F33EDF" w:rsidRPr="00B4507A">
        <w:rPr>
          <w:rFonts w:ascii="Arial" w:hAnsi="Arial" w:cs="Arial"/>
          <w:sz w:val="24"/>
          <w:szCs w:val="24"/>
          <w:u w:color="000000"/>
          <w:lang w:val="en-GB"/>
        </w:rPr>
        <w:t xml:space="preserve"> that investors are seeking those investment destinations that provide the most protective, hospitable and profitable climate for their investments, it is important to create a legal framework for investment that achieves a sensible balance between investor rights and obligations on the one hand and the Governments responsibility to operate and regulate in the public interest on the other. </w:t>
      </w:r>
    </w:p>
    <w:p w:rsidR="00172079" w:rsidRPr="00B4507A" w:rsidRDefault="00172079" w:rsidP="008F66C6">
      <w:pPr>
        <w:pStyle w:val="Body"/>
        <w:spacing w:line="360" w:lineRule="auto"/>
        <w:jc w:val="both"/>
        <w:rPr>
          <w:rFonts w:ascii="Arial" w:hAnsi="Arial" w:cs="Arial"/>
          <w:sz w:val="24"/>
          <w:szCs w:val="24"/>
          <w:u w:color="000000"/>
          <w:lang w:val="en-GB"/>
        </w:rPr>
      </w:pPr>
    </w:p>
    <w:p w:rsidR="00D1227C" w:rsidRDefault="0026612B" w:rsidP="00D1227C">
      <w:pPr>
        <w:pStyle w:val="Body"/>
        <w:spacing w:line="360" w:lineRule="auto"/>
        <w:jc w:val="both"/>
        <w:rPr>
          <w:rFonts w:ascii="Arial" w:hAnsi="Arial" w:cs="Arial"/>
          <w:sz w:val="24"/>
          <w:szCs w:val="24"/>
          <w:u w:color="000000"/>
          <w:lang w:val="en-GB"/>
        </w:rPr>
      </w:pPr>
      <w:r w:rsidRPr="00B4507A">
        <w:rPr>
          <w:rFonts w:ascii="Arial" w:hAnsi="Arial" w:cs="Arial"/>
          <w:sz w:val="24"/>
          <w:szCs w:val="24"/>
          <w:u w:color="000000"/>
          <w:lang w:val="en-GB"/>
        </w:rPr>
        <w:t xml:space="preserve">However, it remains a challenge for governments to </w:t>
      </w:r>
      <w:r w:rsidR="00B4507A">
        <w:rPr>
          <w:rFonts w:ascii="Arial" w:hAnsi="Arial" w:cs="Arial"/>
          <w:sz w:val="24"/>
          <w:szCs w:val="24"/>
          <w:u w:color="000000"/>
          <w:lang w:val="en-GB"/>
        </w:rPr>
        <w:t xml:space="preserve">maintain the balancing act </w:t>
      </w:r>
      <w:r w:rsidR="00311453">
        <w:rPr>
          <w:rFonts w:ascii="Arial" w:hAnsi="Arial" w:cs="Arial"/>
          <w:sz w:val="24"/>
          <w:szCs w:val="24"/>
          <w:u w:color="000000"/>
          <w:lang w:val="en-GB"/>
        </w:rPr>
        <w:t xml:space="preserve">between </w:t>
      </w:r>
      <w:r w:rsidR="00CC60E4">
        <w:rPr>
          <w:rFonts w:ascii="Arial" w:hAnsi="Arial" w:cs="Arial"/>
          <w:sz w:val="24"/>
          <w:szCs w:val="24"/>
          <w:u w:color="000000"/>
          <w:lang w:val="en-GB"/>
        </w:rPr>
        <w:t>creating</w:t>
      </w:r>
      <w:r w:rsidR="00CC60E4" w:rsidRPr="00B4507A">
        <w:rPr>
          <w:rFonts w:ascii="Arial" w:hAnsi="Arial" w:cs="Arial"/>
          <w:sz w:val="24"/>
          <w:szCs w:val="24"/>
          <w:u w:color="000000"/>
          <w:lang w:val="en-GB"/>
        </w:rPr>
        <w:t xml:space="preserve"> attractive conditions</w:t>
      </w:r>
      <w:r w:rsidR="00CC60E4">
        <w:rPr>
          <w:rFonts w:ascii="Arial" w:hAnsi="Arial" w:cs="Arial"/>
          <w:sz w:val="24"/>
          <w:szCs w:val="24"/>
          <w:u w:color="000000"/>
          <w:lang w:val="en-GB"/>
        </w:rPr>
        <w:t xml:space="preserve"> for foreign investors</w:t>
      </w:r>
      <w:r w:rsidR="00B4507A">
        <w:rPr>
          <w:rFonts w:ascii="Arial" w:hAnsi="Arial" w:cs="Arial"/>
          <w:sz w:val="24"/>
          <w:szCs w:val="24"/>
          <w:u w:color="000000"/>
          <w:lang w:val="en-GB"/>
        </w:rPr>
        <w:t xml:space="preserve">, with </w:t>
      </w:r>
      <w:r w:rsidR="00172079" w:rsidRPr="00B4507A">
        <w:rPr>
          <w:rFonts w:ascii="Arial" w:hAnsi="Arial" w:cs="Arial"/>
          <w:sz w:val="24"/>
          <w:szCs w:val="24"/>
          <w:u w:color="000000"/>
          <w:lang w:val="en-GB"/>
        </w:rPr>
        <w:t>investment policies</w:t>
      </w:r>
      <w:r w:rsidR="00B4507A">
        <w:rPr>
          <w:rFonts w:ascii="Arial" w:hAnsi="Arial" w:cs="Arial"/>
          <w:sz w:val="24"/>
          <w:szCs w:val="24"/>
          <w:u w:color="000000"/>
          <w:lang w:val="en-GB"/>
        </w:rPr>
        <w:t xml:space="preserve"> that</w:t>
      </w:r>
      <w:r w:rsidR="00172079" w:rsidRPr="00B4507A">
        <w:rPr>
          <w:rFonts w:ascii="Arial" w:hAnsi="Arial" w:cs="Arial"/>
          <w:sz w:val="24"/>
          <w:szCs w:val="24"/>
          <w:u w:color="000000"/>
          <w:lang w:val="en-GB"/>
        </w:rPr>
        <w:t xml:space="preserve"> include features of investment liberalization, protection, promotion and facilitation</w:t>
      </w:r>
      <w:r w:rsidR="00B4507A">
        <w:rPr>
          <w:rFonts w:ascii="Arial" w:hAnsi="Arial" w:cs="Arial"/>
          <w:sz w:val="24"/>
          <w:szCs w:val="24"/>
          <w:u w:color="000000"/>
          <w:lang w:val="en-GB"/>
        </w:rPr>
        <w:t xml:space="preserve">, against national priorities that need </w:t>
      </w:r>
      <w:r w:rsidR="00CC60E4">
        <w:rPr>
          <w:rFonts w:ascii="Arial" w:hAnsi="Arial" w:cs="Arial"/>
          <w:sz w:val="24"/>
          <w:szCs w:val="24"/>
          <w:u w:color="000000"/>
          <w:lang w:val="en-GB"/>
        </w:rPr>
        <w:t>to</w:t>
      </w:r>
      <w:r w:rsidR="00CC60E4" w:rsidRPr="00B4507A">
        <w:rPr>
          <w:rFonts w:ascii="Arial" w:hAnsi="Arial" w:cs="Arial"/>
          <w:sz w:val="24"/>
          <w:szCs w:val="24"/>
          <w:u w:color="000000"/>
          <w:lang w:val="en-GB"/>
        </w:rPr>
        <w:t xml:space="preserve"> </w:t>
      </w:r>
      <w:bookmarkStart w:id="0" w:name="_GoBack"/>
      <w:bookmarkEnd w:id="0"/>
      <w:r w:rsidR="00CC60E4" w:rsidRPr="00B4507A">
        <w:rPr>
          <w:rFonts w:ascii="Arial" w:hAnsi="Arial" w:cs="Arial"/>
          <w:sz w:val="24"/>
          <w:szCs w:val="24"/>
          <w:u w:color="000000"/>
          <w:lang w:val="en-GB"/>
        </w:rPr>
        <w:t>ensure that</w:t>
      </w:r>
      <w:r w:rsidR="00172079" w:rsidRPr="00B4507A">
        <w:rPr>
          <w:rFonts w:ascii="Arial" w:hAnsi="Arial" w:cs="Arial"/>
          <w:sz w:val="24"/>
          <w:szCs w:val="24"/>
          <w:u w:color="000000"/>
          <w:lang w:val="en-GB"/>
        </w:rPr>
        <w:t xml:space="preserve">   any   negative   social   or   environmental</w:t>
      </w:r>
      <w:r w:rsidR="004649F6">
        <w:rPr>
          <w:rFonts w:ascii="Arial" w:hAnsi="Arial" w:cs="Arial"/>
          <w:sz w:val="24"/>
          <w:szCs w:val="24"/>
          <w:u w:color="000000"/>
          <w:lang w:val="en-GB"/>
        </w:rPr>
        <w:t xml:space="preserve">   effects   are   minimized. Investment </w:t>
      </w:r>
      <w:r w:rsidR="00D81CB6" w:rsidRPr="00D81CB6">
        <w:rPr>
          <w:rFonts w:ascii="Arial" w:hAnsi="Arial" w:cs="Arial"/>
          <w:sz w:val="24"/>
          <w:szCs w:val="24"/>
          <w:u w:color="000000"/>
          <w:lang w:val="en-GB"/>
        </w:rPr>
        <w:t xml:space="preserve">policy framework </w:t>
      </w:r>
      <w:r w:rsidR="004649F6">
        <w:rPr>
          <w:rFonts w:ascii="Arial" w:hAnsi="Arial" w:cs="Arial"/>
          <w:sz w:val="24"/>
          <w:szCs w:val="24"/>
          <w:u w:color="000000"/>
          <w:lang w:val="en-GB"/>
        </w:rPr>
        <w:t>therefore are required to  combine</w:t>
      </w:r>
      <w:r w:rsidR="00D81CB6" w:rsidRPr="00D81CB6">
        <w:rPr>
          <w:rFonts w:ascii="Arial" w:hAnsi="Arial" w:cs="Arial"/>
          <w:sz w:val="24"/>
          <w:szCs w:val="24"/>
          <w:u w:color="000000"/>
          <w:lang w:val="en-GB"/>
        </w:rPr>
        <w:t xml:space="preserve">  elements  of  investment  promotion  and  regula</w:t>
      </w:r>
      <w:r w:rsidR="004649F6">
        <w:rPr>
          <w:rFonts w:ascii="Arial" w:hAnsi="Arial" w:cs="Arial"/>
          <w:sz w:val="24"/>
          <w:szCs w:val="24"/>
          <w:u w:color="000000"/>
          <w:lang w:val="en-GB"/>
        </w:rPr>
        <w:t xml:space="preserve">tion  and  that provides clear </w:t>
      </w:r>
      <w:r w:rsidR="00D81CB6" w:rsidRPr="00D81CB6">
        <w:rPr>
          <w:rFonts w:ascii="Arial" w:hAnsi="Arial" w:cs="Arial"/>
          <w:sz w:val="24"/>
          <w:szCs w:val="24"/>
          <w:u w:color="000000"/>
          <w:lang w:val="en-GB"/>
        </w:rPr>
        <w:t>and transparent rules for the entry and ope</w:t>
      </w:r>
      <w:r w:rsidR="00D81CB6">
        <w:rPr>
          <w:rFonts w:ascii="Arial" w:hAnsi="Arial" w:cs="Arial"/>
          <w:sz w:val="24"/>
          <w:szCs w:val="24"/>
          <w:u w:color="000000"/>
          <w:lang w:val="en-GB"/>
        </w:rPr>
        <w:t>ration  of  foreign  investors,</w:t>
      </w:r>
      <w:r w:rsidR="00D81CB6" w:rsidRPr="00D81CB6">
        <w:rPr>
          <w:rFonts w:ascii="Arial" w:hAnsi="Arial" w:cs="Arial"/>
          <w:sz w:val="24"/>
          <w:szCs w:val="24"/>
          <w:u w:color="000000"/>
          <w:lang w:val="en-GB"/>
        </w:rPr>
        <w:t xml:space="preserve">  </w:t>
      </w:r>
      <w:r w:rsidR="004649F6">
        <w:rPr>
          <w:rFonts w:ascii="Arial" w:hAnsi="Arial" w:cs="Arial"/>
          <w:sz w:val="24"/>
          <w:szCs w:val="24"/>
          <w:u w:color="000000"/>
          <w:lang w:val="en-GB"/>
        </w:rPr>
        <w:t>as well as provide</w:t>
      </w:r>
      <w:r w:rsidR="00D81CB6" w:rsidRPr="00D81CB6">
        <w:rPr>
          <w:rFonts w:ascii="Arial" w:hAnsi="Arial" w:cs="Arial"/>
          <w:sz w:val="24"/>
          <w:szCs w:val="24"/>
          <w:u w:color="000000"/>
          <w:lang w:val="en-GB"/>
        </w:rPr>
        <w:t xml:space="preserve">  adequate  regulation to minimize any risks associated with investment.</w:t>
      </w:r>
    </w:p>
    <w:p w:rsidR="004649F6" w:rsidRDefault="004649F6" w:rsidP="00D1227C">
      <w:pPr>
        <w:pStyle w:val="Body"/>
        <w:spacing w:line="360" w:lineRule="auto"/>
        <w:jc w:val="both"/>
        <w:rPr>
          <w:rFonts w:ascii="Arial" w:hAnsi="Arial" w:cs="Arial"/>
          <w:sz w:val="24"/>
          <w:szCs w:val="24"/>
          <w:u w:color="000000"/>
          <w:lang w:val="en-GB"/>
        </w:rPr>
      </w:pPr>
    </w:p>
    <w:p w:rsidR="00AB504E" w:rsidRDefault="00C4411D" w:rsidP="00D1227C">
      <w:pPr>
        <w:pStyle w:val="Body"/>
        <w:spacing w:line="360" w:lineRule="auto"/>
        <w:jc w:val="both"/>
        <w:rPr>
          <w:rFonts w:ascii="Arial" w:hAnsi="Arial" w:cs="Arial"/>
          <w:sz w:val="24"/>
          <w:szCs w:val="24"/>
          <w:u w:color="000000"/>
          <w:lang w:val="en-GB"/>
        </w:rPr>
      </w:pPr>
      <w:r w:rsidRPr="00B4507A">
        <w:rPr>
          <w:rFonts w:ascii="Arial" w:hAnsi="Arial" w:cs="Arial"/>
          <w:sz w:val="24"/>
          <w:szCs w:val="24"/>
          <w:u w:color="000000"/>
          <w:lang w:val="en-GB"/>
        </w:rPr>
        <w:t>From a regional position</w:t>
      </w:r>
      <w:r w:rsidR="00F33EDF" w:rsidRPr="00B4507A">
        <w:rPr>
          <w:rFonts w:ascii="Arial" w:hAnsi="Arial" w:cs="Arial"/>
          <w:sz w:val="24"/>
          <w:szCs w:val="24"/>
          <w:u w:color="000000"/>
          <w:lang w:val="en-GB"/>
        </w:rPr>
        <w:t xml:space="preserve"> </w:t>
      </w:r>
      <w:r w:rsidRPr="00B4507A">
        <w:rPr>
          <w:rFonts w:ascii="Arial" w:hAnsi="Arial" w:cs="Arial"/>
          <w:sz w:val="24"/>
          <w:szCs w:val="24"/>
          <w:u w:color="000000"/>
          <w:lang w:val="en-GB"/>
        </w:rPr>
        <w:t>I would like to mention</w:t>
      </w:r>
      <w:r w:rsidR="00F33EDF" w:rsidRPr="00B4507A">
        <w:rPr>
          <w:rFonts w:ascii="Arial" w:hAnsi="Arial" w:cs="Arial"/>
          <w:sz w:val="24"/>
          <w:szCs w:val="24"/>
          <w:u w:color="000000"/>
          <w:lang w:val="en-GB"/>
        </w:rPr>
        <w:t xml:space="preserve">, </w:t>
      </w:r>
      <w:r w:rsidRPr="00B4507A">
        <w:rPr>
          <w:rFonts w:ascii="Arial" w:hAnsi="Arial" w:cs="Arial"/>
          <w:sz w:val="24"/>
          <w:szCs w:val="24"/>
          <w:u w:color="000000"/>
          <w:lang w:val="en-GB"/>
        </w:rPr>
        <w:t xml:space="preserve">that </w:t>
      </w:r>
      <w:r w:rsidR="00F33EDF" w:rsidRPr="00B4507A">
        <w:rPr>
          <w:rFonts w:ascii="Arial" w:hAnsi="Arial" w:cs="Arial"/>
          <w:sz w:val="24"/>
          <w:szCs w:val="24"/>
          <w:u w:color="000000"/>
          <w:lang w:val="en-GB"/>
        </w:rPr>
        <w:t xml:space="preserve">within the Southern Africa Development Community (SADC) group, </w:t>
      </w:r>
      <w:r w:rsidRPr="00B4507A">
        <w:rPr>
          <w:rFonts w:ascii="Arial" w:hAnsi="Arial" w:cs="Arial"/>
          <w:sz w:val="24"/>
          <w:szCs w:val="24"/>
          <w:u w:color="000000"/>
          <w:lang w:val="en-GB"/>
        </w:rPr>
        <w:t>the development of</w:t>
      </w:r>
      <w:r w:rsidR="00F33EDF" w:rsidRPr="00B4507A">
        <w:rPr>
          <w:rFonts w:ascii="Arial" w:hAnsi="Arial" w:cs="Arial"/>
          <w:sz w:val="24"/>
          <w:szCs w:val="24"/>
          <w:u w:color="000000"/>
          <w:lang w:val="en-GB"/>
        </w:rPr>
        <w:t xml:space="preserve"> new policy guidelines for investment</w:t>
      </w:r>
      <w:r w:rsidRPr="00B4507A">
        <w:rPr>
          <w:rFonts w:ascii="Arial" w:hAnsi="Arial" w:cs="Arial"/>
          <w:sz w:val="24"/>
          <w:szCs w:val="24"/>
          <w:u w:color="000000"/>
          <w:lang w:val="en-GB"/>
        </w:rPr>
        <w:t xml:space="preserve"> is ongoing</w:t>
      </w:r>
      <w:r w:rsidR="00F33EDF" w:rsidRPr="00B4507A">
        <w:rPr>
          <w:rFonts w:ascii="Arial" w:hAnsi="Arial" w:cs="Arial"/>
          <w:sz w:val="24"/>
          <w:szCs w:val="24"/>
          <w:u w:color="000000"/>
          <w:lang w:val="en-GB"/>
        </w:rPr>
        <w:t>. This includes the SADC Investment Policy Framework, as well as the Bilateral Investment Treaty (BIT) template, which is a set of guidel</w:t>
      </w:r>
      <w:r w:rsidR="00952D84" w:rsidRPr="00B4507A">
        <w:rPr>
          <w:rFonts w:ascii="Arial" w:hAnsi="Arial" w:cs="Arial"/>
          <w:sz w:val="24"/>
          <w:szCs w:val="24"/>
          <w:u w:color="000000"/>
          <w:lang w:val="en-GB"/>
        </w:rPr>
        <w:t>ines for BIT negotiations. The BIT</w:t>
      </w:r>
      <w:r w:rsidR="00F33EDF" w:rsidRPr="00B4507A">
        <w:rPr>
          <w:rFonts w:ascii="Arial" w:hAnsi="Arial" w:cs="Arial"/>
          <w:sz w:val="24"/>
          <w:szCs w:val="24"/>
          <w:u w:color="000000"/>
          <w:lang w:val="en-GB"/>
        </w:rPr>
        <w:t xml:space="preserve"> </w:t>
      </w:r>
      <w:r w:rsidR="00F33EDF" w:rsidRPr="00B4507A">
        <w:rPr>
          <w:rFonts w:ascii="Arial" w:hAnsi="Arial" w:cs="Arial"/>
          <w:sz w:val="24"/>
          <w:szCs w:val="24"/>
          <w:u w:color="000000"/>
          <w:lang w:val="en-GB"/>
        </w:rPr>
        <w:lastRenderedPageBreak/>
        <w:t xml:space="preserve">guidelines </w:t>
      </w:r>
      <w:r w:rsidR="00172079" w:rsidRPr="00B4507A">
        <w:rPr>
          <w:rFonts w:ascii="Arial" w:hAnsi="Arial" w:cs="Arial"/>
          <w:sz w:val="24"/>
          <w:szCs w:val="24"/>
          <w:u w:color="000000"/>
          <w:lang w:val="en-GB"/>
        </w:rPr>
        <w:t xml:space="preserve">also include </w:t>
      </w:r>
      <w:r w:rsidR="005F3BC8" w:rsidRPr="00B4507A">
        <w:rPr>
          <w:rFonts w:ascii="Arial" w:hAnsi="Arial" w:cs="Arial"/>
          <w:sz w:val="24"/>
          <w:szCs w:val="24"/>
          <w:u w:color="000000"/>
          <w:lang w:val="en-GB"/>
        </w:rPr>
        <w:t xml:space="preserve">an elaborate and detailed section focussing on ensuring responsible investment. The section, referred to as “rights and obligations of investor and state parties” </w:t>
      </w:r>
      <w:r w:rsidR="00952D84" w:rsidRPr="00B4507A">
        <w:rPr>
          <w:rFonts w:ascii="Arial" w:hAnsi="Arial" w:cs="Arial"/>
          <w:sz w:val="24"/>
          <w:szCs w:val="24"/>
          <w:u w:color="000000"/>
          <w:lang w:val="en-GB"/>
        </w:rPr>
        <w:t>ranges over seventeen articles. Themes that are covered range from: common obligation against corruption; compliance with domestic law; environmental management and improvement; minimum standards for human rights, environment and labour; investor liability; corporate social responsibility, as well as obligations of states on environment and labour standards, to name but a few.</w:t>
      </w:r>
      <w:r w:rsidR="004649F6">
        <w:rPr>
          <w:rFonts w:ascii="Arial" w:hAnsi="Arial" w:cs="Arial"/>
          <w:sz w:val="24"/>
          <w:szCs w:val="24"/>
          <w:u w:color="000000"/>
          <w:lang w:val="en-GB"/>
        </w:rPr>
        <w:t xml:space="preserve"> </w:t>
      </w:r>
      <w:r w:rsidR="009F2512">
        <w:rPr>
          <w:rFonts w:ascii="Arial" w:hAnsi="Arial" w:cs="Arial"/>
          <w:sz w:val="24"/>
          <w:szCs w:val="24"/>
          <w:u w:color="000000"/>
          <w:lang w:val="en-GB"/>
        </w:rPr>
        <w:t>The section throughout emphasise</w:t>
      </w:r>
      <w:r w:rsidR="00996036">
        <w:rPr>
          <w:rFonts w:ascii="Arial" w:hAnsi="Arial" w:cs="Arial"/>
          <w:sz w:val="24"/>
          <w:szCs w:val="24"/>
          <w:u w:color="000000"/>
          <w:lang w:val="en-GB"/>
        </w:rPr>
        <w:t>s</w:t>
      </w:r>
      <w:r w:rsidR="009F2512">
        <w:rPr>
          <w:rFonts w:ascii="Arial" w:hAnsi="Arial" w:cs="Arial"/>
          <w:sz w:val="24"/>
          <w:szCs w:val="24"/>
          <w:u w:color="000000"/>
          <w:lang w:val="en-GB"/>
        </w:rPr>
        <w:t xml:space="preserve"> on governments rights to implement performance requirements</w:t>
      </w:r>
      <w:r w:rsidR="004649F6">
        <w:rPr>
          <w:rFonts w:ascii="Arial" w:hAnsi="Arial" w:cs="Arial"/>
          <w:sz w:val="24"/>
          <w:szCs w:val="24"/>
          <w:u w:color="000000"/>
          <w:lang w:val="en-GB"/>
        </w:rPr>
        <w:t xml:space="preserve"> </w:t>
      </w:r>
      <w:r w:rsidR="009F2512">
        <w:rPr>
          <w:rFonts w:ascii="Arial" w:hAnsi="Arial" w:cs="Arial"/>
          <w:sz w:val="24"/>
          <w:szCs w:val="24"/>
          <w:u w:color="000000"/>
          <w:lang w:val="en-GB"/>
        </w:rPr>
        <w:t xml:space="preserve">on investors and investments.  </w:t>
      </w:r>
    </w:p>
    <w:p w:rsidR="004649F6" w:rsidRPr="00B4507A" w:rsidRDefault="004649F6" w:rsidP="00D1227C">
      <w:pPr>
        <w:pStyle w:val="Body"/>
        <w:spacing w:line="360" w:lineRule="auto"/>
        <w:jc w:val="both"/>
        <w:rPr>
          <w:rFonts w:ascii="Arial" w:hAnsi="Arial" w:cs="Arial"/>
          <w:sz w:val="24"/>
          <w:szCs w:val="24"/>
          <w:u w:color="000000"/>
          <w:lang w:val="en-GB"/>
        </w:rPr>
      </w:pPr>
    </w:p>
    <w:p w:rsidR="00311453" w:rsidRPr="00B4507A" w:rsidRDefault="00021FD0" w:rsidP="00311453">
      <w:pPr>
        <w:pStyle w:val="Body"/>
        <w:spacing w:after="120" w:line="360" w:lineRule="auto"/>
        <w:jc w:val="both"/>
        <w:rPr>
          <w:rFonts w:ascii="Arial" w:hAnsi="Arial" w:cs="Arial"/>
          <w:sz w:val="24"/>
          <w:szCs w:val="24"/>
          <w:u w:color="000000"/>
          <w:lang w:val="en-GB"/>
        </w:rPr>
      </w:pPr>
      <w:r w:rsidRPr="00B4507A">
        <w:rPr>
          <w:rFonts w:ascii="Arial" w:hAnsi="Arial" w:cs="Arial"/>
          <w:sz w:val="24"/>
          <w:szCs w:val="24"/>
          <w:u w:color="000000"/>
          <w:lang w:val="en-GB"/>
        </w:rPr>
        <w:t xml:space="preserve">It is worth mentioning that SADC member states, while developing these guidelines continuously benchmark against </w:t>
      </w:r>
      <w:r w:rsidR="00B4507A" w:rsidRPr="00B4507A">
        <w:rPr>
          <w:rFonts w:ascii="Arial" w:hAnsi="Arial" w:cs="Arial"/>
          <w:sz w:val="24"/>
          <w:szCs w:val="24"/>
          <w:u w:color="000000"/>
          <w:lang w:val="en-GB"/>
        </w:rPr>
        <w:t>reform-oriented</w:t>
      </w:r>
      <w:r w:rsidRPr="00B4507A">
        <w:rPr>
          <w:rFonts w:ascii="Arial" w:hAnsi="Arial" w:cs="Arial"/>
          <w:sz w:val="24"/>
          <w:szCs w:val="24"/>
          <w:u w:color="000000"/>
          <w:lang w:val="en-GB"/>
        </w:rPr>
        <w:t xml:space="preserve"> approaches, which includes amongst others the UNCTAD Investment Policy Framework. </w:t>
      </w:r>
    </w:p>
    <w:p w:rsidR="008A4FE7" w:rsidRPr="00B4507A" w:rsidRDefault="00583E63" w:rsidP="00C4411D">
      <w:pPr>
        <w:pStyle w:val="Body"/>
        <w:tabs>
          <w:tab w:val="center" w:pos="283"/>
          <w:tab w:val="left" w:pos="283"/>
          <w:tab w:val="left" w:pos="283"/>
        </w:tabs>
        <w:suppressAutoHyphens/>
        <w:spacing w:after="200" w:line="360" w:lineRule="auto"/>
        <w:jc w:val="both"/>
        <w:rPr>
          <w:rFonts w:ascii="Arial" w:eastAsia="Arial" w:hAnsi="Arial" w:cs="Arial"/>
          <w:sz w:val="24"/>
          <w:szCs w:val="24"/>
          <w:u w:color="000000"/>
          <w:lang w:val="en-GB"/>
        </w:rPr>
      </w:pPr>
      <w:r w:rsidRPr="00B4507A">
        <w:rPr>
          <w:rFonts w:ascii="Arial" w:hAnsi="Arial" w:cs="Arial"/>
          <w:sz w:val="24"/>
          <w:szCs w:val="24"/>
          <w:u w:color="000000"/>
          <w:lang w:val="en-GB"/>
        </w:rPr>
        <w:t xml:space="preserve">From a national perspective, Namibia took the approach of including </w:t>
      </w:r>
      <w:r w:rsidR="00C4411D" w:rsidRPr="00B4507A">
        <w:rPr>
          <w:rFonts w:ascii="Arial" w:hAnsi="Arial" w:cs="Arial"/>
          <w:sz w:val="24"/>
          <w:szCs w:val="24"/>
          <w:u w:color="000000"/>
          <w:lang w:val="en-GB"/>
        </w:rPr>
        <w:t xml:space="preserve">investor responsibilities in our proposed </w:t>
      </w:r>
      <w:r w:rsidR="00F33EDF" w:rsidRPr="00B4507A">
        <w:rPr>
          <w:rFonts w:ascii="Arial" w:hAnsi="Arial" w:cs="Arial"/>
          <w:sz w:val="24"/>
          <w:szCs w:val="24"/>
          <w:u w:color="000000"/>
          <w:lang w:val="en-GB"/>
        </w:rPr>
        <w:t>legal policy framework</w:t>
      </w:r>
      <w:r w:rsidR="00C4411D" w:rsidRPr="00B4507A">
        <w:rPr>
          <w:rFonts w:ascii="Arial" w:hAnsi="Arial" w:cs="Arial"/>
          <w:sz w:val="24"/>
          <w:szCs w:val="24"/>
          <w:u w:color="000000"/>
          <w:lang w:val="en-GB"/>
        </w:rPr>
        <w:t xml:space="preserve"> for investment</w:t>
      </w:r>
      <w:r w:rsidR="00F33EDF" w:rsidRPr="00B4507A">
        <w:rPr>
          <w:rFonts w:ascii="Arial" w:hAnsi="Arial" w:cs="Arial"/>
          <w:sz w:val="24"/>
          <w:szCs w:val="24"/>
          <w:u w:color="000000"/>
          <w:lang w:val="en-GB"/>
        </w:rPr>
        <w:t xml:space="preserve">. </w:t>
      </w:r>
      <w:r w:rsidR="009F2512">
        <w:rPr>
          <w:rFonts w:ascii="Arial" w:hAnsi="Arial" w:cs="Arial"/>
          <w:sz w:val="24"/>
          <w:szCs w:val="24"/>
          <w:u w:color="000000"/>
          <w:lang w:val="en-GB"/>
        </w:rPr>
        <w:t xml:space="preserve">Again, </w:t>
      </w:r>
      <w:r w:rsidR="000F0106">
        <w:rPr>
          <w:rFonts w:ascii="Arial" w:hAnsi="Arial" w:cs="Arial"/>
          <w:sz w:val="24"/>
          <w:szCs w:val="24"/>
          <w:u w:color="000000"/>
          <w:lang w:val="en-GB"/>
        </w:rPr>
        <w:t xml:space="preserve">tools of reference for the policy included UNCTADs Investment Policy Framework and the SADC model BIT. </w:t>
      </w:r>
      <w:r w:rsidR="000F0106" w:rsidRPr="00B4507A">
        <w:rPr>
          <w:rFonts w:ascii="Arial" w:hAnsi="Arial" w:cs="Arial"/>
          <w:sz w:val="24"/>
          <w:szCs w:val="24"/>
          <w:lang w:val="en-GB"/>
        </w:rPr>
        <w:t>For</w:t>
      </w:r>
      <w:r w:rsidR="00C4411D" w:rsidRPr="00B4507A">
        <w:rPr>
          <w:rFonts w:ascii="Arial" w:hAnsi="Arial" w:cs="Arial"/>
          <w:sz w:val="24"/>
          <w:szCs w:val="24"/>
          <w:lang w:val="en-GB"/>
        </w:rPr>
        <w:t xml:space="preserve"> </w:t>
      </w:r>
      <w:r w:rsidR="000F0106">
        <w:rPr>
          <w:rFonts w:ascii="Arial" w:hAnsi="Arial" w:cs="Arial"/>
          <w:sz w:val="24"/>
          <w:szCs w:val="24"/>
          <w:lang w:val="en-GB"/>
        </w:rPr>
        <w:t xml:space="preserve">the purpose of </w:t>
      </w:r>
      <w:r w:rsidR="00C4411D" w:rsidRPr="00B4507A">
        <w:rPr>
          <w:rFonts w:ascii="Arial" w:hAnsi="Arial" w:cs="Arial"/>
          <w:sz w:val="24"/>
          <w:szCs w:val="24"/>
          <w:lang w:val="en-GB"/>
        </w:rPr>
        <w:t>this meeting I would like to highlight some of the provisions that we considered to include:</w:t>
      </w:r>
    </w:p>
    <w:p w:rsidR="00D75706" w:rsidRPr="00B4507A" w:rsidRDefault="005C3B02" w:rsidP="00D75706">
      <w:pPr>
        <w:pStyle w:val="Default"/>
        <w:numPr>
          <w:ilvl w:val="0"/>
          <w:numId w:val="2"/>
        </w:numPr>
        <w:spacing w:after="200" w:line="360" w:lineRule="auto"/>
        <w:jc w:val="both"/>
        <w:rPr>
          <w:rFonts w:ascii="Arial" w:hAnsi="Arial" w:cs="Arial"/>
          <w:sz w:val="24"/>
          <w:szCs w:val="24"/>
          <w:u w:color="000000"/>
          <w:lang w:val="en-GB"/>
        </w:rPr>
      </w:pPr>
      <w:r w:rsidRPr="00B4507A">
        <w:rPr>
          <w:rFonts w:ascii="Arial" w:hAnsi="Arial" w:cs="Arial"/>
          <w:sz w:val="24"/>
          <w:szCs w:val="24"/>
          <w:u w:color="000000"/>
          <w:lang w:val="en-GB"/>
        </w:rPr>
        <w:t>In our preamble, it</w:t>
      </w:r>
      <w:r w:rsidR="00F33EDF" w:rsidRPr="00B4507A">
        <w:rPr>
          <w:rFonts w:ascii="Arial" w:hAnsi="Arial" w:cs="Arial"/>
          <w:sz w:val="24"/>
          <w:szCs w:val="24"/>
          <w:u w:color="000000"/>
          <w:lang w:val="en-GB"/>
        </w:rPr>
        <w:t xml:space="preserve"> is clearly </w:t>
      </w:r>
      <w:r w:rsidRPr="00B4507A">
        <w:rPr>
          <w:rFonts w:ascii="Arial" w:hAnsi="Arial" w:cs="Arial"/>
          <w:sz w:val="24"/>
          <w:szCs w:val="24"/>
          <w:u w:color="000000"/>
          <w:lang w:val="en-GB"/>
        </w:rPr>
        <w:t>stated</w:t>
      </w:r>
      <w:r w:rsidR="00F33EDF" w:rsidRPr="00B4507A">
        <w:rPr>
          <w:rFonts w:ascii="Arial" w:hAnsi="Arial" w:cs="Arial"/>
          <w:sz w:val="24"/>
          <w:szCs w:val="24"/>
          <w:u w:color="000000"/>
          <w:lang w:val="en-GB"/>
        </w:rPr>
        <w:t xml:space="preserve"> that the objects of the policy are in line with our national development goals, of promoting sustainable economic development and growth through the attraction of both domestic and foreign investment. It balances both Governments role to facilitate investment through clear and transparent procedures, while the investor’s role is to contribute to the enhancement of the economic development objectives of the country</w:t>
      </w:r>
      <w:r w:rsidR="00D75706" w:rsidRPr="00B4507A">
        <w:rPr>
          <w:rFonts w:ascii="Arial" w:hAnsi="Arial" w:cs="Arial"/>
          <w:sz w:val="24"/>
          <w:szCs w:val="24"/>
          <w:u w:color="000000"/>
          <w:lang w:val="en-GB"/>
        </w:rPr>
        <w:t>.</w:t>
      </w:r>
    </w:p>
    <w:p w:rsidR="00861609" w:rsidRDefault="005C3B02" w:rsidP="00861609">
      <w:pPr>
        <w:pStyle w:val="Default"/>
        <w:numPr>
          <w:ilvl w:val="0"/>
          <w:numId w:val="2"/>
        </w:numPr>
        <w:spacing w:after="200" w:line="360" w:lineRule="auto"/>
        <w:jc w:val="both"/>
        <w:rPr>
          <w:rFonts w:ascii="Arial" w:hAnsi="Arial" w:cs="Arial"/>
          <w:sz w:val="24"/>
          <w:szCs w:val="24"/>
          <w:u w:color="000000"/>
          <w:lang w:val="en-GB"/>
        </w:rPr>
      </w:pPr>
      <w:r w:rsidRPr="00B4507A">
        <w:rPr>
          <w:rFonts w:ascii="Arial" w:hAnsi="Arial" w:cs="Arial"/>
          <w:sz w:val="24"/>
          <w:szCs w:val="24"/>
          <w:u w:color="000000"/>
          <w:lang w:val="en-GB"/>
        </w:rPr>
        <w:t xml:space="preserve">The second provision </w:t>
      </w:r>
      <w:r w:rsidR="00F33EDF" w:rsidRPr="00B4507A">
        <w:rPr>
          <w:rFonts w:ascii="Arial" w:hAnsi="Arial" w:cs="Arial"/>
          <w:sz w:val="24"/>
          <w:szCs w:val="24"/>
          <w:u w:color="000000"/>
          <w:lang w:val="en-GB"/>
        </w:rPr>
        <w:t xml:space="preserve">in the policy, I would like to highlight is the introduction of performance agreements for large-scale investments in key sectors. We believe that performance agreements entered into with investors in priority economic sectors supports the contribution of the investment to the development objectives of the country. These agreements are negotiated based on a net benefit criteria, which is also clearly stated within the policy that the investor should meet, as well as certain incentives that Government may offer. I want to point out that the policy ensures absolute transparency in the matter. This includes thorough consultation with all parties involved, as well as publishing the final agreement. In addition, the use of performance agreements allows both the investor and government to tailor the means to achieve the development goals to each specific new investment, instead of </w:t>
      </w:r>
      <w:r w:rsidR="00F33EDF" w:rsidRPr="00B4507A">
        <w:rPr>
          <w:rFonts w:ascii="Arial" w:hAnsi="Arial" w:cs="Arial"/>
          <w:sz w:val="24"/>
          <w:szCs w:val="24"/>
          <w:u w:color="000000"/>
          <w:lang w:val="en-GB"/>
        </w:rPr>
        <w:lastRenderedPageBreak/>
        <w:t>imposing one-size fits all approaches or unilaterally imposed conditions. This should ensure both effectiveness and efficiency.</w:t>
      </w:r>
    </w:p>
    <w:p w:rsidR="006644C6" w:rsidRPr="006644C6" w:rsidRDefault="006644C6" w:rsidP="006644C6">
      <w:pPr>
        <w:pStyle w:val="Default"/>
        <w:numPr>
          <w:ilvl w:val="0"/>
          <w:numId w:val="2"/>
        </w:numPr>
        <w:spacing w:after="200" w:line="360" w:lineRule="auto"/>
        <w:jc w:val="both"/>
        <w:rPr>
          <w:rFonts w:ascii="Arial" w:hAnsi="Arial" w:cs="Arial"/>
          <w:sz w:val="24"/>
          <w:szCs w:val="24"/>
          <w:u w:color="000000"/>
        </w:rPr>
      </w:pPr>
      <w:r>
        <w:rPr>
          <w:rFonts w:ascii="Arial" w:hAnsi="Arial"/>
          <w:sz w:val="24"/>
          <w:szCs w:val="24"/>
          <w:u w:color="000000"/>
        </w:rPr>
        <w:t>Another provision,</w:t>
      </w:r>
      <w:r w:rsidRPr="002F6068">
        <w:rPr>
          <w:rFonts w:ascii="Arial" w:hAnsi="Arial"/>
          <w:sz w:val="24"/>
          <w:szCs w:val="24"/>
          <w:u w:color="000000"/>
        </w:rPr>
        <w:t xml:space="preserve"> we dee</w:t>
      </w:r>
      <w:r>
        <w:rPr>
          <w:rFonts w:ascii="Arial" w:hAnsi="Arial"/>
          <w:sz w:val="24"/>
          <w:szCs w:val="24"/>
          <w:u w:color="000000"/>
        </w:rPr>
        <w:t>med necessary in this policy</w:t>
      </w:r>
      <w:r w:rsidRPr="002F6068">
        <w:rPr>
          <w:rFonts w:ascii="Arial" w:hAnsi="Arial"/>
          <w:sz w:val="24"/>
          <w:szCs w:val="24"/>
          <w:u w:color="000000"/>
        </w:rPr>
        <w:t xml:space="preserve"> aimed at achie</w:t>
      </w:r>
      <w:r>
        <w:rPr>
          <w:rFonts w:ascii="Arial" w:hAnsi="Arial"/>
          <w:sz w:val="24"/>
          <w:szCs w:val="24"/>
          <w:u w:color="000000"/>
        </w:rPr>
        <w:t xml:space="preserve">ving our development objectives, as well as promoting responsible investments, </w:t>
      </w:r>
      <w:r w:rsidRPr="002F6068">
        <w:rPr>
          <w:rFonts w:ascii="Arial" w:hAnsi="Arial"/>
          <w:sz w:val="24"/>
          <w:szCs w:val="24"/>
          <w:u w:color="000000"/>
        </w:rPr>
        <w:t>are the designation of economic sectors or business activities for investment. These designations should help ensure foreign investment in sectors where growth is needed and discouraged where we believe that investments are saturated. This includes applying thresholds and certain entry conditions for investors</w:t>
      </w:r>
      <w:r>
        <w:rPr>
          <w:rFonts w:ascii="Arial" w:hAnsi="Arial"/>
          <w:sz w:val="24"/>
          <w:szCs w:val="24"/>
          <w:u w:color="000000"/>
        </w:rPr>
        <w:t xml:space="preserve"> to guarantee strategic economic development and growth.</w:t>
      </w:r>
    </w:p>
    <w:p w:rsidR="00861609" w:rsidRPr="00B4507A" w:rsidRDefault="0026612B" w:rsidP="00861609">
      <w:pPr>
        <w:pStyle w:val="Default"/>
        <w:numPr>
          <w:ilvl w:val="0"/>
          <w:numId w:val="2"/>
        </w:numPr>
        <w:spacing w:after="200" w:line="360" w:lineRule="auto"/>
        <w:jc w:val="both"/>
        <w:rPr>
          <w:rFonts w:ascii="Arial" w:hAnsi="Arial" w:cs="Arial"/>
          <w:sz w:val="24"/>
          <w:szCs w:val="24"/>
          <w:u w:color="000000"/>
          <w:lang w:val="en-GB"/>
        </w:rPr>
      </w:pPr>
      <w:r w:rsidRPr="00B4507A">
        <w:rPr>
          <w:rFonts w:ascii="Arial" w:hAnsi="Arial" w:cs="Arial"/>
          <w:sz w:val="24"/>
          <w:szCs w:val="24"/>
          <w:u w:color="000000"/>
          <w:lang w:val="en-GB"/>
        </w:rPr>
        <w:t xml:space="preserve">Lastly, we did include a </w:t>
      </w:r>
      <w:r w:rsidR="00311453">
        <w:rPr>
          <w:rFonts w:ascii="Arial" w:hAnsi="Arial" w:cs="Arial"/>
          <w:sz w:val="24"/>
          <w:szCs w:val="24"/>
          <w:u w:color="000000"/>
          <w:lang w:val="en-GB"/>
        </w:rPr>
        <w:t xml:space="preserve">specific </w:t>
      </w:r>
      <w:r w:rsidRPr="00B4507A">
        <w:rPr>
          <w:rFonts w:ascii="Arial" w:hAnsi="Arial" w:cs="Arial"/>
          <w:sz w:val="24"/>
          <w:szCs w:val="24"/>
          <w:u w:color="000000"/>
          <w:lang w:val="en-GB"/>
        </w:rPr>
        <w:t xml:space="preserve">provision referring to rights and obligations </w:t>
      </w:r>
      <w:r w:rsidR="00861609" w:rsidRPr="00B4507A">
        <w:rPr>
          <w:rFonts w:ascii="Arial" w:hAnsi="Arial" w:cs="Arial"/>
          <w:sz w:val="24"/>
          <w:szCs w:val="24"/>
          <w:u w:color="000000"/>
          <w:lang w:val="en-GB"/>
        </w:rPr>
        <w:t xml:space="preserve">of investors. The provision </w:t>
      </w:r>
      <w:r w:rsidR="00861609" w:rsidRPr="00B4507A">
        <w:rPr>
          <w:rFonts w:ascii="Arial" w:hAnsi="Arial" w:cs="Arial"/>
          <w:sz w:val="24"/>
          <w:szCs w:val="24"/>
          <w:lang w:val="en-GB"/>
        </w:rPr>
        <w:t xml:space="preserve">stipulates that </w:t>
      </w:r>
      <w:r w:rsidR="00311453">
        <w:rPr>
          <w:rFonts w:ascii="Arial" w:hAnsi="Arial" w:cs="Arial"/>
          <w:sz w:val="24"/>
          <w:szCs w:val="24"/>
          <w:lang w:val="en-GB"/>
        </w:rPr>
        <w:t xml:space="preserve">in general </w:t>
      </w:r>
      <w:r w:rsidR="00861609" w:rsidRPr="00B4507A">
        <w:rPr>
          <w:rFonts w:ascii="Arial" w:hAnsi="Arial" w:cs="Arial"/>
          <w:sz w:val="24"/>
          <w:szCs w:val="24"/>
          <w:lang w:val="en-GB"/>
        </w:rPr>
        <w:t xml:space="preserve">investors must carry out their activities in compliance with the law of Namibia. </w:t>
      </w:r>
      <w:r w:rsidR="00311453">
        <w:rPr>
          <w:rFonts w:ascii="Arial" w:hAnsi="Arial" w:cs="Arial"/>
          <w:sz w:val="24"/>
          <w:szCs w:val="24"/>
          <w:lang w:val="en-GB"/>
        </w:rPr>
        <w:t>However, it also covers issues</w:t>
      </w:r>
      <w:r w:rsidR="00A374C9" w:rsidRPr="00B4507A">
        <w:rPr>
          <w:rFonts w:ascii="Arial" w:hAnsi="Arial" w:cs="Arial"/>
          <w:sz w:val="24"/>
          <w:szCs w:val="24"/>
          <w:lang w:val="en-GB"/>
        </w:rPr>
        <w:t xml:space="preserve"> </w:t>
      </w:r>
      <w:r w:rsidR="00311453">
        <w:rPr>
          <w:rFonts w:ascii="Arial" w:hAnsi="Arial" w:cs="Arial"/>
          <w:sz w:val="24"/>
          <w:szCs w:val="24"/>
          <w:lang w:val="en-GB"/>
        </w:rPr>
        <w:t xml:space="preserve">such as </w:t>
      </w:r>
      <w:r w:rsidR="00861609" w:rsidRPr="00B4507A">
        <w:rPr>
          <w:rFonts w:ascii="Arial" w:hAnsi="Arial" w:cs="Arial"/>
          <w:sz w:val="24"/>
          <w:szCs w:val="24"/>
          <w:lang w:val="en-GB"/>
        </w:rPr>
        <w:t xml:space="preserve">the engagement of foreign personnel by the investor and elaborates on the permission to engage expatriate personnel. </w:t>
      </w:r>
      <w:r w:rsidR="00B4507A" w:rsidRPr="00B4507A">
        <w:rPr>
          <w:rFonts w:ascii="Arial" w:hAnsi="Arial" w:cs="Arial"/>
          <w:sz w:val="24"/>
          <w:szCs w:val="24"/>
          <w:lang w:val="en-GB"/>
        </w:rPr>
        <w:t>Government’s</w:t>
      </w:r>
      <w:r w:rsidR="00A374C9" w:rsidRPr="00B4507A">
        <w:rPr>
          <w:rFonts w:ascii="Arial" w:hAnsi="Arial" w:cs="Arial"/>
          <w:sz w:val="24"/>
          <w:szCs w:val="24"/>
          <w:lang w:val="en-GB"/>
        </w:rPr>
        <w:t xml:space="preserve"> priority of </w:t>
      </w:r>
      <w:r w:rsidR="00B4507A" w:rsidRPr="00B4507A">
        <w:rPr>
          <w:rFonts w:ascii="Arial" w:hAnsi="Arial" w:cs="Arial"/>
          <w:sz w:val="24"/>
          <w:szCs w:val="24"/>
          <w:lang w:val="en-GB"/>
        </w:rPr>
        <w:t xml:space="preserve">achieving the country’s development goals is herewith emphasized and it underlines </w:t>
      </w:r>
      <w:r w:rsidR="00A374C9" w:rsidRPr="00B4507A">
        <w:rPr>
          <w:rFonts w:ascii="Arial" w:hAnsi="Arial" w:cs="Arial"/>
          <w:sz w:val="24"/>
          <w:szCs w:val="24"/>
          <w:lang w:val="en-GB"/>
        </w:rPr>
        <w:t xml:space="preserve">the investor’s obligation to invest in human capacity development and ensuring skills transfer. </w:t>
      </w:r>
      <w:r w:rsidR="00311453">
        <w:rPr>
          <w:rFonts w:ascii="Arial" w:hAnsi="Arial" w:cs="Arial"/>
          <w:sz w:val="24"/>
          <w:szCs w:val="24"/>
          <w:lang w:val="en-GB"/>
        </w:rPr>
        <w:t>T</w:t>
      </w:r>
      <w:r w:rsidR="006644C6">
        <w:rPr>
          <w:rFonts w:ascii="Arial" w:hAnsi="Arial" w:cs="Arial"/>
          <w:sz w:val="24"/>
          <w:szCs w:val="24"/>
          <w:lang w:val="en-GB"/>
        </w:rPr>
        <w:t>his</w:t>
      </w:r>
      <w:r w:rsidR="00311453">
        <w:rPr>
          <w:rFonts w:ascii="Arial" w:hAnsi="Arial" w:cs="Arial"/>
          <w:sz w:val="24"/>
          <w:szCs w:val="24"/>
          <w:lang w:val="en-GB"/>
        </w:rPr>
        <w:t xml:space="preserve"> requirement</w:t>
      </w:r>
      <w:r w:rsidR="00861609" w:rsidRPr="00B4507A">
        <w:rPr>
          <w:rFonts w:ascii="Arial" w:hAnsi="Arial" w:cs="Arial"/>
          <w:sz w:val="24"/>
          <w:szCs w:val="24"/>
          <w:lang w:val="en-GB"/>
        </w:rPr>
        <w:t xml:space="preserve"> </w:t>
      </w:r>
      <w:r w:rsidR="00B4507A" w:rsidRPr="00B4507A">
        <w:rPr>
          <w:rFonts w:ascii="Arial" w:hAnsi="Arial" w:cs="Arial"/>
          <w:sz w:val="24"/>
          <w:szCs w:val="24"/>
          <w:lang w:val="en-GB"/>
        </w:rPr>
        <w:t>should be done in conjunction with the</w:t>
      </w:r>
      <w:r w:rsidR="00861609" w:rsidRPr="00B4507A">
        <w:rPr>
          <w:rFonts w:ascii="Arial" w:hAnsi="Arial" w:cs="Arial"/>
          <w:sz w:val="24"/>
          <w:szCs w:val="24"/>
          <w:lang w:val="en-GB"/>
        </w:rPr>
        <w:t xml:space="preserve"> absorption of available skill</w:t>
      </w:r>
      <w:r w:rsidR="00B4507A" w:rsidRPr="00B4507A">
        <w:rPr>
          <w:rFonts w:ascii="Arial" w:hAnsi="Arial" w:cs="Arial"/>
          <w:sz w:val="24"/>
          <w:szCs w:val="24"/>
          <w:lang w:val="en-GB"/>
        </w:rPr>
        <w:t>s</w:t>
      </w:r>
      <w:r w:rsidR="00861609" w:rsidRPr="00B4507A">
        <w:rPr>
          <w:rFonts w:ascii="Arial" w:hAnsi="Arial" w:cs="Arial"/>
          <w:sz w:val="24"/>
          <w:szCs w:val="24"/>
          <w:lang w:val="en-GB"/>
        </w:rPr>
        <w:t xml:space="preserve"> in the Namibian labour market. </w:t>
      </w:r>
    </w:p>
    <w:p w:rsidR="0026612B" w:rsidRDefault="00CB3B12" w:rsidP="006644C6">
      <w:pPr>
        <w:pStyle w:val="Body"/>
        <w:spacing w:line="360" w:lineRule="auto"/>
        <w:jc w:val="both"/>
        <w:rPr>
          <w:rFonts w:ascii="Arial" w:hAnsi="Arial" w:cs="Arial"/>
          <w:sz w:val="24"/>
          <w:szCs w:val="24"/>
          <w:u w:color="000000"/>
          <w:lang w:val="en-GB"/>
        </w:rPr>
      </w:pPr>
      <w:r>
        <w:rPr>
          <w:rFonts w:ascii="Arial" w:hAnsi="Arial" w:cs="Arial"/>
          <w:sz w:val="24"/>
          <w:szCs w:val="24"/>
          <w:u w:color="000000"/>
          <w:lang w:val="en-GB"/>
        </w:rPr>
        <w:t xml:space="preserve">In conclusion, </w:t>
      </w:r>
      <w:r w:rsidR="00311453" w:rsidRPr="00B4507A">
        <w:rPr>
          <w:rFonts w:ascii="Arial" w:hAnsi="Arial" w:cs="Arial"/>
          <w:sz w:val="24"/>
          <w:szCs w:val="24"/>
          <w:u w:color="000000"/>
          <w:lang w:val="en-GB"/>
        </w:rPr>
        <w:t xml:space="preserve">I </w:t>
      </w:r>
      <w:r>
        <w:rPr>
          <w:rFonts w:ascii="Arial" w:hAnsi="Arial" w:cs="Arial"/>
          <w:sz w:val="24"/>
          <w:szCs w:val="24"/>
          <w:u w:color="000000"/>
          <w:lang w:val="en-GB"/>
        </w:rPr>
        <w:t xml:space="preserve">would like to say that I </w:t>
      </w:r>
      <w:r w:rsidR="00311453" w:rsidRPr="00B4507A">
        <w:rPr>
          <w:rFonts w:ascii="Arial" w:hAnsi="Arial" w:cs="Arial"/>
          <w:sz w:val="24"/>
          <w:szCs w:val="24"/>
          <w:u w:color="000000"/>
          <w:lang w:val="en-GB"/>
        </w:rPr>
        <w:t xml:space="preserve">think it is important </w:t>
      </w:r>
      <w:r>
        <w:rPr>
          <w:rFonts w:ascii="Arial" w:hAnsi="Arial" w:cs="Arial"/>
          <w:sz w:val="24"/>
          <w:szCs w:val="24"/>
          <w:u w:color="000000"/>
          <w:lang w:val="en-GB"/>
        </w:rPr>
        <w:t xml:space="preserve">from a development country’s perspective </w:t>
      </w:r>
      <w:r w:rsidR="00311453" w:rsidRPr="00B4507A">
        <w:rPr>
          <w:rFonts w:ascii="Arial" w:hAnsi="Arial" w:cs="Arial"/>
          <w:sz w:val="24"/>
          <w:szCs w:val="24"/>
          <w:u w:color="000000"/>
          <w:lang w:val="en-GB"/>
        </w:rPr>
        <w:t xml:space="preserve">that </w:t>
      </w:r>
      <w:r w:rsidR="00311453" w:rsidRPr="00B4507A">
        <w:rPr>
          <w:rFonts w:ascii="Arial" w:hAnsi="Arial" w:cs="Arial"/>
          <w:sz w:val="24"/>
          <w:szCs w:val="24"/>
          <w:lang w:val="en-GB"/>
        </w:rPr>
        <w:t xml:space="preserve">investment policymaking </w:t>
      </w:r>
      <w:r>
        <w:rPr>
          <w:rFonts w:ascii="Arial" w:hAnsi="Arial" w:cs="Arial"/>
          <w:sz w:val="24"/>
          <w:szCs w:val="24"/>
          <w:lang w:val="en-GB"/>
        </w:rPr>
        <w:t>should include provision</w:t>
      </w:r>
      <w:r w:rsidR="006644C6">
        <w:rPr>
          <w:rFonts w:ascii="Arial" w:hAnsi="Arial" w:cs="Arial"/>
          <w:sz w:val="24"/>
          <w:szCs w:val="24"/>
          <w:lang w:val="en-GB"/>
        </w:rPr>
        <w:t>s</w:t>
      </w:r>
      <w:r>
        <w:rPr>
          <w:rFonts w:ascii="Arial" w:hAnsi="Arial" w:cs="Arial"/>
          <w:sz w:val="24"/>
          <w:szCs w:val="24"/>
          <w:lang w:val="en-GB"/>
        </w:rPr>
        <w:t xml:space="preserve"> that capture</w:t>
      </w:r>
      <w:r w:rsidR="00311453">
        <w:rPr>
          <w:rFonts w:ascii="Arial" w:hAnsi="Arial" w:cs="Arial"/>
          <w:sz w:val="24"/>
          <w:szCs w:val="24"/>
          <w:lang w:val="en-GB"/>
        </w:rPr>
        <w:t xml:space="preserve"> responsible investment</w:t>
      </w:r>
      <w:r>
        <w:rPr>
          <w:rFonts w:ascii="Arial" w:hAnsi="Arial" w:cs="Arial"/>
          <w:sz w:val="24"/>
          <w:szCs w:val="24"/>
          <w:lang w:val="en-GB"/>
        </w:rPr>
        <w:t xml:space="preserve">. Responsible investment should be aimed at achieving </w:t>
      </w:r>
      <w:r w:rsidR="00311453" w:rsidRPr="00B4507A">
        <w:rPr>
          <w:rFonts w:ascii="Arial" w:hAnsi="Arial" w:cs="Arial"/>
          <w:sz w:val="24"/>
          <w:szCs w:val="24"/>
          <w:lang w:val="en-GB"/>
        </w:rPr>
        <w:t>sustainable development objectives when at</w:t>
      </w:r>
      <w:r>
        <w:rPr>
          <w:rFonts w:ascii="Arial" w:hAnsi="Arial" w:cs="Arial"/>
          <w:sz w:val="24"/>
          <w:szCs w:val="24"/>
          <w:lang w:val="en-GB"/>
        </w:rPr>
        <w:t>tracting investment and include</w:t>
      </w:r>
      <w:r w:rsidR="00311453" w:rsidRPr="00B4507A">
        <w:rPr>
          <w:rFonts w:ascii="Arial" w:hAnsi="Arial" w:cs="Arial"/>
          <w:sz w:val="24"/>
          <w:szCs w:val="24"/>
          <w:lang w:val="en-GB"/>
        </w:rPr>
        <w:t xml:space="preserve"> measures that ensure FDI’s contribution towards a country’s development concerns. </w:t>
      </w:r>
      <w:r w:rsidR="000E7C47">
        <w:rPr>
          <w:rFonts w:ascii="Arial" w:hAnsi="Arial" w:cs="Arial"/>
          <w:sz w:val="24"/>
          <w:szCs w:val="24"/>
          <w:u w:color="000000"/>
          <w:lang w:val="en-GB"/>
        </w:rPr>
        <w:t xml:space="preserve">The host country in return should endeavour to ensure a </w:t>
      </w:r>
      <w:r w:rsidR="000E7C47" w:rsidRPr="000E7C47">
        <w:rPr>
          <w:rFonts w:ascii="Arial" w:hAnsi="Arial" w:cs="Arial"/>
          <w:sz w:val="24"/>
          <w:szCs w:val="24"/>
          <w:u w:color="000000"/>
          <w:lang w:val="en-GB"/>
        </w:rPr>
        <w:t>welcoming investment climate, with transparent and predictable entry conditions and procedures</w:t>
      </w:r>
      <w:r w:rsidR="000E7C47">
        <w:rPr>
          <w:rFonts w:ascii="Arial" w:hAnsi="Arial" w:cs="Arial"/>
          <w:sz w:val="24"/>
          <w:szCs w:val="24"/>
          <w:u w:color="000000"/>
          <w:lang w:val="en-GB"/>
        </w:rPr>
        <w:t xml:space="preserve">. </w:t>
      </w:r>
      <w:r w:rsidR="006644C6">
        <w:rPr>
          <w:rFonts w:ascii="Arial" w:hAnsi="Arial" w:cs="Arial"/>
          <w:sz w:val="24"/>
          <w:szCs w:val="24"/>
          <w:u w:color="000000"/>
          <w:lang w:val="en-GB"/>
        </w:rPr>
        <w:t>However,</w:t>
      </w:r>
      <w:r w:rsidR="000E7C47" w:rsidRPr="000E7C47">
        <w:rPr>
          <w:rFonts w:ascii="Arial" w:hAnsi="Arial" w:cs="Arial"/>
          <w:sz w:val="24"/>
          <w:szCs w:val="24"/>
          <w:u w:color="000000"/>
          <w:lang w:val="en-GB"/>
        </w:rPr>
        <w:t xml:space="preserve"> in  their  efforts  to  improve  the  investment  climate,  countries  should  not  compromise  </w:t>
      </w:r>
      <w:r w:rsidR="00996036">
        <w:rPr>
          <w:rFonts w:ascii="Arial" w:hAnsi="Arial" w:cs="Arial"/>
          <w:sz w:val="24"/>
          <w:szCs w:val="24"/>
          <w:u w:color="000000"/>
          <w:lang w:val="en-GB"/>
        </w:rPr>
        <w:t xml:space="preserve">on </w:t>
      </w:r>
      <w:r w:rsidR="00D51B67">
        <w:rPr>
          <w:rFonts w:ascii="Arial" w:hAnsi="Arial" w:cs="Arial"/>
          <w:sz w:val="24"/>
          <w:szCs w:val="24"/>
          <w:u w:color="000000"/>
          <w:lang w:val="en-GB"/>
        </w:rPr>
        <w:t xml:space="preserve">accomplishing their </w:t>
      </w:r>
      <w:r w:rsidR="006644C6">
        <w:rPr>
          <w:rFonts w:ascii="Arial" w:hAnsi="Arial" w:cs="Arial"/>
          <w:sz w:val="24"/>
          <w:szCs w:val="24"/>
          <w:u w:color="000000"/>
          <w:lang w:val="en-GB"/>
        </w:rPr>
        <w:t>sustainable  development  goals.</w:t>
      </w:r>
    </w:p>
    <w:p w:rsidR="006644C6" w:rsidRPr="00B4507A" w:rsidRDefault="006644C6" w:rsidP="006644C6">
      <w:pPr>
        <w:pStyle w:val="Body"/>
        <w:spacing w:line="360" w:lineRule="auto"/>
        <w:jc w:val="both"/>
        <w:rPr>
          <w:rFonts w:ascii="Arial" w:hAnsi="Arial" w:cs="Arial"/>
          <w:sz w:val="24"/>
          <w:szCs w:val="24"/>
          <w:u w:color="000000"/>
          <w:lang w:val="en-GB"/>
        </w:rPr>
      </w:pPr>
    </w:p>
    <w:p w:rsidR="008A4FE7" w:rsidRPr="00B4507A" w:rsidRDefault="00D75706" w:rsidP="00D1643A">
      <w:pPr>
        <w:pStyle w:val="Default"/>
        <w:spacing w:after="200" w:line="360" w:lineRule="auto"/>
        <w:ind w:left="720"/>
        <w:jc w:val="both"/>
        <w:rPr>
          <w:rFonts w:ascii="Arial" w:hAnsi="Arial" w:cs="Arial"/>
          <w:sz w:val="24"/>
          <w:szCs w:val="24"/>
          <w:u w:color="000000"/>
          <w:lang w:val="en-GB"/>
        </w:rPr>
      </w:pPr>
      <w:r w:rsidRPr="00B4507A">
        <w:rPr>
          <w:rFonts w:ascii="Arial" w:hAnsi="Arial" w:cs="Arial"/>
          <w:b/>
          <w:sz w:val="24"/>
          <w:szCs w:val="24"/>
          <w:u w:color="000000"/>
          <w:lang w:val="en-GB"/>
        </w:rPr>
        <w:t>I thank you</w:t>
      </w:r>
    </w:p>
    <w:sectPr w:rsidR="008A4FE7" w:rsidRPr="00B4507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CA" w:rsidRDefault="00ED7ACA">
      <w:r>
        <w:separator/>
      </w:r>
    </w:p>
  </w:endnote>
  <w:endnote w:type="continuationSeparator" w:id="0">
    <w:p w:rsidR="00ED7ACA" w:rsidRDefault="00ED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E7" w:rsidRDefault="008A4F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CA" w:rsidRDefault="00ED7ACA">
      <w:r>
        <w:separator/>
      </w:r>
    </w:p>
  </w:footnote>
  <w:footnote w:type="continuationSeparator" w:id="0">
    <w:p w:rsidR="00ED7ACA" w:rsidRDefault="00ED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E7" w:rsidRDefault="008A4F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32AF0"/>
    <w:multiLevelType w:val="hybridMultilevel"/>
    <w:tmpl w:val="0BEA732A"/>
    <w:styleLink w:val="ImportedStyle1"/>
    <w:lvl w:ilvl="0" w:tplc="6F2A41A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D88D348">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154D300">
      <w:start w:val="1"/>
      <w:numFmt w:val="lowerRoman"/>
      <w:lvlText w:val="%3."/>
      <w:lvlJc w:val="left"/>
      <w:pPr>
        <w:ind w:left="216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4AF0324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19453D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3D2D48C">
      <w:start w:val="1"/>
      <w:numFmt w:val="lowerRoman"/>
      <w:lvlText w:val="%6."/>
      <w:lvlJc w:val="left"/>
      <w:pPr>
        <w:ind w:left="432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B97EA8F8">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9122A4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198444E">
      <w:start w:val="1"/>
      <w:numFmt w:val="lowerRoman"/>
      <w:lvlText w:val="%9."/>
      <w:lvlJc w:val="left"/>
      <w:pPr>
        <w:ind w:left="648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CD6494"/>
    <w:multiLevelType w:val="hybridMultilevel"/>
    <w:tmpl w:val="0BEA732A"/>
    <w:numStyleLink w:val="ImportedStyle1"/>
  </w:abstractNum>
  <w:abstractNum w:abstractNumId="2" w15:restartNumberingAfterBreak="0">
    <w:nsid w:val="76F6045C"/>
    <w:multiLevelType w:val="hybridMultilevel"/>
    <w:tmpl w:val="0BEA732A"/>
    <w:numStyleLink w:val="ImportedStyle1"/>
  </w:abstractNum>
  <w:num w:numId="1">
    <w:abstractNumId w:val="0"/>
  </w:num>
  <w:num w:numId="2">
    <w:abstractNumId w:val="1"/>
  </w:num>
  <w:num w:numId="3">
    <w:abstractNumId w:val="2"/>
    <w:lvlOverride w:ilvl="0">
      <w:lvl w:ilvl="0" w:tplc="584A8C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CE0E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8C54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FE7B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E655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6A556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520E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AC8C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A01A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E7"/>
    <w:rsid w:val="000144EC"/>
    <w:rsid w:val="00021FD0"/>
    <w:rsid w:val="00067C03"/>
    <w:rsid w:val="000A018C"/>
    <w:rsid w:val="000E7C47"/>
    <w:rsid w:val="000F0106"/>
    <w:rsid w:val="00132F58"/>
    <w:rsid w:val="00172079"/>
    <w:rsid w:val="001C3240"/>
    <w:rsid w:val="001C365C"/>
    <w:rsid w:val="00235531"/>
    <w:rsid w:val="0026612B"/>
    <w:rsid w:val="002826BA"/>
    <w:rsid w:val="002F6068"/>
    <w:rsid w:val="00311453"/>
    <w:rsid w:val="00326294"/>
    <w:rsid w:val="00400EA2"/>
    <w:rsid w:val="004649F6"/>
    <w:rsid w:val="0047425D"/>
    <w:rsid w:val="004A7E57"/>
    <w:rsid w:val="004C6019"/>
    <w:rsid w:val="004E089A"/>
    <w:rsid w:val="00583E63"/>
    <w:rsid w:val="005C3B02"/>
    <w:rsid w:val="005F3BC8"/>
    <w:rsid w:val="0060250A"/>
    <w:rsid w:val="006644C6"/>
    <w:rsid w:val="006E230F"/>
    <w:rsid w:val="0074530C"/>
    <w:rsid w:val="0082651A"/>
    <w:rsid w:val="00861609"/>
    <w:rsid w:val="008A4FE7"/>
    <w:rsid w:val="008F66C6"/>
    <w:rsid w:val="00952D84"/>
    <w:rsid w:val="00996036"/>
    <w:rsid w:val="009E6F0F"/>
    <w:rsid w:val="009F1549"/>
    <w:rsid w:val="009F2512"/>
    <w:rsid w:val="00A374C9"/>
    <w:rsid w:val="00AB504E"/>
    <w:rsid w:val="00B4507A"/>
    <w:rsid w:val="00C0168D"/>
    <w:rsid w:val="00C4411D"/>
    <w:rsid w:val="00CA3FA9"/>
    <w:rsid w:val="00CB3B12"/>
    <w:rsid w:val="00CC60E4"/>
    <w:rsid w:val="00D1227C"/>
    <w:rsid w:val="00D1643A"/>
    <w:rsid w:val="00D256C5"/>
    <w:rsid w:val="00D51B67"/>
    <w:rsid w:val="00D75706"/>
    <w:rsid w:val="00D81CB6"/>
    <w:rsid w:val="00ED7ACA"/>
    <w:rsid w:val="00F33EDF"/>
    <w:rsid w:val="00FE75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CAAD"/>
  <w15:docId w15:val="{E4B80239-2355-4046-BE7F-9BA9B74F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paragraph" w:styleId="BalloonText">
    <w:name w:val="Balloon Text"/>
    <w:basedOn w:val="Normal"/>
    <w:link w:val="BalloonTextChar"/>
    <w:semiHidden/>
    <w:rsid w:val="0082651A"/>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semiHidden/>
    <w:rsid w:val="0082651A"/>
    <w:rPr>
      <w:rFonts w:ascii="Tahoma" w:eastAsia="Times New Roman" w:hAnsi="Tahoma" w:cs="Tahoma"/>
      <w:sz w:val="16"/>
      <w:szCs w:val="16"/>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14F974F-BB89-462E-AC39-1AC6F44A68C0}">
  <ds:schemaRefs>
    <ds:schemaRef ds:uri="http://schemas.openxmlformats.org/officeDocument/2006/bibliography"/>
  </ds:schemaRefs>
</ds:datastoreItem>
</file>

<file path=customXml/itemProps2.xml><?xml version="1.0" encoding="utf-8"?>
<ds:datastoreItem xmlns:ds="http://schemas.openxmlformats.org/officeDocument/2006/customXml" ds:itemID="{A771E654-69AC-419C-9BFC-F801E8C57653}"/>
</file>

<file path=customXml/itemProps3.xml><?xml version="1.0" encoding="utf-8"?>
<ds:datastoreItem xmlns:ds="http://schemas.openxmlformats.org/officeDocument/2006/customXml" ds:itemID="{2E3AF009-F72F-456B-9625-33FC1A5C8572}"/>
</file>

<file path=customXml/itemProps4.xml><?xml version="1.0" encoding="utf-8"?>
<ds:datastoreItem xmlns:ds="http://schemas.openxmlformats.org/officeDocument/2006/customXml" ds:itemID="{75CB564A-9E10-497F-A7E9-BEB11B5CA9D3}"/>
</file>

<file path=docProps/app.xml><?xml version="1.0" encoding="utf-8"?>
<Properties xmlns="http://schemas.openxmlformats.org/officeDocument/2006/extended-properties" xmlns:vt="http://schemas.openxmlformats.org/officeDocument/2006/docPropsVTypes">
  <Template>Normal</Template>
  <TotalTime>1749</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Pretorius</dc:creator>
  <cp:lastModifiedBy>Angela Pretorius</cp:lastModifiedBy>
  <cp:revision>13</cp:revision>
  <dcterms:created xsi:type="dcterms:W3CDTF">2019-10-23T08:24:00Z</dcterms:created>
  <dcterms:modified xsi:type="dcterms:W3CDTF">2021-07-14T07:47:00Z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