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A1D5" w14:textId="53C88944" w:rsidR="00283807" w:rsidRPr="00397115" w:rsidRDefault="00283807" w:rsidP="00A171E5">
      <w:pPr>
        <w:spacing w:line="240" w:lineRule="auto"/>
        <w:jc w:val="center"/>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Submission t</w:t>
      </w:r>
      <w:r w:rsidR="00C57675" w:rsidRPr="00397115">
        <w:rPr>
          <w:rFonts w:ascii="Arial" w:eastAsia="Times New Roman" w:hAnsi="Arial" w:cs="Arial"/>
          <w:b/>
          <w:bCs/>
          <w:color w:val="2F5496" w:themeColor="accent1" w:themeShade="BF"/>
          <w:szCs w:val="24"/>
          <w:lang w:val="en-IN" w:eastAsia="en-IN"/>
        </w:rPr>
        <w:t xml:space="preserve">o the UN Working Group on Business and Human Rights </w:t>
      </w:r>
      <w:r w:rsidR="00A171E5" w:rsidRPr="00397115">
        <w:rPr>
          <w:rFonts w:ascii="Arial" w:eastAsia="Times New Roman" w:hAnsi="Arial" w:cs="Arial"/>
          <w:b/>
          <w:bCs/>
          <w:color w:val="2F5496" w:themeColor="accent1" w:themeShade="BF"/>
          <w:szCs w:val="24"/>
          <w:lang w:val="en-IN" w:eastAsia="en-IN"/>
        </w:rPr>
        <w:t xml:space="preserve">for its report on Investors, </w:t>
      </w:r>
      <w:r w:rsidR="00AE6E31" w:rsidRPr="00397115">
        <w:rPr>
          <w:rFonts w:ascii="Arial" w:eastAsia="Times New Roman" w:hAnsi="Arial" w:cs="Arial"/>
          <w:b/>
          <w:bCs/>
          <w:color w:val="2F5496" w:themeColor="accent1" w:themeShade="BF"/>
          <w:szCs w:val="24"/>
          <w:lang w:val="en-IN" w:eastAsia="en-IN"/>
        </w:rPr>
        <w:t>Environmental, Social and Governance</w:t>
      </w:r>
      <w:r w:rsidR="00A171E5" w:rsidRPr="00397115">
        <w:rPr>
          <w:rFonts w:ascii="Arial" w:eastAsia="Times New Roman" w:hAnsi="Arial" w:cs="Arial"/>
          <w:b/>
          <w:bCs/>
          <w:color w:val="2F5496" w:themeColor="accent1" w:themeShade="BF"/>
          <w:szCs w:val="24"/>
          <w:lang w:val="en-IN" w:eastAsia="en-IN"/>
        </w:rPr>
        <w:t xml:space="preserve"> and Human Rights</w:t>
      </w:r>
    </w:p>
    <w:p w14:paraId="076B0499" w14:textId="77777777" w:rsidR="00B54AD5" w:rsidRPr="00397115" w:rsidRDefault="00B54AD5" w:rsidP="00A171E5">
      <w:pPr>
        <w:spacing w:line="240" w:lineRule="auto"/>
        <w:jc w:val="center"/>
        <w:rPr>
          <w:rFonts w:ascii="Arial" w:eastAsia="Times New Roman" w:hAnsi="Arial" w:cs="Arial"/>
          <w:b/>
          <w:bCs/>
          <w:color w:val="2F5496" w:themeColor="accent1" w:themeShade="BF"/>
          <w:szCs w:val="24"/>
          <w:lang w:val="en-IN" w:eastAsia="en-IN"/>
        </w:rPr>
      </w:pPr>
    </w:p>
    <w:p w14:paraId="663EAEC0" w14:textId="4532355A" w:rsidR="00A171E5" w:rsidRPr="00397115" w:rsidRDefault="00A171E5" w:rsidP="00A171E5">
      <w:pPr>
        <w:spacing w:line="240" w:lineRule="auto"/>
        <w:jc w:val="center"/>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South Centre</w:t>
      </w:r>
    </w:p>
    <w:p w14:paraId="111D3AEB" w14:textId="77777777" w:rsidR="00B54AD5" w:rsidRPr="00397115" w:rsidRDefault="00B54AD5" w:rsidP="00A171E5">
      <w:pPr>
        <w:spacing w:line="240" w:lineRule="auto"/>
        <w:jc w:val="center"/>
        <w:rPr>
          <w:rFonts w:ascii="Arial" w:eastAsia="Times New Roman" w:hAnsi="Arial" w:cs="Arial"/>
          <w:b/>
          <w:bCs/>
          <w:color w:val="2F5496" w:themeColor="accent1" w:themeShade="BF"/>
          <w:szCs w:val="24"/>
          <w:lang w:val="en-IN" w:eastAsia="en-IN"/>
        </w:rPr>
      </w:pPr>
    </w:p>
    <w:p w14:paraId="4C063FD2" w14:textId="6F146F8D" w:rsidR="00A171E5" w:rsidRPr="00397115" w:rsidRDefault="00ED55B8" w:rsidP="00A171E5">
      <w:pPr>
        <w:spacing w:line="240" w:lineRule="auto"/>
        <w:jc w:val="center"/>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September 2023</w:t>
      </w:r>
    </w:p>
    <w:p w14:paraId="63C50F1A" w14:textId="0F335B5F" w:rsidR="00B54AD5" w:rsidRPr="00397115" w:rsidRDefault="00B54AD5" w:rsidP="00A171E5">
      <w:pPr>
        <w:spacing w:line="240" w:lineRule="auto"/>
        <w:jc w:val="center"/>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____________________________________________________________________</w:t>
      </w:r>
    </w:p>
    <w:p w14:paraId="69E16B35" w14:textId="77777777" w:rsidR="00397115" w:rsidRDefault="00397115" w:rsidP="00622DD2">
      <w:pPr>
        <w:spacing w:line="240" w:lineRule="auto"/>
        <w:jc w:val="both"/>
        <w:rPr>
          <w:rFonts w:ascii="Arial" w:eastAsia="Times New Roman" w:hAnsi="Arial" w:cs="Arial"/>
          <w:szCs w:val="24"/>
          <w:lang w:val="en-IN" w:eastAsia="en-IN"/>
        </w:rPr>
      </w:pPr>
    </w:p>
    <w:p w14:paraId="4D0DA2BD" w14:textId="6AC6F5A3" w:rsidR="00622DD2" w:rsidRPr="00397115" w:rsidRDefault="00622DD2" w:rsidP="00622DD2">
      <w:pPr>
        <w:spacing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The increase in adoption of Environmental, Social and Governance</w:t>
      </w:r>
      <w:r w:rsidR="003E7453" w:rsidRPr="00397115">
        <w:rPr>
          <w:rFonts w:ascii="Arial" w:eastAsia="Times New Roman" w:hAnsi="Arial" w:cs="Arial"/>
          <w:szCs w:val="24"/>
          <w:lang w:val="en-IN" w:eastAsia="en-IN"/>
        </w:rPr>
        <w:t xml:space="preserve"> (ESG)</w:t>
      </w:r>
      <w:r w:rsidRPr="00397115">
        <w:rPr>
          <w:rFonts w:ascii="Arial" w:eastAsia="Times New Roman" w:hAnsi="Arial" w:cs="Arial"/>
          <w:szCs w:val="24"/>
          <w:lang w:val="en-IN" w:eastAsia="en-IN"/>
        </w:rPr>
        <w:t xml:space="preserve"> reporting by corporations has been driven in part by the growing ‘business case’ for human rights, which emphasises how respecting and promoting human rights in the business operations and throughout the supply chains can </w:t>
      </w:r>
      <w:r w:rsidR="00A11954" w:rsidRPr="00397115">
        <w:rPr>
          <w:rFonts w:ascii="Arial" w:eastAsia="Times New Roman" w:hAnsi="Arial" w:cs="Arial"/>
          <w:szCs w:val="24"/>
          <w:lang w:val="en-IN" w:eastAsia="en-IN"/>
        </w:rPr>
        <w:t xml:space="preserve">promote the respect for human rights and </w:t>
      </w:r>
      <w:r w:rsidRPr="00397115">
        <w:rPr>
          <w:rFonts w:ascii="Arial" w:eastAsia="Times New Roman" w:hAnsi="Arial" w:cs="Arial"/>
          <w:szCs w:val="24"/>
          <w:lang w:val="en-IN" w:eastAsia="en-IN"/>
        </w:rPr>
        <w:t>also benefi</w:t>
      </w:r>
      <w:r w:rsidR="00A11954" w:rsidRPr="00397115">
        <w:rPr>
          <w:rFonts w:ascii="Arial" w:eastAsia="Times New Roman" w:hAnsi="Arial" w:cs="Arial"/>
          <w:szCs w:val="24"/>
          <w:lang w:val="en-IN" w:eastAsia="en-IN"/>
        </w:rPr>
        <w:t>t</w:t>
      </w:r>
      <w:r w:rsidRPr="00397115">
        <w:rPr>
          <w:rFonts w:ascii="Arial" w:eastAsia="Times New Roman" w:hAnsi="Arial" w:cs="Arial"/>
          <w:szCs w:val="24"/>
          <w:lang w:val="en-IN" w:eastAsia="en-IN"/>
        </w:rPr>
        <w:t xml:space="preserve"> the </w:t>
      </w:r>
      <w:r w:rsidR="00AE6E31" w:rsidRPr="00397115">
        <w:rPr>
          <w:rFonts w:ascii="Arial" w:eastAsia="Times New Roman" w:hAnsi="Arial" w:cs="Arial"/>
          <w:szCs w:val="24"/>
          <w:lang w:val="en-IN" w:eastAsia="en-IN"/>
        </w:rPr>
        <w:t xml:space="preserve">reporting </w:t>
      </w:r>
      <w:r w:rsidRPr="00397115">
        <w:rPr>
          <w:rFonts w:ascii="Arial" w:eastAsia="Times New Roman" w:hAnsi="Arial" w:cs="Arial"/>
          <w:szCs w:val="24"/>
          <w:lang w:val="en-IN" w:eastAsia="en-IN"/>
        </w:rPr>
        <w:t xml:space="preserve">corporations. Nonetheless, there are still </w:t>
      </w:r>
      <w:r w:rsidR="003E7453" w:rsidRPr="00397115">
        <w:rPr>
          <w:rFonts w:ascii="Arial" w:eastAsia="Times New Roman" w:hAnsi="Arial" w:cs="Arial"/>
          <w:szCs w:val="24"/>
          <w:lang w:val="en-IN" w:eastAsia="en-IN"/>
        </w:rPr>
        <w:t xml:space="preserve">many </w:t>
      </w:r>
      <w:r w:rsidR="001F62A4" w:rsidRPr="00397115">
        <w:rPr>
          <w:rFonts w:ascii="Arial" w:eastAsia="Times New Roman" w:hAnsi="Arial" w:cs="Arial"/>
          <w:szCs w:val="24"/>
          <w:lang w:val="en-IN" w:eastAsia="en-IN"/>
        </w:rPr>
        <w:t xml:space="preserve">steps </w:t>
      </w:r>
      <w:r w:rsidR="003E7453" w:rsidRPr="00397115">
        <w:rPr>
          <w:rFonts w:ascii="Arial" w:eastAsia="Times New Roman" w:hAnsi="Arial" w:cs="Arial"/>
          <w:szCs w:val="24"/>
          <w:lang w:val="en-IN" w:eastAsia="en-IN"/>
        </w:rPr>
        <w:t xml:space="preserve">that investors and companies </w:t>
      </w:r>
      <w:r w:rsidR="001F62A4" w:rsidRPr="00397115">
        <w:rPr>
          <w:rFonts w:ascii="Arial" w:eastAsia="Times New Roman" w:hAnsi="Arial" w:cs="Arial"/>
          <w:szCs w:val="24"/>
          <w:lang w:val="en-IN" w:eastAsia="en-IN"/>
        </w:rPr>
        <w:t>need to take</w:t>
      </w:r>
      <w:r w:rsidR="003E7453" w:rsidRPr="00397115">
        <w:rPr>
          <w:rFonts w:ascii="Arial" w:eastAsia="Times New Roman" w:hAnsi="Arial" w:cs="Arial"/>
          <w:szCs w:val="24"/>
          <w:lang w:val="en-IN" w:eastAsia="en-IN"/>
        </w:rPr>
        <w:t xml:space="preserve"> in order to align </w:t>
      </w:r>
      <w:r w:rsidR="001F62A4" w:rsidRPr="00397115">
        <w:rPr>
          <w:rFonts w:ascii="Arial" w:eastAsia="Times New Roman" w:hAnsi="Arial" w:cs="Arial"/>
          <w:szCs w:val="24"/>
          <w:lang w:val="en-IN" w:eastAsia="en-IN"/>
        </w:rPr>
        <w:t xml:space="preserve">their business practices </w:t>
      </w:r>
      <w:r w:rsidR="003E7453" w:rsidRPr="00397115">
        <w:rPr>
          <w:rFonts w:ascii="Arial" w:eastAsia="Times New Roman" w:hAnsi="Arial" w:cs="Arial"/>
          <w:szCs w:val="24"/>
          <w:lang w:val="en-IN" w:eastAsia="en-IN"/>
        </w:rPr>
        <w:t>to the ‘social’ element of ESG</w:t>
      </w:r>
      <w:r w:rsidR="001F62A4" w:rsidRPr="00397115">
        <w:rPr>
          <w:rFonts w:ascii="Arial" w:eastAsia="Times New Roman" w:hAnsi="Arial" w:cs="Arial"/>
          <w:szCs w:val="24"/>
          <w:lang w:val="en-IN" w:eastAsia="en-IN"/>
        </w:rPr>
        <w:t>.</w:t>
      </w:r>
      <w:r w:rsidR="003E7453" w:rsidRPr="00397115">
        <w:rPr>
          <w:rFonts w:ascii="Arial" w:eastAsia="Times New Roman" w:hAnsi="Arial" w:cs="Arial"/>
          <w:szCs w:val="24"/>
          <w:lang w:val="en-IN" w:eastAsia="en-IN"/>
        </w:rPr>
        <w:t xml:space="preserve"> </w:t>
      </w:r>
      <w:r w:rsidR="001F62A4" w:rsidRPr="00397115">
        <w:rPr>
          <w:rFonts w:ascii="Arial" w:eastAsia="Times New Roman" w:hAnsi="Arial" w:cs="Arial"/>
          <w:szCs w:val="24"/>
          <w:lang w:val="en-IN" w:eastAsia="en-IN"/>
        </w:rPr>
        <w:t>I</w:t>
      </w:r>
      <w:r w:rsidR="003E7453" w:rsidRPr="00397115">
        <w:rPr>
          <w:rFonts w:ascii="Arial" w:eastAsia="Times New Roman" w:hAnsi="Arial" w:cs="Arial"/>
          <w:szCs w:val="24"/>
          <w:lang w:val="en-IN" w:eastAsia="en-IN"/>
        </w:rPr>
        <w:t>n particular</w:t>
      </w:r>
      <w:r w:rsidR="001F62A4" w:rsidRPr="00397115">
        <w:rPr>
          <w:rFonts w:ascii="Arial" w:eastAsia="Times New Roman" w:hAnsi="Arial" w:cs="Arial"/>
          <w:szCs w:val="24"/>
          <w:lang w:val="en-IN" w:eastAsia="en-IN"/>
        </w:rPr>
        <w:t>,</w:t>
      </w:r>
      <w:r w:rsidR="003E7453" w:rsidRPr="00397115">
        <w:rPr>
          <w:rFonts w:ascii="Arial" w:eastAsia="Times New Roman" w:hAnsi="Arial" w:cs="Arial"/>
          <w:szCs w:val="24"/>
          <w:lang w:val="en-IN" w:eastAsia="en-IN"/>
        </w:rPr>
        <w:t xml:space="preserve"> the </w:t>
      </w:r>
      <w:r w:rsidR="0054383D" w:rsidRPr="00397115">
        <w:rPr>
          <w:rFonts w:ascii="Arial" w:eastAsia="Times New Roman" w:hAnsi="Arial" w:cs="Arial"/>
          <w:szCs w:val="24"/>
          <w:lang w:val="en-IN" w:eastAsia="en-IN"/>
        </w:rPr>
        <w:t xml:space="preserve">existence of different </w:t>
      </w:r>
      <w:r w:rsidR="003E7453" w:rsidRPr="00397115">
        <w:rPr>
          <w:rFonts w:ascii="Arial" w:eastAsia="Times New Roman" w:hAnsi="Arial" w:cs="Arial"/>
          <w:szCs w:val="24"/>
          <w:lang w:val="en-IN" w:eastAsia="en-IN"/>
        </w:rPr>
        <w:t xml:space="preserve">reporting criteria used </w:t>
      </w:r>
      <w:r w:rsidR="007E1F64" w:rsidRPr="00397115">
        <w:rPr>
          <w:rFonts w:ascii="Arial" w:eastAsia="Times New Roman" w:hAnsi="Arial" w:cs="Arial"/>
          <w:szCs w:val="24"/>
          <w:lang w:val="en-IN" w:eastAsia="en-IN"/>
        </w:rPr>
        <w:t>by</w:t>
      </w:r>
      <w:r w:rsidR="003E7453" w:rsidRPr="00397115">
        <w:rPr>
          <w:rFonts w:ascii="Arial" w:eastAsia="Times New Roman" w:hAnsi="Arial" w:cs="Arial"/>
          <w:szCs w:val="24"/>
          <w:lang w:val="en-IN" w:eastAsia="en-IN"/>
        </w:rPr>
        <w:t xml:space="preserve"> ESG</w:t>
      </w:r>
      <w:r w:rsidR="007E1F64" w:rsidRPr="00397115">
        <w:rPr>
          <w:rFonts w:ascii="Arial" w:eastAsia="Times New Roman" w:hAnsi="Arial" w:cs="Arial"/>
          <w:szCs w:val="24"/>
          <w:lang w:val="en-IN" w:eastAsia="en-IN"/>
        </w:rPr>
        <w:t xml:space="preserve"> rating firms</w:t>
      </w:r>
      <w:r w:rsidR="0026081F" w:rsidRPr="00397115">
        <w:rPr>
          <w:rFonts w:ascii="Arial" w:eastAsia="Times New Roman" w:hAnsi="Arial" w:cs="Arial"/>
          <w:szCs w:val="24"/>
          <w:lang w:val="en-IN" w:eastAsia="en-IN"/>
        </w:rPr>
        <w:t>,</w:t>
      </w:r>
      <w:r w:rsidR="003E7453" w:rsidRPr="00397115">
        <w:rPr>
          <w:rFonts w:ascii="Arial" w:eastAsia="Times New Roman" w:hAnsi="Arial" w:cs="Arial"/>
          <w:szCs w:val="24"/>
          <w:lang w:val="en-IN" w:eastAsia="en-IN"/>
        </w:rPr>
        <w:t xml:space="preserve"> respond</w:t>
      </w:r>
      <w:r w:rsidR="0026081F" w:rsidRPr="00397115">
        <w:rPr>
          <w:rFonts w:ascii="Arial" w:eastAsia="Times New Roman" w:hAnsi="Arial" w:cs="Arial"/>
          <w:szCs w:val="24"/>
          <w:lang w:val="en-IN" w:eastAsia="en-IN"/>
        </w:rPr>
        <w:t>ing</w:t>
      </w:r>
      <w:r w:rsidR="003E7453" w:rsidRPr="00397115">
        <w:rPr>
          <w:rFonts w:ascii="Arial" w:eastAsia="Times New Roman" w:hAnsi="Arial" w:cs="Arial"/>
          <w:szCs w:val="24"/>
          <w:lang w:val="en-IN" w:eastAsia="en-IN"/>
        </w:rPr>
        <w:t xml:space="preserve"> </w:t>
      </w:r>
      <w:r w:rsidR="007E1F64" w:rsidRPr="00397115">
        <w:rPr>
          <w:rFonts w:ascii="Arial" w:eastAsia="Times New Roman" w:hAnsi="Arial" w:cs="Arial"/>
          <w:szCs w:val="24"/>
          <w:lang w:val="en-IN" w:eastAsia="en-IN"/>
        </w:rPr>
        <w:t>to their own algorithms, metrics and definitions</w:t>
      </w:r>
      <w:r w:rsidR="0054383D" w:rsidRPr="00397115">
        <w:rPr>
          <w:rFonts w:ascii="Arial" w:eastAsia="Times New Roman" w:hAnsi="Arial" w:cs="Arial"/>
          <w:szCs w:val="24"/>
          <w:lang w:val="en-IN" w:eastAsia="en-IN"/>
        </w:rPr>
        <w:t xml:space="preserve"> results in there being no common understanding of what is covered under ESG.</w:t>
      </w:r>
      <w:r w:rsidR="007E1F64" w:rsidRPr="00397115">
        <w:rPr>
          <w:rFonts w:ascii="Arial" w:eastAsia="Times New Roman" w:hAnsi="Arial" w:cs="Arial"/>
          <w:szCs w:val="24"/>
          <w:lang w:val="en-IN" w:eastAsia="en-IN"/>
        </w:rPr>
        <w:t xml:space="preserve"> </w:t>
      </w:r>
      <w:r w:rsidR="00BC76A0" w:rsidRPr="00397115">
        <w:rPr>
          <w:rFonts w:ascii="Arial" w:eastAsia="Times New Roman" w:hAnsi="Arial" w:cs="Arial"/>
          <w:szCs w:val="24"/>
          <w:lang w:val="en-IN" w:eastAsia="en-IN"/>
        </w:rPr>
        <w:t xml:space="preserve">Further, such criteria frequently seek to </w:t>
      </w:r>
      <w:r w:rsidR="007E1F64" w:rsidRPr="00397115">
        <w:rPr>
          <w:rFonts w:ascii="Arial" w:eastAsia="Times New Roman" w:hAnsi="Arial" w:cs="Arial"/>
          <w:szCs w:val="24"/>
          <w:lang w:val="en-IN" w:eastAsia="en-IN"/>
        </w:rPr>
        <w:t xml:space="preserve">identify the risks that companies and investors </w:t>
      </w:r>
      <w:r w:rsidR="00BC76A0" w:rsidRPr="00397115">
        <w:rPr>
          <w:rFonts w:ascii="Arial" w:eastAsia="Times New Roman" w:hAnsi="Arial" w:cs="Arial"/>
          <w:szCs w:val="24"/>
          <w:lang w:val="en-IN" w:eastAsia="en-IN"/>
        </w:rPr>
        <w:t xml:space="preserve">might </w:t>
      </w:r>
      <w:r w:rsidR="007E1F64" w:rsidRPr="00397115">
        <w:rPr>
          <w:rFonts w:ascii="Arial" w:eastAsia="Times New Roman" w:hAnsi="Arial" w:cs="Arial"/>
          <w:szCs w:val="24"/>
          <w:lang w:val="en-IN" w:eastAsia="en-IN"/>
        </w:rPr>
        <w:t>face</w:t>
      </w:r>
      <w:r w:rsidR="00B76C19" w:rsidRPr="00397115">
        <w:rPr>
          <w:rFonts w:ascii="Arial" w:eastAsia="Times New Roman" w:hAnsi="Arial" w:cs="Arial"/>
          <w:szCs w:val="24"/>
          <w:lang w:val="en-IN" w:eastAsia="en-IN"/>
        </w:rPr>
        <w:t xml:space="preserve"> from ESG issues</w:t>
      </w:r>
      <w:r w:rsidR="007E1F64" w:rsidRPr="00397115">
        <w:rPr>
          <w:rFonts w:ascii="Arial" w:eastAsia="Times New Roman" w:hAnsi="Arial" w:cs="Arial"/>
          <w:szCs w:val="24"/>
          <w:lang w:val="en-IN" w:eastAsia="en-IN"/>
        </w:rPr>
        <w:t xml:space="preserve">, rather that </w:t>
      </w:r>
      <w:r w:rsidR="00B76C19" w:rsidRPr="00397115">
        <w:rPr>
          <w:rFonts w:ascii="Arial" w:eastAsia="Times New Roman" w:hAnsi="Arial" w:cs="Arial"/>
          <w:szCs w:val="24"/>
          <w:lang w:val="en-IN" w:eastAsia="en-IN"/>
        </w:rPr>
        <w:t xml:space="preserve">assessing </w:t>
      </w:r>
      <w:r w:rsidR="007E1F64" w:rsidRPr="00397115">
        <w:rPr>
          <w:rFonts w:ascii="Arial" w:eastAsia="Times New Roman" w:hAnsi="Arial" w:cs="Arial"/>
          <w:szCs w:val="24"/>
          <w:lang w:val="en-IN" w:eastAsia="en-IN"/>
        </w:rPr>
        <w:t xml:space="preserve">the risk </w:t>
      </w:r>
      <w:r w:rsidR="00B76C19" w:rsidRPr="00397115">
        <w:rPr>
          <w:rFonts w:ascii="Arial" w:eastAsia="Times New Roman" w:hAnsi="Arial" w:cs="Arial"/>
          <w:szCs w:val="24"/>
          <w:lang w:val="en-IN" w:eastAsia="en-IN"/>
        </w:rPr>
        <w:t xml:space="preserve">and impacts of </w:t>
      </w:r>
      <w:r w:rsidR="007E1F64" w:rsidRPr="00397115">
        <w:rPr>
          <w:rFonts w:ascii="Arial" w:eastAsia="Times New Roman" w:hAnsi="Arial" w:cs="Arial"/>
          <w:szCs w:val="24"/>
          <w:lang w:val="en-IN" w:eastAsia="en-IN"/>
        </w:rPr>
        <w:t>the company</w:t>
      </w:r>
      <w:r w:rsidR="00AE6E31" w:rsidRPr="00397115">
        <w:rPr>
          <w:rFonts w:ascii="Arial" w:eastAsia="Times New Roman" w:hAnsi="Arial" w:cs="Arial"/>
          <w:szCs w:val="24"/>
          <w:lang w:val="en-IN" w:eastAsia="en-IN"/>
        </w:rPr>
        <w:t>’s operations</w:t>
      </w:r>
      <w:r w:rsidR="007E1F64" w:rsidRPr="00397115">
        <w:rPr>
          <w:rFonts w:ascii="Arial" w:eastAsia="Times New Roman" w:hAnsi="Arial" w:cs="Arial"/>
          <w:szCs w:val="24"/>
          <w:lang w:val="en-IN" w:eastAsia="en-IN"/>
        </w:rPr>
        <w:t xml:space="preserve"> </w:t>
      </w:r>
      <w:r w:rsidR="008D2A70" w:rsidRPr="00397115">
        <w:rPr>
          <w:rFonts w:ascii="Arial" w:eastAsia="Times New Roman" w:hAnsi="Arial" w:cs="Arial"/>
          <w:szCs w:val="24"/>
          <w:lang w:val="en-IN" w:eastAsia="en-IN"/>
        </w:rPr>
        <w:t>on the environment, society or human rights</w:t>
      </w:r>
      <w:r w:rsidR="007E1F64" w:rsidRPr="00397115">
        <w:rPr>
          <w:rFonts w:ascii="Arial" w:eastAsia="Times New Roman" w:hAnsi="Arial" w:cs="Arial"/>
          <w:szCs w:val="24"/>
          <w:lang w:val="en-IN" w:eastAsia="en-IN"/>
        </w:rPr>
        <w:t>.</w:t>
      </w:r>
    </w:p>
    <w:p w14:paraId="257D8EAE" w14:textId="4DD27359" w:rsidR="00622DD2" w:rsidRPr="00397115" w:rsidRDefault="00B54AD5" w:rsidP="00366352">
      <w:pPr>
        <w:spacing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Several jurisdictions have adopted </w:t>
      </w:r>
      <w:r w:rsidR="00104D70" w:rsidRPr="00397115">
        <w:rPr>
          <w:rFonts w:ascii="Arial" w:eastAsia="Times New Roman" w:hAnsi="Arial" w:cs="Arial"/>
          <w:szCs w:val="24"/>
          <w:lang w:val="en-IN" w:eastAsia="en-IN"/>
        </w:rPr>
        <w:t xml:space="preserve">non-financial </w:t>
      </w:r>
      <w:r w:rsidRPr="00397115">
        <w:rPr>
          <w:rFonts w:ascii="Arial" w:eastAsia="Times New Roman" w:hAnsi="Arial" w:cs="Arial"/>
          <w:szCs w:val="24"/>
          <w:lang w:val="en-IN" w:eastAsia="en-IN"/>
        </w:rPr>
        <w:t xml:space="preserve">reporting standards that require companies to </w:t>
      </w:r>
      <w:r w:rsidR="00622DD2" w:rsidRPr="00397115">
        <w:rPr>
          <w:rFonts w:ascii="Arial" w:eastAsia="Times New Roman" w:hAnsi="Arial" w:cs="Arial"/>
          <w:szCs w:val="24"/>
          <w:lang w:val="en-IN" w:eastAsia="en-IN"/>
        </w:rPr>
        <w:t>account for how they</w:t>
      </w:r>
      <w:r w:rsidRPr="00397115">
        <w:rPr>
          <w:rFonts w:ascii="Arial" w:eastAsia="Times New Roman" w:hAnsi="Arial" w:cs="Arial"/>
          <w:szCs w:val="24"/>
          <w:lang w:val="en-IN" w:eastAsia="en-IN"/>
        </w:rPr>
        <w:t xml:space="preserve"> respond to environmental and social </w:t>
      </w:r>
      <w:r w:rsidR="00036C6A" w:rsidRPr="00397115">
        <w:rPr>
          <w:rFonts w:ascii="Arial" w:eastAsia="Times New Roman" w:hAnsi="Arial" w:cs="Arial"/>
          <w:szCs w:val="24"/>
          <w:lang w:val="en-IN" w:eastAsia="en-IN"/>
        </w:rPr>
        <w:t>issues</w:t>
      </w:r>
      <w:r w:rsidRPr="00397115">
        <w:rPr>
          <w:rFonts w:ascii="Arial" w:eastAsia="Times New Roman" w:hAnsi="Arial" w:cs="Arial"/>
          <w:szCs w:val="24"/>
          <w:lang w:val="en-IN" w:eastAsia="en-IN"/>
        </w:rPr>
        <w:t xml:space="preserve">. </w:t>
      </w:r>
      <w:r w:rsidR="003F557D" w:rsidRPr="00397115">
        <w:rPr>
          <w:rFonts w:ascii="Arial" w:eastAsia="Times New Roman" w:hAnsi="Arial" w:cs="Arial"/>
          <w:szCs w:val="24"/>
          <w:lang w:val="en-IN" w:eastAsia="en-IN"/>
        </w:rPr>
        <w:t xml:space="preserve">These </w:t>
      </w:r>
      <w:r w:rsidRPr="00397115">
        <w:rPr>
          <w:rFonts w:ascii="Arial" w:eastAsia="Times New Roman" w:hAnsi="Arial" w:cs="Arial"/>
          <w:szCs w:val="24"/>
          <w:lang w:val="en-IN" w:eastAsia="en-IN"/>
        </w:rPr>
        <w:t>efforts come at a time where it is well</w:t>
      </w:r>
      <w:r w:rsidR="00711025" w:rsidRPr="00397115">
        <w:rPr>
          <w:rFonts w:ascii="Arial" w:eastAsia="Times New Roman" w:hAnsi="Arial" w:cs="Arial"/>
          <w:szCs w:val="24"/>
          <w:lang w:val="en-IN" w:eastAsia="en-IN"/>
        </w:rPr>
        <w:t xml:space="preserve"> recognized that ensuring business respect for human rights and interests of all stakeholders is </w:t>
      </w:r>
      <w:r w:rsidRPr="00397115">
        <w:rPr>
          <w:rFonts w:ascii="Arial" w:eastAsia="Times New Roman" w:hAnsi="Arial" w:cs="Arial"/>
          <w:szCs w:val="24"/>
          <w:lang w:val="en-IN" w:eastAsia="en-IN"/>
        </w:rPr>
        <w:t xml:space="preserve">an essential element for responsible business conduct. </w:t>
      </w:r>
    </w:p>
    <w:p w14:paraId="59559D01" w14:textId="6DCA4C9F" w:rsidR="00400310" w:rsidRDefault="003F557D" w:rsidP="00366352">
      <w:pPr>
        <w:spacing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At the same time</w:t>
      </w:r>
      <w:r w:rsidR="00B54AD5" w:rsidRPr="00397115">
        <w:rPr>
          <w:rFonts w:ascii="Arial" w:eastAsia="Times New Roman" w:hAnsi="Arial" w:cs="Arial"/>
          <w:szCs w:val="24"/>
          <w:lang w:val="en-IN" w:eastAsia="en-IN"/>
        </w:rPr>
        <w:t xml:space="preserve">, civil society organisations have increased </w:t>
      </w:r>
      <w:r w:rsidR="00CD501C" w:rsidRPr="00397115">
        <w:rPr>
          <w:rFonts w:ascii="Arial" w:eastAsia="Times New Roman" w:hAnsi="Arial" w:cs="Arial"/>
          <w:szCs w:val="24"/>
          <w:lang w:val="en-IN" w:eastAsia="en-IN"/>
        </w:rPr>
        <w:t xml:space="preserve">their focus on </w:t>
      </w:r>
      <w:r w:rsidR="00622DD2" w:rsidRPr="00397115">
        <w:rPr>
          <w:rFonts w:ascii="Arial" w:eastAsia="Times New Roman" w:hAnsi="Arial" w:cs="Arial"/>
          <w:szCs w:val="24"/>
          <w:lang w:val="en-IN" w:eastAsia="en-IN"/>
        </w:rPr>
        <w:t>corporate conduct that harms human rights</w:t>
      </w:r>
      <w:r w:rsidR="00CD501C" w:rsidRPr="00397115">
        <w:rPr>
          <w:rFonts w:ascii="Arial" w:eastAsia="Times New Roman" w:hAnsi="Arial" w:cs="Arial"/>
          <w:szCs w:val="24"/>
          <w:lang w:val="en-IN" w:eastAsia="en-IN"/>
        </w:rPr>
        <w:t xml:space="preserve">, including through </w:t>
      </w:r>
      <w:r w:rsidR="00C26D25" w:rsidRPr="00397115">
        <w:rPr>
          <w:rFonts w:ascii="Arial" w:eastAsia="Times New Roman" w:hAnsi="Arial" w:cs="Arial"/>
          <w:szCs w:val="24"/>
          <w:lang w:val="en-IN" w:eastAsia="en-IN"/>
        </w:rPr>
        <w:t>advocacy and litigation</w:t>
      </w:r>
      <w:r w:rsidR="00622DD2" w:rsidRPr="00397115">
        <w:rPr>
          <w:rFonts w:ascii="Arial" w:eastAsia="Times New Roman" w:hAnsi="Arial" w:cs="Arial"/>
          <w:szCs w:val="24"/>
          <w:lang w:val="en-IN" w:eastAsia="en-IN"/>
        </w:rPr>
        <w:t xml:space="preserve">. These efforts have widened the use of the United Nations Guiding Principles on Business and Human Rights </w:t>
      </w:r>
      <w:r w:rsidR="00C26D25" w:rsidRPr="00397115">
        <w:rPr>
          <w:rFonts w:ascii="Arial" w:eastAsia="Times New Roman" w:hAnsi="Arial" w:cs="Arial"/>
          <w:szCs w:val="24"/>
          <w:lang w:val="en-IN" w:eastAsia="en-IN"/>
        </w:rPr>
        <w:t xml:space="preserve">(UNGPs) </w:t>
      </w:r>
      <w:r w:rsidR="00622DD2" w:rsidRPr="00397115">
        <w:rPr>
          <w:rFonts w:ascii="Arial" w:eastAsia="Times New Roman" w:hAnsi="Arial" w:cs="Arial"/>
          <w:szCs w:val="24"/>
          <w:lang w:val="en-IN" w:eastAsia="en-IN"/>
        </w:rPr>
        <w:t xml:space="preserve">at the </w:t>
      </w:r>
      <w:r w:rsidR="00B54AD5" w:rsidRPr="00397115">
        <w:rPr>
          <w:rFonts w:ascii="Arial" w:eastAsia="Times New Roman" w:hAnsi="Arial" w:cs="Arial"/>
          <w:szCs w:val="24"/>
          <w:lang w:val="en-IN" w:eastAsia="en-IN"/>
        </w:rPr>
        <w:t>regional and domestic</w:t>
      </w:r>
      <w:r w:rsidR="00622DD2" w:rsidRPr="00397115">
        <w:rPr>
          <w:rFonts w:ascii="Arial" w:eastAsia="Times New Roman" w:hAnsi="Arial" w:cs="Arial"/>
          <w:szCs w:val="24"/>
          <w:lang w:val="en-IN" w:eastAsia="en-IN"/>
        </w:rPr>
        <w:t xml:space="preserve"> levels</w:t>
      </w:r>
      <w:r w:rsidR="00B54AD5" w:rsidRPr="00397115">
        <w:rPr>
          <w:rStyle w:val="FootnoteReference"/>
          <w:rFonts w:ascii="Arial" w:eastAsia="Times New Roman" w:hAnsi="Arial" w:cs="Arial"/>
          <w:szCs w:val="24"/>
          <w:lang w:val="en-IN" w:eastAsia="en-IN"/>
        </w:rPr>
        <w:footnoteReference w:id="1"/>
      </w:r>
      <w:r w:rsidR="00C26D25" w:rsidRPr="00397115">
        <w:rPr>
          <w:rFonts w:ascii="Arial" w:eastAsia="Times New Roman" w:hAnsi="Arial" w:cs="Arial"/>
          <w:szCs w:val="24"/>
          <w:lang w:val="en-IN" w:eastAsia="en-IN"/>
        </w:rPr>
        <w:t>,</w:t>
      </w:r>
      <w:r w:rsidR="00622DD2" w:rsidRPr="00397115">
        <w:rPr>
          <w:rFonts w:ascii="Arial" w:eastAsia="Times New Roman" w:hAnsi="Arial" w:cs="Arial"/>
          <w:szCs w:val="24"/>
          <w:lang w:val="en-IN" w:eastAsia="en-IN"/>
        </w:rPr>
        <w:t xml:space="preserve"> as well as increas</w:t>
      </w:r>
      <w:r w:rsidR="00E6137A" w:rsidRPr="00397115">
        <w:rPr>
          <w:rFonts w:ascii="Arial" w:eastAsia="Times New Roman" w:hAnsi="Arial" w:cs="Arial"/>
          <w:szCs w:val="24"/>
          <w:lang w:val="en-IN" w:eastAsia="en-IN"/>
        </w:rPr>
        <w:t>ed</w:t>
      </w:r>
      <w:r w:rsidR="00622DD2" w:rsidRPr="00397115">
        <w:rPr>
          <w:rFonts w:ascii="Arial" w:eastAsia="Times New Roman" w:hAnsi="Arial" w:cs="Arial"/>
          <w:szCs w:val="24"/>
          <w:lang w:val="en-IN" w:eastAsia="en-IN"/>
        </w:rPr>
        <w:t xml:space="preserve"> </w:t>
      </w:r>
      <w:r w:rsidR="00E6137A" w:rsidRPr="00397115">
        <w:rPr>
          <w:rFonts w:ascii="Arial" w:eastAsia="Times New Roman" w:hAnsi="Arial" w:cs="Arial"/>
          <w:szCs w:val="24"/>
          <w:lang w:val="en-IN" w:eastAsia="en-IN"/>
        </w:rPr>
        <w:t xml:space="preserve">awareness </w:t>
      </w:r>
      <w:r w:rsidR="00622DD2" w:rsidRPr="00397115">
        <w:rPr>
          <w:rFonts w:ascii="Arial" w:eastAsia="Times New Roman" w:hAnsi="Arial" w:cs="Arial"/>
          <w:szCs w:val="24"/>
          <w:lang w:val="en-IN" w:eastAsia="en-IN"/>
        </w:rPr>
        <w:t>on how investment</w:t>
      </w:r>
      <w:r w:rsidR="00F46340">
        <w:rPr>
          <w:rFonts w:ascii="Arial" w:eastAsia="Times New Roman" w:hAnsi="Arial" w:cs="Arial"/>
          <w:szCs w:val="24"/>
          <w:lang w:val="en-IN" w:eastAsia="en-IN"/>
        </w:rPr>
        <w:t>s</w:t>
      </w:r>
      <w:r w:rsidR="00622DD2" w:rsidRPr="00397115">
        <w:rPr>
          <w:rFonts w:ascii="Arial" w:eastAsia="Times New Roman" w:hAnsi="Arial" w:cs="Arial"/>
          <w:szCs w:val="24"/>
          <w:lang w:val="en-IN" w:eastAsia="en-IN"/>
        </w:rPr>
        <w:t xml:space="preserve"> can harm human rights</w:t>
      </w:r>
      <w:r w:rsidR="00622DD2" w:rsidRPr="00397115">
        <w:rPr>
          <w:rStyle w:val="FootnoteReference"/>
          <w:rFonts w:ascii="Arial" w:eastAsia="Times New Roman" w:hAnsi="Arial" w:cs="Arial"/>
          <w:szCs w:val="24"/>
          <w:lang w:val="en-IN" w:eastAsia="en-IN"/>
        </w:rPr>
        <w:footnoteReference w:id="2"/>
      </w:r>
      <w:r w:rsidR="00E6137A" w:rsidRPr="00397115">
        <w:rPr>
          <w:rFonts w:ascii="Arial" w:eastAsia="Times New Roman" w:hAnsi="Arial" w:cs="Arial"/>
          <w:szCs w:val="24"/>
          <w:lang w:val="en-IN" w:eastAsia="en-IN"/>
        </w:rPr>
        <w:t>.</w:t>
      </w:r>
      <w:r w:rsidR="007E1F64" w:rsidRPr="00397115">
        <w:rPr>
          <w:rFonts w:ascii="Arial" w:eastAsia="Times New Roman" w:hAnsi="Arial" w:cs="Arial"/>
          <w:szCs w:val="24"/>
          <w:lang w:val="en-IN" w:eastAsia="en-IN"/>
        </w:rPr>
        <w:t xml:space="preserve"> </w:t>
      </w:r>
      <w:r w:rsidR="00B54AD5" w:rsidRPr="00397115">
        <w:rPr>
          <w:rFonts w:ascii="Arial" w:eastAsia="Times New Roman" w:hAnsi="Arial" w:cs="Arial"/>
          <w:szCs w:val="24"/>
          <w:lang w:val="en-IN" w:eastAsia="en-IN"/>
        </w:rPr>
        <w:t xml:space="preserve">Therefore, investors and consumers are increasingly demanding that businesses operate ethically and responsibly, which includes respecting human rights in all their operations </w:t>
      </w:r>
      <w:r w:rsidR="00AE6E31" w:rsidRPr="00397115">
        <w:rPr>
          <w:rFonts w:ascii="Arial" w:eastAsia="Times New Roman" w:hAnsi="Arial" w:cs="Arial"/>
          <w:szCs w:val="24"/>
          <w:lang w:val="en-IN" w:eastAsia="en-IN"/>
        </w:rPr>
        <w:t xml:space="preserve">including </w:t>
      </w:r>
      <w:r w:rsidR="00B54AD5" w:rsidRPr="00397115">
        <w:rPr>
          <w:rFonts w:ascii="Arial" w:eastAsia="Times New Roman" w:hAnsi="Arial" w:cs="Arial"/>
          <w:szCs w:val="24"/>
          <w:lang w:val="en-IN" w:eastAsia="en-IN"/>
        </w:rPr>
        <w:t>throughout their value chains.</w:t>
      </w:r>
    </w:p>
    <w:p w14:paraId="5F08705A" w14:textId="66189D40" w:rsidR="00203C55" w:rsidRPr="00397115" w:rsidRDefault="00254B3A" w:rsidP="00366352">
      <w:pPr>
        <w:spacing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lastRenderedPageBreak/>
        <w:t xml:space="preserve">This has led to </w:t>
      </w:r>
      <w:r w:rsidR="00AD321B" w:rsidRPr="00397115">
        <w:rPr>
          <w:rFonts w:ascii="Arial" w:eastAsia="Times New Roman" w:hAnsi="Arial" w:cs="Arial"/>
          <w:szCs w:val="24"/>
          <w:lang w:val="en-IN" w:eastAsia="en-IN"/>
        </w:rPr>
        <w:t>a</w:t>
      </w:r>
      <w:r w:rsidR="00C22AAA" w:rsidRPr="00397115">
        <w:rPr>
          <w:rFonts w:ascii="Arial" w:eastAsia="Times New Roman" w:hAnsi="Arial" w:cs="Arial"/>
          <w:szCs w:val="24"/>
          <w:lang w:val="en-IN" w:eastAsia="en-IN"/>
        </w:rPr>
        <w:t>n</w:t>
      </w:r>
      <w:r w:rsidR="00AD321B" w:rsidRPr="00397115">
        <w:rPr>
          <w:rFonts w:ascii="Arial" w:eastAsia="Times New Roman" w:hAnsi="Arial" w:cs="Arial"/>
          <w:szCs w:val="24"/>
          <w:lang w:val="en-IN" w:eastAsia="en-IN"/>
        </w:rPr>
        <w:t xml:space="preserve"> increase in ESG</w:t>
      </w:r>
      <w:r w:rsidR="00D2201C" w:rsidRPr="00397115">
        <w:rPr>
          <w:rFonts w:ascii="Arial" w:eastAsia="Times New Roman" w:hAnsi="Arial" w:cs="Arial"/>
          <w:szCs w:val="24"/>
          <w:lang w:val="en-IN" w:eastAsia="en-IN"/>
        </w:rPr>
        <w:t xml:space="preserve"> reporting</w:t>
      </w:r>
      <w:r w:rsidR="00955808" w:rsidRPr="00397115">
        <w:rPr>
          <w:rStyle w:val="FootnoteReference"/>
          <w:rFonts w:ascii="Arial" w:eastAsia="Times New Roman" w:hAnsi="Arial" w:cs="Arial"/>
          <w:szCs w:val="24"/>
          <w:lang w:val="en-IN" w:eastAsia="en-IN"/>
        </w:rPr>
        <w:footnoteReference w:id="3"/>
      </w:r>
      <w:r w:rsidR="00AD321B" w:rsidRPr="00397115">
        <w:rPr>
          <w:rFonts w:ascii="Arial" w:eastAsia="Times New Roman" w:hAnsi="Arial" w:cs="Arial"/>
          <w:szCs w:val="24"/>
          <w:lang w:val="en-IN" w:eastAsia="en-IN"/>
        </w:rPr>
        <w:t xml:space="preserve"> </w:t>
      </w:r>
      <w:r w:rsidR="00A53009" w:rsidRPr="00397115">
        <w:rPr>
          <w:rFonts w:ascii="Arial" w:eastAsia="Times New Roman" w:hAnsi="Arial" w:cs="Arial"/>
          <w:szCs w:val="24"/>
          <w:lang w:val="en-IN" w:eastAsia="en-IN"/>
        </w:rPr>
        <w:t>by large transnational corporations and some other business enterprises</w:t>
      </w:r>
      <w:r w:rsidR="00157AD6" w:rsidRPr="00397115">
        <w:rPr>
          <w:rFonts w:ascii="Arial" w:eastAsia="Times New Roman" w:hAnsi="Arial" w:cs="Arial"/>
          <w:szCs w:val="24"/>
          <w:lang w:val="en-IN" w:eastAsia="en-IN"/>
        </w:rPr>
        <w:t xml:space="preserve"> in recent years</w:t>
      </w:r>
      <w:r w:rsidR="00A53009" w:rsidRPr="00397115">
        <w:rPr>
          <w:rFonts w:ascii="Arial" w:eastAsia="Times New Roman" w:hAnsi="Arial" w:cs="Arial"/>
          <w:szCs w:val="24"/>
          <w:lang w:val="en-IN" w:eastAsia="en-IN"/>
        </w:rPr>
        <w:t xml:space="preserve">. </w:t>
      </w:r>
      <w:r w:rsidR="0052050E" w:rsidRPr="00397115">
        <w:rPr>
          <w:rFonts w:ascii="Arial" w:eastAsia="Times New Roman" w:hAnsi="Arial" w:cs="Arial"/>
          <w:szCs w:val="24"/>
          <w:lang w:val="en-IN" w:eastAsia="en-IN"/>
        </w:rPr>
        <w:t>ESG issues are</w:t>
      </w:r>
      <w:r w:rsidR="006D2488" w:rsidRPr="00397115">
        <w:rPr>
          <w:rFonts w:ascii="Arial" w:eastAsia="Times New Roman" w:hAnsi="Arial" w:cs="Arial"/>
          <w:szCs w:val="24"/>
          <w:lang w:val="en-IN" w:eastAsia="en-IN"/>
        </w:rPr>
        <w:t xml:space="preserve"> also</w:t>
      </w:r>
      <w:r w:rsidR="0052050E" w:rsidRPr="00397115">
        <w:rPr>
          <w:rFonts w:ascii="Arial" w:eastAsia="Times New Roman" w:hAnsi="Arial" w:cs="Arial"/>
          <w:szCs w:val="24"/>
          <w:lang w:val="en-IN" w:eastAsia="en-IN"/>
        </w:rPr>
        <w:t xml:space="preserve"> finding more space </w:t>
      </w:r>
      <w:r w:rsidR="00AD321B" w:rsidRPr="00397115">
        <w:rPr>
          <w:rFonts w:ascii="Arial" w:eastAsia="Times New Roman" w:hAnsi="Arial" w:cs="Arial"/>
          <w:szCs w:val="24"/>
          <w:lang w:val="en-IN" w:eastAsia="en-IN"/>
        </w:rPr>
        <w:t xml:space="preserve">in </w:t>
      </w:r>
      <w:r w:rsidR="0052050E" w:rsidRPr="00397115">
        <w:rPr>
          <w:rFonts w:ascii="Arial" w:eastAsia="Times New Roman" w:hAnsi="Arial" w:cs="Arial"/>
          <w:szCs w:val="24"/>
          <w:lang w:val="en-IN" w:eastAsia="en-IN"/>
        </w:rPr>
        <w:t xml:space="preserve">the </w:t>
      </w:r>
      <w:r w:rsidR="00AD321B" w:rsidRPr="00397115">
        <w:rPr>
          <w:rFonts w:ascii="Arial" w:eastAsia="Times New Roman" w:hAnsi="Arial" w:cs="Arial"/>
          <w:szCs w:val="24"/>
          <w:lang w:val="en-IN" w:eastAsia="en-IN"/>
        </w:rPr>
        <w:t xml:space="preserve">decision-making </w:t>
      </w:r>
      <w:r w:rsidR="00E5486F" w:rsidRPr="00397115">
        <w:rPr>
          <w:rFonts w:ascii="Arial" w:eastAsia="Times New Roman" w:hAnsi="Arial" w:cs="Arial"/>
          <w:szCs w:val="24"/>
          <w:lang w:val="en-IN" w:eastAsia="en-IN"/>
        </w:rPr>
        <w:t>and</w:t>
      </w:r>
      <w:r w:rsidR="0052050E" w:rsidRPr="00397115">
        <w:rPr>
          <w:rFonts w:ascii="Arial" w:eastAsia="Times New Roman" w:hAnsi="Arial" w:cs="Arial"/>
          <w:szCs w:val="24"/>
          <w:lang w:val="en-IN" w:eastAsia="en-IN"/>
        </w:rPr>
        <w:t xml:space="preserve"> </w:t>
      </w:r>
      <w:r w:rsidR="00E5486F" w:rsidRPr="00397115">
        <w:rPr>
          <w:rFonts w:ascii="Arial" w:eastAsia="Times New Roman" w:hAnsi="Arial" w:cs="Arial"/>
          <w:szCs w:val="24"/>
          <w:lang w:val="en-IN" w:eastAsia="en-IN"/>
        </w:rPr>
        <w:t xml:space="preserve">business practices of </w:t>
      </w:r>
      <w:r w:rsidR="00AD321B" w:rsidRPr="00397115">
        <w:rPr>
          <w:rFonts w:ascii="Arial" w:eastAsia="Times New Roman" w:hAnsi="Arial" w:cs="Arial"/>
          <w:szCs w:val="24"/>
          <w:lang w:val="en-IN" w:eastAsia="en-IN"/>
        </w:rPr>
        <w:t xml:space="preserve">investors, </w:t>
      </w:r>
      <w:r w:rsidR="00B563CD" w:rsidRPr="00397115">
        <w:rPr>
          <w:rFonts w:ascii="Arial" w:eastAsia="Times New Roman" w:hAnsi="Arial" w:cs="Arial"/>
          <w:szCs w:val="24"/>
          <w:lang w:val="en-IN" w:eastAsia="en-IN"/>
        </w:rPr>
        <w:t xml:space="preserve">such as </w:t>
      </w:r>
      <w:r w:rsidR="00AD321B" w:rsidRPr="00397115">
        <w:rPr>
          <w:rFonts w:ascii="Arial" w:eastAsia="Times New Roman" w:hAnsi="Arial" w:cs="Arial"/>
          <w:szCs w:val="24"/>
          <w:lang w:val="en-IN" w:eastAsia="en-IN"/>
        </w:rPr>
        <w:t xml:space="preserve">large private venture funds, asset managers, sovereign wealth funds </w:t>
      </w:r>
      <w:r w:rsidR="0052050E" w:rsidRPr="00397115">
        <w:rPr>
          <w:rFonts w:ascii="Arial" w:eastAsia="Times New Roman" w:hAnsi="Arial" w:cs="Arial"/>
          <w:szCs w:val="24"/>
          <w:lang w:val="en-IN" w:eastAsia="en-IN"/>
        </w:rPr>
        <w:t>etc</w:t>
      </w:r>
      <w:r w:rsidR="00AD321B" w:rsidRPr="00397115">
        <w:rPr>
          <w:rFonts w:ascii="Arial" w:eastAsia="Times New Roman" w:hAnsi="Arial" w:cs="Arial"/>
          <w:szCs w:val="24"/>
          <w:lang w:val="en-IN" w:eastAsia="en-IN"/>
        </w:rPr>
        <w:t>. These may be present in the form of standalone ESG policies, or as part of the larger ‘sustainability’ or responsible s</w:t>
      </w:r>
      <w:r w:rsidR="007B3275" w:rsidRPr="00397115">
        <w:rPr>
          <w:rFonts w:ascii="Arial" w:eastAsia="Times New Roman" w:hAnsi="Arial" w:cs="Arial"/>
          <w:szCs w:val="24"/>
          <w:lang w:val="en-IN" w:eastAsia="en-IN"/>
        </w:rPr>
        <w:t xml:space="preserve">ourcing initiatives of </w:t>
      </w:r>
      <w:r w:rsidR="00787335" w:rsidRPr="00397115">
        <w:rPr>
          <w:rFonts w:ascii="Arial" w:eastAsia="Times New Roman" w:hAnsi="Arial" w:cs="Arial"/>
          <w:szCs w:val="24"/>
          <w:lang w:val="en-IN" w:eastAsia="en-IN"/>
        </w:rPr>
        <w:t>firms</w:t>
      </w:r>
      <w:r w:rsidR="00B563CD" w:rsidRPr="00397115">
        <w:rPr>
          <w:rFonts w:ascii="Arial" w:eastAsia="Times New Roman" w:hAnsi="Arial" w:cs="Arial"/>
          <w:szCs w:val="24"/>
          <w:lang w:val="en-IN" w:eastAsia="en-IN"/>
        </w:rPr>
        <w:t>.</w:t>
      </w:r>
      <w:r w:rsidR="00787335" w:rsidRPr="00397115">
        <w:rPr>
          <w:rFonts w:ascii="Arial" w:eastAsia="Times New Roman" w:hAnsi="Arial" w:cs="Arial"/>
          <w:szCs w:val="24"/>
          <w:lang w:val="en-IN" w:eastAsia="en-IN"/>
        </w:rPr>
        <w:t xml:space="preserve"> </w:t>
      </w:r>
      <w:r w:rsidR="00B563CD" w:rsidRPr="00397115">
        <w:rPr>
          <w:rFonts w:ascii="Arial" w:eastAsia="Times New Roman" w:hAnsi="Arial" w:cs="Arial"/>
          <w:szCs w:val="24"/>
          <w:lang w:val="en-IN" w:eastAsia="en-IN"/>
        </w:rPr>
        <w:t xml:space="preserve">However, </w:t>
      </w:r>
      <w:r w:rsidR="00A633FA" w:rsidRPr="00397115">
        <w:rPr>
          <w:rFonts w:ascii="Arial" w:eastAsia="Times New Roman" w:hAnsi="Arial" w:cs="Arial"/>
          <w:szCs w:val="24"/>
          <w:lang w:val="en-IN" w:eastAsia="en-IN"/>
        </w:rPr>
        <w:t xml:space="preserve">such efforts </w:t>
      </w:r>
      <w:r w:rsidR="00787335" w:rsidRPr="00397115">
        <w:rPr>
          <w:rFonts w:ascii="Arial" w:eastAsia="Times New Roman" w:hAnsi="Arial" w:cs="Arial"/>
          <w:szCs w:val="24"/>
          <w:lang w:val="en-IN" w:eastAsia="en-IN"/>
        </w:rPr>
        <w:t>are not intrinsically design</w:t>
      </w:r>
      <w:r w:rsidR="00A633FA" w:rsidRPr="00397115">
        <w:rPr>
          <w:rFonts w:ascii="Arial" w:eastAsia="Times New Roman" w:hAnsi="Arial" w:cs="Arial"/>
          <w:szCs w:val="24"/>
          <w:lang w:val="en-IN" w:eastAsia="en-IN"/>
        </w:rPr>
        <w:t>ed</w:t>
      </w:r>
      <w:r w:rsidR="00787335" w:rsidRPr="00397115">
        <w:rPr>
          <w:rFonts w:ascii="Arial" w:eastAsia="Times New Roman" w:hAnsi="Arial" w:cs="Arial"/>
          <w:szCs w:val="24"/>
          <w:lang w:val="en-IN" w:eastAsia="en-IN"/>
        </w:rPr>
        <w:t xml:space="preserve"> to increase </w:t>
      </w:r>
      <w:r w:rsidR="00A633FA" w:rsidRPr="00397115">
        <w:rPr>
          <w:rFonts w:ascii="Arial" w:eastAsia="Times New Roman" w:hAnsi="Arial" w:cs="Arial"/>
          <w:szCs w:val="24"/>
          <w:lang w:val="en-IN" w:eastAsia="en-IN"/>
        </w:rPr>
        <w:t xml:space="preserve">the company’s </w:t>
      </w:r>
      <w:r w:rsidR="00B6783C" w:rsidRPr="00397115">
        <w:rPr>
          <w:rFonts w:ascii="Arial" w:eastAsia="Times New Roman" w:hAnsi="Arial" w:cs="Arial"/>
          <w:szCs w:val="24"/>
          <w:lang w:val="en-IN" w:eastAsia="en-IN"/>
        </w:rPr>
        <w:t>human rights disclosures or implementation of the UNGPs</w:t>
      </w:r>
      <w:r w:rsidR="00787335" w:rsidRPr="00397115">
        <w:rPr>
          <w:rFonts w:ascii="Arial" w:eastAsia="Times New Roman" w:hAnsi="Arial" w:cs="Arial"/>
          <w:szCs w:val="24"/>
          <w:lang w:val="en-IN" w:eastAsia="en-IN"/>
        </w:rPr>
        <w:t xml:space="preserve">. </w:t>
      </w:r>
    </w:p>
    <w:p w14:paraId="756F66EA" w14:textId="002D1136" w:rsidR="00622DD2" w:rsidRPr="00397115" w:rsidRDefault="00622DD2" w:rsidP="00366352">
      <w:pPr>
        <w:spacing w:line="240" w:lineRule="auto"/>
        <w:jc w:val="both"/>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 xml:space="preserve">Defining </w:t>
      </w:r>
      <w:r w:rsidR="007228CD" w:rsidRPr="00397115">
        <w:rPr>
          <w:rFonts w:ascii="Arial" w:eastAsia="Times New Roman" w:hAnsi="Arial" w:cs="Arial"/>
          <w:b/>
          <w:bCs/>
          <w:color w:val="2F5496" w:themeColor="accent1" w:themeShade="BF"/>
          <w:szCs w:val="24"/>
          <w:lang w:val="en-IN" w:eastAsia="en-IN"/>
        </w:rPr>
        <w:t>ESG</w:t>
      </w:r>
      <w:r w:rsidRPr="00397115">
        <w:rPr>
          <w:rFonts w:ascii="Arial" w:eastAsia="Times New Roman" w:hAnsi="Arial" w:cs="Arial"/>
          <w:b/>
          <w:bCs/>
          <w:color w:val="2F5496" w:themeColor="accent1" w:themeShade="BF"/>
          <w:szCs w:val="24"/>
          <w:lang w:val="en-IN" w:eastAsia="en-IN"/>
        </w:rPr>
        <w:t xml:space="preserve"> Investing</w:t>
      </w:r>
    </w:p>
    <w:p w14:paraId="56D7E4FC" w14:textId="388B3A3E" w:rsidR="00622DD2" w:rsidRPr="00397115" w:rsidRDefault="00787335" w:rsidP="00366352">
      <w:pPr>
        <w:spacing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ESG investing </w:t>
      </w:r>
      <w:r w:rsidR="00140661" w:rsidRPr="00397115">
        <w:rPr>
          <w:rFonts w:ascii="Arial" w:eastAsia="Times New Roman" w:hAnsi="Arial" w:cs="Arial"/>
          <w:szCs w:val="24"/>
          <w:lang w:val="en-IN" w:eastAsia="en-IN"/>
        </w:rPr>
        <w:t xml:space="preserve">in recent years </w:t>
      </w:r>
      <w:r w:rsidR="00AE6E31" w:rsidRPr="00397115">
        <w:rPr>
          <w:rFonts w:ascii="Arial" w:eastAsia="Times New Roman" w:hAnsi="Arial" w:cs="Arial"/>
          <w:szCs w:val="24"/>
          <w:lang w:val="en-IN" w:eastAsia="en-IN"/>
        </w:rPr>
        <w:t xml:space="preserve">has shown a </w:t>
      </w:r>
      <w:r w:rsidR="00140661" w:rsidRPr="00397115">
        <w:rPr>
          <w:rFonts w:ascii="Arial" w:eastAsia="Times New Roman" w:hAnsi="Arial" w:cs="Arial"/>
          <w:szCs w:val="24"/>
          <w:lang w:val="en-IN" w:eastAsia="en-IN"/>
        </w:rPr>
        <w:t xml:space="preserve">greater </w:t>
      </w:r>
      <w:r w:rsidRPr="00397115">
        <w:rPr>
          <w:rFonts w:ascii="Arial" w:eastAsia="Times New Roman" w:hAnsi="Arial" w:cs="Arial"/>
          <w:szCs w:val="24"/>
          <w:lang w:val="en-IN" w:eastAsia="en-IN"/>
        </w:rPr>
        <w:t xml:space="preserve">focus on </w:t>
      </w:r>
      <w:r w:rsidR="00140661" w:rsidRPr="00397115">
        <w:rPr>
          <w:rFonts w:ascii="Arial" w:eastAsia="Times New Roman" w:hAnsi="Arial" w:cs="Arial"/>
          <w:szCs w:val="24"/>
          <w:lang w:val="en-IN" w:eastAsia="en-IN"/>
        </w:rPr>
        <w:t xml:space="preserve">the </w:t>
      </w:r>
      <w:r w:rsidRPr="00397115">
        <w:rPr>
          <w:rFonts w:ascii="Arial" w:eastAsia="Times New Roman" w:hAnsi="Arial" w:cs="Arial"/>
          <w:szCs w:val="24"/>
          <w:lang w:val="en-IN" w:eastAsia="en-IN"/>
        </w:rPr>
        <w:t xml:space="preserve">human rights </w:t>
      </w:r>
      <w:r w:rsidR="00140661" w:rsidRPr="00397115">
        <w:rPr>
          <w:rFonts w:ascii="Arial" w:eastAsia="Times New Roman" w:hAnsi="Arial" w:cs="Arial"/>
          <w:szCs w:val="24"/>
          <w:lang w:val="en-IN" w:eastAsia="en-IN"/>
        </w:rPr>
        <w:t xml:space="preserve">and climate impacts of </w:t>
      </w:r>
      <w:r w:rsidRPr="00397115">
        <w:rPr>
          <w:rFonts w:ascii="Arial" w:eastAsia="Times New Roman" w:hAnsi="Arial" w:cs="Arial"/>
          <w:szCs w:val="24"/>
          <w:lang w:val="en-IN" w:eastAsia="en-IN"/>
        </w:rPr>
        <w:t xml:space="preserve">business conduct. </w:t>
      </w:r>
      <w:r w:rsidR="00F96016" w:rsidRPr="00397115">
        <w:rPr>
          <w:rFonts w:ascii="Arial" w:eastAsia="Times New Roman" w:hAnsi="Arial" w:cs="Arial"/>
          <w:szCs w:val="24"/>
          <w:lang w:val="en-IN" w:eastAsia="en-IN"/>
        </w:rPr>
        <w:t xml:space="preserve">The use of </w:t>
      </w:r>
      <w:r w:rsidRPr="00397115">
        <w:rPr>
          <w:rFonts w:ascii="Arial" w:eastAsia="Times New Roman" w:hAnsi="Arial" w:cs="Arial"/>
          <w:szCs w:val="24"/>
          <w:lang w:val="en-IN" w:eastAsia="en-IN"/>
        </w:rPr>
        <w:t xml:space="preserve">ESG has been </w:t>
      </w:r>
      <w:r w:rsidR="00F96016" w:rsidRPr="00397115">
        <w:rPr>
          <w:rFonts w:ascii="Arial" w:eastAsia="Times New Roman" w:hAnsi="Arial" w:cs="Arial"/>
          <w:szCs w:val="24"/>
          <w:lang w:val="en-IN" w:eastAsia="en-IN"/>
        </w:rPr>
        <w:t xml:space="preserve">portrayed </w:t>
      </w:r>
      <w:r w:rsidRPr="00397115">
        <w:rPr>
          <w:rFonts w:ascii="Arial" w:eastAsia="Times New Roman" w:hAnsi="Arial" w:cs="Arial"/>
          <w:szCs w:val="24"/>
          <w:lang w:val="en-IN" w:eastAsia="en-IN"/>
        </w:rPr>
        <w:t xml:space="preserve">as a business response to consider </w:t>
      </w:r>
      <w:r w:rsidR="00622DD2" w:rsidRPr="00397115">
        <w:rPr>
          <w:rFonts w:ascii="Arial" w:eastAsia="Times New Roman" w:hAnsi="Arial" w:cs="Arial"/>
          <w:szCs w:val="24"/>
          <w:lang w:val="en-IN" w:eastAsia="en-IN"/>
        </w:rPr>
        <w:t>the interests of various stakeholders, including employees, communities, and society at large in business decisions</w:t>
      </w:r>
      <w:r w:rsidRPr="00397115">
        <w:rPr>
          <w:rFonts w:ascii="Arial" w:eastAsia="Times New Roman" w:hAnsi="Arial" w:cs="Arial"/>
          <w:szCs w:val="24"/>
          <w:lang w:val="en-IN" w:eastAsia="en-IN"/>
        </w:rPr>
        <w:t>.</w:t>
      </w:r>
      <w:r w:rsidR="00D0129E" w:rsidRPr="00397115">
        <w:rPr>
          <w:rStyle w:val="FootnoteReference"/>
          <w:rFonts w:ascii="Arial" w:eastAsia="Times New Roman" w:hAnsi="Arial" w:cs="Arial"/>
          <w:szCs w:val="24"/>
          <w:lang w:val="en-IN" w:eastAsia="en-IN"/>
        </w:rPr>
        <w:footnoteReference w:id="4"/>
      </w:r>
      <w:r w:rsidRPr="00397115">
        <w:rPr>
          <w:rFonts w:ascii="Arial" w:eastAsia="Times New Roman" w:hAnsi="Arial" w:cs="Arial"/>
          <w:szCs w:val="24"/>
          <w:lang w:val="en-IN" w:eastAsia="en-IN"/>
        </w:rPr>
        <w:t xml:space="preserve"> </w:t>
      </w:r>
      <w:r w:rsidR="003934A6" w:rsidRPr="00397115">
        <w:rPr>
          <w:rFonts w:ascii="Arial" w:eastAsia="Times New Roman" w:hAnsi="Arial" w:cs="Arial"/>
          <w:szCs w:val="24"/>
          <w:lang w:val="en-IN" w:eastAsia="en-IN"/>
        </w:rPr>
        <w:t xml:space="preserve">For companies, </w:t>
      </w:r>
      <w:r w:rsidR="00BD0F99" w:rsidRPr="00397115">
        <w:rPr>
          <w:rFonts w:ascii="Arial" w:eastAsia="Times New Roman" w:hAnsi="Arial" w:cs="Arial"/>
          <w:szCs w:val="24"/>
          <w:lang w:val="en-IN" w:eastAsia="en-IN"/>
        </w:rPr>
        <w:t xml:space="preserve">using </w:t>
      </w:r>
      <w:r w:rsidR="003934A6" w:rsidRPr="00397115">
        <w:rPr>
          <w:rFonts w:ascii="Arial" w:eastAsia="Times New Roman" w:hAnsi="Arial" w:cs="Arial"/>
          <w:szCs w:val="24"/>
          <w:lang w:val="en-IN" w:eastAsia="en-IN"/>
        </w:rPr>
        <w:t xml:space="preserve">ESG </w:t>
      </w:r>
      <w:r w:rsidR="00A279C3" w:rsidRPr="00397115">
        <w:rPr>
          <w:rFonts w:ascii="Arial" w:eastAsia="Times New Roman" w:hAnsi="Arial" w:cs="Arial"/>
          <w:szCs w:val="24"/>
          <w:lang w:val="en-IN" w:eastAsia="en-IN"/>
        </w:rPr>
        <w:t xml:space="preserve">has the potential </w:t>
      </w:r>
      <w:r w:rsidR="003934A6" w:rsidRPr="00397115">
        <w:rPr>
          <w:rFonts w:ascii="Arial" w:eastAsia="Times New Roman" w:hAnsi="Arial" w:cs="Arial"/>
          <w:szCs w:val="24"/>
          <w:lang w:val="en-IN" w:eastAsia="en-IN"/>
        </w:rPr>
        <w:t>to</w:t>
      </w:r>
      <w:r w:rsidR="00A279C3" w:rsidRPr="00397115">
        <w:rPr>
          <w:rFonts w:ascii="Arial" w:eastAsia="Times New Roman" w:hAnsi="Arial" w:cs="Arial"/>
          <w:szCs w:val="24"/>
          <w:lang w:val="en-IN" w:eastAsia="en-IN"/>
        </w:rPr>
        <w:t xml:space="preserve"> </w:t>
      </w:r>
      <w:r w:rsidRPr="00397115">
        <w:rPr>
          <w:rFonts w:ascii="Arial" w:eastAsia="Times New Roman" w:hAnsi="Arial" w:cs="Arial"/>
          <w:szCs w:val="24"/>
          <w:lang w:val="en-IN" w:eastAsia="en-IN"/>
        </w:rPr>
        <w:t>reduc</w:t>
      </w:r>
      <w:r w:rsidR="003934A6" w:rsidRPr="00397115">
        <w:rPr>
          <w:rFonts w:ascii="Arial" w:eastAsia="Times New Roman" w:hAnsi="Arial" w:cs="Arial"/>
          <w:szCs w:val="24"/>
          <w:lang w:val="en-IN" w:eastAsia="en-IN"/>
        </w:rPr>
        <w:t>e</w:t>
      </w:r>
      <w:r w:rsidR="00622DD2" w:rsidRPr="00397115">
        <w:rPr>
          <w:rFonts w:ascii="Arial" w:eastAsia="Times New Roman" w:hAnsi="Arial" w:cs="Arial"/>
          <w:szCs w:val="24"/>
          <w:lang w:val="en-IN" w:eastAsia="en-IN"/>
        </w:rPr>
        <w:t xml:space="preserve"> risks, enhance reputation and ensure better equity returns, especially for public</w:t>
      </w:r>
      <w:r w:rsidR="004101CD">
        <w:rPr>
          <w:rFonts w:ascii="Arial" w:eastAsia="Times New Roman" w:hAnsi="Arial" w:cs="Arial"/>
          <w:szCs w:val="24"/>
          <w:lang w:val="en-IN" w:eastAsia="en-IN"/>
        </w:rPr>
        <w:t>ly</w:t>
      </w:r>
      <w:r w:rsidR="00622DD2" w:rsidRPr="00397115">
        <w:rPr>
          <w:rFonts w:ascii="Arial" w:eastAsia="Times New Roman" w:hAnsi="Arial" w:cs="Arial"/>
          <w:szCs w:val="24"/>
          <w:lang w:val="en-IN" w:eastAsia="en-IN"/>
        </w:rPr>
        <w:t xml:space="preserve"> listed and traded companies.</w:t>
      </w:r>
      <w:r w:rsidR="00CA6565" w:rsidRPr="00397115">
        <w:rPr>
          <w:rFonts w:ascii="Arial" w:eastAsia="Times New Roman" w:hAnsi="Arial" w:cs="Arial"/>
          <w:szCs w:val="24"/>
          <w:lang w:val="en-IN" w:eastAsia="en-IN"/>
        </w:rPr>
        <w:t xml:space="preserve"> For instance, it has been reported that the number of </w:t>
      </w:r>
      <w:r w:rsidR="00D4081D" w:rsidRPr="00397115">
        <w:rPr>
          <w:rFonts w:ascii="Arial" w:eastAsia="Times New Roman" w:hAnsi="Arial" w:cs="Arial"/>
          <w:szCs w:val="24"/>
          <w:lang w:val="en-IN" w:eastAsia="en-IN"/>
        </w:rPr>
        <w:t>exchange-traded fund</w:t>
      </w:r>
      <w:r w:rsidR="004101CD">
        <w:rPr>
          <w:rFonts w:ascii="Arial" w:eastAsia="Times New Roman" w:hAnsi="Arial" w:cs="Arial"/>
          <w:szCs w:val="24"/>
          <w:lang w:val="en-IN" w:eastAsia="en-IN"/>
        </w:rPr>
        <w:t>s</w:t>
      </w:r>
      <w:r w:rsidR="00D4081D" w:rsidRPr="00397115">
        <w:rPr>
          <w:rFonts w:ascii="Arial" w:eastAsia="Times New Roman" w:hAnsi="Arial" w:cs="Arial"/>
          <w:szCs w:val="24"/>
          <w:lang w:val="en-IN" w:eastAsia="en-IN"/>
        </w:rPr>
        <w:t xml:space="preserve"> (</w:t>
      </w:r>
      <w:r w:rsidR="00CA6565" w:rsidRPr="00397115">
        <w:rPr>
          <w:rFonts w:ascii="Arial" w:eastAsia="Times New Roman" w:hAnsi="Arial" w:cs="Arial"/>
          <w:szCs w:val="24"/>
          <w:lang w:val="en-IN" w:eastAsia="en-IN"/>
        </w:rPr>
        <w:t>ETFs</w:t>
      </w:r>
      <w:r w:rsidR="00D4081D" w:rsidRPr="00397115">
        <w:rPr>
          <w:rFonts w:ascii="Arial" w:eastAsia="Times New Roman" w:hAnsi="Arial" w:cs="Arial"/>
          <w:szCs w:val="24"/>
          <w:lang w:val="en-IN" w:eastAsia="en-IN"/>
        </w:rPr>
        <w:t>)</w:t>
      </w:r>
      <w:r w:rsidR="00CA6565" w:rsidRPr="00397115">
        <w:rPr>
          <w:rFonts w:ascii="Arial" w:eastAsia="Times New Roman" w:hAnsi="Arial" w:cs="Arial"/>
          <w:szCs w:val="24"/>
          <w:lang w:val="en-IN" w:eastAsia="en-IN"/>
        </w:rPr>
        <w:t xml:space="preserve"> carrying an ESG label more than doubled </w:t>
      </w:r>
      <w:r w:rsidR="0058796C" w:rsidRPr="00397115">
        <w:rPr>
          <w:rFonts w:ascii="Arial" w:eastAsia="Times New Roman" w:hAnsi="Arial" w:cs="Arial"/>
          <w:szCs w:val="24"/>
          <w:lang w:val="en-IN" w:eastAsia="en-IN"/>
        </w:rPr>
        <w:t>since the onset of the COVID-19 pandemic</w:t>
      </w:r>
      <w:r w:rsidR="00CA6565" w:rsidRPr="00397115">
        <w:rPr>
          <w:rFonts w:ascii="Arial" w:eastAsia="Times New Roman" w:hAnsi="Arial" w:cs="Arial"/>
          <w:szCs w:val="24"/>
          <w:lang w:val="en-IN" w:eastAsia="en-IN"/>
        </w:rPr>
        <w:t>, reaching almost 1,300 at the end of 2022</w:t>
      </w:r>
      <w:r w:rsidR="00C40D8B">
        <w:rPr>
          <w:rFonts w:ascii="Arial" w:eastAsia="Times New Roman" w:hAnsi="Arial" w:cs="Arial"/>
          <w:szCs w:val="24"/>
          <w:lang w:val="en-IN" w:eastAsia="en-IN"/>
        </w:rPr>
        <w:t>.</w:t>
      </w:r>
      <w:r w:rsidR="0058796C" w:rsidRPr="00397115">
        <w:rPr>
          <w:rStyle w:val="FootnoteReference"/>
          <w:rFonts w:ascii="Arial" w:eastAsia="Times New Roman" w:hAnsi="Arial" w:cs="Arial"/>
          <w:szCs w:val="24"/>
          <w:lang w:val="en-IN" w:eastAsia="en-IN"/>
        </w:rPr>
        <w:footnoteReference w:id="5"/>
      </w:r>
    </w:p>
    <w:p w14:paraId="38830546" w14:textId="1FE24A55" w:rsidR="002B568A" w:rsidRPr="00397115" w:rsidRDefault="00787335" w:rsidP="002B568A">
      <w:pPr>
        <w:spacing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Nevertheless, when discussing about ESG</w:t>
      </w:r>
      <w:r w:rsidR="00A279C3" w:rsidRPr="00397115">
        <w:rPr>
          <w:rFonts w:ascii="Arial" w:eastAsia="Times New Roman" w:hAnsi="Arial" w:cs="Arial"/>
          <w:szCs w:val="24"/>
          <w:lang w:val="en-IN" w:eastAsia="en-IN"/>
        </w:rPr>
        <w:t>, there is a need to differentiate ESG investing from ESG reporting,</w:t>
      </w:r>
      <w:r w:rsidR="002B568A" w:rsidRPr="00397115">
        <w:rPr>
          <w:rFonts w:ascii="Arial" w:eastAsia="Times New Roman" w:hAnsi="Arial" w:cs="Arial"/>
          <w:szCs w:val="24"/>
          <w:lang w:val="en-IN" w:eastAsia="en-IN"/>
        </w:rPr>
        <w:t xml:space="preserve"> </w:t>
      </w:r>
      <w:r w:rsidR="00C52826" w:rsidRPr="00397115">
        <w:rPr>
          <w:rFonts w:ascii="Arial" w:eastAsia="Times New Roman" w:hAnsi="Arial" w:cs="Arial"/>
          <w:szCs w:val="24"/>
          <w:lang w:val="en-IN" w:eastAsia="en-IN"/>
        </w:rPr>
        <w:t xml:space="preserve">as </w:t>
      </w:r>
      <w:r w:rsidR="00A279C3" w:rsidRPr="00397115">
        <w:rPr>
          <w:rFonts w:ascii="Arial" w:eastAsia="Times New Roman" w:hAnsi="Arial" w:cs="Arial"/>
          <w:szCs w:val="24"/>
          <w:lang w:val="en-IN" w:eastAsia="en-IN"/>
        </w:rPr>
        <w:t>the policies applicable</w:t>
      </w:r>
      <w:r w:rsidR="002B568A" w:rsidRPr="00397115">
        <w:rPr>
          <w:rFonts w:ascii="Arial" w:eastAsia="Times New Roman" w:hAnsi="Arial" w:cs="Arial"/>
          <w:szCs w:val="24"/>
          <w:lang w:val="en-IN" w:eastAsia="en-IN"/>
        </w:rPr>
        <w:t xml:space="preserve"> </w:t>
      </w:r>
      <w:r w:rsidR="00AE6E31" w:rsidRPr="00397115">
        <w:rPr>
          <w:rFonts w:ascii="Arial" w:eastAsia="Times New Roman" w:hAnsi="Arial" w:cs="Arial"/>
          <w:szCs w:val="24"/>
          <w:lang w:val="en-IN" w:eastAsia="en-IN"/>
        </w:rPr>
        <w:t>to</w:t>
      </w:r>
      <w:r w:rsidR="002B568A" w:rsidRPr="00397115">
        <w:rPr>
          <w:rFonts w:ascii="Arial" w:eastAsia="Times New Roman" w:hAnsi="Arial" w:cs="Arial"/>
          <w:szCs w:val="24"/>
          <w:lang w:val="en-IN" w:eastAsia="en-IN"/>
        </w:rPr>
        <w:t xml:space="preserve"> them</w:t>
      </w:r>
      <w:r w:rsidR="00A279C3" w:rsidRPr="00397115">
        <w:rPr>
          <w:rFonts w:ascii="Arial" w:eastAsia="Times New Roman" w:hAnsi="Arial" w:cs="Arial"/>
          <w:szCs w:val="24"/>
          <w:lang w:val="en-IN" w:eastAsia="en-IN"/>
        </w:rPr>
        <w:t>,</w:t>
      </w:r>
      <w:r w:rsidR="002B568A" w:rsidRPr="00397115">
        <w:rPr>
          <w:rFonts w:ascii="Arial" w:eastAsia="Times New Roman" w:hAnsi="Arial" w:cs="Arial"/>
          <w:szCs w:val="24"/>
          <w:lang w:val="en-IN" w:eastAsia="en-IN"/>
        </w:rPr>
        <w:t xml:space="preserve"> as well as</w:t>
      </w:r>
      <w:r w:rsidR="00A279C3" w:rsidRPr="00397115">
        <w:rPr>
          <w:rFonts w:ascii="Arial" w:eastAsia="Times New Roman" w:hAnsi="Arial" w:cs="Arial"/>
          <w:szCs w:val="24"/>
          <w:lang w:val="en-IN" w:eastAsia="en-IN"/>
        </w:rPr>
        <w:t xml:space="preserve"> the objectives </w:t>
      </w:r>
      <w:r w:rsidR="002B568A" w:rsidRPr="00397115">
        <w:rPr>
          <w:rFonts w:ascii="Arial" w:eastAsia="Times New Roman" w:hAnsi="Arial" w:cs="Arial"/>
          <w:szCs w:val="24"/>
          <w:lang w:val="en-IN" w:eastAsia="en-IN"/>
        </w:rPr>
        <w:t xml:space="preserve">they </w:t>
      </w:r>
      <w:r w:rsidR="00A279C3" w:rsidRPr="00397115">
        <w:rPr>
          <w:rFonts w:ascii="Arial" w:eastAsia="Times New Roman" w:hAnsi="Arial" w:cs="Arial"/>
          <w:szCs w:val="24"/>
          <w:lang w:val="en-IN" w:eastAsia="en-IN"/>
        </w:rPr>
        <w:t>pursu</w:t>
      </w:r>
      <w:r w:rsidR="002B568A" w:rsidRPr="00397115">
        <w:rPr>
          <w:rFonts w:ascii="Arial" w:eastAsia="Times New Roman" w:hAnsi="Arial" w:cs="Arial"/>
          <w:szCs w:val="24"/>
          <w:lang w:val="en-IN" w:eastAsia="en-IN"/>
        </w:rPr>
        <w:t>e</w:t>
      </w:r>
      <w:r w:rsidR="00C52826" w:rsidRPr="00397115">
        <w:rPr>
          <w:rFonts w:ascii="Arial" w:eastAsia="Times New Roman" w:hAnsi="Arial" w:cs="Arial"/>
          <w:szCs w:val="24"/>
          <w:lang w:val="en-IN" w:eastAsia="en-IN"/>
        </w:rPr>
        <w:t xml:space="preserve"> differ considerably</w:t>
      </w:r>
      <w:r w:rsidR="002B568A" w:rsidRPr="00397115">
        <w:rPr>
          <w:rFonts w:ascii="Arial" w:eastAsia="Times New Roman" w:hAnsi="Arial" w:cs="Arial"/>
          <w:szCs w:val="24"/>
          <w:lang w:val="en-IN" w:eastAsia="en-IN"/>
        </w:rPr>
        <w:t xml:space="preserve">. ESG investing considers the set of standards and principles applicable to a company, which </w:t>
      </w:r>
      <w:r w:rsidR="00AE6E31" w:rsidRPr="00397115">
        <w:rPr>
          <w:rFonts w:ascii="Arial" w:eastAsia="Times New Roman" w:hAnsi="Arial" w:cs="Arial"/>
          <w:szCs w:val="24"/>
          <w:lang w:val="en-IN" w:eastAsia="en-IN"/>
        </w:rPr>
        <w:t>are</w:t>
      </w:r>
      <w:r w:rsidR="00090A7C" w:rsidRPr="00397115">
        <w:rPr>
          <w:rFonts w:ascii="Arial" w:eastAsia="Times New Roman" w:hAnsi="Arial" w:cs="Arial"/>
          <w:szCs w:val="24"/>
          <w:lang w:val="en-IN" w:eastAsia="en-IN"/>
        </w:rPr>
        <w:t xml:space="preserve"> </w:t>
      </w:r>
      <w:r w:rsidR="002B568A" w:rsidRPr="00397115">
        <w:rPr>
          <w:rFonts w:ascii="Arial" w:eastAsia="Times New Roman" w:hAnsi="Arial" w:cs="Arial"/>
          <w:szCs w:val="24"/>
          <w:lang w:val="en-IN" w:eastAsia="en-IN"/>
        </w:rPr>
        <w:t xml:space="preserve">used by investors to screen </w:t>
      </w:r>
      <w:r w:rsidR="00AE6E31" w:rsidRPr="00397115">
        <w:rPr>
          <w:rFonts w:ascii="Arial" w:eastAsia="Times New Roman" w:hAnsi="Arial" w:cs="Arial"/>
          <w:szCs w:val="24"/>
          <w:lang w:val="en-IN" w:eastAsia="en-IN"/>
        </w:rPr>
        <w:t xml:space="preserve">impact of </w:t>
      </w:r>
      <w:r w:rsidR="00090A7C" w:rsidRPr="00397115">
        <w:rPr>
          <w:rFonts w:ascii="Arial" w:eastAsia="Times New Roman" w:hAnsi="Arial" w:cs="Arial"/>
          <w:szCs w:val="24"/>
          <w:lang w:val="en-IN" w:eastAsia="en-IN"/>
        </w:rPr>
        <w:t xml:space="preserve">their </w:t>
      </w:r>
      <w:r w:rsidR="002B568A" w:rsidRPr="00397115">
        <w:rPr>
          <w:rFonts w:ascii="Arial" w:eastAsia="Times New Roman" w:hAnsi="Arial" w:cs="Arial"/>
          <w:szCs w:val="24"/>
          <w:lang w:val="en-IN" w:eastAsia="en-IN"/>
        </w:rPr>
        <w:t>potential investments</w:t>
      </w:r>
      <w:r w:rsidR="00090A7C" w:rsidRPr="00397115">
        <w:rPr>
          <w:rFonts w:ascii="Arial" w:eastAsia="Times New Roman" w:hAnsi="Arial" w:cs="Arial"/>
          <w:szCs w:val="24"/>
          <w:lang w:val="en-IN" w:eastAsia="en-IN"/>
        </w:rPr>
        <w:t>.</w:t>
      </w:r>
      <w:r w:rsidR="002B568A" w:rsidRPr="00397115">
        <w:rPr>
          <w:rFonts w:ascii="Arial" w:eastAsia="Times New Roman" w:hAnsi="Arial" w:cs="Arial"/>
          <w:szCs w:val="24"/>
          <w:lang w:val="en-IN" w:eastAsia="en-IN"/>
        </w:rPr>
        <w:t xml:space="preserve"> </w:t>
      </w:r>
      <w:r w:rsidR="00090A7C" w:rsidRPr="00397115">
        <w:rPr>
          <w:rFonts w:ascii="Arial" w:eastAsia="Times New Roman" w:hAnsi="Arial" w:cs="Arial"/>
          <w:szCs w:val="24"/>
          <w:lang w:val="en-IN" w:eastAsia="en-IN"/>
        </w:rPr>
        <w:t>I</w:t>
      </w:r>
      <w:r w:rsidR="002B568A" w:rsidRPr="00397115">
        <w:rPr>
          <w:rFonts w:ascii="Arial" w:eastAsia="Times New Roman" w:hAnsi="Arial" w:cs="Arial"/>
          <w:szCs w:val="24"/>
          <w:lang w:val="en-IN" w:eastAsia="en-IN"/>
        </w:rPr>
        <w:t>t serves as a tool for reducing investors’ risk from invest</w:t>
      </w:r>
      <w:r w:rsidR="00AA0441" w:rsidRPr="00397115">
        <w:rPr>
          <w:rFonts w:ascii="Arial" w:eastAsia="Times New Roman" w:hAnsi="Arial" w:cs="Arial"/>
          <w:szCs w:val="24"/>
          <w:lang w:val="en-IN" w:eastAsia="en-IN"/>
        </w:rPr>
        <w:t>ments</w:t>
      </w:r>
      <w:r w:rsidR="002B568A" w:rsidRPr="00397115">
        <w:rPr>
          <w:rFonts w:ascii="Arial" w:eastAsia="Times New Roman" w:hAnsi="Arial" w:cs="Arial"/>
          <w:szCs w:val="24"/>
          <w:lang w:val="en-IN" w:eastAsia="en-IN"/>
        </w:rPr>
        <w:t xml:space="preserve"> in companies </w:t>
      </w:r>
      <w:r w:rsidR="00AA0441" w:rsidRPr="00397115">
        <w:rPr>
          <w:rFonts w:ascii="Arial" w:eastAsia="Times New Roman" w:hAnsi="Arial" w:cs="Arial"/>
          <w:szCs w:val="24"/>
          <w:lang w:val="en-IN" w:eastAsia="en-IN"/>
        </w:rPr>
        <w:t xml:space="preserve">operating in sensitive </w:t>
      </w:r>
      <w:r w:rsidR="00A97383" w:rsidRPr="00397115">
        <w:rPr>
          <w:rFonts w:ascii="Arial" w:eastAsia="Times New Roman" w:hAnsi="Arial" w:cs="Arial"/>
          <w:szCs w:val="24"/>
          <w:lang w:val="en-IN" w:eastAsia="en-IN"/>
        </w:rPr>
        <w:t>locations or sectors</w:t>
      </w:r>
      <w:r w:rsidR="00AA0441" w:rsidRPr="00397115">
        <w:rPr>
          <w:rFonts w:ascii="Arial" w:eastAsia="Times New Roman" w:hAnsi="Arial" w:cs="Arial"/>
          <w:szCs w:val="24"/>
          <w:lang w:val="en-IN" w:eastAsia="en-IN"/>
        </w:rPr>
        <w:t xml:space="preserve">, or those </w:t>
      </w:r>
      <w:r w:rsidR="002B568A" w:rsidRPr="00397115">
        <w:rPr>
          <w:rFonts w:ascii="Arial" w:eastAsia="Times New Roman" w:hAnsi="Arial" w:cs="Arial"/>
          <w:szCs w:val="24"/>
          <w:lang w:val="en-IN" w:eastAsia="en-IN"/>
        </w:rPr>
        <w:t xml:space="preserve">with </w:t>
      </w:r>
      <w:r w:rsidR="00AA0441" w:rsidRPr="00397115">
        <w:rPr>
          <w:rFonts w:ascii="Arial" w:eastAsia="Times New Roman" w:hAnsi="Arial" w:cs="Arial"/>
          <w:szCs w:val="24"/>
          <w:lang w:val="en-IN" w:eastAsia="en-IN"/>
        </w:rPr>
        <w:t xml:space="preserve">a track record of </w:t>
      </w:r>
      <w:r w:rsidR="002B568A" w:rsidRPr="00397115">
        <w:rPr>
          <w:rFonts w:ascii="Arial" w:eastAsia="Times New Roman" w:hAnsi="Arial" w:cs="Arial"/>
          <w:szCs w:val="24"/>
          <w:lang w:val="en-IN" w:eastAsia="en-IN"/>
        </w:rPr>
        <w:t xml:space="preserve">dubious or unethical conduct. </w:t>
      </w:r>
      <w:r w:rsidR="00A971FA" w:rsidRPr="00397115">
        <w:rPr>
          <w:rFonts w:ascii="Arial" w:eastAsia="Times New Roman" w:hAnsi="Arial" w:cs="Arial"/>
          <w:szCs w:val="24"/>
          <w:lang w:val="en-IN" w:eastAsia="en-IN"/>
        </w:rPr>
        <w:t>While s</w:t>
      </w:r>
      <w:r w:rsidR="001B2AA2" w:rsidRPr="00397115">
        <w:rPr>
          <w:rFonts w:ascii="Arial" w:eastAsia="Times New Roman" w:hAnsi="Arial" w:cs="Arial"/>
          <w:szCs w:val="24"/>
          <w:lang w:val="en-IN" w:eastAsia="en-IN"/>
        </w:rPr>
        <w:t xml:space="preserve">ome investors </w:t>
      </w:r>
      <w:r w:rsidR="009200F2" w:rsidRPr="00397115">
        <w:rPr>
          <w:rFonts w:ascii="Arial" w:eastAsia="Times New Roman" w:hAnsi="Arial" w:cs="Arial"/>
          <w:szCs w:val="24"/>
          <w:lang w:val="en-IN" w:eastAsia="en-IN"/>
        </w:rPr>
        <w:t>pursue investments only if they lead to better ESG</w:t>
      </w:r>
      <w:r w:rsidR="00A971FA" w:rsidRPr="00397115">
        <w:rPr>
          <w:rFonts w:ascii="Arial" w:eastAsia="Times New Roman" w:hAnsi="Arial" w:cs="Arial"/>
          <w:szCs w:val="24"/>
          <w:lang w:val="en-IN" w:eastAsia="en-IN"/>
        </w:rPr>
        <w:t>-related</w:t>
      </w:r>
      <w:r w:rsidR="009200F2" w:rsidRPr="00397115">
        <w:rPr>
          <w:rFonts w:ascii="Arial" w:eastAsia="Times New Roman" w:hAnsi="Arial" w:cs="Arial"/>
          <w:szCs w:val="24"/>
          <w:lang w:val="en-IN" w:eastAsia="en-IN"/>
        </w:rPr>
        <w:t xml:space="preserve"> outcomes</w:t>
      </w:r>
      <w:r w:rsidR="00A971FA" w:rsidRPr="00397115">
        <w:rPr>
          <w:rFonts w:ascii="Arial" w:eastAsia="Times New Roman" w:hAnsi="Arial" w:cs="Arial"/>
          <w:szCs w:val="24"/>
          <w:lang w:val="en-IN" w:eastAsia="en-IN"/>
        </w:rPr>
        <w:t xml:space="preserve">, others understand it </w:t>
      </w:r>
      <w:r w:rsidR="008B0FE3" w:rsidRPr="00397115">
        <w:rPr>
          <w:rFonts w:ascii="Arial" w:eastAsia="Times New Roman" w:hAnsi="Arial" w:cs="Arial"/>
          <w:szCs w:val="24"/>
          <w:lang w:val="en-IN" w:eastAsia="en-IN"/>
        </w:rPr>
        <w:t>in terms of</w:t>
      </w:r>
      <w:r w:rsidR="00127BE8" w:rsidRPr="00397115">
        <w:rPr>
          <w:rFonts w:ascii="Arial" w:eastAsia="Times New Roman" w:hAnsi="Arial" w:cs="Arial"/>
          <w:szCs w:val="24"/>
          <w:lang w:val="en-IN" w:eastAsia="en-IN"/>
        </w:rPr>
        <w:t xml:space="preserve"> a company’s </w:t>
      </w:r>
      <w:r w:rsidR="00203C55" w:rsidRPr="00397115">
        <w:rPr>
          <w:rFonts w:ascii="Arial" w:eastAsia="Times New Roman" w:hAnsi="Arial" w:cs="Arial"/>
          <w:szCs w:val="24"/>
          <w:lang w:val="en-IN" w:eastAsia="en-IN"/>
        </w:rPr>
        <w:t xml:space="preserve">exposure to </w:t>
      </w:r>
      <w:r w:rsidR="00127BE8" w:rsidRPr="00397115">
        <w:rPr>
          <w:rFonts w:ascii="Arial" w:eastAsia="Times New Roman" w:hAnsi="Arial" w:cs="Arial"/>
          <w:szCs w:val="24"/>
          <w:lang w:val="en-IN" w:eastAsia="en-IN"/>
        </w:rPr>
        <w:t>financially material environmental, societal and governance risks</w:t>
      </w:r>
      <w:r w:rsidR="008D6424" w:rsidRPr="00397115">
        <w:rPr>
          <w:rFonts w:ascii="Arial" w:eastAsia="Times New Roman" w:hAnsi="Arial" w:cs="Arial"/>
          <w:szCs w:val="24"/>
          <w:lang w:val="en-IN" w:eastAsia="en-IN"/>
        </w:rPr>
        <w:t>.</w:t>
      </w:r>
      <w:r w:rsidR="002B568A" w:rsidRPr="00397115">
        <w:rPr>
          <w:rFonts w:ascii="Arial" w:eastAsia="Times New Roman" w:hAnsi="Arial" w:cs="Arial"/>
          <w:szCs w:val="24"/>
          <w:lang w:val="en-IN" w:eastAsia="en-IN"/>
        </w:rPr>
        <w:t xml:space="preserve"> </w:t>
      </w:r>
      <w:r w:rsidR="008D6424" w:rsidRPr="00397115">
        <w:rPr>
          <w:rFonts w:ascii="Arial" w:eastAsia="Times New Roman" w:hAnsi="Arial" w:cs="Arial"/>
          <w:szCs w:val="24"/>
          <w:lang w:val="en-IN" w:eastAsia="en-IN"/>
        </w:rPr>
        <w:t xml:space="preserve">However, neither of these </w:t>
      </w:r>
      <w:r w:rsidR="002B568A" w:rsidRPr="00397115">
        <w:rPr>
          <w:rFonts w:ascii="Arial" w:eastAsia="Times New Roman" w:hAnsi="Arial" w:cs="Arial"/>
          <w:szCs w:val="24"/>
          <w:lang w:val="en-IN" w:eastAsia="en-IN"/>
        </w:rPr>
        <w:t xml:space="preserve">consider the existing responsibilities of businesses to prevent, mitigate and remedy human rights violations in the conduct of their business activities and relationships.  </w:t>
      </w:r>
    </w:p>
    <w:p w14:paraId="734AE7A7" w14:textId="2E057D76" w:rsidR="002B568A" w:rsidRPr="00397115" w:rsidRDefault="00BA3B8C" w:rsidP="00366352">
      <w:pPr>
        <w:spacing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On the other hand, </w:t>
      </w:r>
      <w:r w:rsidR="002B568A" w:rsidRPr="00397115">
        <w:rPr>
          <w:rFonts w:ascii="Arial" w:eastAsia="Times New Roman" w:hAnsi="Arial" w:cs="Arial"/>
          <w:szCs w:val="24"/>
          <w:lang w:val="en-IN" w:eastAsia="en-IN"/>
        </w:rPr>
        <w:t>ESG reporting</w:t>
      </w:r>
      <w:r w:rsidR="00DE225A" w:rsidRPr="00397115">
        <w:rPr>
          <w:rFonts w:ascii="Arial" w:eastAsia="Times New Roman" w:hAnsi="Arial" w:cs="Arial"/>
          <w:szCs w:val="24"/>
          <w:lang w:val="en-IN" w:eastAsia="en-IN"/>
        </w:rPr>
        <w:t xml:space="preserve"> </w:t>
      </w:r>
      <w:r w:rsidRPr="00397115">
        <w:rPr>
          <w:rFonts w:ascii="Arial" w:eastAsia="Times New Roman" w:hAnsi="Arial" w:cs="Arial"/>
          <w:szCs w:val="24"/>
          <w:lang w:val="en-IN" w:eastAsia="en-IN"/>
        </w:rPr>
        <w:t>is based on</w:t>
      </w:r>
      <w:r w:rsidR="00DE225A" w:rsidRPr="00397115">
        <w:rPr>
          <w:rFonts w:ascii="Arial" w:eastAsia="Times New Roman" w:hAnsi="Arial" w:cs="Arial"/>
          <w:szCs w:val="24"/>
          <w:lang w:val="en-IN" w:eastAsia="en-IN"/>
        </w:rPr>
        <w:t xml:space="preserve"> the set o</w:t>
      </w:r>
      <w:r w:rsidR="00B50EDD" w:rsidRPr="00397115">
        <w:rPr>
          <w:rFonts w:ascii="Arial" w:eastAsia="Times New Roman" w:hAnsi="Arial" w:cs="Arial"/>
          <w:szCs w:val="24"/>
          <w:lang w:val="en-IN" w:eastAsia="en-IN"/>
        </w:rPr>
        <w:t xml:space="preserve">f </w:t>
      </w:r>
      <w:r w:rsidR="00DE225A" w:rsidRPr="00397115">
        <w:rPr>
          <w:rFonts w:ascii="Arial" w:eastAsia="Times New Roman" w:hAnsi="Arial" w:cs="Arial"/>
          <w:szCs w:val="24"/>
          <w:lang w:val="en-IN" w:eastAsia="en-IN"/>
        </w:rPr>
        <w:t>criteria and metrics used by companies</w:t>
      </w:r>
      <w:r w:rsidR="009928F7" w:rsidRPr="00397115">
        <w:rPr>
          <w:rFonts w:ascii="Arial" w:eastAsia="Times New Roman" w:hAnsi="Arial" w:cs="Arial"/>
          <w:szCs w:val="24"/>
          <w:lang w:val="en-IN" w:eastAsia="en-IN"/>
        </w:rPr>
        <w:t xml:space="preserve"> </w:t>
      </w:r>
      <w:r w:rsidRPr="00397115">
        <w:rPr>
          <w:rFonts w:ascii="Arial" w:eastAsia="Times New Roman" w:hAnsi="Arial" w:cs="Arial"/>
          <w:szCs w:val="24"/>
          <w:lang w:val="en-IN" w:eastAsia="en-IN"/>
        </w:rPr>
        <w:t xml:space="preserve">for </w:t>
      </w:r>
      <w:r w:rsidR="00C94EC6" w:rsidRPr="00397115">
        <w:rPr>
          <w:rFonts w:ascii="Arial" w:eastAsia="Times New Roman" w:hAnsi="Arial" w:cs="Arial"/>
          <w:szCs w:val="24"/>
          <w:lang w:val="en-IN" w:eastAsia="en-IN"/>
        </w:rPr>
        <w:t>evaluat</w:t>
      </w:r>
      <w:r w:rsidR="00F20311" w:rsidRPr="00397115">
        <w:rPr>
          <w:rFonts w:ascii="Arial" w:eastAsia="Times New Roman" w:hAnsi="Arial" w:cs="Arial"/>
          <w:szCs w:val="24"/>
          <w:lang w:val="en-IN" w:eastAsia="en-IN"/>
        </w:rPr>
        <w:t>ing</w:t>
      </w:r>
      <w:r w:rsidR="00C94EC6" w:rsidRPr="00397115">
        <w:rPr>
          <w:rFonts w:ascii="Arial" w:eastAsia="Times New Roman" w:hAnsi="Arial" w:cs="Arial"/>
          <w:szCs w:val="24"/>
          <w:lang w:val="en-IN" w:eastAsia="en-IN"/>
        </w:rPr>
        <w:t xml:space="preserve"> </w:t>
      </w:r>
      <w:r w:rsidR="00F20311" w:rsidRPr="00397115">
        <w:rPr>
          <w:rFonts w:ascii="Arial" w:eastAsia="Times New Roman" w:hAnsi="Arial" w:cs="Arial"/>
          <w:szCs w:val="24"/>
          <w:lang w:val="en-IN" w:eastAsia="en-IN"/>
        </w:rPr>
        <w:t xml:space="preserve">their </w:t>
      </w:r>
      <w:r w:rsidR="00C94EC6" w:rsidRPr="00397115">
        <w:rPr>
          <w:rFonts w:ascii="Arial" w:eastAsia="Times New Roman" w:hAnsi="Arial" w:cs="Arial"/>
          <w:szCs w:val="24"/>
          <w:lang w:val="en-IN" w:eastAsia="en-IN"/>
        </w:rPr>
        <w:t>vulnerability to ESG risks</w:t>
      </w:r>
      <w:r w:rsidR="00C94EC6" w:rsidRPr="00397115">
        <w:rPr>
          <w:rStyle w:val="FootnoteReference"/>
          <w:rFonts w:ascii="Arial" w:eastAsia="Times New Roman" w:hAnsi="Arial" w:cs="Arial"/>
          <w:szCs w:val="24"/>
          <w:lang w:val="en-IN" w:eastAsia="en-IN"/>
        </w:rPr>
        <w:footnoteReference w:id="6"/>
      </w:r>
      <w:r w:rsidR="00F20311" w:rsidRPr="00397115">
        <w:rPr>
          <w:rFonts w:ascii="Arial" w:eastAsia="Times New Roman" w:hAnsi="Arial" w:cs="Arial"/>
          <w:szCs w:val="24"/>
          <w:lang w:val="en-IN" w:eastAsia="en-IN"/>
        </w:rPr>
        <w:t>.</w:t>
      </w:r>
      <w:r w:rsidR="00C94EC6" w:rsidRPr="00397115">
        <w:rPr>
          <w:rFonts w:ascii="Arial" w:eastAsia="Times New Roman" w:hAnsi="Arial" w:cs="Arial"/>
          <w:szCs w:val="24"/>
          <w:lang w:val="en-IN" w:eastAsia="en-IN"/>
        </w:rPr>
        <w:t xml:space="preserve"> </w:t>
      </w:r>
      <w:r w:rsidR="009E5CD7" w:rsidRPr="00397115">
        <w:rPr>
          <w:rFonts w:ascii="Arial" w:eastAsia="Times New Roman" w:hAnsi="Arial" w:cs="Arial"/>
          <w:szCs w:val="24"/>
          <w:lang w:val="en-IN" w:eastAsia="en-IN"/>
        </w:rPr>
        <w:t xml:space="preserve">Some reporting criteria developed by </w:t>
      </w:r>
      <w:r w:rsidR="00050D13" w:rsidRPr="00397115">
        <w:rPr>
          <w:rFonts w:ascii="Arial" w:eastAsia="Times New Roman" w:hAnsi="Arial" w:cs="Arial"/>
          <w:szCs w:val="24"/>
          <w:lang w:val="en-IN" w:eastAsia="en-IN"/>
        </w:rPr>
        <w:t>ESG rating agencies might also</w:t>
      </w:r>
      <w:r w:rsidR="00FB1F7C" w:rsidRPr="00397115">
        <w:rPr>
          <w:rFonts w:ascii="Arial" w:eastAsia="Times New Roman" w:hAnsi="Arial" w:cs="Arial"/>
          <w:szCs w:val="24"/>
          <w:lang w:val="en-IN" w:eastAsia="en-IN"/>
        </w:rPr>
        <w:t xml:space="preserve"> allow </w:t>
      </w:r>
      <w:r w:rsidR="00050D13" w:rsidRPr="00397115">
        <w:rPr>
          <w:rFonts w:ascii="Arial" w:eastAsia="Times New Roman" w:hAnsi="Arial" w:cs="Arial"/>
          <w:szCs w:val="24"/>
          <w:lang w:val="en-IN" w:eastAsia="en-IN"/>
        </w:rPr>
        <w:t xml:space="preserve">for </w:t>
      </w:r>
      <w:r w:rsidR="00125E1C" w:rsidRPr="00397115">
        <w:rPr>
          <w:rFonts w:ascii="Arial" w:eastAsia="Times New Roman" w:hAnsi="Arial" w:cs="Arial"/>
          <w:szCs w:val="24"/>
          <w:lang w:val="en-IN" w:eastAsia="en-IN"/>
        </w:rPr>
        <w:t xml:space="preserve">comparison </w:t>
      </w:r>
      <w:r w:rsidR="00AE6E31" w:rsidRPr="00397115">
        <w:rPr>
          <w:rFonts w:ascii="Arial" w:eastAsia="Times New Roman" w:hAnsi="Arial" w:cs="Arial"/>
          <w:szCs w:val="24"/>
          <w:lang w:val="en-IN" w:eastAsia="en-IN"/>
        </w:rPr>
        <w:t xml:space="preserve">with the </w:t>
      </w:r>
      <w:r w:rsidR="008218F8" w:rsidRPr="00397115">
        <w:rPr>
          <w:rFonts w:ascii="Arial" w:eastAsia="Times New Roman" w:hAnsi="Arial" w:cs="Arial"/>
          <w:szCs w:val="24"/>
          <w:lang w:val="en-IN" w:eastAsia="en-IN"/>
        </w:rPr>
        <w:t xml:space="preserve">company’s </w:t>
      </w:r>
      <w:r w:rsidR="00FD5FD4" w:rsidRPr="00397115">
        <w:rPr>
          <w:rFonts w:ascii="Arial" w:eastAsia="Times New Roman" w:hAnsi="Arial" w:cs="Arial"/>
          <w:szCs w:val="24"/>
          <w:lang w:val="en-IN" w:eastAsia="en-IN"/>
        </w:rPr>
        <w:t xml:space="preserve"> competit</w:t>
      </w:r>
      <w:r w:rsidR="008218F8" w:rsidRPr="00397115">
        <w:rPr>
          <w:rFonts w:ascii="Arial" w:eastAsia="Times New Roman" w:hAnsi="Arial" w:cs="Arial"/>
          <w:szCs w:val="24"/>
          <w:lang w:val="en-IN" w:eastAsia="en-IN"/>
        </w:rPr>
        <w:t>ors</w:t>
      </w:r>
      <w:r w:rsidR="00C40D8B">
        <w:rPr>
          <w:rFonts w:ascii="Arial" w:eastAsia="Times New Roman" w:hAnsi="Arial" w:cs="Arial"/>
          <w:szCs w:val="24"/>
          <w:lang w:val="en-IN" w:eastAsia="en-IN"/>
        </w:rPr>
        <w:t>.</w:t>
      </w:r>
      <w:r w:rsidR="00FD5FD4" w:rsidRPr="00397115">
        <w:rPr>
          <w:rStyle w:val="FootnoteReference"/>
          <w:rFonts w:ascii="Arial" w:eastAsia="Times New Roman" w:hAnsi="Arial" w:cs="Arial"/>
          <w:szCs w:val="24"/>
          <w:lang w:val="en-IN" w:eastAsia="en-IN"/>
        </w:rPr>
        <w:footnoteReference w:id="7"/>
      </w:r>
      <w:r w:rsidR="00FD5FD4" w:rsidRPr="00397115">
        <w:rPr>
          <w:rFonts w:ascii="Arial" w:eastAsia="Times New Roman" w:hAnsi="Arial" w:cs="Arial"/>
          <w:szCs w:val="24"/>
          <w:lang w:val="en-IN" w:eastAsia="en-IN"/>
        </w:rPr>
        <w:t xml:space="preserve"> </w:t>
      </w:r>
      <w:r w:rsidR="00125E1C" w:rsidRPr="00397115">
        <w:rPr>
          <w:rFonts w:ascii="Arial" w:eastAsia="Times New Roman" w:hAnsi="Arial" w:cs="Arial"/>
          <w:szCs w:val="24"/>
          <w:lang w:val="en-IN" w:eastAsia="en-IN"/>
        </w:rPr>
        <w:t>These methodologie</w:t>
      </w:r>
      <w:r w:rsidR="00D279AC" w:rsidRPr="00397115">
        <w:rPr>
          <w:rFonts w:ascii="Arial" w:eastAsia="Times New Roman" w:hAnsi="Arial" w:cs="Arial"/>
          <w:szCs w:val="24"/>
          <w:lang w:val="en-IN" w:eastAsia="en-IN"/>
        </w:rPr>
        <w:t xml:space="preserve">s </w:t>
      </w:r>
      <w:r w:rsidR="008218F8" w:rsidRPr="00397115">
        <w:rPr>
          <w:rFonts w:ascii="Arial" w:eastAsia="Times New Roman" w:hAnsi="Arial" w:cs="Arial"/>
          <w:szCs w:val="24"/>
          <w:lang w:val="en-IN" w:eastAsia="en-IN"/>
        </w:rPr>
        <w:t xml:space="preserve">can </w:t>
      </w:r>
      <w:r w:rsidR="00784BF6" w:rsidRPr="00397115">
        <w:rPr>
          <w:rFonts w:ascii="Arial" w:eastAsia="Times New Roman" w:hAnsi="Arial" w:cs="Arial"/>
          <w:szCs w:val="24"/>
          <w:lang w:val="en-IN" w:eastAsia="en-IN"/>
        </w:rPr>
        <w:t xml:space="preserve">help </w:t>
      </w:r>
      <w:r w:rsidR="00D279AC" w:rsidRPr="00397115">
        <w:rPr>
          <w:rFonts w:ascii="Arial" w:eastAsia="Times New Roman" w:hAnsi="Arial" w:cs="Arial"/>
          <w:szCs w:val="24"/>
          <w:lang w:val="en-IN" w:eastAsia="en-IN"/>
        </w:rPr>
        <w:t>firms to g</w:t>
      </w:r>
      <w:r w:rsidR="004C72C1" w:rsidRPr="00397115">
        <w:rPr>
          <w:rFonts w:ascii="Arial" w:eastAsia="Times New Roman" w:hAnsi="Arial" w:cs="Arial"/>
          <w:szCs w:val="24"/>
          <w:lang w:val="en-IN" w:eastAsia="en-IN"/>
        </w:rPr>
        <w:t>ain</w:t>
      </w:r>
      <w:r w:rsidR="00D279AC" w:rsidRPr="00397115">
        <w:rPr>
          <w:rFonts w:ascii="Arial" w:eastAsia="Times New Roman" w:hAnsi="Arial" w:cs="Arial"/>
          <w:szCs w:val="24"/>
          <w:lang w:val="en-IN" w:eastAsia="en-IN"/>
        </w:rPr>
        <w:t xml:space="preserve"> </w:t>
      </w:r>
      <w:r w:rsidR="004C72C1" w:rsidRPr="00397115">
        <w:rPr>
          <w:rFonts w:ascii="Arial" w:eastAsia="Times New Roman" w:hAnsi="Arial" w:cs="Arial"/>
          <w:szCs w:val="24"/>
          <w:lang w:val="en-IN" w:eastAsia="en-IN"/>
        </w:rPr>
        <w:t xml:space="preserve">exposure </w:t>
      </w:r>
      <w:r w:rsidR="00D279AC" w:rsidRPr="00397115">
        <w:rPr>
          <w:rFonts w:ascii="Arial" w:eastAsia="Times New Roman" w:hAnsi="Arial" w:cs="Arial"/>
          <w:szCs w:val="24"/>
          <w:lang w:val="en-IN" w:eastAsia="en-IN"/>
        </w:rPr>
        <w:t>i</w:t>
      </w:r>
      <w:r w:rsidR="00784BF6" w:rsidRPr="00397115">
        <w:rPr>
          <w:rFonts w:ascii="Arial" w:eastAsia="Times New Roman" w:hAnsi="Arial" w:cs="Arial"/>
          <w:szCs w:val="24"/>
          <w:lang w:val="en-IN" w:eastAsia="en-IN"/>
        </w:rPr>
        <w:t>n</w:t>
      </w:r>
      <w:r w:rsidR="00D279AC" w:rsidRPr="00397115">
        <w:rPr>
          <w:rFonts w:ascii="Arial" w:eastAsia="Times New Roman" w:hAnsi="Arial" w:cs="Arial"/>
          <w:szCs w:val="24"/>
          <w:lang w:val="en-IN" w:eastAsia="en-IN"/>
        </w:rPr>
        <w:t xml:space="preserve"> </w:t>
      </w:r>
      <w:r w:rsidR="006E2A04" w:rsidRPr="00397115">
        <w:rPr>
          <w:rFonts w:ascii="Arial" w:eastAsia="Times New Roman" w:hAnsi="Arial" w:cs="Arial"/>
          <w:szCs w:val="24"/>
          <w:lang w:val="en-IN" w:eastAsia="en-IN"/>
        </w:rPr>
        <w:t>ESG markets</w:t>
      </w:r>
      <w:r w:rsidR="00784BF6" w:rsidRPr="00397115">
        <w:rPr>
          <w:rFonts w:ascii="Arial" w:eastAsia="Times New Roman" w:hAnsi="Arial" w:cs="Arial"/>
          <w:szCs w:val="24"/>
          <w:lang w:val="en-IN" w:eastAsia="en-IN"/>
        </w:rPr>
        <w:t>, better position themselves as being environmentally or socially ‘conscious’</w:t>
      </w:r>
      <w:r w:rsidR="006E2A04" w:rsidRPr="00397115">
        <w:rPr>
          <w:rFonts w:ascii="Arial" w:eastAsia="Times New Roman" w:hAnsi="Arial" w:cs="Arial"/>
          <w:szCs w:val="24"/>
          <w:lang w:val="en-IN" w:eastAsia="en-IN"/>
        </w:rPr>
        <w:t xml:space="preserve"> and</w:t>
      </w:r>
      <w:r w:rsidR="00E053CD" w:rsidRPr="00397115">
        <w:rPr>
          <w:rFonts w:ascii="Arial" w:eastAsia="Times New Roman" w:hAnsi="Arial" w:cs="Arial"/>
          <w:szCs w:val="24"/>
          <w:lang w:val="en-IN" w:eastAsia="en-IN"/>
        </w:rPr>
        <w:t xml:space="preserve"> benefi</w:t>
      </w:r>
      <w:r w:rsidR="00D279AC" w:rsidRPr="00397115">
        <w:rPr>
          <w:rFonts w:ascii="Arial" w:eastAsia="Times New Roman" w:hAnsi="Arial" w:cs="Arial"/>
          <w:szCs w:val="24"/>
          <w:lang w:val="en-IN" w:eastAsia="en-IN"/>
        </w:rPr>
        <w:t xml:space="preserve">t </w:t>
      </w:r>
      <w:r w:rsidR="00E053CD" w:rsidRPr="00397115">
        <w:rPr>
          <w:rFonts w:ascii="Arial" w:eastAsia="Times New Roman" w:hAnsi="Arial" w:cs="Arial"/>
          <w:szCs w:val="24"/>
          <w:lang w:val="en-IN" w:eastAsia="en-IN"/>
        </w:rPr>
        <w:lastRenderedPageBreak/>
        <w:t xml:space="preserve">from special funds </w:t>
      </w:r>
      <w:r w:rsidR="00AE1874" w:rsidRPr="00397115">
        <w:rPr>
          <w:rFonts w:ascii="Arial" w:eastAsia="Times New Roman" w:hAnsi="Arial" w:cs="Arial"/>
          <w:szCs w:val="24"/>
          <w:lang w:val="en-IN" w:eastAsia="en-IN"/>
        </w:rPr>
        <w:t xml:space="preserve">targeted </w:t>
      </w:r>
      <w:r w:rsidR="00E053CD" w:rsidRPr="00397115">
        <w:rPr>
          <w:rFonts w:ascii="Arial" w:eastAsia="Times New Roman" w:hAnsi="Arial" w:cs="Arial"/>
          <w:szCs w:val="24"/>
          <w:lang w:val="en-IN" w:eastAsia="en-IN"/>
        </w:rPr>
        <w:t xml:space="preserve">towards </w:t>
      </w:r>
      <w:r w:rsidR="006233D3" w:rsidRPr="00397115">
        <w:rPr>
          <w:rFonts w:ascii="Arial" w:eastAsia="Times New Roman" w:hAnsi="Arial" w:cs="Arial"/>
          <w:szCs w:val="24"/>
          <w:lang w:val="en-IN" w:eastAsia="en-IN"/>
        </w:rPr>
        <w:t xml:space="preserve">attaining social </w:t>
      </w:r>
      <w:r w:rsidR="00AE1874" w:rsidRPr="00397115">
        <w:rPr>
          <w:rFonts w:ascii="Arial" w:eastAsia="Times New Roman" w:hAnsi="Arial" w:cs="Arial"/>
          <w:szCs w:val="24"/>
          <w:lang w:val="en-IN" w:eastAsia="en-IN"/>
        </w:rPr>
        <w:t xml:space="preserve">or </w:t>
      </w:r>
      <w:r w:rsidR="006233D3" w:rsidRPr="00397115">
        <w:rPr>
          <w:rFonts w:ascii="Arial" w:eastAsia="Times New Roman" w:hAnsi="Arial" w:cs="Arial"/>
          <w:szCs w:val="24"/>
          <w:lang w:val="en-IN" w:eastAsia="en-IN"/>
        </w:rPr>
        <w:t>environmental objectives. For example, r</w:t>
      </w:r>
      <w:r w:rsidR="002B568A" w:rsidRPr="00397115">
        <w:rPr>
          <w:rFonts w:ascii="Arial" w:eastAsia="Times New Roman" w:hAnsi="Arial" w:cs="Arial"/>
          <w:szCs w:val="24"/>
          <w:lang w:val="en-IN" w:eastAsia="en-IN"/>
        </w:rPr>
        <w:t>esearch suggests that there is a strong demand for ESG investments, with so-called “‘sustainable’ funds globally attracting net inflows of $49 billion in the first half of this year, while the rest of the fund industry saw outflows of $9 billion”</w:t>
      </w:r>
      <w:r w:rsidR="002B568A" w:rsidRPr="00397115">
        <w:rPr>
          <w:rStyle w:val="FootnoteReference"/>
          <w:rFonts w:ascii="Arial" w:eastAsia="Times New Roman" w:hAnsi="Arial" w:cs="Arial"/>
          <w:szCs w:val="24"/>
          <w:lang w:val="en-IN" w:eastAsia="en-IN"/>
        </w:rPr>
        <w:footnoteReference w:id="8"/>
      </w:r>
      <w:r w:rsidR="002B568A" w:rsidRPr="00397115">
        <w:rPr>
          <w:rFonts w:ascii="Arial" w:eastAsia="Times New Roman" w:hAnsi="Arial" w:cs="Arial"/>
          <w:szCs w:val="24"/>
          <w:lang w:val="en-IN" w:eastAsia="en-IN"/>
        </w:rPr>
        <w:t>. In rare instances, investors have even pulled out their investment from companies that failed to meet or had insufficient ESG targets</w:t>
      </w:r>
      <w:r w:rsidR="002B568A" w:rsidRPr="00397115">
        <w:rPr>
          <w:rStyle w:val="FootnoteReference"/>
          <w:rFonts w:ascii="Arial" w:eastAsia="Times New Roman" w:hAnsi="Arial" w:cs="Arial"/>
          <w:szCs w:val="24"/>
          <w:lang w:val="en-IN" w:eastAsia="en-IN"/>
        </w:rPr>
        <w:footnoteReference w:id="9"/>
      </w:r>
      <w:r w:rsidR="002B568A" w:rsidRPr="00397115">
        <w:rPr>
          <w:rFonts w:ascii="Arial" w:eastAsia="Times New Roman" w:hAnsi="Arial" w:cs="Arial"/>
          <w:szCs w:val="24"/>
          <w:lang w:val="en-IN" w:eastAsia="en-IN"/>
        </w:rPr>
        <w:t>.</w:t>
      </w:r>
    </w:p>
    <w:p w14:paraId="415042EE" w14:textId="56538FC1" w:rsidR="002B568A" w:rsidRPr="00397115" w:rsidRDefault="003D530D" w:rsidP="009D5C70">
      <w:pPr>
        <w:spacing w:before="100" w:beforeAutospacing="1" w:after="100" w:afterAutospacing="1" w:line="240" w:lineRule="auto"/>
        <w:jc w:val="both"/>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 xml:space="preserve">Public and Private </w:t>
      </w:r>
      <w:r w:rsidR="002B568A" w:rsidRPr="00397115">
        <w:rPr>
          <w:rFonts w:ascii="Arial" w:eastAsia="Times New Roman" w:hAnsi="Arial" w:cs="Arial"/>
          <w:b/>
          <w:bCs/>
          <w:color w:val="2F5496" w:themeColor="accent1" w:themeShade="BF"/>
          <w:szCs w:val="24"/>
          <w:lang w:val="en-IN" w:eastAsia="en-IN"/>
        </w:rPr>
        <w:t>Practices on ESG</w:t>
      </w:r>
    </w:p>
    <w:p w14:paraId="776B14C2" w14:textId="326340CB" w:rsidR="005828F2" w:rsidRPr="00397115" w:rsidRDefault="00E7046F" w:rsidP="005828F2">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ESG </w:t>
      </w:r>
      <w:r w:rsidR="009D5C70" w:rsidRPr="00397115">
        <w:rPr>
          <w:rFonts w:ascii="Arial" w:eastAsia="Times New Roman" w:hAnsi="Arial" w:cs="Arial"/>
          <w:szCs w:val="24"/>
          <w:lang w:val="en-IN" w:eastAsia="en-IN"/>
        </w:rPr>
        <w:t xml:space="preserve">reporting </w:t>
      </w:r>
      <w:r w:rsidRPr="00397115">
        <w:rPr>
          <w:rFonts w:ascii="Arial" w:eastAsia="Times New Roman" w:hAnsi="Arial" w:cs="Arial"/>
          <w:szCs w:val="24"/>
          <w:lang w:val="en-IN" w:eastAsia="en-IN"/>
        </w:rPr>
        <w:t>methodologies</w:t>
      </w:r>
      <w:r w:rsidR="00851902" w:rsidRPr="00397115">
        <w:rPr>
          <w:rFonts w:ascii="Arial" w:eastAsia="Times New Roman" w:hAnsi="Arial" w:cs="Arial"/>
          <w:szCs w:val="24"/>
          <w:lang w:val="en-IN" w:eastAsia="en-IN"/>
        </w:rPr>
        <w:t xml:space="preserve"> </w:t>
      </w:r>
      <w:r w:rsidR="00FF310B" w:rsidRPr="00397115">
        <w:rPr>
          <w:rFonts w:ascii="Arial" w:eastAsia="Times New Roman" w:hAnsi="Arial" w:cs="Arial"/>
          <w:szCs w:val="24"/>
          <w:lang w:val="en-IN" w:eastAsia="en-IN"/>
        </w:rPr>
        <w:t>ha</w:t>
      </w:r>
      <w:r w:rsidR="00851902" w:rsidRPr="00397115">
        <w:rPr>
          <w:rFonts w:ascii="Arial" w:eastAsia="Times New Roman" w:hAnsi="Arial" w:cs="Arial"/>
          <w:szCs w:val="24"/>
          <w:lang w:val="en-IN" w:eastAsia="en-IN"/>
        </w:rPr>
        <w:t>ve also</w:t>
      </w:r>
      <w:r w:rsidR="00FF310B" w:rsidRPr="00397115">
        <w:rPr>
          <w:rFonts w:ascii="Arial" w:eastAsia="Times New Roman" w:hAnsi="Arial" w:cs="Arial"/>
          <w:szCs w:val="24"/>
          <w:lang w:val="en-IN" w:eastAsia="en-IN"/>
        </w:rPr>
        <w:t xml:space="preserve"> come to the attention of </w:t>
      </w:r>
      <w:r w:rsidR="009D5C70" w:rsidRPr="00397115">
        <w:rPr>
          <w:rFonts w:ascii="Arial" w:eastAsia="Times New Roman" w:hAnsi="Arial" w:cs="Arial"/>
          <w:szCs w:val="24"/>
          <w:lang w:val="en-IN" w:eastAsia="en-IN"/>
        </w:rPr>
        <w:t xml:space="preserve">some </w:t>
      </w:r>
      <w:r w:rsidR="00FF310B" w:rsidRPr="00397115">
        <w:rPr>
          <w:rFonts w:ascii="Arial" w:eastAsia="Times New Roman" w:hAnsi="Arial" w:cs="Arial"/>
          <w:szCs w:val="24"/>
          <w:lang w:val="en-IN" w:eastAsia="en-IN"/>
        </w:rPr>
        <w:t>regulator</w:t>
      </w:r>
      <w:r w:rsidR="00D4634F" w:rsidRPr="00397115">
        <w:rPr>
          <w:rFonts w:ascii="Arial" w:eastAsia="Times New Roman" w:hAnsi="Arial" w:cs="Arial"/>
          <w:szCs w:val="24"/>
          <w:lang w:val="en-IN" w:eastAsia="en-IN"/>
        </w:rPr>
        <w:t>y authorities</w:t>
      </w:r>
      <w:r w:rsidR="00FF310B" w:rsidRPr="00397115">
        <w:rPr>
          <w:rFonts w:ascii="Arial" w:eastAsia="Times New Roman" w:hAnsi="Arial" w:cs="Arial"/>
          <w:szCs w:val="24"/>
          <w:lang w:val="en-IN" w:eastAsia="en-IN"/>
        </w:rPr>
        <w:t xml:space="preserve">. For </w:t>
      </w:r>
      <w:r w:rsidR="00AE6E31" w:rsidRPr="00397115">
        <w:rPr>
          <w:rFonts w:ascii="Arial" w:eastAsia="Times New Roman" w:hAnsi="Arial" w:cs="Arial"/>
          <w:szCs w:val="24"/>
          <w:lang w:val="en-IN" w:eastAsia="en-IN"/>
        </w:rPr>
        <w:t xml:space="preserve">example, </w:t>
      </w:r>
      <w:r w:rsidR="00FF310B" w:rsidRPr="00397115">
        <w:rPr>
          <w:rFonts w:ascii="Arial" w:eastAsia="Times New Roman" w:hAnsi="Arial" w:cs="Arial"/>
          <w:szCs w:val="24"/>
          <w:lang w:val="en-IN" w:eastAsia="en-IN"/>
        </w:rPr>
        <w:t xml:space="preserve">the EU </w:t>
      </w:r>
      <w:r w:rsidR="00200021" w:rsidRPr="00397115">
        <w:rPr>
          <w:rFonts w:ascii="Arial" w:eastAsia="Times New Roman" w:hAnsi="Arial" w:cs="Arial"/>
          <w:szCs w:val="24"/>
          <w:lang w:val="en-IN" w:eastAsia="en-IN"/>
        </w:rPr>
        <w:t>is now considering a</w:t>
      </w:r>
      <w:r w:rsidR="00FF310B" w:rsidRPr="00397115">
        <w:rPr>
          <w:rFonts w:ascii="Arial" w:eastAsia="Times New Roman" w:hAnsi="Arial" w:cs="Arial"/>
          <w:szCs w:val="24"/>
          <w:lang w:val="en-IN" w:eastAsia="en-IN"/>
        </w:rPr>
        <w:t xml:space="preserve"> ban</w:t>
      </w:r>
      <w:r w:rsidR="00200021" w:rsidRPr="00397115">
        <w:rPr>
          <w:rFonts w:ascii="Arial" w:eastAsia="Times New Roman" w:hAnsi="Arial" w:cs="Arial"/>
          <w:szCs w:val="24"/>
          <w:lang w:val="en-IN" w:eastAsia="en-IN"/>
        </w:rPr>
        <w:t xml:space="preserve"> on</w:t>
      </w:r>
      <w:r w:rsidR="00FF310B" w:rsidRPr="00397115">
        <w:rPr>
          <w:rFonts w:ascii="Arial" w:eastAsia="Times New Roman" w:hAnsi="Arial" w:cs="Arial"/>
          <w:szCs w:val="24"/>
          <w:lang w:val="en-IN" w:eastAsia="en-IN"/>
        </w:rPr>
        <w:t xml:space="preserve"> sweeping environmental claims such as</w:t>
      </w:r>
      <w:r w:rsidR="009D5C70" w:rsidRPr="00397115">
        <w:rPr>
          <w:rFonts w:ascii="Arial" w:eastAsia="Times New Roman" w:hAnsi="Arial" w:cs="Arial"/>
          <w:szCs w:val="24"/>
          <w:lang w:val="en-IN" w:eastAsia="en-IN"/>
        </w:rPr>
        <w:t xml:space="preserve"> the use of</w:t>
      </w:r>
      <w:r w:rsidR="00FF310B" w:rsidRPr="00397115">
        <w:rPr>
          <w:rFonts w:ascii="Arial" w:eastAsia="Times New Roman" w:hAnsi="Arial" w:cs="Arial"/>
          <w:szCs w:val="24"/>
          <w:lang w:val="en-IN" w:eastAsia="en-IN"/>
        </w:rPr>
        <w:t xml:space="preserve"> “climate neutral” or “eco” </w:t>
      </w:r>
      <w:r w:rsidR="00AE6E31" w:rsidRPr="00397115">
        <w:rPr>
          <w:rFonts w:ascii="Arial" w:eastAsia="Times New Roman" w:hAnsi="Arial" w:cs="Arial"/>
          <w:szCs w:val="24"/>
          <w:lang w:val="en-IN" w:eastAsia="en-IN"/>
        </w:rPr>
        <w:t xml:space="preserve">labels </w:t>
      </w:r>
      <w:r w:rsidR="00FF310B" w:rsidRPr="00397115">
        <w:rPr>
          <w:rFonts w:ascii="Arial" w:eastAsia="Times New Roman" w:hAnsi="Arial" w:cs="Arial"/>
          <w:szCs w:val="24"/>
          <w:lang w:val="en-IN" w:eastAsia="en-IN"/>
        </w:rPr>
        <w:t xml:space="preserve">unless companies can prove </w:t>
      </w:r>
      <w:r w:rsidR="00D43FE9" w:rsidRPr="00397115">
        <w:rPr>
          <w:rFonts w:ascii="Arial" w:eastAsia="Times New Roman" w:hAnsi="Arial" w:cs="Arial"/>
          <w:szCs w:val="24"/>
          <w:lang w:val="en-IN" w:eastAsia="en-IN"/>
        </w:rPr>
        <w:t xml:space="preserve">that </w:t>
      </w:r>
      <w:r w:rsidR="00FF310B" w:rsidRPr="00397115">
        <w:rPr>
          <w:rFonts w:ascii="Arial" w:eastAsia="Times New Roman" w:hAnsi="Arial" w:cs="Arial"/>
          <w:szCs w:val="24"/>
          <w:lang w:val="en-IN" w:eastAsia="en-IN"/>
        </w:rPr>
        <w:t>the claim is accurate</w:t>
      </w:r>
      <w:r w:rsidR="00FF310B" w:rsidRPr="00397115">
        <w:rPr>
          <w:rStyle w:val="FootnoteReference"/>
          <w:rFonts w:ascii="Arial" w:eastAsia="Times New Roman" w:hAnsi="Arial" w:cs="Arial"/>
          <w:szCs w:val="24"/>
          <w:lang w:val="en-IN" w:eastAsia="en-IN"/>
        </w:rPr>
        <w:footnoteReference w:id="10"/>
      </w:r>
      <w:r w:rsidR="00200021" w:rsidRPr="00397115">
        <w:rPr>
          <w:rFonts w:ascii="Arial" w:eastAsia="Times New Roman" w:hAnsi="Arial" w:cs="Arial"/>
          <w:szCs w:val="24"/>
          <w:lang w:val="en-IN" w:eastAsia="en-IN"/>
        </w:rPr>
        <w:t>.</w:t>
      </w:r>
      <w:r w:rsidR="00D4634F" w:rsidRPr="00397115">
        <w:rPr>
          <w:rFonts w:ascii="Arial" w:eastAsia="Times New Roman" w:hAnsi="Arial" w:cs="Arial"/>
          <w:szCs w:val="24"/>
          <w:lang w:val="en-IN" w:eastAsia="en-IN"/>
        </w:rPr>
        <w:t xml:space="preserve"> The U.S. Securities and Exchange Commission has also </w:t>
      </w:r>
      <w:r w:rsidR="00901F7A" w:rsidRPr="00397115">
        <w:rPr>
          <w:rFonts w:ascii="Arial" w:eastAsia="Times New Roman" w:hAnsi="Arial" w:cs="Arial"/>
          <w:szCs w:val="24"/>
          <w:lang w:val="en-IN" w:eastAsia="en-IN"/>
        </w:rPr>
        <w:t xml:space="preserve">sought to take action </w:t>
      </w:r>
      <w:r w:rsidR="00705CF7" w:rsidRPr="00397115">
        <w:rPr>
          <w:rFonts w:ascii="Arial" w:eastAsia="Times New Roman" w:hAnsi="Arial" w:cs="Arial"/>
          <w:szCs w:val="24"/>
          <w:lang w:val="en-IN" w:eastAsia="en-IN"/>
        </w:rPr>
        <w:t xml:space="preserve">against </w:t>
      </w:r>
      <w:r w:rsidR="00D4634F" w:rsidRPr="00397115">
        <w:rPr>
          <w:rFonts w:ascii="Arial" w:eastAsia="Times New Roman" w:hAnsi="Arial" w:cs="Arial"/>
          <w:szCs w:val="24"/>
          <w:lang w:val="en-IN" w:eastAsia="en-IN"/>
        </w:rPr>
        <w:t xml:space="preserve">ESG-related misconduct and </w:t>
      </w:r>
      <w:r w:rsidR="00D43FE9" w:rsidRPr="00397115">
        <w:rPr>
          <w:rFonts w:ascii="Arial" w:eastAsia="Times New Roman" w:hAnsi="Arial" w:cs="Arial"/>
          <w:szCs w:val="24"/>
          <w:lang w:val="en-IN" w:eastAsia="en-IN"/>
        </w:rPr>
        <w:t>“</w:t>
      </w:r>
      <w:r w:rsidR="00D4634F" w:rsidRPr="00397115">
        <w:rPr>
          <w:rFonts w:ascii="Arial" w:eastAsia="Times New Roman" w:hAnsi="Arial" w:cs="Arial"/>
          <w:szCs w:val="24"/>
          <w:lang w:val="en-IN" w:eastAsia="en-IN"/>
        </w:rPr>
        <w:t>greenwashing</w:t>
      </w:r>
      <w:r w:rsidR="00D43FE9" w:rsidRPr="00397115">
        <w:rPr>
          <w:rFonts w:ascii="Arial" w:eastAsia="Times New Roman" w:hAnsi="Arial" w:cs="Arial"/>
          <w:szCs w:val="24"/>
          <w:lang w:val="en-IN" w:eastAsia="en-IN"/>
        </w:rPr>
        <w:t>”</w:t>
      </w:r>
      <w:r w:rsidR="00901F7A" w:rsidRPr="00397115">
        <w:rPr>
          <w:rFonts w:ascii="Arial" w:eastAsia="Times New Roman" w:hAnsi="Arial" w:cs="Arial"/>
          <w:szCs w:val="24"/>
          <w:lang w:val="en-IN" w:eastAsia="en-IN"/>
        </w:rPr>
        <w:t xml:space="preserve"> by firms</w:t>
      </w:r>
      <w:r w:rsidR="00685D09" w:rsidRPr="00397115">
        <w:rPr>
          <w:rFonts w:ascii="Arial" w:eastAsia="Times New Roman" w:hAnsi="Arial" w:cs="Arial"/>
          <w:szCs w:val="24"/>
          <w:lang w:val="en-IN" w:eastAsia="en-IN"/>
        </w:rPr>
        <w:t>,</w:t>
      </w:r>
      <w:r w:rsidR="00D4634F" w:rsidRPr="00397115">
        <w:rPr>
          <w:rFonts w:ascii="Arial" w:eastAsia="Times New Roman" w:hAnsi="Arial" w:cs="Arial"/>
          <w:szCs w:val="24"/>
          <w:lang w:val="en-IN" w:eastAsia="en-IN"/>
        </w:rPr>
        <w:t xml:space="preserve"> bringing enforcement actions and levying fines</w:t>
      </w:r>
      <w:r w:rsidR="00D4634F" w:rsidRPr="00397115">
        <w:rPr>
          <w:rStyle w:val="FootnoteReference"/>
          <w:rFonts w:ascii="Arial" w:eastAsia="Times New Roman" w:hAnsi="Arial" w:cs="Arial"/>
          <w:szCs w:val="24"/>
          <w:lang w:val="en-IN" w:eastAsia="en-IN"/>
        </w:rPr>
        <w:footnoteReference w:id="11"/>
      </w:r>
      <w:r w:rsidR="00D4634F" w:rsidRPr="00397115">
        <w:rPr>
          <w:rFonts w:ascii="Arial" w:eastAsia="Times New Roman" w:hAnsi="Arial" w:cs="Arial"/>
          <w:szCs w:val="24"/>
          <w:lang w:val="en-IN" w:eastAsia="en-IN"/>
        </w:rPr>
        <w:t>.</w:t>
      </w:r>
      <w:r w:rsidR="00A5270C" w:rsidRPr="00397115">
        <w:rPr>
          <w:rFonts w:ascii="Arial" w:eastAsia="Times New Roman" w:hAnsi="Arial" w:cs="Arial"/>
          <w:szCs w:val="24"/>
          <w:lang w:val="en-IN" w:eastAsia="en-IN"/>
        </w:rPr>
        <w:t xml:space="preserve"> </w:t>
      </w:r>
      <w:r w:rsidR="005828F2" w:rsidRPr="00397115">
        <w:rPr>
          <w:rFonts w:ascii="Arial" w:eastAsia="Times New Roman" w:hAnsi="Arial" w:cs="Arial"/>
          <w:szCs w:val="24"/>
          <w:lang w:val="en-IN" w:eastAsia="en-IN"/>
        </w:rPr>
        <w:t xml:space="preserve">In addition, there are concerns </w:t>
      </w:r>
      <w:r w:rsidR="003E730A" w:rsidRPr="00397115">
        <w:rPr>
          <w:rFonts w:ascii="Arial" w:eastAsia="Times New Roman" w:hAnsi="Arial" w:cs="Arial"/>
          <w:szCs w:val="24"/>
          <w:lang w:val="en-IN" w:eastAsia="en-IN"/>
        </w:rPr>
        <w:t xml:space="preserve">on </w:t>
      </w:r>
      <w:r w:rsidR="005828F2" w:rsidRPr="00397115">
        <w:rPr>
          <w:rFonts w:ascii="Arial" w:eastAsia="Times New Roman" w:hAnsi="Arial" w:cs="Arial"/>
          <w:szCs w:val="24"/>
          <w:lang w:val="en-IN" w:eastAsia="en-IN"/>
        </w:rPr>
        <w:t xml:space="preserve">how </w:t>
      </w:r>
      <w:r w:rsidR="002658DA" w:rsidRPr="00397115">
        <w:rPr>
          <w:rFonts w:ascii="Arial" w:eastAsia="Times New Roman" w:hAnsi="Arial" w:cs="Arial"/>
          <w:szCs w:val="24"/>
          <w:lang w:val="en-IN" w:eastAsia="en-IN"/>
        </w:rPr>
        <w:t>measuring the achievement of</w:t>
      </w:r>
      <w:r w:rsidR="005828F2" w:rsidRPr="00397115">
        <w:rPr>
          <w:rFonts w:ascii="Arial" w:eastAsia="Times New Roman" w:hAnsi="Arial" w:cs="Arial"/>
          <w:szCs w:val="24"/>
          <w:lang w:val="en-IN" w:eastAsia="en-IN"/>
        </w:rPr>
        <w:t xml:space="preserve"> ESG targets is turning into a ‘box-ticking’ exercise, without sufficient </w:t>
      </w:r>
      <w:r w:rsidR="00031E15" w:rsidRPr="00397115">
        <w:rPr>
          <w:rFonts w:ascii="Arial" w:eastAsia="Times New Roman" w:hAnsi="Arial" w:cs="Arial"/>
          <w:szCs w:val="24"/>
          <w:lang w:val="en-IN" w:eastAsia="en-IN"/>
        </w:rPr>
        <w:t xml:space="preserve">or independent </w:t>
      </w:r>
      <w:r w:rsidR="005828F2" w:rsidRPr="00397115">
        <w:rPr>
          <w:rFonts w:ascii="Arial" w:eastAsia="Times New Roman" w:hAnsi="Arial" w:cs="Arial"/>
          <w:szCs w:val="24"/>
          <w:lang w:val="en-IN" w:eastAsia="en-IN"/>
        </w:rPr>
        <w:t xml:space="preserve">verification of the claims </w:t>
      </w:r>
      <w:r w:rsidR="002658DA" w:rsidRPr="00397115">
        <w:rPr>
          <w:rFonts w:ascii="Arial" w:eastAsia="Times New Roman" w:hAnsi="Arial" w:cs="Arial"/>
          <w:szCs w:val="24"/>
          <w:lang w:val="en-IN" w:eastAsia="en-IN"/>
        </w:rPr>
        <w:t xml:space="preserve">being </w:t>
      </w:r>
      <w:r w:rsidR="005828F2" w:rsidRPr="00397115">
        <w:rPr>
          <w:rFonts w:ascii="Arial" w:eastAsia="Times New Roman" w:hAnsi="Arial" w:cs="Arial"/>
          <w:szCs w:val="24"/>
          <w:lang w:val="en-IN" w:eastAsia="en-IN"/>
        </w:rPr>
        <w:t>made by the business</w:t>
      </w:r>
      <w:r w:rsidR="00AE6E31" w:rsidRPr="00397115">
        <w:rPr>
          <w:rFonts w:ascii="Arial" w:eastAsia="Times New Roman" w:hAnsi="Arial" w:cs="Arial"/>
          <w:szCs w:val="24"/>
          <w:lang w:val="en-IN" w:eastAsia="en-IN"/>
        </w:rPr>
        <w:t>es</w:t>
      </w:r>
      <w:r w:rsidR="005621BE" w:rsidRPr="00397115">
        <w:rPr>
          <w:rStyle w:val="FootnoteReference"/>
          <w:rFonts w:ascii="Arial" w:eastAsia="Times New Roman" w:hAnsi="Arial" w:cs="Arial"/>
          <w:szCs w:val="24"/>
          <w:lang w:val="en-IN" w:eastAsia="en-IN"/>
        </w:rPr>
        <w:footnoteReference w:id="12"/>
      </w:r>
      <w:r w:rsidR="006B705E" w:rsidRPr="00397115">
        <w:rPr>
          <w:rFonts w:ascii="Arial" w:eastAsia="Times New Roman" w:hAnsi="Arial" w:cs="Arial"/>
          <w:szCs w:val="24"/>
          <w:lang w:val="en-IN" w:eastAsia="en-IN"/>
        </w:rPr>
        <w:t>.</w:t>
      </w:r>
      <w:r w:rsidR="001A6D8F" w:rsidRPr="00397115">
        <w:rPr>
          <w:rFonts w:ascii="Arial" w:eastAsia="Times New Roman" w:hAnsi="Arial" w:cs="Arial"/>
          <w:szCs w:val="24"/>
          <w:lang w:val="en-IN" w:eastAsia="en-IN"/>
        </w:rPr>
        <w:t xml:space="preserve"> </w:t>
      </w:r>
      <w:r w:rsidR="0080607E" w:rsidRPr="00397115">
        <w:rPr>
          <w:rFonts w:ascii="Arial" w:eastAsia="Times New Roman" w:hAnsi="Arial" w:cs="Arial"/>
          <w:szCs w:val="24"/>
          <w:lang w:val="en-IN" w:eastAsia="en-IN"/>
        </w:rPr>
        <w:t xml:space="preserve">This </w:t>
      </w:r>
      <w:r w:rsidR="00DB41EA" w:rsidRPr="00397115">
        <w:rPr>
          <w:rFonts w:ascii="Arial" w:eastAsia="Times New Roman" w:hAnsi="Arial" w:cs="Arial"/>
          <w:szCs w:val="24"/>
          <w:lang w:val="en-IN" w:eastAsia="en-IN"/>
        </w:rPr>
        <w:t xml:space="preserve">effectively </w:t>
      </w:r>
      <w:r w:rsidR="002658DA" w:rsidRPr="00397115">
        <w:rPr>
          <w:rFonts w:ascii="Arial" w:eastAsia="Times New Roman" w:hAnsi="Arial" w:cs="Arial"/>
          <w:szCs w:val="24"/>
          <w:lang w:val="en-IN" w:eastAsia="en-IN"/>
        </w:rPr>
        <w:t xml:space="preserve">results in </w:t>
      </w:r>
      <w:r w:rsidR="00066310" w:rsidRPr="00397115">
        <w:rPr>
          <w:rFonts w:ascii="Arial" w:eastAsia="Times New Roman" w:hAnsi="Arial" w:cs="Arial"/>
          <w:szCs w:val="24"/>
          <w:lang w:val="en-IN" w:eastAsia="en-IN"/>
        </w:rPr>
        <w:t xml:space="preserve">undermining the </w:t>
      </w:r>
      <w:r w:rsidR="00AE6E31" w:rsidRPr="00397115">
        <w:rPr>
          <w:rFonts w:ascii="Arial" w:eastAsia="Times New Roman" w:hAnsi="Arial" w:cs="Arial"/>
          <w:szCs w:val="24"/>
          <w:lang w:val="en-IN" w:eastAsia="en-IN"/>
        </w:rPr>
        <w:t xml:space="preserve">value of </w:t>
      </w:r>
      <w:r w:rsidR="00066310" w:rsidRPr="00397115">
        <w:rPr>
          <w:rFonts w:ascii="Arial" w:eastAsia="Times New Roman" w:hAnsi="Arial" w:cs="Arial"/>
          <w:szCs w:val="24"/>
          <w:lang w:val="en-IN" w:eastAsia="en-IN"/>
        </w:rPr>
        <w:t xml:space="preserve">ESG </w:t>
      </w:r>
      <w:r w:rsidR="00031E15" w:rsidRPr="00397115">
        <w:rPr>
          <w:rFonts w:ascii="Arial" w:eastAsia="Times New Roman" w:hAnsi="Arial" w:cs="Arial"/>
          <w:szCs w:val="24"/>
          <w:lang w:val="en-IN" w:eastAsia="en-IN"/>
        </w:rPr>
        <w:t>disclosures</w:t>
      </w:r>
      <w:r w:rsidR="00E769EC" w:rsidRPr="00397115">
        <w:rPr>
          <w:rFonts w:ascii="Arial" w:eastAsia="Times New Roman" w:hAnsi="Arial" w:cs="Arial"/>
          <w:szCs w:val="24"/>
          <w:lang w:val="en-IN" w:eastAsia="en-IN"/>
        </w:rPr>
        <w:t xml:space="preserve">, while </w:t>
      </w:r>
      <w:r w:rsidR="00031E15" w:rsidRPr="00397115">
        <w:rPr>
          <w:rFonts w:ascii="Arial" w:eastAsia="Times New Roman" w:hAnsi="Arial" w:cs="Arial"/>
          <w:szCs w:val="24"/>
          <w:lang w:val="en-IN" w:eastAsia="en-IN"/>
        </w:rPr>
        <w:t>maintaining</w:t>
      </w:r>
      <w:r w:rsidR="00E769EC" w:rsidRPr="00397115">
        <w:rPr>
          <w:rFonts w:ascii="Arial" w:eastAsia="Times New Roman" w:hAnsi="Arial" w:cs="Arial"/>
          <w:szCs w:val="24"/>
          <w:lang w:val="en-IN" w:eastAsia="en-IN"/>
        </w:rPr>
        <w:t xml:space="preserve"> a semblance of transparency for investors and customers.</w:t>
      </w:r>
    </w:p>
    <w:p w14:paraId="776B14C3" w14:textId="761B7741" w:rsidR="008320DE" w:rsidRPr="00397115" w:rsidRDefault="002C4C8D" w:rsidP="00AD321B">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While s</w:t>
      </w:r>
      <w:r w:rsidR="008320DE" w:rsidRPr="00397115">
        <w:rPr>
          <w:rFonts w:ascii="Arial" w:eastAsia="Times New Roman" w:hAnsi="Arial" w:cs="Arial"/>
          <w:szCs w:val="24"/>
          <w:lang w:val="en-IN" w:eastAsia="en-IN"/>
        </w:rPr>
        <w:t xml:space="preserve">ome countries have established frameworks that require </w:t>
      </w:r>
      <w:r w:rsidRPr="00397115">
        <w:rPr>
          <w:rFonts w:ascii="Arial" w:eastAsia="Times New Roman" w:hAnsi="Arial" w:cs="Arial"/>
          <w:szCs w:val="24"/>
          <w:lang w:val="en-IN" w:eastAsia="en-IN"/>
        </w:rPr>
        <w:t xml:space="preserve">investors and corporations </w:t>
      </w:r>
      <w:r w:rsidR="008320DE" w:rsidRPr="00397115">
        <w:rPr>
          <w:rFonts w:ascii="Arial" w:eastAsia="Times New Roman" w:hAnsi="Arial" w:cs="Arial"/>
          <w:szCs w:val="24"/>
          <w:lang w:val="en-IN" w:eastAsia="en-IN"/>
        </w:rPr>
        <w:t>to respect human rights as part of their business operations</w:t>
      </w:r>
      <w:r w:rsidR="005446CF" w:rsidRPr="00397115">
        <w:rPr>
          <w:rFonts w:ascii="Arial" w:eastAsia="Times New Roman" w:hAnsi="Arial" w:cs="Arial"/>
          <w:szCs w:val="24"/>
          <w:lang w:val="en-IN" w:eastAsia="en-IN"/>
        </w:rPr>
        <w:t xml:space="preserve"> and have mandatory human rights due diligence requirements</w:t>
      </w:r>
      <w:r w:rsidR="009D3417" w:rsidRPr="00397115">
        <w:rPr>
          <w:rStyle w:val="FootnoteReference"/>
          <w:rFonts w:ascii="Arial" w:eastAsia="Times New Roman" w:hAnsi="Arial" w:cs="Arial"/>
          <w:szCs w:val="24"/>
          <w:lang w:val="en-IN" w:eastAsia="en-IN"/>
        </w:rPr>
        <w:footnoteReference w:id="13"/>
      </w:r>
      <w:r w:rsidRPr="00397115">
        <w:rPr>
          <w:rFonts w:ascii="Arial" w:eastAsia="Times New Roman" w:hAnsi="Arial" w:cs="Arial"/>
          <w:szCs w:val="24"/>
          <w:lang w:val="en-IN" w:eastAsia="en-IN"/>
        </w:rPr>
        <w:t xml:space="preserve">, </w:t>
      </w:r>
      <w:r w:rsidR="0086451D" w:rsidRPr="00397115">
        <w:rPr>
          <w:rFonts w:ascii="Arial" w:eastAsia="Times New Roman" w:hAnsi="Arial" w:cs="Arial"/>
          <w:szCs w:val="24"/>
          <w:lang w:val="en-IN" w:eastAsia="en-IN"/>
        </w:rPr>
        <w:t xml:space="preserve">the vast majority of </w:t>
      </w:r>
      <w:r w:rsidRPr="00397115">
        <w:rPr>
          <w:rFonts w:ascii="Arial" w:eastAsia="Times New Roman" w:hAnsi="Arial" w:cs="Arial"/>
          <w:szCs w:val="24"/>
          <w:lang w:val="en-IN" w:eastAsia="en-IN"/>
        </w:rPr>
        <w:t xml:space="preserve">these are </w:t>
      </w:r>
      <w:r w:rsidR="00BB2CB4" w:rsidRPr="00397115">
        <w:rPr>
          <w:rFonts w:ascii="Arial" w:eastAsia="Times New Roman" w:hAnsi="Arial" w:cs="Arial"/>
          <w:szCs w:val="24"/>
          <w:lang w:val="en-IN" w:eastAsia="en-IN"/>
        </w:rPr>
        <w:t xml:space="preserve">still </w:t>
      </w:r>
      <w:r w:rsidRPr="00397115">
        <w:rPr>
          <w:rFonts w:ascii="Arial" w:eastAsia="Times New Roman" w:hAnsi="Arial" w:cs="Arial"/>
          <w:szCs w:val="24"/>
          <w:lang w:val="en-IN" w:eastAsia="en-IN"/>
        </w:rPr>
        <w:t xml:space="preserve">voluntary </w:t>
      </w:r>
      <w:r w:rsidR="0086451D" w:rsidRPr="00397115">
        <w:rPr>
          <w:rFonts w:ascii="Arial" w:eastAsia="Times New Roman" w:hAnsi="Arial" w:cs="Arial"/>
          <w:szCs w:val="24"/>
          <w:lang w:val="en-IN" w:eastAsia="en-IN"/>
        </w:rPr>
        <w:t>and</w:t>
      </w:r>
      <w:r w:rsidRPr="00397115">
        <w:rPr>
          <w:rFonts w:ascii="Arial" w:eastAsia="Times New Roman" w:hAnsi="Arial" w:cs="Arial"/>
          <w:szCs w:val="24"/>
          <w:lang w:val="en-IN" w:eastAsia="en-IN"/>
        </w:rPr>
        <w:t xml:space="preserve"> non-binding in nature</w:t>
      </w:r>
      <w:r w:rsidR="008320DE" w:rsidRPr="00397115">
        <w:rPr>
          <w:rFonts w:ascii="Arial" w:eastAsia="Times New Roman" w:hAnsi="Arial" w:cs="Arial"/>
          <w:szCs w:val="24"/>
          <w:lang w:val="en-IN" w:eastAsia="en-IN"/>
        </w:rPr>
        <w:t xml:space="preserve">. </w:t>
      </w:r>
      <w:r w:rsidR="00E03161" w:rsidRPr="00397115">
        <w:rPr>
          <w:rFonts w:ascii="Arial" w:eastAsia="Times New Roman" w:hAnsi="Arial" w:cs="Arial"/>
          <w:szCs w:val="24"/>
          <w:lang w:val="en-IN" w:eastAsia="en-IN"/>
        </w:rPr>
        <w:t xml:space="preserve">Many </w:t>
      </w:r>
      <w:r w:rsidR="005561B8" w:rsidRPr="00397115">
        <w:rPr>
          <w:rFonts w:ascii="Arial" w:eastAsia="Times New Roman" w:hAnsi="Arial" w:cs="Arial"/>
          <w:szCs w:val="24"/>
          <w:lang w:val="en-IN" w:eastAsia="en-IN"/>
        </w:rPr>
        <w:t>such frameworks</w:t>
      </w:r>
      <w:r w:rsidR="00E03161" w:rsidRPr="00397115">
        <w:rPr>
          <w:rFonts w:ascii="Arial" w:eastAsia="Times New Roman" w:hAnsi="Arial" w:cs="Arial"/>
          <w:szCs w:val="24"/>
          <w:lang w:val="en-IN" w:eastAsia="en-IN"/>
        </w:rPr>
        <w:t xml:space="preserve"> are </w:t>
      </w:r>
      <w:r w:rsidR="00DF45AA" w:rsidRPr="00397115">
        <w:rPr>
          <w:rFonts w:ascii="Arial" w:eastAsia="Times New Roman" w:hAnsi="Arial" w:cs="Arial"/>
          <w:szCs w:val="24"/>
          <w:lang w:val="en-IN" w:eastAsia="en-IN"/>
        </w:rPr>
        <w:t xml:space="preserve">also </w:t>
      </w:r>
      <w:r w:rsidR="00E03161" w:rsidRPr="00397115">
        <w:rPr>
          <w:rFonts w:ascii="Arial" w:eastAsia="Times New Roman" w:hAnsi="Arial" w:cs="Arial"/>
          <w:szCs w:val="24"/>
          <w:lang w:val="en-IN" w:eastAsia="en-IN"/>
        </w:rPr>
        <w:t xml:space="preserve">in the form of corporate social responsibility </w:t>
      </w:r>
      <w:r w:rsidR="007421ED" w:rsidRPr="00397115">
        <w:rPr>
          <w:rFonts w:ascii="Arial" w:eastAsia="Times New Roman" w:hAnsi="Arial" w:cs="Arial"/>
          <w:szCs w:val="24"/>
          <w:lang w:val="en-IN" w:eastAsia="en-IN"/>
        </w:rPr>
        <w:t xml:space="preserve">(CSR) </w:t>
      </w:r>
      <w:r w:rsidR="005E445B" w:rsidRPr="00397115">
        <w:rPr>
          <w:rFonts w:ascii="Arial" w:eastAsia="Times New Roman" w:hAnsi="Arial" w:cs="Arial"/>
          <w:szCs w:val="24"/>
          <w:lang w:val="en-IN" w:eastAsia="en-IN"/>
        </w:rPr>
        <w:t>requirements</w:t>
      </w:r>
      <w:r w:rsidR="00E03161" w:rsidRPr="00397115">
        <w:rPr>
          <w:rFonts w:ascii="Arial" w:eastAsia="Times New Roman" w:hAnsi="Arial" w:cs="Arial"/>
          <w:szCs w:val="24"/>
          <w:lang w:val="en-IN" w:eastAsia="en-IN"/>
        </w:rPr>
        <w:t xml:space="preserve">, which </w:t>
      </w:r>
      <w:r w:rsidR="008320DE" w:rsidRPr="00397115">
        <w:rPr>
          <w:rFonts w:ascii="Arial" w:eastAsia="Times New Roman" w:hAnsi="Arial" w:cs="Arial"/>
          <w:szCs w:val="24"/>
          <w:lang w:val="en-IN" w:eastAsia="en-IN"/>
        </w:rPr>
        <w:t xml:space="preserve">can intersect </w:t>
      </w:r>
      <w:r w:rsidR="005E445B" w:rsidRPr="00397115">
        <w:rPr>
          <w:rFonts w:ascii="Arial" w:eastAsia="Times New Roman" w:hAnsi="Arial" w:cs="Arial"/>
          <w:szCs w:val="24"/>
          <w:lang w:val="en-IN" w:eastAsia="en-IN"/>
        </w:rPr>
        <w:t xml:space="preserve">and complement </w:t>
      </w:r>
      <w:r w:rsidR="008320DE" w:rsidRPr="00397115">
        <w:rPr>
          <w:rFonts w:ascii="Arial" w:eastAsia="Times New Roman" w:hAnsi="Arial" w:cs="Arial"/>
          <w:szCs w:val="24"/>
          <w:lang w:val="en-IN" w:eastAsia="en-IN"/>
        </w:rPr>
        <w:t>ESG</w:t>
      </w:r>
      <w:r w:rsidR="005E445B" w:rsidRPr="00397115">
        <w:rPr>
          <w:rFonts w:ascii="Arial" w:eastAsia="Times New Roman" w:hAnsi="Arial" w:cs="Arial"/>
          <w:szCs w:val="24"/>
          <w:lang w:val="en-IN" w:eastAsia="en-IN"/>
        </w:rPr>
        <w:t xml:space="preserve"> reporting</w:t>
      </w:r>
      <w:r w:rsidR="00B80AD3" w:rsidRPr="00397115">
        <w:rPr>
          <w:rFonts w:ascii="Arial" w:eastAsia="Times New Roman" w:hAnsi="Arial" w:cs="Arial"/>
          <w:szCs w:val="24"/>
          <w:lang w:val="en-IN" w:eastAsia="en-IN"/>
        </w:rPr>
        <w:t xml:space="preserve">, while still falling short of the threshold for protection and promotion of human rights, including </w:t>
      </w:r>
      <w:r w:rsidR="0002024A" w:rsidRPr="00397115">
        <w:rPr>
          <w:rFonts w:ascii="Arial" w:eastAsia="Times New Roman" w:hAnsi="Arial" w:cs="Arial"/>
          <w:szCs w:val="24"/>
          <w:lang w:val="en-IN" w:eastAsia="en-IN"/>
        </w:rPr>
        <w:t xml:space="preserve">for </w:t>
      </w:r>
      <w:r w:rsidR="002E5D70" w:rsidRPr="00397115">
        <w:rPr>
          <w:rFonts w:ascii="Arial" w:eastAsia="Times New Roman" w:hAnsi="Arial" w:cs="Arial"/>
          <w:szCs w:val="24"/>
          <w:lang w:val="en-IN" w:eastAsia="en-IN"/>
        </w:rPr>
        <w:t xml:space="preserve">providing </w:t>
      </w:r>
      <w:r w:rsidR="00B80AD3" w:rsidRPr="00397115">
        <w:rPr>
          <w:rFonts w:ascii="Arial" w:eastAsia="Times New Roman" w:hAnsi="Arial" w:cs="Arial"/>
          <w:szCs w:val="24"/>
          <w:lang w:val="en-IN" w:eastAsia="en-IN"/>
        </w:rPr>
        <w:t>access to remedies</w:t>
      </w:r>
      <w:r w:rsidR="00AE6E31" w:rsidRPr="00397115">
        <w:rPr>
          <w:rFonts w:ascii="Arial" w:eastAsia="Times New Roman" w:hAnsi="Arial" w:cs="Arial"/>
          <w:szCs w:val="24"/>
          <w:lang w:val="en-IN" w:eastAsia="en-IN"/>
        </w:rPr>
        <w:t xml:space="preserve"> to victims of human rights violations</w:t>
      </w:r>
      <w:r w:rsidR="00B80AD3" w:rsidRPr="00397115">
        <w:rPr>
          <w:rFonts w:ascii="Arial" w:eastAsia="Times New Roman" w:hAnsi="Arial" w:cs="Arial"/>
          <w:szCs w:val="24"/>
          <w:lang w:val="en-IN" w:eastAsia="en-IN"/>
        </w:rPr>
        <w:t>.</w:t>
      </w:r>
    </w:p>
    <w:p w14:paraId="04E964D6" w14:textId="10000958" w:rsidR="00AE6E31" w:rsidRPr="00397115" w:rsidRDefault="00F90591" w:rsidP="00D7353D">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Several developing countries have been taking initiatives to include ESG reporting for listed </w:t>
      </w:r>
      <w:r w:rsidR="001A7743" w:rsidRPr="00397115">
        <w:rPr>
          <w:rFonts w:ascii="Arial" w:eastAsia="Times New Roman" w:hAnsi="Arial" w:cs="Arial"/>
          <w:szCs w:val="24"/>
          <w:lang w:val="en-IN" w:eastAsia="en-IN"/>
        </w:rPr>
        <w:t xml:space="preserve">and public traded </w:t>
      </w:r>
      <w:r w:rsidRPr="00397115">
        <w:rPr>
          <w:rFonts w:ascii="Arial" w:eastAsia="Times New Roman" w:hAnsi="Arial" w:cs="Arial"/>
          <w:szCs w:val="24"/>
          <w:lang w:val="en-IN" w:eastAsia="en-IN"/>
        </w:rPr>
        <w:t>companies operating within their territories</w:t>
      </w:r>
      <w:r w:rsidR="001A7743" w:rsidRPr="00397115">
        <w:rPr>
          <w:rFonts w:ascii="Arial" w:eastAsia="Times New Roman" w:hAnsi="Arial" w:cs="Arial"/>
          <w:szCs w:val="24"/>
          <w:lang w:val="en-IN" w:eastAsia="en-IN"/>
        </w:rPr>
        <w:t xml:space="preserve">, which </w:t>
      </w:r>
      <w:r w:rsidR="00A43BA3" w:rsidRPr="00397115">
        <w:rPr>
          <w:rFonts w:ascii="Arial" w:eastAsia="Times New Roman" w:hAnsi="Arial" w:cs="Arial"/>
          <w:szCs w:val="24"/>
          <w:lang w:val="en-IN" w:eastAsia="en-IN"/>
        </w:rPr>
        <w:t xml:space="preserve">are largely </w:t>
      </w:r>
      <w:r w:rsidR="0081010D" w:rsidRPr="00397115">
        <w:rPr>
          <w:rFonts w:ascii="Arial" w:eastAsia="Times New Roman" w:hAnsi="Arial" w:cs="Arial"/>
          <w:szCs w:val="24"/>
          <w:lang w:val="en-IN" w:eastAsia="en-IN"/>
        </w:rPr>
        <w:t xml:space="preserve">in </w:t>
      </w:r>
      <w:r w:rsidR="0081010D" w:rsidRPr="00397115">
        <w:rPr>
          <w:rFonts w:ascii="Arial" w:eastAsia="Times New Roman" w:hAnsi="Arial" w:cs="Arial"/>
          <w:szCs w:val="24"/>
          <w:lang w:val="en-IN" w:eastAsia="en-IN"/>
        </w:rPr>
        <w:lastRenderedPageBreak/>
        <w:t xml:space="preserve">the form of </w:t>
      </w:r>
      <w:r w:rsidR="007421ED" w:rsidRPr="00397115">
        <w:rPr>
          <w:rFonts w:ascii="Arial" w:eastAsia="Times New Roman" w:hAnsi="Arial" w:cs="Arial"/>
          <w:szCs w:val="24"/>
          <w:lang w:val="en-IN" w:eastAsia="en-IN"/>
        </w:rPr>
        <w:t xml:space="preserve">requiring </w:t>
      </w:r>
      <w:r w:rsidR="0081010D" w:rsidRPr="00397115">
        <w:rPr>
          <w:rFonts w:ascii="Arial" w:eastAsia="Times New Roman" w:hAnsi="Arial" w:cs="Arial"/>
          <w:szCs w:val="24"/>
          <w:lang w:val="en-IN" w:eastAsia="en-IN"/>
        </w:rPr>
        <w:t>reporting of non-financial data</w:t>
      </w:r>
      <w:r w:rsidR="00DB110B" w:rsidRPr="00397115">
        <w:rPr>
          <w:rFonts w:ascii="Arial" w:eastAsia="Times New Roman" w:hAnsi="Arial" w:cs="Arial"/>
          <w:szCs w:val="24"/>
          <w:lang w:val="en-IN" w:eastAsia="en-IN"/>
        </w:rPr>
        <w:t xml:space="preserve">. </w:t>
      </w:r>
      <w:r w:rsidR="002357A4" w:rsidRPr="00397115">
        <w:rPr>
          <w:rFonts w:ascii="Arial" w:eastAsia="Times New Roman" w:hAnsi="Arial" w:cs="Arial"/>
          <w:szCs w:val="24"/>
          <w:lang w:val="en-IN" w:eastAsia="en-IN"/>
        </w:rPr>
        <w:t>S</w:t>
      </w:r>
      <w:r w:rsidR="00AE6E31" w:rsidRPr="00397115">
        <w:rPr>
          <w:rFonts w:ascii="Arial" w:eastAsia="Times New Roman" w:hAnsi="Arial" w:cs="Arial"/>
          <w:szCs w:val="24"/>
          <w:lang w:val="en-IN" w:eastAsia="en-IN"/>
        </w:rPr>
        <w:t>ome</w:t>
      </w:r>
      <w:r w:rsidR="002357A4" w:rsidRPr="00397115">
        <w:rPr>
          <w:rFonts w:ascii="Arial" w:eastAsia="Times New Roman" w:hAnsi="Arial" w:cs="Arial"/>
          <w:szCs w:val="24"/>
          <w:lang w:val="en-IN" w:eastAsia="en-IN"/>
        </w:rPr>
        <w:t xml:space="preserve"> regulatory bodies for stock exchanges have taken the lead in this effort.</w:t>
      </w:r>
      <w:r w:rsidR="00D2032D" w:rsidRPr="00397115">
        <w:rPr>
          <w:rFonts w:ascii="Arial" w:eastAsia="Times New Roman" w:hAnsi="Arial" w:cs="Arial"/>
          <w:szCs w:val="24"/>
          <w:lang w:val="en-IN" w:eastAsia="en-IN"/>
        </w:rPr>
        <w:t xml:space="preserve"> </w:t>
      </w:r>
    </w:p>
    <w:p w14:paraId="7FB1B71F" w14:textId="6D8F5558" w:rsidR="00E62147" w:rsidRPr="00397115" w:rsidRDefault="00AE6E31" w:rsidP="00D7353D">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T</w:t>
      </w:r>
      <w:r w:rsidR="00041F7A" w:rsidRPr="00397115">
        <w:rPr>
          <w:rFonts w:ascii="Arial" w:eastAsia="Times New Roman" w:hAnsi="Arial" w:cs="Arial"/>
          <w:szCs w:val="24"/>
          <w:lang w:val="en-IN" w:eastAsia="en-IN"/>
        </w:rPr>
        <w:t>he Brazilian Securities and Exchange Commission (CVM) has introduced regulations related to ESG reportin</w:t>
      </w:r>
      <w:r w:rsidR="00CA7164" w:rsidRPr="00397115">
        <w:rPr>
          <w:rFonts w:ascii="Arial" w:eastAsia="Times New Roman" w:hAnsi="Arial" w:cs="Arial"/>
          <w:szCs w:val="24"/>
          <w:lang w:val="en-IN" w:eastAsia="en-IN"/>
        </w:rPr>
        <w:t>g for publicly traded companies</w:t>
      </w:r>
      <w:r w:rsidR="00E62147" w:rsidRPr="00397115">
        <w:rPr>
          <w:rFonts w:ascii="Arial" w:eastAsia="Times New Roman" w:hAnsi="Arial" w:cs="Arial"/>
          <w:szCs w:val="24"/>
          <w:lang w:val="en-IN" w:eastAsia="en-IN"/>
        </w:rPr>
        <w:t>.</w:t>
      </w:r>
      <w:r w:rsidR="003E3808" w:rsidRPr="00397115">
        <w:rPr>
          <w:rFonts w:ascii="Arial" w:eastAsia="Times New Roman" w:hAnsi="Arial" w:cs="Arial"/>
          <w:szCs w:val="24"/>
          <w:lang w:val="en-IN" w:eastAsia="en-IN"/>
        </w:rPr>
        <w:t xml:space="preserve"> </w:t>
      </w:r>
      <w:r w:rsidR="00D44E25" w:rsidRPr="00397115">
        <w:rPr>
          <w:rFonts w:ascii="Arial" w:eastAsia="Times New Roman" w:hAnsi="Arial" w:cs="Arial"/>
          <w:szCs w:val="24"/>
          <w:lang w:val="en-IN" w:eastAsia="en-IN"/>
        </w:rPr>
        <w:t xml:space="preserve">The ESG information disclosure criteria </w:t>
      </w:r>
      <w:r w:rsidRPr="00397115">
        <w:rPr>
          <w:rFonts w:ascii="Arial" w:eastAsia="Times New Roman" w:hAnsi="Arial" w:cs="Arial"/>
          <w:szCs w:val="24"/>
          <w:lang w:val="en-IN" w:eastAsia="en-IN"/>
        </w:rPr>
        <w:t>spelled out in</w:t>
      </w:r>
      <w:r w:rsidR="00D44E25" w:rsidRPr="00397115">
        <w:rPr>
          <w:rFonts w:ascii="Arial" w:eastAsia="Times New Roman" w:hAnsi="Arial" w:cs="Arial"/>
          <w:szCs w:val="24"/>
          <w:lang w:val="en-IN" w:eastAsia="en-IN"/>
        </w:rPr>
        <w:t xml:space="preserve"> its Resolution No. 59 (RCVM 59)</w:t>
      </w:r>
      <w:r w:rsidR="003C4793" w:rsidRPr="00397115">
        <w:rPr>
          <w:rStyle w:val="FootnoteReference"/>
          <w:rFonts w:ascii="Arial" w:eastAsia="Times New Roman" w:hAnsi="Arial" w:cs="Arial"/>
          <w:szCs w:val="24"/>
          <w:lang w:val="en-IN" w:eastAsia="en-IN"/>
        </w:rPr>
        <w:footnoteReference w:id="14"/>
      </w:r>
      <w:r w:rsidR="003C4793" w:rsidRPr="00397115">
        <w:rPr>
          <w:rFonts w:ascii="Arial" w:eastAsia="Times New Roman" w:hAnsi="Arial" w:cs="Arial"/>
          <w:szCs w:val="24"/>
          <w:lang w:val="en-IN" w:eastAsia="en-IN"/>
        </w:rPr>
        <w:t xml:space="preserve"> includes the requirement for the business to </w:t>
      </w:r>
      <w:r w:rsidR="00902587" w:rsidRPr="00397115">
        <w:rPr>
          <w:rFonts w:ascii="Arial" w:eastAsia="Times New Roman" w:hAnsi="Arial" w:cs="Arial"/>
          <w:szCs w:val="24"/>
          <w:lang w:val="en-IN" w:eastAsia="en-IN"/>
        </w:rPr>
        <w:t>indicate “w</w:t>
      </w:r>
      <w:r w:rsidR="003E3808" w:rsidRPr="00397115">
        <w:rPr>
          <w:rFonts w:ascii="Arial" w:eastAsia="Times New Roman" w:hAnsi="Arial" w:cs="Arial"/>
          <w:szCs w:val="24"/>
          <w:lang w:val="en-IN" w:eastAsia="en-IN"/>
        </w:rPr>
        <w:t>hether the report or document considers UN Sustainable Development Goals (SDG</w:t>
      </w:r>
      <w:r w:rsidR="00A2181D" w:rsidRPr="00397115">
        <w:rPr>
          <w:rFonts w:ascii="Arial" w:eastAsia="Times New Roman" w:hAnsi="Arial" w:cs="Arial"/>
          <w:szCs w:val="24"/>
          <w:lang w:val="en-IN" w:eastAsia="en-IN"/>
        </w:rPr>
        <w:t>s</w:t>
      </w:r>
      <w:r w:rsidR="003E3808" w:rsidRPr="00397115">
        <w:rPr>
          <w:rFonts w:ascii="Arial" w:eastAsia="Times New Roman" w:hAnsi="Arial" w:cs="Arial"/>
          <w:szCs w:val="24"/>
          <w:lang w:val="en-IN" w:eastAsia="en-IN"/>
        </w:rPr>
        <w:t>) and what are the material SDGs for the issuer’s business</w:t>
      </w:r>
      <w:r w:rsidR="00442062" w:rsidRPr="00397115">
        <w:rPr>
          <w:rFonts w:ascii="Arial" w:eastAsia="Times New Roman" w:hAnsi="Arial" w:cs="Arial"/>
          <w:szCs w:val="24"/>
          <w:lang w:val="en-IN" w:eastAsia="en-IN"/>
        </w:rPr>
        <w:t>”</w:t>
      </w:r>
      <w:r w:rsidR="00747B1D" w:rsidRPr="00397115">
        <w:rPr>
          <w:rStyle w:val="FootnoteReference"/>
          <w:rFonts w:ascii="Arial" w:eastAsia="Times New Roman" w:hAnsi="Arial" w:cs="Arial"/>
          <w:szCs w:val="24"/>
          <w:lang w:val="en-IN" w:eastAsia="en-IN"/>
        </w:rPr>
        <w:footnoteReference w:id="15"/>
      </w:r>
      <w:r w:rsidR="00D7353D" w:rsidRPr="00397115">
        <w:rPr>
          <w:rFonts w:ascii="Arial" w:eastAsia="Times New Roman" w:hAnsi="Arial" w:cs="Arial"/>
          <w:szCs w:val="24"/>
          <w:lang w:val="en-IN" w:eastAsia="en-IN"/>
        </w:rPr>
        <w:t xml:space="preserve">. It </w:t>
      </w:r>
      <w:r w:rsidR="00442062" w:rsidRPr="00397115">
        <w:rPr>
          <w:rFonts w:ascii="Arial" w:eastAsia="Times New Roman" w:hAnsi="Arial" w:cs="Arial"/>
          <w:szCs w:val="24"/>
          <w:lang w:val="en-IN" w:eastAsia="en-IN"/>
        </w:rPr>
        <w:t xml:space="preserve">also touches upon </w:t>
      </w:r>
      <w:r w:rsidR="00D7353D" w:rsidRPr="00397115">
        <w:rPr>
          <w:rFonts w:ascii="Arial" w:eastAsia="Times New Roman" w:hAnsi="Arial" w:cs="Arial"/>
          <w:szCs w:val="24"/>
          <w:lang w:val="en-IN" w:eastAsia="en-IN"/>
        </w:rPr>
        <w:t>climate issues, asking whether the business</w:t>
      </w:r>
      <w:r w:rsidR="003E3808" w:rsidRPr="00397115">
        <w:rPr>
          <w:rFonts w:ascii="Arial" w:eastAsia="Times New Roman" w:hAnsi="Arial" w:cs="Arial"/>
          <w:szCs w:val="24"/>
          <w:lang w:val="en-IN" w:eastAsia="en-IN"/>
        </w:rPr>
        <w:t xml:space="preserve"> carries out greenhouse gas emission inventories, </w:t>
      </w:r>
      <w:r w:rsidR="00747B1D" w:rsidRPr="00397115">
        <w:rPr>
          <w:rFonts w:ascii="Arial" w:eastAsia="Times New Roman" w:hAnsi="Arial" w:cs="Arial"/>
          <w:szCs w:val="24"/>
          <w:lang w:val="en-IN" w:eastAsia="en-IN"/>
        </w:rPr>
        <w:t xml:space="preserve">and </w:t>
      </w:r>
      <w:r w:rsidR="003E3808" w:rsidRPr="00397115">
        <w:rPr>
          <w:rFonts w:ascii="Arial" w:eastAsia="Times New Roman" w:hAnsi="Arial" w:cs="Arial"/>
          <w:szCs w:val="24"/>
          <w:lang w:val="en-IN" w:eastAsia="en-IN"/>
        </w:rPr>
        <w:t xml:space="preserve">indicating the scope of </w:t>
      </w:r>
      <w:r w:rsidR="00747B1D" w:rsidRPr="00397115">
        <w:rPr>
          <w:rFonts w:ascii="Arial" w:eastAsia="Times New Roman" w:hAnsi="Arial" w:cs="Arial"/>
          <w:szCs w:val="24"/>
          <w:lang w:val="en-IN" w:eastAsia="en-IN"/>
        </w:rPr>
        <w:t xml:space="preserve">any such </w:t>
      </w:r>
      <w:r w:rsidR="003E3808" w:rsidRPr="00397115">
        <w:rPr>
          <w:rFonts w:ascii="Arial" w:eastAsia="Times New Roman" w:hAnsi="Arial" w:cs="Arial"/>
          <w:szCs w:val="24"/>
          <w:lang w:val="en-IN" w:eastAsia="en-IN"/>
        </w:rPr>
        <w:t>inventoried emissions</w:t>
      </w:r>
      <w:r w:rsidR="00747B1D" w:rsidRPr="00397115">
        <w:rPr>
          <w:rFonts w:ascii="Arial" w:eastAsia="Times New Roman" w:hAnsi="Arial" w:cs="Arial"/>
          <w:szCs w:val="24"/>
          <w:lang w:val="en-IN" w:eastAsia="en-IN"/>
        </w:rPr>
        <w:t>.</w:t>
      </w:r>
    </w:p>
    <w:p w14:paraId="776B14C7" w14:textId="5BC2460F" w:rsidR="00041F7A" w:rsidRPr="00397115" w:rsidRDefault="00041F7A" w:rsidP="00510552">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India</w:t>
      </w:r>
      <w:r w:rsidR="001A7743" w:rsidRPr="00397115">
        <w:rPr>
          <w:rFonts w:ascii="Arial" w:eastAsia="Times New Roman" w:hAnsi="Arial" w:cs="Arial"/>
          <w:szCs w:val="24"/>
          <w:lang w:val="en-IN" w:eastAsia="en-IN"/>
        </w:rPr>
        <w:t>’</w:t>
      </w:r>
      <w:r w:rsidRPr="00397115">
        <w:rPr>
          <w:rFonts w:ascii="Arial" w:eastAsia="Times New Roman" w:hAnsi="Arial" w:cs="Arial"/>
          <w:szCs w:val="24"/>
          <w:lang w:val="en-IN" w:eastAsia="en-IN"/>
        </w:rPr>
        <w:t>s Securities and Exchange Board (SEBI) has introduced regulations that require the top 1,000 listed companies to disclose their business responsibility reports, which include information on ESG aspects.</w:t>
      </w:r>
      <w:r w:rsidR="005E4DBD" w:rsidRPr="00397115">
        <w:rPr>
          <w:rFonts w:ascii="Arial" w:eastAsia="Times New Roman" w:hAnsi="Arial" w:cs="Arial"/>
          <w:szCs w:val="24"/>
          <w:lang w:val="en-IN" w:eastAsia="en-IN"/>
        </w:rPr>
        <w:t xml:space="preserve"> </w:t>
      </w:r>
      <w:r w:rsidR="00E149E0" w:rsidRPr="00397115">
        <w:rPr>
          <w:rFonts w:ascii="Arial" w:eastAsia="Times New Roman" w:hAnsi="Arial" w:cs="Arial"/>
          <w:szCs w:val="24"/>
          <w:lang w:val="en-IN" w:eastAsia="en-IN"/>
        </w:rPr>
        <w:t>This ‘</w:t>
      </w:r>
      <w:r w:rsidR="005E4DBD" w:rsidRPr="00397115">
        <w:rPr>
          <w:rFonts w:ascii="Arial" w:eastAsia="Times New Roman" w:hAnsi="Arial" w:cs="Arial"/>
          <w:szCs w:val="24"/>
          <w:lang w:val="en-IN" w:eastAsia="en-IN"/>
        </w:rPr>
        <w:t>Business Responsibility and Sustainability Report</w:t>
      </w:r>
      <w:r w:rsidR="00E149E0" w:rsidRPr="00397115">
        <w:rPr>
          <w:rFonts w:ascii="Arial" w:eastAsia="Times New Roman" w:hAnsi="Arial" w:cs="Arial"/>
          <w:szCs w:val="24"/>
          <w:lang w:val="en-IN" w:eastAsia="en-IN"/>
        </w:rPr>
        <w:t>’</w:t>
      </w:r>
      <w:r w:rsidR="00EF44C6" w:rsidRPr="00397115">
        <w:rPr>
          <w:rFonts w:ascii="Arial" w:eastAsia="Times New Roman" w:hAnsi="Arial" w:cs="Arial"/>
          <w:szCs w:val="24"/>
          <w:lang w:val="en-IN" w:eastAsia="en-IN"/>
        </w:rPr>
        <w:t xml:space="preserve"> (BRSR)</w:t>
      </w:r>
      <w:r w:rsidR="00FD3248" w:rsidRPr="00397115">
        <w:rPr>
          <w:rFonts w:ascii="Arial" w:eastAsia="Times New Roman" w:hAnsi="Arial" w:cs="Arial"/>
          <w:szCs w:val="24"/>
          <w:lang w:val="en-IN" w:eastAsia="en-IN"/>
        </w:rPr>
        <w:t xml:space="preserve"> </w:t>
      </w:r>
      <w:r w:rsidR="00E149E0" w:rsidRPr="00397115">
        <w:rPr>
          <w:rFonts w:ascii="Arial" w:eastAsia="Times New Roman" w:hAnsi="Arial" w:cs="Arial"/>
          <w:szCs w:val="24"/>
          <w:lang w:val="en-IN" w:eastAsia="en-IN"/>
        </w:rPr>
        <w:t xml:space="preserve">covers several important attributes </w:t>
      </w:r>
      <w:r w:rsidR="00232EEC" w:rsidRPr="00397115">
        <w:rPr>
          <w:rFonts w:ascii="Arial" w:eastAsia="Times New Roman" w:hAnsi="Arial" w:cs="Arial"/>
          <w:szCs w:val="24"/>
          <w:lang w:val="en-IN" w:eastAsia="en-IN"/>
        </w:rPr>
        <w:t xml:space="preserve">of the business enterprise </w:t>
      </w:r>
      <w:r w:rsidR="00E149E0" w:rsidRPr="00397115">
        <w:rPr>
          <w:rFonts w:ascii="Arial" w:eastAsia="Times New Roman" w:hAnsi="Arial" w:cs="Arial"/>
          <w:szCs w:val="24"/>
          <w:lang w:val="en-IN" w:eastAsia="en-IN"/>
        </w:rPr>
        <w:t xml:space="preserve">such as </w:t>
      </w:r>
      <w:r w:rsidR="00232EEC" w:rsidRPr="00397115">
        <w:rPr>
          <w:rFonts w:ascii="Arial" w:eastAsia="Times New Roman" w:hAnsi="Arial" w:cs="Arial"/>
          <w:szCs w:val="24"/>
          <w:lang w:val="en-IN" w:eastAsia="en-IN"/>
        </w:rPr>
        <w:t>its</w:t>
      </w:r>
      <w:r w:rsidR="00E149E0" w:rsidRPr="00397115">
        <w:rPr>
          <w:rFonts w:ascii="Arial" w:eastAsia="Times New Roman" w:hAnsi="Arial" w:cs="Arial"/>
          <w:szCs w:val="24"/>
          <w:lang w:val="en-IN" w:eastAsia="en-IN"/>
        </w:rPr>
        <w:t xml:space="preserve"> greenhouse gas footprint</w:t>
      </w:r>
      <w:r w:rsidR="00232EEC" w:rsidRPr="00397115">
        <w:rPr>
          <w:rFonts w:ascii="Arial" w:eastAsia="Times New Roman" w:hAnsi="Arial" w:cs="Arial"/>
          <w:szCs w:val="24"/>
          <w:lang w:val="en-IN" w:eastAsia="en-IN"/>
        </w:rPr>
        <w:t>, total water and energy consumption</w:t>
      </w:r>
      <w:r w:rsidR="00510552" w:rsidRPr="00397115">
        <w:rPr>
          <w:rFonts w:ascii="Arial" w:eastAsia="Times New Roman" w:hAnsi="Arial" w:cs="Arial"/>
          <w:szCs w:val="24"/>
          <w:lang w:val="en-IN" w:eastAsia="en-IN"/>
        </w:rPr>
        <w:t>, waste management, employee well-being and safety, gender diversity among others</w:t>
      </w:r>
      <w:r w:rsidR="002A0019" w:rsidRPr="00397115">
        <w:rPr>
          <w:rStyle w:val="FootnoteReference"/>
          <w:rFonts w:ascii="Arial" w:eastAsia="Times New Roman" w:hAnsi="Arial" w:cs="Arial"/>
          <w:szCs w:val="24"/>
          <w:lang w:val="en-IN" w:eastAsia="en-IN"/>
        </w:rPr>
        <w:footnoteReference w:id="16"/>
      </w:r>
      <w:r w:rsidR="00510552" w:rsidRPr="00397115">
        <w:rPr>
          <w:rFonts w:ascii="Arial" w:eastAsia="Times New Roman" w:hAnsi="Arial" w:cs="Arial"/>
          <w:szCs w:val="24"/>
          <w:lang w:val="en-IN" w:eastAsia="en-IN"/>
        </w:rPr>
        <w:t xml:space="preserve">. </w:t>
      </w:r>
    </w:p>
    <w:p w14:paraId="776B14C8" w14:textId="2DA688BB" w:rsidR="00041F7A" w:rsidRPr="00397115" w:rsidRDefault="00041F7A" w:rsidP="00AD321B">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The Securities Commission </w:t>
      </w:r>
      <w:r w:rsidR="001A7743" w:rsidRPr="00397115">
        <w:rPr>
          <w:rFonts w:ascii="Arial" w:eastAsia="Times New Roman" w:hAnsi="Arial" w:cs="Arial"/>
          <w:szCs w:val="24"/>
          <w:lang w:val="en-IN" w:eastAsia="en-IN"/>
        </w:rPr>
        <w:t xml:space="preserve">of </w:t>
      </w:r>
      <w:r w:rsidRPr="00397115">
        <w:rPr>
          <w:rFonts w:ascii="Arial" w:eastAsia="Times New Roman" w:hAnsi="Arial" w:cs="Arial"/>
          <w:szCs w:val="24"/>
          <w:lang w:val="en-IN" w:eastAsia="en-IN"/>
        </w:rPr>
        <w:t xml:space="preserve">Malaysia has </w:t>
      </w:r>
      <w:r w:rsidR="00C035C8" w:rsidRPr="00397115">
        <w:rPr>
          <w:rFonts w:ascii="Arial" w:eastAsia="Times New Roman" w:hAnsi="Arial" w:cs="Arial"/>
          <w:szCs w:val="24"/>
          <w:lang w:val="en-IN" w:eastAsia="en-IN"/>
        </w:rPr>
        <w:t xml:space="preserve">recently revised </w:t>
      </w:r>
      <w:r w:rsidR="002211C4" w:rsidRPr="00397115">
        <w:rPr>
          <w:rFonts w:ascii="Arial" w:eastAsia="Times New Roman" w:hAnsi="Arial" w:cs="Arial"/>
          <w:szCs w:val="24"/>
          <w:lang w:val="en-IN" w:eastAsia="en-IN"/>
        </w:rPr>
        <w:t xml:space="preserve">its </w:t>
      </w:r>
      <w:r w:rsidR="00C035C8" w:rsidRPr="00397115">
        <w:rPr>
          <w:rFonts w:ascii="Arial" w:eastAsia="Times New Roman" w:hAnsi="Arial" w:cs="Arial"/>
          <w:szCs w:val="24"/>
          <w:lang w:val="en-IN" w:eastAsia="en-IN"/>
        </w:rPr>
        <w:t>Guidelines on Sustainable and Responsible Investment Funds</w:t>
      </w:r>
      <w:r w:rsidR="002211C4" w:rsidRPr="00397115">
        <w:rPr>
          <w:rStyle w:val="FootnoteReference"/>
          <w:rFonts w:ascii="Arial" w:eastAsia="Times New Roman" w:hAnsi="Arial" w:cs="Arial"/>
          <w:szCs w:val="24"/>
          <w:lang w:val="en-IN" w:eastAsia="en-IN"/>
        </w:rPr>
        <w:footnoteReference w:id="17"/>
      </w:r>
      <w:r w:rsidR="002211C4" w:rsidRPr="00397115">
        <w:rPr>
          <w:rFonts w:ascii="Arial" w:eastAsia="Times New Roman" w:hAnsi="Arial" w:cs="Arial"/>
          <w:szCs w:val="24"/>
          <w:lang w:val="en-IN" w:eastAsia="en-IN"/>
        </w:rPr>
        <w:t xml:space="preserve"> which </w:t>
      </w:r>
      <w:r w:rsidR="00C035C8" w:rsidRPr="00397115">
        <w:rPr>
          <w:rFonts w:ascii="Arial" w:eastAsia="Times New Roman" w:hAnsi="Arial" w:cs="Arial"/>
          <w:szCs w:val="24"/>
          <w:lang w:val="en-IN" w:eastAsia="en-IN"/>
        </w:rPr>
        <w:t>set out the reporting and disclosure requirements for a fund to qualify as a Sustainable and Responsible Investment Fund</w:t>
      </w:r>
      <w:r w:rsidR="00AE085F" w:rsidRPr="00397115">
        <w:rPr>
          <w:rStyle w:val="FootnoteReference"/>
          <w:rFonts w:ascii="Arial" w:eastAsia="Times New Roman" w:hAnsi="Arial" w:cs="Arial"/>
          <w:szCs w:val="24"/>
          <w:lang w:val="en-IN" w:eastAsia="en-IN"/>
        </w:rPr>
        <w:footnoteReference w:id="18"/>
      </w:r>
      <w:r w:rsidR="00AE085F" w:rsidRPr="00397115">
        <w:rPr>
          <w:rFonts w:ascii="Arial" w:eastAsia="Times New Roman" w:hAnsi="Arial" w:cs="Arial"/>
          <w:szCs w:val="24"/>
          <w:lang w:val="en-IN" w:eastAsia="en-IN"/>
        </w:rPr>
        <w:t xml:space="preserve">. </w:t>
      </w:r>
      <w:r w:rsidR="005656CC" w:rsidRPr="00397115">
        <w:rPr>
          <w:rFonts w:ascii="Arial" w:eastAsia="Times New Roman" w:hAnsi="Arial" w:cs="Arial"/>
          <w:szCs w:val="24"/>
          <w:lang w:val="en-IN" w:eastAsia="en-IN"/>
        </w:rPr>
        <w:t xml:space="preserve">It has also come out with </w:t>
      </w:r>
      <w:r w:rsidR="00AE6E31" w:rsidRPr="00397115">
        <w:rPr>
          <w:rFonts w:ascii="Arial" w:eastAsia="Times New Roman" w:hAnsi="Arial" w:cs="Arial"/>
          <w:szCs w:val="24"/>
          <w:lang w:val="en-IN" w:eastAsia="en-IN"/>
        </w:rPr>
        <w:t xml:space="preserve">a </w:t>
      </w:r>
      <w:r w:rsidR="005656CC" w:rsidRPr="00397115">
        <w:rPr>
          <w:rFonts w:ascii="Arial" w:eastAsia="Times New Roman" w:hAnsi="Arial" w:cs="Arial"/>
          <w:szCs w:val="24"/>
          <w:lang w:val="en-IN" w:eastAsia="en-IN"/>
        </w:rPr>
        <w:t>Principles-Based Sustainable and Responsible Investment Taxonomy for the Malaysian Capital Market</w:t>
      </w:r>
      <w:r w:rsidR="000A6116" w:rsidRPr="00397115">
        <w:rPr>
          <w:rFonts w:ascii="Arial" w:eastAsia="Times New Roman" w:hAnsi="Arial" w:cs="Arial"/>
          <w:szCs w:val="24"/>
          <w:lang w:val="en-IN" w:eastAsia="en-IN"/>
        </w:rPr>
        <w:t>, which “aims to give clarity towards enabling proper and consistent identification and classification of various types of economic activities as well as the definition of sustainable investments. It also seeks to address concerns on the need to mitigate and manage the risks of greenwashing”</w:t>
      </w:r>
      <w:r w:rsidR="000A6116" w:rsidRPr="00397115">
        <w:rPr>
          <w:rStyle w:val="FootnoteReference"/>
          <w:rFonts w:ascii="Arial" w:eastAsia="Times New Roman" w:hAnsi="Arial" w:cs="Arial"/>
          <w:szCs w:val="24"/>
          <w:lang w:val="en-IN" w:eastAsia="en-IN"/>
        </w:rPr>
        <w:footnoteReference w:id="19"/>
      </w:r>
      <w:r w:rsidR="000A6116" w:rsidRPr="00397115">
        <w:rPr>
          <w:rFonts w:ascii="Arial" w:eastAsia="Times New Roman" w:hAnsi="Arial" w:cs="Arial"/>
          <w:szCs w:val="24"/>
          <w:lang w:val="en-IN" w:eastAsia="en-IN"/>
        </w:rPr>
        <w:t>.</w:t>
      </w:r>
    </w:p>
    <w:p w14:paraId="0DC2C382" w14:textId="17130CC6" w:rsidR="00CB4A10" w:rsidRPr="00397115" w:rsidRDefault="009940A5" w:rsidP="001675F1">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lastRenderedPageBreak/>
        <w:t>Similar</w:t>
      </w:r>
      <w:r w:rsidR="00573D82" w:rsidRPr="00397115">
        <w:rPr>
          <w:rFonts w:ascii="Arial" w:eastAsia="Times New Roman" w:hAnsi="Arial" w:cs="Arial"/>
          <w:szCs w:val="24"/>
          <w:lang w:val="en-IN" w:eastAsia="en-IN"/>
        </w:rPr>
        <w:t>ly,</w:t>
      </w:r>
      <w:r w:rsidRPr="00397115">
        <w:rPr>
          <w:rFonts w:ascii="Arial" w:eastAsia="Times New Roman" w:hAnsi="Arial" w:cs="Arial"/>
          <w:szCs w:val="24"/>
          <w:lang w:val="en-IN" w:eastAsia="en-IN"/>
        </w:rPr>
        <w:t xml:space="preserve"> </w:t>
      </w:r>
      <w:r w:rsidR="00CB4A10" w:rsidRPr="00397115">
        <w:rPr>
          <w:rFonts w:ascii="Arial" w:eastAsia="Times New Roman" w:hAnsi="Arial" w:cs="Arial"/>
          <w:szCs w:val="24"/>
          <w:lang w:val="en-IN" w:eastAsia="en-IN"/>
        </w:rPr>
        <w:t>the Financial Superintendence of Colombia has “issued requirements for integrating ESG and climate risks in the investment policy and governance arrangements of pension funds and insurance companies. It has also increased disclosure requirements for funds with ESG, sustainability and/or green claims, set ESG and climate risk reporting requirements for listed companies and published supervisory expectations on climate risk management for banks</w:t>
      </w:r>
      <w:r w:rsidR="00EB028D" w:rsidRPr="00397115">
        <w:rPr>
          <w:rFonts w:ascii="Arial" w:eastAsia="Times New Roman" w:hAnsi="Arial" w:cs="Arial"/>
          <w:szCs w:val="24"/>
          <w:lang w:val="en-IN" w:eastAsia="en-IN"/>
        </w:rPr>
        <w:t>”</w:t>
      </w:r>
      <w:r w:rsidR="00EB028D" w:rsidRPr="00397115">
        <w:rPr>
          <w:rStyle w:val="FootnoteReference"/>
          <w:rFonts w:ascii="Arial" w:eastAsia="Times New Roman" w:hAnsi="Arial" w:cs="Arial"/>
          <w:szCs w:val="24"/>
          <w:lang w:val="en-IN" w:eastAsia="en-IN"/>
        </w:rPr>
        <w:footnoteReference w:id="20"/>
      </w:r>
      <w:r w:rsidR="00CB4A10" w:rsidRPr="00397115">
        <w:rPr>
          <w:rFonts w:ascii="Arial" w:eastAsia="Times New Roman" w:hAnsi="Arial" w:cs="Arial"/>
          <w:szCs w:val="24"/>
          <w:lang w:val="en-IN" w:eastAsia="en-IN"/>
        </w:rPr>
        <w:t>.</w:t>
      </w:r>
      <w:r w:rsidR="00FE1F48" w:rsidRPr="00397115">
        <w:rPr>
          <w:rFonts w:ascii="Arial" w:eastAsia="Times New Roman" w:hAnsi="Arial" w:cs="Arial"/>
          <w:szCs w:val="24"/>
          <w:lang w:val="en-IN" w:eastAsia="en-IN"/>
        </w:rPr>
        <w:t xml:space="preserve"> Similarly, the Colombian Green Tax</w:t>
      </w:r>
      <w:r w:rsidR="0078432B" w:rsidRPr="00397115">
        <w:rPr>
          <w:rFonts w:ascii="Arial" w:eastAsia="Times New Roman" w:hAnsi="Arial" w:cs="Arial"/>
          <w:szCs w:val="24"/>
          <w:lang w:val="en-IN" w:eastAsia="en-IN"/>
        </w:rPr>
        <w:t>o</w:t>
      </w:r>
      <w:r w:rsidR="00FE1F48" w:rsidRPr="00397115">
        <w:rPr>
          <w:rFonts w:ascii="Arial" w:eastAsia="Times New Roman" w:hAnsi="Arial" w:cs="Arial"/>
          <w:szCs w:val="24"/>
          <w:lang w:val="en-IN" w:eastAsia="en-IN"/>
        </w:rPr>
        <w:t xml:space="preserve">nomy, launched </w:t>
      </w:r>
      <w:r w:rsidR="0078432B" w:rsidRPr="00397115">
        <w:rPr>
          <w:rFonts w:ascii="Arial" w:eastAsia="Times New Roman" w:hAnsi="Arial" w:cs="Arial"/>
          <w:szCs w:val="24"/>
          <w:lang w:val="en-IN" w:eastAsia="en-IN"/>
        </w:rPr>
        <w:t>on 11 April 2022</w:t>
      </w:r>
      <w:r w:rsidR="001675F1" w:rsidRPr="00397115">
        <w:rPr>
          <w:rFonts w:ascii="Arial" w:eastAsia="Times New Roman" w:hAnsi="Arial" w:cs="Arial"/>
          <w:szCs w:val="24"/>
          <w:lang w:val="en-IN" w:eastAsia="en-IN"/>
        </w:rPr>
        <w:t xml:space="preserve">, is a </w:t>
      </w:r>
      <w:r w:rsidR="00456EA8" w:rsidRPr="00397115">
        <w:rPr>
          <w:rFonts w:ascii="Arial" w:eastAsia="Times New Roman" w:hAnsi="Arial" w:cs="Arial"/>
          <w:szCs w:val="24"/>
          <w:lang w:val="en-IN" w:eastAsia="en-IN"/>
        </w:rPr>
        <w:t>“</w:t>
      </w:r>
      <w:r w:rsidR="001675F1" w:rsidRPr="00397115">
        <w:rPr>
          <w:rFonts w:ascii="Arial" w:eastAsia="Times New Roman" w:hAnsi="Arial" w:cs="Arial"/>
          <w:szCs w:val="24"/>
          <w:lang w:val="en-IN" w:eastAsia="en-IN"/>
        </w:rPr>
        <w:t>classification of environmentally sustainable economic activities and assets that will serve as guideline for green financing and will help align the private sector with the national objectives and international environmental commitments”</w:t>
      </w:r>
      <w:r w:rsidR="001675F1" w:rsidRPr="00397115">
        <w:rPr>
          <w:rStyle w:val="FootnoteReference"/>
          <w:rFonts w:ascii="Arial" w:eastAsia="Times New Roman" w:hAnsi="Arial" w:cs="Arial"/>
          <w:szCs w:val="24"/>
          <w:lang w:val="en-IN" w:eastAsia="en-IN"/>
        </w:rPr>
        <w:footnoteReference w:id="21"/>
      </w:r>
      <w:r w:rsidR="001675F1" w:rsidRPr="00397115">
        <w:rPr>
          <w:rFonts w:ascii="Arial" w:eastAsia="Times New Roman" w:hAnsi="Arial" w:cs="Arial"/>
          <w:szCs w:val="24"/>
          <w:lang w:val="en-IN" w:eastAsia="en-IN"/>
        </w:rPr>
        <w:t>.</w:t>
      </w:r>
    </w:p>
    <w:p w14:paraId="776B14CB" w14:textId="2E5C477D" w:rsidR="00041F7A" w:rsidRPr="00397115" w:rsidRDefault="000F1493" w:rsidP="00AD321B">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In Chile, </w:t>
      </w:r>
      <w:r w:rsidR="00D4290B" w:rsidRPr="00397115">
        <w:rPr>
          <w:rFonts w:ascii="Arial" w:eastAsia="Times New Roman" w:hAnsi="Arial" w:cs="Arial"/>
          <w:szCs w:val="24"/>
          <w:lang w:val="en-IN" w:eastAsia="en-IN"/>
        </w:rPr>
        <w:t>the Chilean Commission for the Financial Market (</w:t>
      </w:r>
      <w:r w:rsidR="00D4290B" w:rsidRPr="00397115">
        <w:rPr>
          <w:rFonts w:ascii="Arial" w:eastAsia="Times New Roman" w:hAnsi="Arial" w:cs="Arial"/>
          <w:i/>
          <w:iCs/>
          <w:szCs w:val="24"/>
          <w:lang w:val="en-IN" w:eastAsia="en-IN"/>
        </w:rPr>
        <w:t>Comisión para el Mercado Financiero</w:t>
      </w:r>
      <w:r w:rsidR="00D4290B" w:rsidRPr="00397115">
        <w:rPr>
          <w:rFonts w:ascii="Arial" w:eastAsia="Times New Roman" w:hAnsi="Arial" w:cs="Arial"/>
          <w:szCs w:val="24"/>
          <w:lang w:val="en-IN" w:eastAsia="en-IN"/>
        </w:rPr>
        <w:t>, CMF) issued General Rule No. 461, which includes the ESG related information that must be disclosed in the end-of-year reports</w:t>
      </w:r>
      <w:r w:rsidR="00495BB6" w:rsidRPr="00397115">
        <w:rPr>
          <w:rFonts w:ascii="Arial" w:eastAsia="Times New Roman" w:hAnsi="Arial" w:cs="Arial"/>
          <w:szCs w:val="24"/>
          <w:lang w:val="en-IN" w:eastAsia="en-IN"/>
        </w:rPr>
        <w:t xml:space="preserve"> of the supervised entities</w:t>
      </w:r>
      <w:r w:rsidR="00D4290B" w:rsidRPr="00397115">
        <w:rPr>
          <w:rFonts w:ascii="Arial" w:eastAsia="Times New Roman" w:hAnsi="Arial" w:cs="Arial"/>
          <w:szCs w:val="24"/>
          <w:lang w:val="en-IN" w:eastAsia="en-IN"/>
        </w:rPr>
        <w:t xml:space="preserve">. </w:t>
      </w:r>
      <w:r w:rsidR="00495BB6" w:rsidRPr="00397115">
        <w:rPr>
          <w:rFonts w:ascii="Arial" w:eastAsia="Times New Roman" w:hAnsi="Arial" w:cs="Arial"/>
          <w:szCs w:val="24"/>
          <w:lang w:val="en-IN" w:eastAsia="en-IN"/>
        </w:rPr>
        <w:t>It requires them to disclose strategic commitments adopted in furtherance of the SDGs or other similar initiatives</w:t>
      </w:r>
      <w:r w:rsidR="009D2EE6" w:rsidRPr="00397115">
        <w:rPr>
          <w:rFonts w:ascii="Arial" w:eastAsia="Times New Roman" w:hAnsi="Arial" w:cs="Arial"/>
          <w:szCs w:val="24"/>
          <w:lang w:val="en-IN" w:eastAsia="en-IN"/>
        </w:rPr>
        <w:t>”</w:t>
      </w:r>
      <w:r w:rsidR="009D2EE6" w:rsidRPr="00397115">
        <w:rPr>
          <w:rStyle w:val="FootnoteReference"/>
          <w:rFonts w:ascii="Arial" w:eastAsia="Times New Roman" w:hAnsi="Arial" w:cs="Arial"/>
          <w:szCs w:val="24"/>
          <w:lang w:val="en-IN" w:eastAsia="en-IN"/>
        </w:rPr>
        <w:footnoteReference w:id="22"/>
      </w:r>
      <w:r w:rsidR="000426CA" w:rsidRPr="00397115">
        <w:rPr>
          <w:rFonts w:ascii="Arial" w:eastAsia="Times New Roman" w:hAnsi="Arial" w:cs="Arial"/>
          <w:szCs w:val="24"/>
          <w:lang w:val="en-IN" w:eastAsia="en-IN"/>
        </w:rPr>
        <w:t>.</w:t>
      </w:r>
    </w:p>
    <w:p w14:paraId="2C197DD6" w14:textId="3E691D71" w:rsidR="005640AA" w:rsidRPr="00397115" w:rsidRDefault="008F1322" w:rsidP="005640AA">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There has also been an uptick in the adoption of ESG reporting requirements </w:t>
      </w:r>
      <w:r w:rsidR="00BE5E03" w:rsidRPr="00397115">
        <w:rPr>
          <w:rFonts w:ascii="Arial" w:eastAsia="Times New Roman" w:hAnsi="Arial" w:cs="Arial"/>
          <w:szCs w:val="24"/>
          <w:lang w:val="en-IN" w:eastAsia="en-IN"/>
        </w:rPr>
        <w:t xml:space="preserve">in financial markets </w:t>
      </w:r>
      <w:r w:rsidRPr="00397115">
        <w:rPr>
          <w:rFonts w:ascii="Arial" w:eastAsia="Times New Roman" w:hAnsi="Arial" w:cs="Arial"/>
          <w:szCs w:val="24"/>
          <w:lang w:val="en-IN" w:eastAsia="en-IN"/>
        </w:rPr>
        <w:t>across the African continent</w:t>
      </w:r>
      <w:r w:rsidR="007C58D3" w:rsidRPr="00397115">
        <w:rPr>
          <w:rStyle w:val="FootnoteReference"/>
          <w:rFonts w:ascii="Arial" w:eastAsia="Times New Roman" w:hAnsi="Arial" w:cs="Arial"/>
          <w:szCs w:val="24"/>
          <w:lang w:val="en-IN" w:eastAsia="en-IN"/>
        </w:rPr>
        <w:footnoteReference w:id="23"/>
      </w:r>
      <w:r w:rsidR="007C58D3" w:rsidRPr="00397115">
        <w:rPr>
          <w:rFonts w:ascii="Arial" w:eastAsia="Times New Roman" w:hAnsi="Arial" w:cs="Arial"/>
          <w:szCs w:val="24"/>
          <w:lang w:val="en-IN" w:eastAsia="en-IN"/>
        </w:rPr>
        <w:t xml:space="preserve">. </w:t>
      </w:r>
      <w:r w:rsidR="005640AA" w:rsidRPr="00397115">
        <w:rPr>
          <w:rFonts w:ascii="Arial" w:eastAsia="Times New Roman" w:hAnsi="Arial" w:cs="Arial"/>
          <w:szCs w:val="24"/>
          <w:lang w:val="en-IN" w:eastAsia="en-IN"/>
        </w:rPr>
        <w:t xml:space="preserve">For </w:t>
      </w:r>
      <w:r w:rsidR="00AE6E31" w:rsidRPr="00397115">
        <w:rPr>
          <w:rFonts w:ascii="Arial" w:eastAsia="Times New Roman" w:hAnsi="Arial" w:cs="Arial"/>
          <w:szCs w:val="24"/>
          <w:lang w:val="en-IN" w:eastAsia="en-IN"/>
        </w:rPr>
        <w:t>example</w:t>
      </w:r>
      <w:r w:rsidR="005640AA" w:rsidRPr="00397115">
        <w:rPr>
          <w:rFonts w:ascii="Arial" w:eastAsia="Times New Roman" w:hAnsi="Arial" w:cs="Arial"/>
          <w:szCs w:val="24"/>
          <w:lang w:val="en-IN" w:eastAsia="en-IN"/>
        </w:rPr>
        <w:t xml:space="preserve">, the Johannesburg Stock Exchange has developed </w:t>
      </w:r>
      <w:r w:rsidR="00BB7889" w:rsidRPr="00397115">
        <w:rPr>
          <w:rFonts w:ascii="Arial" w:eastAsia="Times New Roman" w:hAnsi="Arial" w:cs="Arial"/>
          <w:szCs w:val="24"/>
          <w:lang w:val="en-IN" w:eastAsia="en-IN"/>
        </w:rPr>
        <w:t>a</w:t>
      </w:r>
      <w:r w:rsidR="005640AA" w:rsidRPr="00397115">
        <w:rPr>
          <w:rFonts w:ascii="Arial" w:eastAsia="Times New Roman" w:hAnsi="Arial" w:cs="Arial"/>
          <w:szCs w:val="24"/>
          <w:lang w:val="en-IN" w:eastAsia="en-IN"/>
        </w:rPr>
        <w:t xml:space="preserve"> Sustainability Disclosure Guidance</w:t>
      </w:r>
      <w:r w:rsidR="00631190" w:rsidRPr="00397115">
        <w:rPr>
          <w:rFonts w:ascii="Arial" w:eastAsia="Times New Roman" w:hAnsi="Arial" w:cs="Arial"/>
          <w:szCs w:val="24"/>
          <w:lang w:val="en-IN" w:eastAsia="en-IN"/>
        </w:rPr>
        <w:t xml:space="preserve"> and a Climate Change Disclosure Guidance</w:t>
      </w:r>
      <w:r w:rsidR="002E3010" w:rsidRPr="00397115">
        <w:rPr>
          <w:rFonts w:ascii="Arial" w:eastAsia="Times New Roman" w:hAnsi="Arial" w:cs="Arial"/>
          <w:szCs w:val="24"/>
          <w:lang w:val="en-IN" w:eastAsia="en-IN"/>
        </w:rPr>
        <w:t xml:space="preserve">, which </w:t>
      </w:r>
      <w:r w:rsidR="00631190" w:rsidRPr="00397115">
        <w:rPr>
          <w:rFonts w:ascii="Arial" w:eastAsia="Times New Roman" w:hAnsi="Arial" w:cs="Arial"/>
          <w:szCs w:val="24"/>
          <w:lang w:val="en-IN" w:eastAsia="en-IN"/>
        </w:rPr>
        <w:t>are</w:t>
      </w:r>
      <w:r w:rsidR="005640AA" w:rsidRPr="00397115">
        <w:rPr>
          <w:rFonts w:ascii="Arial" w:eastAsia="Times New Roman" w:hAnsi="Arial" w:cs="Arial"/>
          <w:szCs w:val="24"/>
          <w:lang w:val="en-IN" w:eastAsia="en-IN"/>
        </w:rPr>
        <w:t xml:space="preserve"> </w:t>
      </w:r>
      <w:r w:rsidR="002274BD" w:rsidRPr="00397115">
        <w:rPr>
          <w:rFonts w:ascii="Arial" w:eastAsia="Times New Roman" w:hAnsi="Arial" w:cs="Arial"/>
          <w:szCs w:val="24"/>
          <w:lang w:val="en-IN" w:eastAsia="en-IN"/>
        </w:rPr>
        <w:t>“</w:t>
      </w:r>
      <w:r w:rsidR="005640AA" w:rsidRPr="00397115">
        <w:rPr>
          <w:rFonts w:ascii="Arial" w:eastAsia="Times New Roman" w:hAnsi="Arial" w:cs="Arial"/>
          <w:szCs w:val="24"/>
          <w:lang w:val="en-IN" w:eastAsia="en-IN"/>
        </w:rPr>
        <w:t>aligned with, and draw on the most influential global initiatives on sustainability and climate change disclosure</w:t>
      </w:r>
      <w:r w:rsidR="004A7F3A" w:rsidRPr="00397115">
        <w:rPr>
          <w:rFonts w:ascii="Arial" w:eastAsia="Times New Roman" w:hAnsi="Arial" w:cs="Arial"/>
          <w:szCs w:val="24"/>
          <w:lang w:val="en-IN" w:eastAsia="en-IN"/>
        </w:rPr>
        <w:t>”</w:t>
      </w:r>
      <w:r w:rsidR="004A7F3A" w:rsidRPr="00397115">
        <w:rPr>
          <w:rStyle w:val="FootnoteReference"/>
          <w:rFonts w:ascii="Arial" w:eastAsia="Times New Roman" w:hAnsi="Arial" w:cs="Arial"/>
          <w:szCs w:val="24"/>
          <w:lang w:val="en-IN" w:eastAsia="en-IN"/>
        </w:rPr>
        <w:footnoteReference w:id="24"/>
      </w:r>
      <w:r w:rsidR="005640AA" w:rsidRPr="00397115">
        <w:rPr>
          <w:rFonts w:ascii="Arial" w:eastAsia="Times New Roman" w:hAnsi="Arial" w:cs="Arial"/>
          <w:szCs w:val="24"/>
          <w:lang w:val="en-IN" w:eastAsia="en-IN"/>
        </w:rPr>
        <w:t xml:space="preserve">. </w:t>
      </w:r>
    </w:p>
    <w:p w14:paraId="37E4EF1F" w14:textId="1C150007" w:rsidR="002B568A" w:rsidRPr="00397115" w:rsidRDefault="002B568A" w:rsidP="005640AA">
      <w:pPr>
        <w:spacing w:before="100" w:beforeAutospacing="1" w:after="100" w:afterAutospacing="1" w:line="240" w:lineRule="auto"/>
        <w:jc w:val="both"/>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Challenges and Weaknesses of ESG reporting</w:t>
      </w:r>
    </w:p>
    <w:p w14:paraId="06067C94" w14:textId="387E8966" w:rsidR="002B568A" w:rsidRPr="00397115" w:rsidRDefault="00871DC9" w:rsidP="002B568A">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While the</w:t>
      </w:r>
      <w:r w:rsidR="004B57DD" w:rsidRPr="00397115">
        <w:rPr>
          <w:rFonts w:ascii="Arial" w:eastAsia="Times New Roman" w:hAnsi="Arial" w:cs="Arial"/>
          <w:szCs w:val="24"/>
          <w:lang w:val="en-IN" w:eastAsia="en-IN"/>
        </w:rPr>
        <w:t xml:space="preserve"> </w:t>
      </w:r>
      <w:r w:rsidRPr="00397115">
        <w:rPr>
          <w:rFonts w:ascii="Arial" w:eastAsia="Times New Roman" w:hAnsi="Arial" w:cs="Arial"/>
          <w:szCs w:val="24"/>
          <w:lang w:val="en-IN" w:eastAsia="en-IN"/>
        </w:rPr>
        <w:t>efforts</w:t>
      </w:r>
      <w:r w:rsidR="004B57DD" w:rsidRPr="00397115">
        <w:rPr>
          <w:rFonts w:ascii="Arial" w:eastAsia="Times New Roman" w:hAnsi="Arial" w:cs="Arial"/>
          <w:szCs w:val="24"/>
          <w:lang w:val="en-IN" w:eastAsia="en-IN"/>
        </w:rPr>
        <w:t xml:space="preserve"> mentioned above could </w:t>
      </w:r>
      <w:r w:rsidR="005861AC" w:rsidRPr="00397115">
        <w:rPr>
          <w:rFonts w:ascii="Arial" w:eastAsia="Times New Roman" w:hAnsi="Arial" w:cs="Arial"/>
          <w:szCs w:val="24"/>
          <w:lang w:val="en-IN" w:eastAsia="en-IN"/>
        </w:rPr>
        <w:t>support transparency and uniformity in ESG disclosures</w:t>
      </w:r>
      <w:r w:rsidR="007646F3" w:rsidRPr="00397115">
        <w:rPr>
          <w:rFonts w:ascii="Arial" w:eastAsia="Times New Roman" w:hAnsi="Arial" w:cs="Arial"/>
          <w:szCs w:val="24"/>
          <w:lang w:val="en-IN" w:eastAsia="en-IN"/>
        </w:rPr>
        <w:t xml:space="preserve"> by businesses</w:t>
      </w:r>
      <w:r w:rsidR="004B57DD" w:rsidRPr="00397115">
        <w:rPr>
          <w:rFonts w:ascii="Arial" w:eastAsia="Times New Roman" w:hAnsi="Arial" w:cs="Arial"/>
          <w:szCs w:val="24"/>
          <w:lang w:val="en-IN" w:eastAsia="en-IN"/>
        </w:rPr>
        <w:t xml:space="preserve">, ESG reporting </w:t>
      </w:r>
      <w:r w:rsidR="007646F3" w:rsidRPr="00397115">
        <w:rPr>
          <w:rFonts w:ascii="Arial" w:eastAsia="Times New Roman" w:hAnsi="Arial" w:cs="Arial"/>
          <w:szCs w:val="24"/>
          <w:lang w:val="en-IN" w:eastAsia="en-IN"/>
        </w:rPr>
        <w:t xml:space="preserve">currently </w:t>
      </w:r>
      <w:r w:rsidR="004B57DD" w:rsidRPr="00397115">
        <w:rPr>
          <w:rFonts w:ascii="Arial" w:eastAsia="Times New Roman" w:hAnsi="Arial" w:cs="Arial"/>
          <w:szCs w:val="24"/>
          <w:lang w:val="en-IN" w:eastAsia="en-IN"/>
        </w:rPr>
        <w:t>faces several challenges and weaknesse</w:t>
      </w:r>
      <w:r w:rsidR="00E1032E" w:rsidRPr="00397115">
        <w:rPr>
          <w:rFonts w:ascii="Arial" w:eastAsia="Times New Roman" w:hAnsi="Arial" w:cs="Arial"/>
          <w:szCs w:val="24"/>
          <w:lang w:val="en-IN" w:eastAsia="en-IN"/>
        </w:rPr>
        <w:t xml:space="preserve">s. </w:t>
      </w:r>
      <w:r w:rsidR="00503F9E" w:rsidRPr="00397115">
        <w:rPr>
          <w:rFonts w:ascii="Arial" w:eastAsia="Times New Roman" w:hAnsi="Arial" w:cs="Arial"/>
          <w:szCs w:val="24"/>
          <w:lang w:val="en-IN" w:eastAsia="en-IN"/>
        </w:rPr>
        <w:t>T</w:t>
      </w:r>
      <w:r w:rsidR="00E1032E" w:rsidRPr="00397115">
        <w:rPr>
          <w:rFonts w:ascii="Arial" w:eastAsia="Times New Roman" w:hAnsi="Arial" w:cs="Arial"/>
          <w:szCs w:val="24"/>
          <w:lang w:val="en-IN" w:eastAsia="en-IN"/>
        </w:rPr>
        <w:t xml:space="preserve">he </w:t>
      </w:r>
      <w:r w:rsidR="004C2599" w:rsidRPr="00397115">
        <w:rPr>
          <w:rFonts w:ascii="Arial" w:eastAsia="Times New Roman" w:hAnsi="Arial" w:cs="Arial"/>
          <w:szCs w:val="24"/>
          <w:lang w:val="en-IN" w:eastAsia="en-IN"/>
        </w:rPr>
        <w:t xml:space="preserve">public </w:t>
      </w:r>
      <w:r w:rsidR="00E1032E" w:rsidRPr="00397115">
        <w:rPr>
          <w:rFonts w:ascii="Arial" w:eastAsia="Times New Roman" w:hAnsi="Arial" w:cs="Arial"/>
          <w:szCs w:val="24"/>
          <w:lang w:val="en-IN" w:eastAsia="en-IN"/>
        </w:rPr>
        <w:t>disclosure</w:t>
      </w:r>
      <w:r w:rsidR="00503F9E" w:rsidRPr="00397115">
        <w:rPr>
          <w:rFonts w:ascii="Arial" w:eastAsia="Times New Roman" w:hAnsi="Arial" w:cs="Arial"/>
          <w:szCs w:val="24"/>
          <w:lang w:val="en-IN" w:eastAsia="en-IN"/>
        </w:rPr>
        <w:t xml:space="preserve"> requirements as part of non-financial reporting</w:t>
      </w:r>
      <w:r w:rsidR="00E1032E" w:rsidRPr="00397115">
        <w:rPr>
          <w:rFonts w:ascii="Arial" w:eastAsia="Times New Roman" w:hAnsi="Arial" w:cs="Arial"/>
          <w:szCs w:val="24"/>
          <w:lang w:val="en-IN" w:eastAsia="en-IN"/>
        </w:rPr>
        <w:t xml:space="preserve"> </w:t>
      </w:r>
      <w:r w:rsidR="00EB1BF0" w:rsidRPr="00397115">
        <w:rPr>
          <w:rFonts w:ascii="Arial" w:eastAsia="Times New Roman" w:hAnsi="Arial" w:cs="Arial"/>
          <w:szCs w:val="24"/>
          <w:lang w:val="en-IN" w:eastAsia="en-IN"/>
        </w:rPr>
        <w:t>is</w:t>
      </w:r>
      <w:r w:rsidR="005861AC" w:rsidRPr="00397115">
        <w:rPr>
          <w:rFonts w:ascii="Arial" w:eastAsia="Times New Roman" w:hAnsi="Arial" w:cs="Arial"/>
          <w:szCs w:val="24"/>
          <w:lang w:val="en-IN" w:eastAsia="en-IN"/>
        </w:rPr>
        <w:t xml:space="preserve"> limited to publicly listed companies</w:t>
      </w:r>
      <w:r w:rsidR="00E1032E" w:rsidRPr="00397115">
        <w:rPr>
          <w:rFonts w:ascii="Arial" w:eastAsia="Times New Roman" w:hAnsi="Arial" w:cs="Arial"/>
          <w:szCs w:val="24"/>
          <w:lang w:val="en-IN" w:eastAsia="en-IN"/>
        </w:rPr>
        <w:t>, which</w:t>
      </w:r>
      <w:r w:rsidR="005861AC" w:rsidRPr="00397115">
        <w:rPr>
          <w:rFonts w:ascii="Arial" w:eastAsia="Times New Roman" w:hAnsi="Arial" w:cs="Arial"/>
          <w:szCs w:val="24"/>
          <w:lang w:val="en-IN" w:eastAsia="en-IN"/>
        </w:rPr>
        <w:t xml:space="preserve"> </w:t>
      </w:r>
      <w:r w:rsidR="00776AD0" w:rsidRPr="00397115">
        <w:rPr>
          <w:rFonts w:ascii="Arial" w:eastAsia="Times New Roman" w:hAnsi="Arial" w:cs="Arial"/>
          <w:szCs w:val="24"/>
          <w:lang w:val="en-IN" w:eastAsia="en-IN"/>
        </w:rPr>
        <w:t>curtails their effectiveness</w:t>
      </w:r>
      <w:r w:rsidR="00EB1BF0" w:rsidRPr="00397115">
        <w:rPr>
          <w:rFonts w:ascii="Arial" w:eastAsia="Times New Roman" w:hAnsi="Arial" w:cs="Arial"/>
          <w:szCs w:val="24"/>
          <w:lang w:val="en-IN" w:eastAsia="en-IN"/>
        </w:rPr>
        <w:t xml:space="preserve"> in promoting a single standard for all businesses to follow</w:t>
      </w:r>
      <w:r w:rsidR="00BF7CFD" w:rsidRPr="00397115">
        <w:rPr>
          <w:rFonts w:ascii="Arial" w:eastAsia="Times New Roman" w:hAnsi="Arial" w:cs="Arial"/>
          <w:szCs w:val="24"/>
          <w:lang w:val="en-IN" w:eastAsia="en-IN"/>
        </w:rPr>
        <w:t xml:space="preserve">. </w:t>
      </w:r>
      <w:r w:rsidR="00A24953" w:rsidRPr="00397115">
        <w:rPr>
          <w:rFonts w:ascii="Arial" w:eastAsia="Times New Roman" w:hAnsi="Arial" w:cs="Arial"/>
          <w:szCs w:val="24"/>
          <w:lang w:val="en-IN" w:eastAsia="en-IN"/>
        </w:rPr>
        <w:t xml:space="preserve">Similarly, the ESG designation </w:t>
      </w:r>
      <w:r w:rsidR="00535C2C" w:rsidRPr="00397115">
        <w:rPr>
          <w:rFonts w:ascii="Arial" w:eastAsia="Times New Roman" w:hAnsi="Arial" w:cs="Arial"/>
          <w:szCs w:val="24"/>
          <w:lang w:val="en-IN" w:eastAsia="en-IN"/>
        </w:rPr>
        <w:t>is normally self-attributed by firms disclosing their</w:t>
      </w:r>
      <w:r w:rsidR="00641A2B" w:rsidRPr="00397115">
        <w:rPr>
          <w:rFonts w:ascii="Arial" w:eastAsia="Times New Roman" w:hAnsi="Arial" w:cs="Arial"/>
          <w:szCs w:val="24"/>
          <w:lang w:val="en-IN" w:eastAsia="en-IN"/>
        </w:rPr>
        <w:t xml:space="preserve"> </w:t>
      </w:r>
      <w:r w:rsidR="004C2599" w:rsidRPr="00397115">
        <w:rPr>
          <w:rFonts w:ascii="Arial" w:eastAsia="Times New Roman" w:hAnsi="Arial" w:cs="Arial"/>
          <w:szCs w:val="24"/>
          <w:lang w:val="en-IN" w:eastAsia="en-IN"/>
        </w:rPr>
        <w:t>reports</w:t>
      </w:r>
      <w:r w:rsidR="00641A2B" w:rsidRPr="00397115">
        <w:rPr>
          <w:rFonts w:ascii="Arial" w:eastAsia="Times New Roman" w:hAnsi="Arial" w:cs="Arial"/>
          <w:szCs w:val="24"/>
          <w:lang w:val="en-IN" w:eastAsia="en-IN"/>
        </w:rPr>
        <w:t xml:space="preserve">, or by private firms </w:t>
      </w:r>
      <w:r w:rsidR="00CC3A53" w:rsidRPr="00397115">
        <w:rPr>
          <w:rFonts w:ascii="Arial" w:eastAsia="Times New Roman" w:hAnsi="Arial" w:cs="Arial"/>
          <w:szCs w:val="24"/>
          <w:lang w:val="en-IN" w:eastAsia="en-IN"/>
        </w:rPr>
        <w:t xml:space="preserve">specialised </w:t>
      </w:r>
      <w:r w:rsidR="004C2599" w:rsidRPr="00397115">
        <w:rPr>
          <w:rFonts w:ascii="Arial" w:eastAsia="Times New Roman" w:hAnsi="Arial" w:cs="Arial"/>
          <w:szCs w:val="24"/>
          <w:lang w:val="en-IN" w:eastAsia="en-IN"/>
        </w:rPr>
        <w:t>i</w:t>
      </w:r>
      <w:r w:rsidR="00CC3A53" w:rsidRPr="00397115">
        <w:rPr>
          <w:rFonts w:ascii="Arial" w:eastAsia="Times New Roman" w:hAnsi="Arial" w:cs="Arial"/>
          <w:szCs w:val="24"/>
          <w:lang w:val="en-IN" w:eastAsia="en-IN"/>
        </w:rPr>
        <w:t xml:space="preserve">n providing ESG ratings. </w:t>
      </w:r>
      <w:r w:rsidR="00A56A34" w:rsidRPr="00397115">
        <w:rPr>
          <w:rFonts w:ascii="Arial" w:eastAsia="Times New Roman" w:hAnsi="Arial" w:cs="Arial"/>
          <w:szCs w:val="24"/>
          <w:lang w:val="en-IN" w:eastAsia="en-IN"/>
        </w:rPr>
        <w:t>C</w:t>
      </w:r>
      <w:r w:rsidR="00CC3A53" w:rsidRPr="00397115">
        <w:rPr>
          <w:rFonts w:ascii="Arial" w:eastAsia="Times New Roman" w:hAnsi="Arial" w:cs="Arial"/>
          <w:szCs w:val="24"/>
          <w:lang w:val="en-IN" w:eastAsia="en-IN"/>
        </w:rPr>
        <w:t>urrently</w:t>
      </w:r>
      <w:r w:rsidR="00A56A34" w:rsidRPr="00397115">
        <w:rPr>
          <w:rFonts w:ascii="Arial" w:eastAsia="Times New Roman" w:hAnsi="Arial" w:cs="Arial"/>
          <w:szCs w:val="24"/>
          <w:lang w:val="en-IN" w:eastAsia="en-IN"/>
        </w:rPr>
        <w:t>,</w:t>
      </w:r>
      <w:r w:rsidR="00CC3A53" w:rsidRPr="00397115">
        <w:rPr>
          <w:rFonts w:ascii="Arial" w:eastAsia="Times New Roman" w:hAnsi="Arial" w:cs="Arial"/>
          <w:szCs w:val="24"/>
          <w:lang w:val="en-IN" w:eastAsia="en-IN"/>
        </w:rPr>
        <w:t xml:space="preserve"> there are no specialized metric</w:t>
      </w:r>
      <w:r w:rsidR="00A56A34" w:rsidRPr="00397115">
        <w:rPr>
          <w:rFonts w:ascii="Arial" w:eastAsia="Times New Roman" w:hAnsi="Arial" w:cs="Arial"/>
          <w:szCs w:val="24"/>
          <w:lang w:val="en-IN" w:eastAsia="en-IN"/>
        </w:rPr>
        <w:t>s</w:t>
      </w:r>
      <w:r w:rsidR="00CC3A53" w:rsidRPr="00397115">
        <w:rPr>
          <w:rFonts w:ascii="Arial" w:eastAsia="Times New Roman" w:hAnsi="Arial" w:cs="Arial"/>
          <w:szCs w:val="24"/>
          <w:lang w:val="en-IN" w:eastAsia="en-IN"/>
        </w:rPr>
        <w:t xml:space="preserve"> </w:t>
      </w:r>
      <w:r w:rsidR="00E17BBB" w:rsidRPr="00397115">
        <w:rPr>
          <w:rFonts w:ascii="Arial" w:eastAsia="Times New Roman" w:hAnsi="Arial" w:cs="Arial"/>
          <w:szCs w:val="24"/>
          <w:lang w:val="en-IN" w:eastAsia="en-IN"/>
        </w:rPr>
        <w:t xml:space="preserve">on </w:t>
      </w:r>
      <w:r w:rsidR="00A56A34" w:rsidRPr="00397115">
        <w:rPr>
          <w:rFonts w:ascii="Arial" w:eastAsia="Times New Roman" w:hAnsi="Arial" w:cs="Arial"/>
          <w:szCs w:val="24"/>
          <w:lang w:val="en-IN" w:eastAsia="en-IN"/>
        </w:rPr>
        <w:t xml:space="preserve">measuring companies’ impacts on </w:t>
      </w:r>
      <w:r w:rsidR="00E17BBB" w:rsidRPr="00397115">
        <w:rPr>
          <w:rFonts w:ascii="Arial" w:eastAsia="Times New Roman" w:hAnsi="Arial" w:cs="Arial"/>
          <w:szCs w:val="24"/>
          <w:lang w:val="en-IN" w:eastAsia="en-IN"/>
        </w:rPr>
        <w:lastRenderedPageBreak/>
        <w:t xml:space="preserve">social aspects, including human rights. </w:t>
      </w:r>
      <w:r w:rsidR="001E4D01" w:rsidRPr="00397115">
        <w:rPr>
          <w:rFonts w:ascii="Arial" w:eastAsia="Times New Roman" w:hAnsi="Arial" w:cs="Arial"/>
          <w:szCs w:val="24"/>
          <w:lang w:val="en-IN" w:eastAsia="en-IN"/>
        </w:rPr>
        <w:t xml:space="preserve">The diversity of </w:t>
      </w:r>
      <w:r w:rsidR="00147313" w:rsidRPr="00397115">
        <w:rPr>
          <w:rFonts w:ascii="Arial" w:eastAsia="Times New Roman" w:hAnsi="Arial" w:cs="Arial"/>
          <w:szCs w:val="24"/>
          <w:lang w:val="en-IN" w:eastAsia="en-IN"/>
        </w:rPr>
        <w:t xml:space="preserve">populations and unique societal contexts </w:t>
      </w:r>
      <w:r w:rsidR="00FF1E90" w:rsidRPr="00397115">
        <w:rPr>
          <w:rFonts w:ascii="Arial" w:eastAsia="Times New Roman" w:hAnsi="Arial" w:cs="Arial"/>
          <w:szCs w:val="24"/>
          <w:lang w:val="en-IN" w:eastAsia="en-IN"/>
        </w:rPr>
        <w:t xml:space="preserve">relevant to businesses </w:t>
      </w:r>
      <w:r w:rsidR="00147313" w:rsidRPr="00397115">
        <w:rPr>
          <w:rFonts w:ascii="Arial" w:eastAsia="Times New Roman" w:hAnsi="Arial" w:cs="Arial"/>
          <w:szCs w:val="24"/>
          <w:lang w:val="en-IN" w:eastAsia="en-IN"/>
        </w:rPr>
        <w:t xml:space="preserve">also </w:t>
      </w:r>
      <w:r w:rsidR="00F71937" w:rsidRPr="00397115">
        <w:rPr>
          <w:rFonts w:ascii="Arial" w:eastAsia="Times New Roman" w:hAnsi="Arial" w:cs="Arial"/>
          <w:szCs w:val="24"/>
          <w:lang w:val="en-IN" w:eastAsia="en-IN"/>
        </w:rPr>
        <w:t xml:space="preserve">raise concerns </w:t>
      </w:r>
      <w:r w:rsidR="00FF1E90" w:rsidRPr="00397115">
        <w:rPr>
          <w:rFonts w:ascii="Arial" w:eastAsia="Times New Roman" w:hAnsi="Arial" w:cs="Arial"/>
          <w:szCs w:val="24"/>
          <w:lang w:val="en-IN" w:eastAsia="en-IN"/>
        </w:rPr>
        <w:t xml:space="preserve">when </w:t>
      </w:r>
      <w:r w:rsidR="00944B2A" w:rsidRPr="00397115">
        <w:rPr>
          <w:rFonts w:ascii="Arial" w:eastAsia="Times New Roman" w:hAnsi="Arial" w:cs="Arial"/>
          <w:szCs w:val="24"/>
          <w:lang w:val="en-IN" w:eastAsia="en-IN"/>
        </w:rPr>
        <w:t xml:space="preserve">focusing on a single ‘social’ metric. </w:t>
      </w:r>
      <w:r w:rsidR="002B568A" w:rsidRPr="00397115">
        <w:rPr>
          <w:rFonts w:ascii="Arial" w:eastAsia="Times New Roman" w:hAnsi="Arial" w:cs="Arial"/>
          <w:szCs w:val="24"/>
          <w:lang w:val="en-IN" w:eastAsia="en-IN"/>
        </w:rPr>
        <w:t xml:space="preserve">Therefore, ESG alone is an insufficient tool to understand, measure or mitigate the human rights </w:t>
      </w:r>
      <w:r w:rsidR="00AE6E31" w:rsidRPr="00397115">
        <w:rPr>
          <w:rFonts w:ascii="Arial" w:eastAsia="Times New Roman" w:hAnsi="Arial" w:cs="Arial"/>
          <w:szCs w:val="24"/>
          <w:lang w:val="en-IN" w:eastAsia="en-IN"/>
        </w:rPr>
        <w:t xml:space="preserve">and other </w:t>
      </w:r>
      <w:r w:rsidR="002B568A" w:rsidRPr="00397115">
        <w:rPr>
          <w:rFonts w:ascii="Arial" w:eastAsia="Times New Roman" w:hAnsi="Arial" w:cs="Arial"/>
          <w:szCs w:val="24"/>
          <w:lang w:val="en-IN" w:eastAsia="en-IN"/>
        </w:rPr>
        <w:t xml:space="preserve">impacts of business activities, especially </w:t>
      </w:r>
      <w:r w:rsidR="00760CDB" w:rsidRPr="00397115">
        <w:rPr>
          <w:rFonts w:ascii="Arial" w:eastAsia="Times New Roman" w:hAnsi="Arial" w:cs="Arial"/>
          <w:szCs w:val="24"/>
          <w:lang w:val="en-IN" w:eastAsia="en-IN"/>
        </w:rPr>
        <w:t>regarding</w:t>
      </w:r>
      <w:r w:rsidR="002B568A" w:rsidRPr="00397115">
        <w:rPr>
          <w:rFonts w:ascii="Arial" w:eastAsia="Times New Roman" w:hAnsi="Arial" w:cs="Arial"/>
          <w:szCs w:val="24"/>
          <w:lang w:val="en-IN" w:eastAsia="en-IN"/>
        </w:rPr>
        <w:t xml:space="preserve"> the impacts on the most vulnerable peoples and communities in developing countries. </w:t>
      </w:r>
    </w:p>
    <w:p w14:paraId="148F698A" w14:textId="03CF3639" w:rsidR="003A48C5" w:rsidRPr="00397115" w:rsidRDefault="00760CDB" w:rsidP="00760CDB">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Similarly</w:t>
      </w:r>
      <w:r w:rsidR="000D3416" w:rsidRPr="00397115">
        <w:rPr>
          <w:rFonts w:ascii="Arial" w:eastAsia="Times New Roman" w:hAnsi="Arial" w:cs="Arial"/>
          <w:szCs w:val="24"/>
          <w:lang w:val="en-IN" w:eastAsia="en-IN"/>
        </w:rPr>
        <w:t>, the use of</w:t>
      </w:r>
      <w:r w:rsidRPr="00397115">
        <w:rPr>
          <w:rFonts w:ascii="Arial" w:eastAsia="Times New Roman" w:hAnsi="Arial" w:cs="Arial"/>
          <w:szCs w:val="24"/>
          <w:lang w:val="en-IN" w:eastAsia="en-IN"/>
        </w:rPr>
        <w:t xml:space="preserve"> multiple </w:t>
      </w:r>
      <w:r w:rsidR="00E763BD" w:rsidRPr="00397115">
        <w:rPr>
          <w:rFonts w:ascii="Arial" w:eastAsia="Times New Roman" w:hAnsi="Arial" w:cs="Arial"/>
          <w:szCs w:val="24"/>
          <w:lang w:val="en-IN" w:eastAsia="en-IN"/>
        </w:rPr>
        <w:t>methodologies and</w:t>
      </w:r>
      <w:r w:rsidR="000D3416" w:rsidRPr="00397115">
        <w:rPr>
          <w:rFonts w:ascii="Arial" w:eastAsia="Times New Roman" w:hAnsi="Arial" w:cs="Arial"/>
          <w:szCs w:val="24"/>
          <w:lang w:val="en-IN" w:eastAsia="en-IN"/>
        </w:rPr>
        <w:t xml:space="preserve"> </w:t>
      </w:r>
      <w:r w:rsidR="00091CB9" w:rsidRPr="00397115">
        <w:rPr>
          <w:rFonts w:ascii="Arial" w:eastAsia="Times New Roman" w:hAnsi="Arial" w:cs="Arial"/>
          <w:szCs w:val="24"/>
          <w:lang w:val="en-IN" w:eastAsia="en-IN"/>
        </w:rPr>
        <w:t xml:space="preserve">the lack of a </w:t>
      </w:r>
      <w:r w:rsidR="00E763BD" w:rsidRPr="00397115">
        <w:rPr>
          <w:rFonts w:ascii="Arial" w:eastAsia="Times New Roman" w:hAnsi="Arial" w:cs="Arial"/>
          <w:szCs w:val="24"/>
          <w:lang w:val="en-IN" w:eastAsia="en-IN"/>
        </w:rPr>
        <w:t>universal ‘taxo</w:t>
      </w:r>
      <w:r w:rsidR="00900DBB" w:rsidRPr="00397115">
        <w:rPr>
          <w:rFonts w:ascii="Arial" w:eastAsia="Times New Roman" w:hAnsi="Arial" w:cs="Arial"/>
          <w:szCs w:val="24"/>
          <w:lang w:val="en-IN" w:eastAsia="en-IN"/>
        </w:rPr>
        <w:t>nomy</w:t>
      </w:r>
      <w:r w:rsidR="00E763BD" w:rsidRPr="00397115">
        <w:rPr>
          <w:rFonts w:ascii="Arial" w:eastAsia="Times New Roman" w:hAnsi="Arial" w:cs="Arial"/>
          <w:szCs w:val="24"/>
          <w:lang w:val="en-IN" w:eastAsia="en-IN"/>
        </w:rPr>
        <w:t>’</w:t>
      </w:r>
      <w:r w:rsidR="002F594C" w:rsidRPr="00397115">
        <w:rPr>
          <w:rFonts w:ascii="Arial" w:eastAsia="Times New Roman" w:hAnsi="Arial" w:cs="Arial"/>
          <w:szCs w:val="24"/>
          <w:lang w:val="en-IN" w:eastAsia="en-IN"/>
        </w:rPr>
        <w:t xml:space="preserve"> on ESG</w:t>
      </w:r>
      <w:r w:rsidR="00900DBB" w:rsidRPr="00397115">
        <w:rPr>
          <w:rFonts w:ascii="Arial" w:eastAsia="Times New Roman" w:hAnsi="Arial" w:cs="Arial"/>
          <w:szCs w:val="24"/>
          <w:lang w:val="en-IN" w:eastAsia="en-IN"/>
        </w:rPr>
        <w:t xml:space="preserve">, </w:t>
      </w:r>
      <w:r w:rsidR="006D61C2" w:rsidRPr="00397115">
        <w:rPr>
          <w:rFonts w:ascii="Arial" w:eastAsia="Times New Roman" w:hAnsi="Arial" w:cs="Arial"/>
          <w:szCs w:val="24"/>
          <w:lang w:val="en-IN" w:eastAsia="en-IN"/>
        </w:rPr>
        <w:t>r</w:t>
      </w:r>
      <w:r w:rsidR="00A10840" w:rsidRPr="00397115">
        <w:rPr>
          <w:rFonts w:ascii="Arial" w:eastAsia="Times New Roman" w:hAnsi="Arial" w:cs="Arial"/>
          <w:szCs w:val="24"/>
          <w:lang w:val="en-IN" w:eastAsia="en-IN"/>
        </w:rPr>
        <w:t>a</w:t>
      </w:r>
      <w:r w:rsidR="006D61C2" w:rsidRPr="00397115">
        <w:rPr>
          <w:rFonts w:ascii="Arial" w:eastAsia="Times New Roman" w:hAnsi="Arial" w:cs="Arial"/>
          <w:szCs w:val="24"/>
          <w:lang w:val="en-IN" w:eastAsia="en-IN"/>
        </w:rPr>
        <w:t xml:space="preserve">ise concerns about the divergences in the interpretation of ESG disclosures by </w:t>
      </w:r>
      <w:r w:rsidR="006E7B16" w:rsidRPr="00397115">
        <w:rPr>
          <w:rFonts w:ascii="Arial" w:eastAsia="Times New Roman" w:hAnsi="Arial" w:cs="Arial"/>
          <w:szCs w:val="24"/>
          <w:lang w:val="en-IN" w:eastAsia="en-IN"/>
        </w:rPr>
        <w:t>private</w:t>
      </w:r>
      <w:r w:rsidR="002F594C" w:rsidRPr="00397115">
        <w:rPr>
          <w:rFonts w:ascii="Arial" w:eastAsia="Times New Roman" w:hAnsi="Arial" w:cs="Arial"/>
          <w:szCs w:val="24"/>
          <w:lang w:val="en-IN" w:eastAsia="en-IN"/>
        </w:rPr>
        <w:t xml:space="preserve"> </w:t>
      </w:r>
      <w:r w:rsidR="006E7B16" w:rsidRPr="00397115">
        <w:rPr>
          <w:rFonts w:ascii="Arial" w:eastAsia="Times New Roman" w:hAnsi="Arial" w:cs="Arial"/>
          <w:szCs w:val="24"/>
          <w:lang w:val="en-IN" w:eastAsia="en-IN"/>
        </w:rPr>
        <w:t>firms</w:t>
      </w:r>
      <w:r w:rsidR="006E7B16" w:rsidRPr="00397115">
        <w:rPr>
          <w:rStyle w:val="FootnoteReference"/>
          <w:rFonts w:ascii="Arial" w:eastAsia="Times New Roman" w:hAnsi="Arial" w:cs="Arial"/>
          <w:szCs w:val="24"/>
          <w:lang w:val="en-IN" w:eastAsia="en-IN"/>
        </w:rPr>
        <w:footnoteReference w:id="25"/>
      </w:r>
      <w:r w:rsidR="00875E1B" w:rsidRPr="00397115">
        <w:rPr>
          <w:rFonts w:ascii="Arial" w:eastAsia="Times New Roman" w:hAnsi="Arial" w:cs="Arial"/>
          <w:szCs w:val="24"/>
          <w:lang w:val="en-IN" w:eastAsia="en-IN"/>
        </w:rPr>
        <w:t>.</w:t>
      </w:r>
      <w:r w:rsidR="002F594C" w:rsidRPr="00397115">
        <w:rPr>
          <w:rFonts w:ascii="Arial" w:eastAsia="Times New Roman" w:hAnsi="Arial" w:cs="Arial"/>
          <w:szCs w:val="24"/>
          <w:lang w:val="en-IN" w:eastAsia="en-IN"/>
        </w:rPr>
        <w:t xml:space="preserve"> The</w:t>
      </w:r>
      <w:r w:rsidR="00091CB9" w:rsidRPr="00397115">
        <w:rPr>
          <w:rFonts w:ascii="Arial" w:eastAsia="Times New Roman" w:hAnsi="Arial" w:cs="Arial"/>
          <w:szCs w:val="24"/>
          <w:lang w:val="en-IN" w:eastAsia="en-IN"/>
        </w:rPr>
        <w:t xml:space="preserve">se divergences and the </w:t>
      </w:r>
      <w:r w:rsidR="002F594C" w:rsidRPr="00397115">
        <w:rPr>
          <w:rFonts w:ascii="Arial" w:eastAsia="Times New Roman" w:hAnsi="Arial" w:cs="Arial"/>
          <w:szCs w:val="24"/>
          <w:lang w:val="en-IN" w:eastAsia="en-IN"/>
        </w:rPr>
        <w:t>lack of clear standards</w:t>
      </w:r>
      <w:r w:rsidR="00091CB9" w:rsidRPr="00397115">
        <w:rPr>
          <w:rFonts w:ascii="Arial" w:eastAsia="Times New Roman" w:hAnsi="Arial" w:cs="Arial"/>
          <w:szCs w:val="24"/>
          <w:lang w:val="en-IN" w:eastAsia="en-IN"/>
        </w:rPr>
        <w:t xml:space="preserve"> allow </w:t>
      </w:r>
      <w:r w:rsidR="002E38ED" w:rsidRPr="00397115">
        <w:rPr>
          <w:rFonts w:ascii="Arial" w:eastAsia="Times New Roman" w:hAnsi="Arial" w:cs="Arial"/>
          <w:szCs w:val="24"/>
          <w:lang w:val="en-IN" w:eastAsia="en-IN"/>
        </w:rPr>
        <w:t>companies to indulge in</w:t>
      </w:r>
      <w:r w:rsidR="002B568A" w:rsidRPr="00397115">
        <w:rPr>
          <w:rFonts w:ascii="Arial" w:eastAsia="Times New Roman" w:hAnsi="Arial" w:cs="Arial"/>
          <w:szCs w:val="24"/>
          <w:lang w:val="en-IN" w:eastAsia="en-IN"/>
        </w:rPr>
        <w:t xml:space="preserve"> </w:t>
      </w:r>
      <w:r w:rsidR="0074253E">
        <w:rPr>
          <w:rFonts w:ascii="Arial" w:eastAsia="Times New Roman" w:hAnsi="Arial" w:cs="Arial"/>
          <w:szCs w:val="24"/>
          <w:lang w:val="en-IN" w:eastAsia="en-IN"/>
        </w:rPr>
        <w:t>‘</w:t>
      </w:r>
      <w:r w:rsidR="002D7980" w:rsidRPr="00397115">
        <w:rPr>
          <w:rFonts w:ascii="Arial" w:eastAsia="Times New Roman" w:hAnsi="Arial" w:cs="Arial"/>
          <w:szCs w:val="24"/>
          <w:lang w:val="en-IN" w:eastAsia="en-IN"/>
        </w:rPr>
        <w:t>green</w:t>
      </w:r>
      <w:r w:rsidR="00097D60" w:rsidRPr="00397115">
        <w:rPr>
          <w:rFonts w:ascii="Arial" w:eastAsia="Times New Roman" w:hAnsi="Arial" w:cs="Arial"/>
          <w:szCs w:val="24"/>
          <w:lang w:val="en-IN" w:eastAsia="en-IN"/>
        </w:rPr>
        <w:t>-, blue</w:t>
      </w:r>
      <w:r w:rsidR="00E649D1" w:rsidRPr="00397115">
        <w:rPr>
          <w:rFonts w:ascii="Arial" w:eastAsia="Times New Roman" w:hAnsi="Arial" w:cs="Arial"/>
          <w:szCs w:val="24"/>
          <w:lang w:val="en-IN" w:eastAsia="en-IN"/>
        </w:rPr>
        <w:t>- or pink-</w:t>
      </w:r>
      <w:r w:rsidR="002B568A" w:rsidRPr="00397115">
        <w:rPr>
          <w:rFonts w:ascii="Arial" w:eastAsia="Times New Roman" w:hAnsi="Arial" w:cs="Arial"/>
          <w:szCs w:val="24"/>
          <w:lang w:val="en-IN" w:eastAsia="en-IN"/>
        </w:rPr>
        <w:t>washing</w:t>
      </w:r>
      <w:r w:rsidR="0074253E">
        <w:rPr>
          <w:rFonts w:ascii="Arial" w:eastAsia="Times New Roman" w:hAnsi="Arial" w:cs="Arial"/>
          <w:szCs w:val="24"/>
          <w:lang w:val="en-IN" w:eastAsia="en-IN"/>
        </w:rPr>
        <w:t>’</w:t>
      </w:r>
      <w:r w:rsidR="00C55CB6" w:rsidRPr="00397115">
        <w:rPr>
          <w:rStyle w:val="FootnoteReference"/>
          <w:rFonts w:ascii="Arial" w:eastAsia="Times New Roman" w:hAnsi="Arial" w:cs="Arial"/>
          <w:szCs w:val="24"/>
          <w:lang w:val="en-IN" w:eastAsia="en-IN"/>
        </w:rPr>
        <w:footnoteReference w:id="26"/>
      </w:r>
      <w:r w:rsidR="002E38ED" w:rsidRPr="00397115">
        <w:rPr>
          <w:rFonts w:ascii="Arial" w:eastAsia="Times New Roman" w:hAnsi="Arial" w:cs="Arial"/>
          <w:szCs w:val="24"/>
          <w:lang w:val="en-IN" w:eastAsia="en-IN"/>
        </w:rPr>
        <w:t>,</w:t>
      </w:r>
      <w:r w:rsidR="002B568A" w:rsidRPr="00397115">
        <w:rPr>
          <w:rFonts w:ascii="Arial" w:eastAsia="Times New Roman" w:hAnsi="Arial" w:cs="Arial"/>
          <w:szCs w:val="24"/>
          <w:lang w:val="en-IN" w:eastAsia="en-IN"/>
        </w:rPr>
        <w:t xml:space="preserve"> </w:t>
      </w:r>
      <w:r w:rsidR="002E38ED" w:rsidRPr="00397115">
        <w:rPr>
          <w:rFonts w:ascii="Arial" w:eastAsia="Times New Roman" w:hAnsi="Arial" w:cs="Arial"/>
          <w:szCs w:val="24"/>
          <w:lang w:val="en-IN" w:eastAsia="en-IN"/>
        </w:rPr>
        <w:t>which can</w:t>
      </w:r>
      <w:r w:rsidR="002B568A" w:rsidRPr="00397115">
        <w:rPr>
          <w:rFonts w:ascii="Arial" w:eastAsia="Times New Roman" w:hAnsi="Arial" w:cs="Arial"/>
          <w:szCs w:val="24"/>
          <w:lang w:val="en-IN" w:eastAsia="en-IN"/>
        </w:rPr>
        <w:t xml:space="preserve"> mislead the public and their stakeholders into believing that the </w:t>
      </w:r>
      <w:r w:rsidR="002B098A" w:rsidRPr="00397115">
        <w:rPr>
          <w:rFonts w:ascii="Arial" w:eastAsia="Times New Roman" w:hAnsi="Arial" w:cs="Arial"/>
          <w:szCs w:val="24"/>
          <w:lang w:val="en-IN" w:eastAsia="en-IN"/>
        </w:rPr>
        <w:t xml:space="preserve">business is </w:t>
      </w:r>
      <w:r w:rsidR="002B568A" w:rsidRPr="00397115">
        <w:rPr>
          <w:rFonts w:ascii="Arial" w:eastAsia="Times New Roman" w:hAnsi="Arial" w:cs="Arial"/>
          <w:szCs w:val="24"/>
          <w:lang w:val="en-IN" w:eastAsia="en-IN"/>
        </w:rPr>
        <w:t xml:space="preserve">doing </w:t>
      </w:r>
      <w:r w:rsidR="002B098A" w:rsidRPr="00397115">
        <w:rPr>
          <w:rFonts w:ascii="Arial" w:eastAsia="Times New Roman" w:hAnsi="Arial" w:cs="Arial"/>
          <w:szCs w:val="24"/>
          <w:lang w:val="en-IN" w:eastAsia="en-IN"/>
        </w:rPr>
        <w:t xml:space="preserve">something </w:t>
      </w:r>
      <w:r w:rsidR="002B568A" w:rsidRPr="00397115">
        <w:rPr>
          <w:rFonts w:ascii="Arial" w:eastAsia="Times New Roman" w:hAnsi="Arial" w:cs="Arial"/>
          <w:szCs w:val="24"/>
          <w:lang w:val="en-IN" w:eastAsia="en-IN"/>
        </w:rPr>
        <w:t xml:space="preserve">to protect the </w:t>
      </w:r>
      <w:r w:rsidR="002F594C" w:rsidRPr="00397115">
        <w:rPr>
          <w:rFonts w:ascii="Arial" w:eastAsia="Times New Roman" w:hAnsi="Arial" w:cs="Arial"/>
          <w:szCs w:val="24"/>
          <w:lang w:val="en-IN" w:eastAsia="en-IN"/>
        </w:rPr>
        <w:t xml:space="preserve">environment, respond to </w:t>
      </w:r>
      <w:r w:rsidR="002B568A" w:rsidRPr="00397115">
        <w:rPr>
          <w:rFonts w:ascii="Arial" w:eastAsia="Times New Roman" w:hAnsi="Arial" w:cs="Arial"/>
          <w:szCs w:val="24"/>
          <w:lang w:val="en-IN" w:eastAsia="en-IN"/>
        </w:rPr>
        <w:t>climate</w:t>
      </w:r>
      <w:r w:rsidR="002F594C" w:rsidRPr="00397115">
        <w:rPr>
          <w:rFonts w:ascii="Arial" w:eastAsia="Times New Roman" w:hAnsi="Arial" w:cs="Arial"/>
          <w:szCs w:val="24"/>
          <w:lang w:val="en-IN" w:eastAsia="en-IN"/>
        </w:rPr>
        <w:t xml:space="preserve"> change challenges</w:t>
      </w:r>
      <w:r w:rsidR="00AE6E31" w:rsidRPr="00397115">
        <w:rPr>
          <w:rFonts w:ascii="Arial" w:eastAsia="Times New Roman" w:hAnsi="Arial" w:cs="Arial"/>
          <w:szCs w:val="24"/>
          <w:lang w:val="en-IN" w:eastAsia="en-IN"/>
        </w:rPr>
        <w:t xml:space="preserve"> or</w:t>
      </w:r>
      <w:r w:rsidR="00025C0A" w:rsidRPr="00397115">
        <w:rPr>
          <w:rFonts w:ascii="Arial" w:eastAsia="Times New Roman" w:hAnsi="Arial" w:cs="Arial"/>
          <w:szCs w:val="24"/>
          <w:lang w:val="en-IN" w:eastAsia="en-IN"/>
        </w:rPr>
        <w:t xml:space="preserve"> respect</w:t>
      </w:r>
      <w:r w:rsidR="002F594C" w:rsidRPr="00397115">
        <w:rPr>
          <w:rFonts w:ascii="Arial" w:eastAsia="Times New Roman" w:hAnsi="Arial" w:cs="Arial"/>
          <w:szCs w:val="24"/>
          <w:lang w:val="en-IN" w:eastAsia="en-IN"/>
        </w:rPr>
        <w:t xml:space="preserve"> human rights</w:t>
      </w:r>
      <w:r w:rsidR="002B568A" w:rsidRPr="00397115">
        <w:rPr>
          <w:rStyle w:val="FootnoteReference"/>
          <w:rFonts w:ascii="Arial" w:eastAsia="Times New Roman" w:hAnsi="Arial" w:cs="Arial"/>
          <w:szCs w:val="24"/>
          <w:lang w:val="en-IN" w:eastAsia="en-IN"/>
        </w:rPr>
        <w:footnoteReference w:id="27"/>
      </w:r>
      <w:r w:rsidR="002B568A" w:rsidRPr="00397115">
        <w:rPr>
          <w:rFonts w:ascii="Arial" w:eastAsia="Times New Roman" w:hAnsi="Arial" w:cs="Arial"/>
          <w:szCs w:val="24"/>
          <w:lang w:val="en-IN" w:eastAsia="en-IN"/>
        </w:rPr>
        <w:t xml:space="preserve">. </w:t>
      </w:r>
      <w:r w:rsidR="007F6D8A" w:rsidRPr="00397115">
        <w:rPr>
          <w:rFonts w:ascii="Arial" w:eastAsia="Times New Roman" w:hAnsi="Arial" w:cs="Arial"/>
          <w:szCs w:val="24"/>
          <w:lang w:val="en-IN" w:eastAsia="en-IN"/>
        </w:rPr>
        <w:t xml:space="preserve">For </w:t>
      </w:r>
      <w:r w:rsidR="00025C0A" w:rsidRPr="00397115">
        <w:rPr>
          <w:rFonts w:ascii="Arial" w:eastAsia="Times New Roman" w:hAnsi="Arial" w:cs="Arial"/>
          <w:szCs w:val="24"/>
          <w:lang w:val="en-IN" w:eastAsia="en-IN"/>
        </w:rPr>
        <w:t xml:space="preserve">example, </w:t>
      </w:r>
      <w:r w:rsidR="007F6D8A" w:rsidRPr="00397115">
        <w:rPr>
          <w:rFonts w:ascii="Arial" w:eastAsia="Times New Roman" w:hAnsi="Arial" w:cs="Arial"/>
          <w:szCs w:val="24"/>
          <w:lang w:val="en-IN" w:eastAsia="en-IN"/>
        </w:rPr>
        <w:t>some corporations have made claims about becoming ‘carbon-neutral’ despite having no credible evidence for the same</w:t>
      </w:r>
      <w:r w:rsidR="007F6D8A" w:rsidRPr="00397115">
        <w:rPr>
          <w:rStyle w:val="FootnoteReference"/>
          <w:rFonts w:ascii="Arial" w:eastAsia="Times New Roman" w:hAnsi="Arial" w:cs="Arial"/>
          <w:szCs w:val="24"/>
          <w:lang w:val="en-IN" w:eastAsia="en-IN"/>
        </w:rPr>
        <w:footnoteReference w:id="28"/>
      </w:r>
      <w:r w:rsidR="007F6D8A" w:rsidRPr="00397115">
        <w:rPr>
          <w:rFonts w:ascii="Arial" w:eastAsia="Times New Roman" w:hAnsi="Arial" w:cs="Arial"/>
          <w:szCs w:val="24"/>
          <w:lang w:val="en-IN" w:eastAsia="en-IN"/>
        </w:rPr>
        <w:t>. This has already triggered lawsuits against such firms for false and misleading advertising</w:t>
      </w:r>
      <w:r w:rsidR="007F6D8A" w:rsidRPr="00397115">
        <w:rPr>
          <w:rStyle w:val="FootnoteReference"/>
          <w:rFonts w:ascii="Arial" w:eastAsia="Times New Roman" w:hAnsi="Arial" w:cs="Arial"/>
          <w:szCs w:val="24"/>
          <w:lang w:val="en-IN" w:eastAsia="en-IN"/>
        </w:rPr>
        <w:footnoteReference w:id="29"/>
      </w:r>
      <w:r w:rsidR="007F6D8A" w:rsidRPr="00397115">
        <w:rPr>
          <w:rFonts w:ascii="Arial" w:eastAsia="Times New Roman" w:hAnsi="Arial" w:cs="Arial"/>
          <w:szCs w:val="24"/>
          <w:lang w:val="en-IN" w:eastAsia="en-IN"/>
        </w:rPr>
        <w:t xml:space="preserve">. </w:t>
      </w:r>
      <w:r w:rsidR="005F2C25" w:rsidRPr="00397115">
        <w:rPr>
          <w:rFonts w:ascii="Arial" w:eastAsia="Times New Roman" w:hAnsi="Arial" w:cs="Arial"/>
          <w:szCs w:val="24"/>
          <w:lang w:val="en-IN" w:eastAsia="en-IN"/>
        </w:rPr>
        <w:t xml:space="preserve">Likewise, </w:t>
      </w:r>
      <w:r w:rsidR="002E1592" w:rsidRPr="00397115">
        <w:rPr>
          <w:rFonts w:ascii="Arial" w:eastAsia="Times New Roman" w:hAnsi="Arial" w:cs="Arial"/>
          <w:szCs w:val="24"/>
          <w:lang w:val="en-IN" w:eastAsia="en-IN"/>
        </w:rPr>
        <w:t xml:space="preserve">even in cases where </w:t>
      </w:r>
      <w:r w:rsidR="0020627C" w:rsidRPr="00397115">
        <w:rPr>
          <w:rFonts w:ascii="Arial" w:eastAsia="Times New Roman" w:hAnsi="Arial" w:cs="Arial"/>
          <w:szCs w:val="24"/>
          <w:lang w:val="en-IN" w:eastAsia="en-IN"/>
        </w:rPr>
        <w:t xml:space="preserve">‘clearer’ </w:t>
      </w:r>
      <w:r w:rsidR="00D55138" w:rsidRPr="00397115">
        <w:rPr>
          <w:rFonts w:ascii="Arial" w:eastAsia="Times New Roman" w:hAnsi="Arial" w:cs="Arial"/>
          <w:szCs w:val="24"/>
          <w:lang w:val="en-IN" w:eastAsia="en-IN"/>
        </w:rPr>
        <w:t xml:space="preserve">criteria </w:t>
      </w:r>
      <w:r w:rsidR="00D0129E" w:rsidRPr="00397115">
        <w:rPr>
          <w:rFonts w:ascii="Arial" w:eastAsia="Times New Roman" w:hAnsi="Arial" w:cs="Arial"/>
          <w:szCs w:val="24"/>
          <w:lang w:val="en-IN" w:eastAsia="en-IN"/>
        </w:rPr>
        <w:t>exist</w:t>
      </w:r>
      <w:r w:rsidR="00DE0629" w:rsidRPr="00397115">
        <w:rPr>
          <w:rFonts w:ascii="Arial" w:eastAsia="Times New Roman" w:hAnsi="Arial" w:cs="Arial"/>
          <w:szCs w:val="24"/>
          <w:lang w:val="en-IN" w:eastAsia="en-IN"/>
        </w:rPr>
        <w:t xml:space="preserve">, </w:t>
      </w:r>
      <w:r w:rsidR="00D55138" w:rsidRPr="00397115">
        <w:rPr>
          <w:rFonts w:ascii="Arial" w:eastAsia="Times New Roman" w:hAnsi="Arial" w:cs="Arial"/>
          <w:szCs w:val="24"/>
          <w:lang w:val="en-IN" w:eastAsia="en-IN"/>
        </w:rPr>
        <w:t>such as for</w:t>
      </w:r>
      <w:r w:rsidR="00DE0629" w:rsidRPr="00397115">
        <w:rPr>
          <w:rFonts w:ascii="Arial" w:eastAsia="Times New Roman" w:hAnsi="Arial" w:cs="Arial"/>
          <w:szCs w:val="24"/>
          <w:lang w:val="en-IN" w:eastAsia="en-IN"/>
        </w:rPr>
        <w:t xml:space="preserve"> </w:t>
      </w:r>
      <w:r w:rsidR="00B971EE" w:rsidRPr="00397115">
        <w:rPr>
          <w:rFonts w:ascii="Arial" w:eastAsia="Times New Roman" w:hAnsi="Arial" w:cs="Arial"/>
          <w:szCs w:val="24"/>
          <w:lang w:val="en-IN" w:eastAsia="en-IN"/>
        </w:rPr>
        <w:t>measuring the</w:t>
      </w:r>
      <w:r w:rsidR="00DE0629" w:rsidRPr="00397115">
        <w:rPr>
          <w:rFonts w:ascii="Arial" w:eastAsia="Times New Roman" w:hAnsi="Arial" w:cs="Arial"/>
          <w:szCs w:val="24"/>
          <w:lang w:val="en-IN" w:eastAsia="en-IN"/>
        </w:rPr>
        <w:t xml:space="preserve"> carbon footprint of companies, </w:t>
      </w:r>
      <w:r w:rsidR="00221780" w:rsidRPr="00397115">
        <w:rPr>
          <w:rFonts w:ascii="Arial" w:eastAsia="Times New Roman" w:hAnsi="Arial" w:cs="Arial"/>
          <w:szCs w:val="24"/>
          <w:lang w:val="en-IN" w:eastAsia="en-IN"/>
        </w:rPr>
        <w:t xml:space="preserve">rating firms can decide </w:t>
      </w:r>
      <w:r w:rsidR="00964C23" w:rsidRPr="00397115">
        <w:rPr>
          <w:rFonts w:ascii="Arial" w:eastAsia="Times New Roman" w:hAnsi="Arial" w:cs="Arial"/>
          <w:szCs w:val="24"/>
          <w:lang w:val="en-IN" w:eastAsia="en-IN"/>
        </w:rPr>
        <w:t xml:space="preserve">to not </w:t>
      </w:r>
      <w:r w:rsidR="00D0129E" w:rsidRPr="00397115">
        <w:rPr>
          <w:rFonts w:ascii="Arial" w:eastAsia="Times New Roman" w:hAnsi="Arial" w:cs="Arial"/>
          <w:szCs w:val="24"/>
          <w:lang w:val="en-IN" w:eastAsia="en-IN"/>
        </w:rPr>
        <w:t>consider</w:t>
      </w:r>
      <w:r w:rsidR="00AE6E31" w:rsidRPr="00397115">
        <w:rPr>
          <w:rFonts w:ascii="Arial" w:eastAsia="Times New Roman" w:hAnsi="Arial" w:cs="Arial"/>
          <w:szCs w:val="24"/>
          <w:lang w:val="en-IN" w:eastAsia="en-IN"/>
        </w:rPr>
        <w:t xml:space="preserve"> </w:t>
      </w:r>
      <w:r w:rsidR="00D6205D" w:rsidRPr="00397115">
        <w:rPr>
          <w:rFonts w:ascii="Arial" w:eastAsia="Times New Roman" w:hAnsi="Arial" w:cs="Arial"/>
          <w:szCs w:val="24"/>
          <w:lang w:val="en-IN" w:eastAsia="en-IN"/>
        </w:rPr>
        <w:t>greenhouse</w:t>
      </w:r>
      <w:r w:rsidR="00221780" w:rsidRPr="00397115">
        <w:rPr>
          <w:rFonts w:ascii="Arial" w:eastAsia="Times New Roman" w:hAnsi="Arial" w:cs="Arial"/>
          <w:szCs w:val="24"/>
          <w:lang w:val="en-IN" w:eastAsia="en-IN"/>
        </w:rPr>
        <w:t xml:space="preserve"> </w:t>
      </w:r>
      <w:r w:rsidR="00D6205D" w:rsidRPr="00397115">
        <w:rPr>
          <w:rFonts w:ascii="Arial" w:eastAsia="Times New Roman" w:hAnsi="Arial" w:cs="Arial"/>
          <w:szCs w:val="24"/>
          <w:lang w:val="en-IN" w:eastAsia="en-IN"/>
        </w:rPr>
        <w:t>emissions</w:t>
      </w:r>
      <w:r w:rsidR="00221780" w:rsidRPr="00397115">
        <w:rPr>
          <w:rFonts w:ascii="Arial" w:eastAsia="Times New Roman" w:hAnsi="Arial" w:cs="Arial"/>
          <w:szCs w:val="24"/>
          <w:lang w:val="en-IN" w:eastAsia="en-IN"/>
        </w:rPr>
        <w:t xml:space="preserve"> of a </w:t>
      </w:r>
      <w:r w:rsidR="00D6205D" w:rsidRPr="00397115">
        <w:rPr>
          <w:rFonts w:ascii="Arial" w:eastAsia="Times New Roman" w:hAnsi="Arial" w:cs="Arial"/>
          <w:szCs w:val="24"/>
          <w:lang w:val="en-IN" w:eastAsia="en-IN"/>
        </w:rPr>
        <w:t>company</w:t>
      </w:r>
      <w:r w:rsidR="00221780" w:rsidRPr="00397115">
        <w:rPr>
          <w:rFonts w:ascii="Arial" w:eastAsia="Times New Roman" w:hAnsi="Arial" w:cs="Arial"/>
          <w:szCs w:val="24"/>
          <w:lang w:val="en-IN" w:eastAsia="en-IN"/>
        </w:rPr>
        <w:t xml:space="preserve"> </w:t>
      </w:r>
      <w:r w:rsidR="00D6205D" w:rsidRPr="00397115">
        <w:rPr>
          <w:rFonts w:ascii="Arial" w:eastAsia="Times New Roman" w:hAnsi="Arial" w:cs="Arial"/>
          <w:szCs w:val="24"/>
          <w:lang w:val="en-IN" w:eastAsia="en-IN"/>
        </w:rPr>
        <w:t xml:space="preserve">to allow </w:t>
      </w:r>
      <w:r w:rsidR="00B11057" w:rsidRPr="00397115">
        <w:rPr>
          <w:rFonts w:ascii="Arial" w:eastAsia="Times New Roman" w:hAnsi="Arial" w:cs="Arial"/>
          <w:szCs w:val="24"/>
          <w:lang w:val="en-IN" w:eastAsia="en-IN"/>
        </w:rPr>
        <w:t xml:space="preserve">their ESG </w:t>
      </w:r>
      <w:r w:rsidR="00224A45" w:rsidRPr="00397115">
        <w:rPr>
          <w:rFonts w:ascii="Arial" w:eastAsia="Times New Roman" w:hAnsi="Arial" w:cs="Arial"/>
          <w:szCs w:val="24"/>
          <w:lang w:val="en-IN" w:eastAsia="en-IN"/>
        </w:rPr>
        <w:t xml:space="preserve">rating to be </w:t>
      </w:r>
      <w:r w:rsidR="00B11057" w:rsidRPr="00397115">
        <w:rPr>
          <w:rFonts w:ascii="Arial" w:eastAsia="Times New Roman" w:hAnsi="Arial" w:cs="Arial"/>
          <w:szCs w:val="24"/>
          <w:lang w:val="en-IN" w:eastAsia="en-IN"/>
        </w:rPr>
        <w:t>upgrad</w:t>
      </w:r>
      <w:r w:rsidR="00224A45" w:rsidRPr="00397115">
        <w:rPr>
          <w:rFonts w:ascii="Arial" w:eastAsia="Times New Roman" w:hAnsi="Arial" w:cs="Arial"/>
          <w:szCs w:val="24"/>
          <w:lang w:val="en-IN" w:eastAsia="en-IN"/>
        </w:rPr>
        <w:t>ed</w:t>
      </w:r>
      <w:r w:rsidR="00F20B9E" w:rsidRPr="00397115">
        <w:rPr>
          <w:rFonts w:ascii="Arial" w:eastAsia="Times New Roman" w:hAnsi="Arial" w:cs="Arial"/>
          <w:szCs w:val="24"/>
          <w:lang w:val="en-IN" w:eastAsia="en-IN"/>
        </w:rPr>
        <w:t>.</w:t>
      </w:r>
      <w:r w:rsidR="00B11057" w:rsidRPr="00397115">
        <w:rPr>
          <w:rStyle w:val="FootnoteReference"/>
          <w:rFonts w:ascii="Arial" w:eastAsia="Times New Roman" w:hAnsi="Arial" w:cs="Arial"/>
          <w:szCs w:val="24"/>
          <w:lang w:val="en-IN" w:eastAsia="en-IN"/>
        </w:rPr>
        <w:footnoteReference w:id="30"/>
      </w:r>
      <w:r w:rsidR="00B11057" w:rsidRPr="00397115">
        <w:rPr>
          <w:rFonts w:ascii="Arial" w:eastAsia="Times New Roman" w:hAnsi="Arial" w:cs="Arial"/>
          <w:szCs w:val="24"/>
          <w:lang w:val="en-IN" w:eastAsia="en-IN"/>
        </w:rPr>
        <w:t xml:space="preserve"> </w:t>
      </w:r>
      <w:r w:rsidR="002E1592" w:rsidRPr="00397115">
        <w:rPr>
          <w:rFonts w:ascii="Arial" w:eastAsia="Times New Roman" w:hAnsi="Arial" w:cs="Arial"/>
          <w:szCs w:val="24"/>
          <w:lang w:val="en-IN" w:eastAsia="en-IN"/>
        </w:rPr>
        <w:t xml:space="preserve"> </w:t>
      </w:r>
    </w:p>
    <w:p w14:paraId="43F94C03" w14:textId="2FDE358B" w:rsidR="002B568A" w:rsidRPr="00397115" w:rsidRDefault="00F20B9E" w:rsidP="00AD321B">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Given </w:t>
      </w:r>
      <w:r w:rsidR="009C5D74" w:rsidRPr="00397115">
        <w:rPr>
          <w:rFonts w:ascii="Arial" w:eastAsia="Times New Roman" w:hAnsi="Arial" w:cs="Arial"/>
          <w:szCs w:val="24"/>
          <w:lang w:val="en-IN" w:eastAsia="en-IN"/>
        </w:rPr>
        <w:t xml:space="preserve">that </w:t>
      </w:r>
      <w:r w:rsidR="00857340" w:rsidRPr="00397115">
        <w:rPr>
          <w:rFonts w:ascii="Arial" w:eastAsia="Times New Roman" w:hAnsi="Arial" w:cs="Arial"/>
          <w:szCs w:val="24"/>
          <w:lang w:val="en-IN" w:eastAsia="en-IN"/>
        </w:rPr>
        <w:t xml:space="preserve">ESG ratings are </w:t>
      </w:r>
      <w:r w:rsidR="0086209F">
        <w:rPr>
          <w:rFonts w:ascii="Arial" w:eastAsia="Times New Roman" w:hAnsi="Arial" w:cs="Arial"/>
          <w:szCs w:val="24"/>
          <w:lang w:val="en-IN" w:eastAsia="en-IN"/>
        </w:rPr>
        <w:t xml:space="preserve">commercial </w:t>
      </w:r>
      <w:r w:rsidR="00857340" w:rsidRPr="00397115">
        <w:rPr>
          <w:rFonts w:ascii="Arial" w:eastAsia="Times New Roman" w:hAnsi="Arial" w:cs="Arial"/>
          <w:szCs w:val="24"/>
          <w:lang w:val="en-IN" w:eastAsia="en-IN"/>
        </w:rPr>
        <w:t xml:space="preserve">products </w:t>
      </w:r>
      <w:r w:rsidR="0086209F">
        <w:rPr>
          <w:rFonts w:ascii="Arial" w:eastAsia="Times New Roman" w:hAnsi="Arial" w:cs="Arial"/>
          <w:szCs w:val="24"/>
          <w:lang w:val="en-IN" w:eastAsia="en-IN"/>
        </w:rPr>
        <w:t xml:space="preserve">of </w:t>
      </w:r>
      <w:r w:rsidR="00857340" w:rsidRPr="00397115">
        <w:rPr>
          <w:rFonts w:ascii="Arial" w:eastAsia="Times New Roman" w:hAnsi="Arial" w:cs="Arial"/>
          <w:szCs w:val="24"/>
          <w:lang w:val="en-IN" w:eastAsia="en-IN"/>
        </w:rPr>
        <w:t>private</w:t>
      </w:r>
      <w:r w:rsidR="00DD5566" w:rsidRPr="00397115">
        <w:rPr>
          <w:rFonts w:ascii="Arial" w:eastAsia="Times New Roman" w:hAnsi="Arial" w:cs="Arial"/>
          <w:szCs w:val="24"/>
          <w:lang w:val="en-IN" w:eastAsia="en-IN"/>
        </w:rPr>
        <w:t xml:space="preserve"> </w:t>
      </w:r>
      <w:r w:rsidR="00856E6E" w:rsidRPr="00397115">
        <w:rPr>
          <w:rFonts w:ascii="Arial" w:eastAsia="Times New Roman" w:hAnsi="Arial" w:cs="Arial"/>
          <w:szCs w:val="24"/>
          <w:lang w:val="en-IN" w:eastAsia="en-IN"/>
        </w:rPr>
        <w:t xml:space="preserve">rating </w:t>
      </w:r>
      <w:r w:rsidR="00857340" w:rsidRPr="00397115">
        <w:rPr>
          <w:rFonts w:ascii="Arial" w:eastAsia="Times New Roman" w:hAnsi="Arial" w:cs="Arial"/>
          <w:szCs w:val="24"/>
          <w:lang w:val="en-IN" w:eastAsia="en-IN"/>
        </w:rPr>
        <w:t xml:space="preserve">firms, </w:t>
      </w:r>
      <w:r w:rsidR="0069655E" w:rsidRPr="00397115">
        <w:rPr>
          <w:rFonts w:ascii="Arial" w:eastAsia="Times New Roman" w:hAnsi="Arial" w:cs="Arial"/>
          <w:szCs w:val="24"/>
          <w:lang w:val="en-IN" w:eastAsia="en-IN"/>
        </w:rPr>
        <w:t xml:space="preserve">these </w:t>
      </w:r>
      <w:r w:rsidR="00C96DC1" w:rsidRPr="00397115">
        <w:rPr>
          <w:rFonts w:ascii="Arial" w:eastAsia="Times New Roman" w:hAnsi="Arial" w:cs="Arial"/>
          <w:szCs w:val="24"/>
          <w:lang w:val="en-IN" w:eastAsia="en-IN"/>
        </w:rPr>
        <w:t>scor</w:t>
      </w:r>
      <w:r w:rsidR="00224A45" w:rsidRPr="00397115">
        <w:rPr>
          <w:rFonts w:ascii="Arial" w:eastAsia="Times New Roman" w:hAnsi="Arial" w:cs="Arial"/>
          <w:szCs w:val="24"/>
          <w:lang w:val="en-IN" w:eastAsia="en-IN"/>
        </w:rPr>
        <w:t>es</w:t>
      </w:r>
      <w:r w:rsidR="00C96DC1" w:rsidRPr="00397115">
        <w:rPr>
          <w:rFonts w:ascii="Arial" w:eastAsia="Times New Roman" w:hAnsi="Arial" w:cs="Arial"/>
          <w:szCs w:val="24"/>
          <w:lang w:val="en-IN" w:eastAsia="en-IN"/>
        </w:rPr>
        <w:t xml:space="preserve"> </w:t>
      </w:r>
      <w:r w:rsidR="0069655E" w:rsidRPr="00397115">
        <w:rPr>
          <w:rFonts w:ascii="Arial" w:eastAsia="Times New Roman" w:hAnsi="Arial" w:cs="Arial"/>
          <w:szCs w:val="24"/>
          <w:lang w:val="en-IN" w:eastAsia="en-IN"/>
        </w:rPr>
        <w:t xml:space="preserve">can be freely </w:t>
      </w:r>
      <w:r w:rsidR="00C10EA2" w:rsidRPr="00397115">
        <w:rPr>
          <w:rFonts w:ascii="Arial" w:eastAsia="Times New Roman" w:hAnsi="Arial" w:cs="Arial"/>
          <w:szCs w:val="24"/>
          <w:lang w:val="en-IN" w:eastAsia="en-IN"/>
        </w:rPr>
        <w:t>a</w:t>
      </w:r>
      <w:r w:rsidR="00C96DC1" w:rsidRPr="00397115">
        <w:rPr>
          <w:rFonts w:ascii="Arial" w:eastAsia="Times New Roman" w:hAnsi="Arial" w:cs="Arial"/>
          <w:szCs w:val="24"/>
          <w:lang w:val="en-IN" w:eastAsia="en-IN"/>
        </w:rPr>
        <w:t>djust</w:t>
      </w:r>
      <w:r w:rsidR="0080761A" w:rsidRPr="00397115">
        <w:rPr>
          <w:rFonts w:ascii="Arial" w:eastAsia="Times New Roman" w:hAnsi="Arial" w:cs="Arial"/>
          <w:szCs w:val="24"/>
          <w:lang w:val="en-IN" w:eastAsia="en-IN"/>
        </w:rPr>
        <w:t>ed</w:t>
      </w:r>
      <w:r w:rsidR="00C96DC1" w:rsidRPr="00397115">
        <w:rPr>
          <w:rFonts w:ascii="Arial" w:eastAsia="Times New Roman" w:hAnsi="Arial" w:cs="Arial"/>
          <w:szCs w:val="24"/>
          <w:lang w:val="en-IN" w:eastAsia="en-IN"/>
        </w:rPr>
        <w:t xml:space="preserve"> </w:t>
      </w:r>
      <w:r w:rsidR="0080761A" w:rsidRPr="00397115">
        <w:rPr>
          <w:rFonts w:ascii="Arial" w:eastAsia="Times New Roman" w:hAnsi="Arial" w:cs="Arial"/>
          <w:szCs w:val="24"/>
          <w:lang w:val="en-IN" w:eastAsia="en-IN"/>
        </w:rPr>
        <w:t xml:space="preserve">to </w:t>
      </w:r>
      <w:r w:rsidR="007052B4" w:rsidRPr="00397115">
        <w:rPr>
          <w:rFonts w:ascii="Arial" w:eastAsia="Times New Roman" w:hAnsi="Arial" w:cs="Arial"/>
          <w:szCs w:val="24"/>
          <w:lang w:val="en-IN" w:eastAsia="en-IN"/>
        </w:rPr>
        <w:t>be showcased to investors and</w:t>
      </w:r>
      <w:r w:rsidR="00122FEE" w:rsidRPr="00397115">
        <w:rPr>
          <w:rFonts w:ascii="Arial" w:eastAsia="Times New Roman" w:hAnsi="Arial" w:cs="Arial"/>
          <w:szCs w:val="24"/>
          <w:lang w:val="en-IN" w:eastAsia="en-IN"/>
        </w:rPr>
        <w:t xml:space="preserve"> c</w:t>
      </w:r>
      <w:r w:rsidR="00A17526" w:rsidRPr="00397115">
        <w:rPr>
          <w:rFonts w:ascii="Arial" w:eastAsia="Times New Roman" w:hAnsi="Arial" w:cs="Arial"/>
          <w:szCs w:val="24"/>
          <w:lang w:val="en-IN" w:eastAsia="en-IN"/>
        </w:rPr>
        <w:t>u</w:t>
      </w:r>
      <w:r w:rsidR="00122FEE" w:rsidRPr="00397115">
        <w:rPr>
          <w:rFonts w:ascii="Arial" w:eastAsia="Times New Roman" w:hAnsi="Arial" w:cs="Arial"/>
          <w:szCs w:val="24"/>
          <w:lang w:val="en-IN" w:eastAsia="en-IN"/>
        </w:rPr>
        <w:t>st</w:t>
      </w:r>
      <w:r w:rsidR="00A17526" w:rsidRPr="00397115">
        <w:rPr>
          <w:rFonts w:ascii="Arial" w:eastAsia="Times New Roman" w:hAnsi="Arial" w:cs="Arial"/>
          <w:szCs w:val="24"/>
          <w:lang w:val="en-IN" w:eastAsia="en-IN"/>
        </w:rPr>
        <w:t>o</w:t>
      </w:r>
      <w:r w:rsidR="00122FEE" w:rsidRPr="00397115">
        <w:rPr>
          <w:rFonts w:ascii="Arial" w:eastAsia="Times New Roman" w:hAnsi="Arial" w:cs="Arial"/>
          <w:szCs w:val="24"/>
          <w:lang w:val="en-IN" w:eastAsia="en-IN"/>
        </w:rPr>
        <w:t>mers and respond to their needs</w:t>
      </w:r>
      <w:r w:rsidR="00122FEE" w:rsidRPr="00397115">
        <w:rPr>
          <w:rStyle w:val="FootnoteReference"/>
          <w:rFonts w:ascii="Arial" w:eastAsia="Times New Roman" w:hAnsi="Arial" w:cs="Arial"/>
          <w:szCs w:val="24"/>
          <w:lang w:val="en-IN" w:eastAsia="en-IN"/>
        </w:rPr>
        <w:footnoteReference w:id="31"/>
      </w:r>
      <w:r w:rsidR="0086209F">
        <w:rPr>
          <w:rFonts w:ascii="Arial" w:eastAsia="Times New Roman" w:hAnsi="Arial" w:cs="Arial"/>
          <w:szCs w:val="24"/>
          <w:lang w:val="en-IN" w:eastAsia="en-IN"/>
        </w:rPr>
        <w:t>,</w:t>
      </w:r>
      <w:r w:rsidR="00122FEE" w:rsidRPr="00397115">
        <w:rPr>
          <w:rFonts w:ascii="Arial" w:eastAsia="Times New Roman" w:hAnsi="Arial" w:cs="Arial"/>
          <w:szCs w:val="24"/>
          <w:lang w:val="en-IN" w:eastAsia="en-IN"/>
        </w:rPr>
        <w:t xml:space="preserve"> rather tha</w:t>
      </w:r>
      <w:r w:rsidR="00856E6E" w:rsidRPr="00397115">
        <w:rPr>
          <w:rFonts w:ascii="Arial" w:eastAsia="Times New Roman" w:hAnsi="Arial" w:cs="Arial"/>
          <w:szCs w:val="24"/>
          <w:lang w:val="en-IN" w:eastAsia="en-IN"/>
        </w:rPr>
        <w:t xml:space="preserve">n </w:t>
      </w:r>
      <w:r w:rsidR="00A17526" w:rsidRPr="00397115">
        <w:rPr>
          <w:rFonts w:ascii="Arial" w:eastAsia="Times New Roman" w:hAnsi="Arial" w:cs="Arial"/>
          <w:szCs w:val="24"/>
          <w:lang w:val="en-IN" w:eastAsia="en-IN"/>
        </w:rPr>
        <w:t xml:space="preserve">requiring </w:t>
      </w:r>
      <w:r w:rsidR="00DA4EFA" w:rsidRPr="00397115">
        <w:rPr>
          <w:rFonts w:ascii="Arial" w:eastAsia="Times New Roman" w:hAnsi="Arial" w:cs="Arial"/>
          <w:szCs w:val="24"/>
          <w:lang w:val="en-IN" w:eastAsia="en-IN"/>
        </w:rPr>
        <w:t xml:space="preserve">companies to change their behaviour and integrate responsible </w:t>
      </w:r>
      <w:r w:rsidR="00EF52F8" w:rsidRPr="00397115">
        <w:rPr>
          <w:rFonts w:ascii="Arial" w:eastAsia="Times New Roman" w:hAnsi="Arial" w:cs="Arial"/>
          <w:szCs w:val="24"/>
          <w:lang w:val="en-IN" w:eastAsia="en-IN"/>
        </w:rPr>
        <w:t xml:space="preserve">business </w:t>
      </w:r>
      <w:r w:rsidR="008868A9" w:rsidRPr="00397115">
        <w:rPr>
          <w:rFonts w:ascii="Arial" w:eastAsia="Times New Roman" w:hAnsi="Arial" w:cs="Arial"/>
          <w:szCs w:val="24"/>
          <w:lang w:val="en-IN" w:eastAsia="en-IN"/>
        </w:rPr>
        <w:t xml:space="preserve">practices in their operations and corporate culture. In addition, </w:t>
      </w:r>
      <w:r w:rsidR="000B2499" w:rsidRPr="00397115">
        <w:rPr>
          <w:rFonts w:ascii="Arial" w:eastAsia="Times New Roman" w:hAnsi="Arial" w:cs="Arial"/>
          <w:szCs w:val="24"/>
          <w:lang w:val="en-IN" w:eastAsia="en-IN"/>
        </w:rPr>
        <w:t>research has</w:t>
      </w:r>
      <w:r w:rsidR="00C471B8" w:rsidRPr="00397115">
        <w:rPr>
          <w:rFonts w:ascii="Arial" w:eastAsia="Times New Roman" w:hAnsi="Arial" w:cs="Arial"/>
          <w:szCs w:val="24"/>
          <w:lang w:val="en-IN" w:eastAsia="en-IN"/>
        </w:rPr>
        <w:t xml:space="preserve"> </w:t>
      </w:r>
      <w:r w:rsidR="00EF52F8" w:rsidRPr="00397115">
        <w:rPr>
          <w:rFonts w:ascii="Arial" w:eastAsia="Times New Roman" w:hAnsi="Arial" w:cs="Arial"/>
          <w:szCs w:val="24"/>
          <w:lang w:val="en-IN" w:eastAsia="en-IN"/>
        </w:rPr>
        <w:t xml:space="preserve">shown </w:t>
      </w:r>
      <w:r w:rsidR="00C471B8" w:rsidRPr="00397115">
        <w:rPr>
          <w:rFonts w:ascii="Arial" w:eastAsia="Times New Roman" w:hAnsi="Arial" w:cs="Arial"/>
          <w:szCs w:val="24"/>
          <w:lang w:val="en-IN" w:eastAsia="en-IN"/>
        </w:rPr>
        <w:t xml:space="preserve">that </w:t>
      </w:r>
      <w:r w:rsidR="00C769D9" w:rsidRPr="00397115">
        <w:rPr>
          <w:rFonts w:ascii="Arial" w:eastAsia="Times New Roman" w:hAnsi="Arial" w:cs="Arial"/>
          <w:szCs w:val="24"/>
          <w:lang w:val="en-IN" w:eastAsia="en-IN"/>
        </w:rPr>
        <w:t xml:space="preserve">current methodologies used </w:t>
      </w:r>
      <w:r w:rsidR="00EF52F8" w:rsidRPr="00397115">
        <w:rPr>
          <w:rFonts w:ascii="Arial" w:eastAsia="Times New Roman" w:hAnsi="Arial" w:cs="Arial"/>
          <w:szCs w:val="24"/>
          <w:lang w:val="en-IN" w:eastAsia="en-IN"/>
        </w:rPr>
        <w:t>f</w:t>
      </w:r>
      <w:r w:rsidR="008763C1" w:rsidRPr="00397115">
        <w:rPr>
          <w:rFonts w:ascii="Arial" w:eastAsia="Times New Roman" w:hAnsi="Arial" w:cs="Arial"/>
          <w:szCs w:val="24"/>
          <w:lang w:val="en-IN" w:eastAsia="en-IN"/>
        </w:rPr>
        <w:t>o</w:t>
      </w:r>
      <w:r w:rsidR="00EF52F8" w:rsidRPr="00397115">
        <w:rPr>
          <w:rFonts w:ascii="Arial" w:eastAsia="Times New Roman" w:hAnsi="Arial" w:cs="Arial"/>
          <w:szCs w:val="24"/>
          <w:lang w:val="en-IN" w:eastAsia="en-IN"/>
        </w:rPr>
        <w:t>r</w:t>
      </w:r>
      <w:r w:rsidR="00C769D9" w:rsidRPr="00397115">
        <w:rPr>
          <w:rFonts w:ascii="Arial" w:eastAsia="Times New Roman" w:hAnsi="Arial" w:cs="Arial"/>
          <w:szCs w:val="24"/>
          <w:lang w:val="en-IN" w:eastAsia="en-IN"/>
        </w:rPr>
        <w:t xml:space="preserve"> ‘</w:t>
      </w:r>
      <w:r w:rsidR="00EF52F8" w:rsidRPr="00397115">
        <w:rPr>
          <w:rFonts w:ascii="Arial" w:eastAsia="Times New Roman" w:hAnsi="Arial" w:cs="Arial"/>
          <w:szCs w:val="24"/>
          <w:lang w:val="en-IN" w:eastAsia="en-IN"/>
        </w:rPr>
        <w:t>s</w:t>
      </w:r>
      <w:r w:rsidR="00C769D9" w:rsidRPr="00397115">
        <w:rPr>
          <w:rFonts w:ascii="Arial" w:eastAsia="Times New Roman" w:hAnsi="Arial" w:cs="Arial"/>
          <w:szCs w:val="24"/>
          <w:lang w:val="en-IN" w:eastAsia="en-IN"/>
        </w:rPr>
        <w:t xml:space="preserve">ocial’ scoring </w:t>
      </w:r>
      <w:r w:rsidR="008763C1" w:rsidRPr="00397115">
        <w:rPr>
          <w:rFonts w:ascii="Arial" w:eastAsia="Times New Roman" w:hAnsi="Arial" w:cs="Arial"/>
          <w:szCs w:val="24"/>
          <w:lang w:val="en-IN" w:eastAsia="en-IN"/>
        </w:rPr>
        <w:t>by rating agencies</w:t>
      </w:r>
      <w:r w:rsidR="00C471B8" w:rsidRPr="00397115">
        <w:rPr>
          <w:rFonts w:ascii="Arial" w:eastAsia="Times New Roman" w:hAnsi="Arial" w:cs="Arial"/>
          <w:szCs w:val="24"/>
          <w:lang w:val="en-IN" w:eastAsia="en-IN"/>
        </w:rPr>
        <w:t xml:space="preserve"> include</w:t>
      </w:r>
      <w:r w:rsidR="00EA42D8" w:rsidRPr="00397115">
        <w:rPr>
          <w:rFonts w:ascii="Arial" w:eastAsia="Times New Roman" w:hAnsi="Arial" w:cs="Arial"/>
          <w:szCs w:val="24"/>
          <w:lang w:val="en-IN" w:eastAsia="en-IN"/>
        </w:rPr>
        <w:t xml:space="preserve"> limited </w:t>
      </w:r>
      <w:r w:rsidR="001819A8" w:rsidRPr="00397115">
        <w:rPr>
          <w:rFonts w:ascii="Arial" w:eastAsia="Times New Roman" w:hAnsi="Arial" w:cs="Arial"/>
          <w:szCs w:val="24"/>
          <w:lang w:val="en-IN" w:eastAsia="en-IN"/>
        </w:rPr>
        <w:t xml:space="preserve">or no </w:t>
      </w:r>
      <w:r w:rsidR="00EA42D8" w:rsidRPr="00397115">
        <w:rPr>
          <w:rFonts w:ascii="Arial" w:eastAsia="Times New Roman" w:hAnsi="Arial" w:cs="Arial"/>
          <w:szCs w:val="24"/>
          <w:lang w:val="en-IN" w:eastAsia="en-IN"/>
        </w:rPr>
        <w:t>indicators on human rights.</w:t>
      </w:r>
      <w:r w:rsidR="00EA42D8" w:rsidRPr="00397115">
        <w:rPr>
          <w:rStyle w:val="FootnoteReference"/>
          <w:rFonts w:ascii="Arial" w:eastAsia="Times New Roman" w:hAnsi="Arial" w:cs="Arial"/>
          <w:szCs w:val="24"/>
          <w:lang w:val="en-IN" w:eastAsia="en-IN"/>
        </w:rPr>
        <w:footnoteReference w:id="32"/>
      </w:r>
      <w:r w:rsidR="00EA42D8" w:rsidRPr="00397115">
        <w:rPr>
          <w:rFonts w:ascii="Arial" w:eastAsia="Times New Roman" w:hAnsi="Arial" w:cs="Arial"/>
          <w:szCs w:val="24"/>
          <w:lang w:val="en-IN" w:eastAsia="en-IN"/>
        </w:rPr>
        <w:t xml:space="preserve"> The fact that existing human rights principles </w:t>
      </w:r>
      <w:r w:rsidR="00A95E0C" w:rsidRPr="00397115">
        <w:rPr>
          <w:rFonts w:ascii="Arial" w:eastAsia="Times New Roman" w:hAnsi="Arial" w:cs="Arial"/>
          <w:szCs w:val="24"/>
          <w:lang w:val="en-IN" w:eastAsia="en-IN"/>
        </w:rPr>
        <w:t>and standards applicable to business</w:t>
      </w:r>
      <w:r w:rsidR="001C1D10" w:rsidRPr="00397115">
        <w:rPr>
          <w:rFonts w:ascii="Arial" w:eastAsia="Times New Roman" w:hAnsi="Arial" w:cs="Arial"/>
          <w:szCs w:val="24"/>
          <w:lang w:val="en-IN" w:eastAsia="en-IN"/>
        </w:rPr>
        <w:t>es’</w:t>
      </w:r>
      <w:r w:rsidR="00A95E0C" w:rsidRPr="00397115">
        <w:rPr>
          <w:rFonts w:ascii="Arial" w:eastAsia="Times New Roman" w:hAnsi="Arial" w:cs="Arial"/>
          <w:szCs w:val="24"/>
          <w:lang w:val="en-IN" w:eastAsia="en-IN"/>
        </w:rPr>
        <w:t xml:space="preserve"> operations are not </w:t>
      </w:r>
      <w:r w:rsidR="00EA42D8" w:rsidRPr="00397115">
        <w:rPr>
          <w:rFonts w:ascii="Arial" w:eastAsia="Times New Roman" w:hAnsi="Arial" w:cs="Arial"/>
          <w:szCs w:val="24"/>
          <w:lang w:val="en-IN" w:eastAsia="en-IN"/>
        </w:rPr>
        <w:t>directly included in ESG ratings</w:t>
      </w:r>
      <w:r w:rsidR="0090661A" w:rsidRPr="00397115">
        <w:rPr>
          <w:rFonts w:ascii="Arial" w:eastAsia="Times New Roman" w:hAnsi="Arial" w:cs="Arial"/>
          <w:szCs w:val="24"/>
          <w:lang w:val="en-IN" w:eastAsia="en-IN"/>
        </w:rPr>
        <w:t xml:space="preserve"> marginalizes the importance of human rights in the </w:t>
      </w:r>
      <w:r w:rsidR="001E3D66" w:rsidRPr="00397115">
        <w:rPr>
          <w:rFonts w:ascii="Arial" w:eastAsia="Times New Roman" w:hAnsi="Arial" w:cs="Arial"/>
          <w:szCs w:val="24"/>
          <w:lang w:val="en-IN" w:eastAsia="en-IN"/>
        </w:rPr>
        <w:t>s</w:t>
      </w:r>
      <w:r w:rsidR="0090661A" w:rsidRPr="00397115">
        <w:rPr>
          <w:rFonts w:ascii="Arial" w:eastAsia="Times New Roman" w:hAnsi="Arial" w:cs="Arial"/>
          <w:szCs w:val="24"/>
          <w:lang w:val="en-IN" w:eastAsia="en-IN"/>
        </w:rPr>
        <w:t>ocial</w:t>
      </w:r>
      <w:r w:rsidR="001819A8" w:rsidRPr="00397115">
        <w:rPr>
          <w:rFonts w:ascii="Arial" w:eastAsia="Times New Roman" w:hAnsi="Arial" w:cs="Arial"/>
          <w:szCs w:val="24"/>
          <w:lang w:val="en-IN" w:eastAsia="en-IN"/>
        </w:rPr>
        <w:t xml:space="preserve"> aspect of ESG</w:t>
      </w:r>
      <w:r w:rsidR="0090661A" w:rsidRPr="00397115">
        <w:rPr>
          <w:rFonts w:ascii="Arial" w:eastAsia="Times New Roman" w:hAnsi="Arial" w:cs="Arial"/>
          <w:szCs w:val="24"/>
          <w:lang w:val="en-IN" w:eastAsia="en-IN"/>
        </w:rPr>
        <w:t xml:space="preserve">, and </w:t>
      </w:r>
      <w:r w:rsidR="00BC569A" w:rsidRPr="00397115">
        <w:rPr>
          <w:rFonts w:ascii="Arial" w:eastAsia="Times New Roman" w:hAnsi="Arial" w:cs="Arial"/>
          <w:szCs w:val="24"/>
          <w:lang w:val="en-IN" w:eastAsia="en-IN"/>
        </w:rPr>
        <w:t>ignore</w:t>
      </w:r>
      <w:r w:rsidR="001819A8" w:rsidRPr="00397115">
        <w:rPr>
          <w:rFonts w:ascii="Arial" w:eastAsia="Times New Roman" w:hAnsi="Arial" w:cs="Arial"/>
          <w:szCs w:val="24"/>
          <w:lang w:val="en-IN" w:eastAsia="en-IN"/>
        </w:rPr>
        <w:t>s</w:t>
      </w:r>
      <w:r w:rsidR="00BC569A" w:rsidRPr="00397115">
        <w:rPr>
          <w:rFonts w:ascii="Arial" w:eastAsia="Times New Roman" w:hAnsi="Arial" w:cs="Arial"/>
          <w:szCs w:val="24"/>
          <w:lang w:val="en-IN" w:eastAsia="en-IN"/>
        </w:rPr>
        <w:t xml:space="preserve"> the </w:t>
      </w:r>
      <w:r w:rsidR="00D500A1" w:rsidRPr="00397115">
        <w:rPr>
          <w:rFonts w:ascii="Arial" w:eastAsia="Times New Roman" w:hAnsi="Arial" w:cs="Arial"/>
          <w:szCs w:val="24"/>
          <w:lang w:val="en-IN" w:eastAsia="en-IN"/>
        </w:rPr>
        <w:t xml:space="preserve">basic </w:t>
      </w:r>
      <w:r w:rsidR="00442314" w:rsidRPr="00397115">
        <w:rPr>
          <w:rFonts w:ascii="Arial" w:eastAsia="Times New Roman" w:hAnsi="Arial" w:cs="Arial"/>
          <w:szCs w:val="24"/>
          <w:lang w:val="en-IN" w:eastAsia="en-IN"/>
        </w:rPr>
        <w:t>responsibility of corporations to respect human rights</w:t>
      </w:r>
      <w:r w:rsidR="00FC2E66" w:rsidRPr="00397115">
        <w:rPr>
          <w:rFonts w:ascii="Arial" w:eastAsia="Times New Roman" w:hAnsi="Arial" w:cs="Arial"/>
          <w:szCs w:val="24"/>
          <w:lang w:val="en-IN" w:eastAsia="en-IN"/>
        </w:rPr>
        <w:t xml:space="preserve">, </w:t>
      </w:r>
      <w:r w:rsidR="00FC2E66" w:rsidRPr="00397115">
        <w:rPr>
          <w:rFonts w:ascii="Arial" w:eastAsia="Times New Roman" w:hAnsi="Arial" w:cs="Arial"/>
          <w:szCs w:val="24"/>
          <w:lang w:val="en-IN" w:eastAsia="en-IN"/>
        </w:rPr>
        <w:lastRenderedPageBreak/>
        <w:t>including the</w:t>
      </w:r>
      <w:r w:rsidR="00A532B8">
        <w:rPr>
          <w:rFonts w:ascii="Arial" w:eastAsia="Times New Roman" w:hAnsi="Arial" w:cs="Arial"/>
          <w:szCs w:val="24"/>
          <w:lang w:val="en-IN" w:eastAsia="en-IN"/>
        </w:rPr>
        <w:t>ir</w:t>
      </w:r>
      <w:r w:rsidR="00FC2E66" w:rsidRPr="00397115">
        <w:rPr>
          <w:rFonts w:ascii="Arial" w:eastAsia="Times New Roman" w:hAnsi="Arial" w:cs="Arial"/>
          <w:szCs w:val="24"/>
          <w:lang w:val="en-IN" w:eastAsia="en-IN"/>
        </w:rPr>
        <w:t xml:space="preserve"> </w:t>
      </w:r>
      <w:r w:rsidR="00941646" w:rsidRPr="00397115">
        <w:rPr>
          <w:rFonts w:ascii="Arial" w:eastAsia="Times New Roman" w:hAnsi="Arial" w:cs="Arial"/>
          <w:szCs w:val="24"/>
          <w:lang w:val="en-IN" w:eastAsia="en-IN"/>
        </w:rPr>
        <w:t>duty to establish due diligence process</w:t>
      </w:r>
      <w:r w:rsidR="00A532B8">
        <w:rPr>
          <w:rFonts w:ascii="Arial" w:eastAsia="Times New Roman" w:hAnsi="Arial" w:cs="Arial"/>
          <w:szCs w:val="24"/>
          <w:lang w:val="en-IN" w:eastAsia="en-IN"/>
        </w:rPr>
        <w:t>es</w:t>
      </w:r>
      <w:r w:rsidR="00941646" w:rsidRPr="00397115">
        <w:rPr>
          <w:rFonts w:ascii="Arial" w:eastAsia="Times New Roman" w:hAnsi="Arial" w:cs="Arial"/>
          <w:szCs w:val="24"/>
          <w:lang w:val="en-IN" w:eastAsia="en-IN"/>
        </w:rPr>
        <w:t xml:space="preserve"> to identify, prevent, mitigate and account for human rights violations and impacts in their </w:t>
      </w:r>
      <w:r w:rsidR="00EB3449" w:rsidRPr="00397115">
        <w:rPr>
          <w:rFonts w:ascii="Arial" w:eastAsia="Times New Roman" w:hAnsi="Arial" w:cs="Arial"/>
          <w:szCs w:val="24"/>
          <w:lang w:val="en-IN" w:eastAsia="en-IN"/>
        </w:rPr>
        <w:t>activities</w:t>
      </w:r>
      <w:r w:rsidR="00941646" w:rsidRPr="00397115">
        <w:rPr>
          <w:rFonts w:ascii="Arial" w:eastAsia="Times New Roman" w:hAnsi="Arial" w:cs="Arial"/>
          <w:szCs w:val="24"/>
          <w:lang w:val="en-IN" w:eastAsia="en-IN"/>
        </w:rPr>
        <w:t xml:space="preserve">. </w:t>
      </w:r>
    </w:p>
    <w:p w14:paraId="774A0D71" w14:textId="36A30775" w:rsidR="000430D5" w:rsidRPr="00397115" w:rsidRDefault="00682BC5" w:rsidP="00AD321B">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The objectives and nature of ESG reporting demonstrate that these alone are insufficient to identify, mitigate and account for the human rights impacts of business activities. Indeed, if ESG reporting were extended to all businesses and not limited to large corporations, there will be a need to take into account</w:t>
      </w:r>
      <w:r w:rsidRPr="00397115">
        <w:rPr>
          <w:rStyle w:val="cf01"/>
          <w:rFonts w:ascii="Arial" w:hAnsi="Arial" w:cs="Arial"/>
          <w:sz w:val="24"/>
          <w:szCs w:val="24"/>
        </w:rPr>
        <w:t xml:space="preserve"> </w:t>
      </w:r>
      <w:r w:rsidRPr="00397115">
        <w:rPr>
          <w:rFonts w:ascii="Arial" w:eastAsia="Times New Roman" w:hAnsi="Arial" w:cs="Arial"/>
          <w:szCs w:val="24"/>
          <w:lang w:val="en-IN" w:eastAsia="en-IN"/>
        </w:rPr>
        <w:t>the proportionality of the impacts and relevant capacities of small and medium sized enterprises in developing countries, which may not have the necessary resources or expertise available to fulfil such reporting requirements.</w:t>
      </w:r>
    </w:p>
    <w:p w14:paraId="6B1916DA" w14:textId="29FB53CB" w:rsidR="002B568A" w:rsidRPr="00397115" w:rsidRDefault="002B568A" w:rsidP="001F01D2">
      <w:pPr>
        <w:spacing w:before="100" w:beforeAutospacing="1" w:after="100" w:afterAutospacing="1" w:line="240" w:lineRule="auto"/>
        <w:jc w:val="both"/>
        <w:rPr>
          <w:rFonts w:ascii="Arial" w:eastAsia="Times New Roman" w:hAnsi="Arial" w:cs="Arial"/>
          <w:b/>
          <w:bCs/>
          <w:color w:val="2F5496" w:themeColor="accent1" w:themeShade="BF"/>
          <w:szCs w:val="24"/>
          <w:lang w:val="en-IN" w:eastAsia="en-IN"/>
        </w:rPr>
      </w:pPr>
      <w:r w:rsidRPr="00397115">
        <w:rPr>
          <w:rFonts w:ascii="Arial" w:eastAsia="Times New Roman" w:hAnsi="Arial" w:cs="Arial"/>
          <w:b/>
          <w:bCs/>
          <w:color w:val="2F5496" w:themeColor="accent1" w:themeShade="BF"/>
          <w:szCs w:val="24"/>
          <w:lang w:val="en-IN" w:eastAsia="en-IN"/>
        </w:rPr>
        <w:t xml:space="preserve">Recommendations </w:t>
      </w:r>
    </w:p>
    <w:p w14:paraId="43C6B81B" w14:textId="34C86018" w:rsidR="00D13A8A" w:rsidRPr="00397115" w:rsidRDefault="00D114DE" w:rsidP="002B568A">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Although </w:t>
      </w:r>
      <w:r w:rsidR="00620EA2" w:rsidRPr="00397115">
        <w:rPr>
          <w:rFonts w:ascii="Arial" w:eastAsia="Times New Roman" w:hAnsi="Arial" w:cs="Arial"/>
          <w:szCs w:val="24"/>
          <w:lang w:val="en-IN" w:eastAsia="en-IN"/>
        </w:rPr>
        <w:t xml:space="preserve">ESG ratings can be a tool to support </w:t>
      </w:r>
      <w:r w:rsidR="007A09AA" w:rsidRPr="00397115">
        <w:rPr>
          <w:rFonts w:ascii="Arial" w:eastAsia="Times New Roman" w:hAnsi="Arial" w:cs="Arial"/>
          <w:szCs w:val="24"/>
          <w:lang w:val="en-IN" w:eastAsia="en-IN"/>
        </w:rPr>
        <w:t xml:space="preserve">business’ efforts towards identifying and responding to risk, </w:t>
      </w:r>
      <w:r w:rsidR="001121FF" w:rsidRPr="00397115">
        <w:rPr>
          <w:rFonts w:ascii="Arial" w:eastAsia="Times New Roman" w:hAnsi="Arial" w:cs="Arial"/>
          <w:szCs w:val="24"/>
          <w:lang w:val="en-IN" w:eastAsia="en-IN"/>
        </w:rPr>
        <w:t>multilateral</w:t>
      </w:r>
      <w:r w:rsidR="0035327A" w:rsidRPr="00397115">
        <w:rPr>
          <w:rFonts w:ascii="Arial" w:eastAsia="Times New Roman" w:hAnsi="Arial" w:cs="Arial"/>
          <w:szCs w:val="24"/>
          <w:lang w:val="en-IN" w:eastAsia="en-IN"/>
        </w:rPr>
        <w:t>, regional</w:t>
      </w:r>
      <w:r w:rsidR="001121FF" w:rsidRPr="00397115">
        <w:rPr>
          <w:rFonts w:ascii="Arial" w:eastAsia="Times New Roman" w:hAnsi="Arial" w:cs="Arial"/>
          <w:szCs w:val="24"/>
          <w:lang w:val="en-IN" w:eastAsia="en-IN"/>
        </w:rPr>
        <w:t xml:space="preserve"> </w:t>
      </w:r>
      <w:r w:rsidR="00237FF2" w:rsidRPr="00397115">
        <w:rPr>
          <w:rFonts w:ascii="Arial" w:eastAsia="Times New Roman" w:hAnsi="Arial" w:cs="Arial"/>
          <w:szCs w:val="24"/>
          <w:lang w:val="en-IN" w:eastAsia="en-IN"/>
        </w:rPr>
        <w:t xml:space="preserve">and intergovernmental organizations should </w:t>
      </w:r>
      <w:r w:rsidR="00C543A4" w:rsidRPr="00397115">
        <w:rPr>
          <w:rFonts w:ascii="Arial" w:eastAsia="Times New Roman" w:hAnsi="Arial" w:cs="Arial"/>
          <w:szCs w:val="24"/>
          <w:lang w:val="en-IN" w:eastAsia="en-IN"/>
        </w:rPr>
        <w:t>support</w:t>
      </w:r>
      <w:r w:rsidR="00D13A8A" w:rsidRPr="00397115">
        <w:rPr>
          <w:rFonts w:ascii="Arial" w:eastAsia="Times New Roman" w:hAnsi="Arial" w:cs="Arial"/>
          <w:szCs w:val="24"/>
          <w:lang w:val="en-IN" w:eastAsia="en-IN"/>
        </w:rPr>
        <w:t xml:space="preserve"> developing countries </w:t>
      </w:r>
      <w:r w:rsidR="00C543A4" w:rsidRPr="00397115">
        <w:rPr>
          <w:rFonts w:ascii="Arial" w:eastAsia="Times New Roman" w:hAnsi="Arial" w:cs="Arial"/>
          <w:szCs w:val="24"/>
          <w:lang w:val="en-IN" w:eastAsia="en-IN"/>
        </w:rPr>
        <w:t xml:space="preserve">in </w:t>
      </w:r>
      <w:r w:rsidR="00BC51D9" w:rsidRPr="00397115">
        <w:rPr>
          <w:rFonts w:ascii="Arial" w:eastAsia="Times New Roman" w:hAnsi="Arial" w:cs="Arial"/>
          <w:szCs w:val="24"/>
          <w:lang w:val="en-IN" w:eastAsia="en-IN"/>
        </w:rPr>
        <w:t>establish</w:t>
      </w:r>
      <w:r w:rsidR="00C543A4" w:rsidRPr="00397115">
        <w:rPr>
          <w:rFonts w:ascii="Arial" w:eastAsia="Times New Roman" w:hAnsi="Arial" w:cs="Arial"/>
          <w:szCs w:val="24"/>
          <w:lang w:val="en-IN" w:eastAsia="en-IN"/>
        </w:rPr>
        <w:t>ing</w:t>
      </w:r>
      <w:r w:rsidR="00C76DB9" w:rsidRPr="00397115">
        <w:rPr>
          <w:rFonts w:ascii="Arial" w:eastAsia="Times New Roman" w:hAnsi="Arial" w:cs="Arial"/>
          <w:szCs w:val="24"/>
          <w:lang w:val="en-IN" w:eastAsia="en-IN"/>
        </w:rPr>
        <w:t xml:space="preserve"> their own legal and policy frameworks to </w:t>
      </w:r>
      <w:r w:rsidR="00F3554F" w:rsidRPr="00397115">
        <w:rPr>
          <w:rFonts w:ascii="Arial" w:eastAsia="Times New Roman" w:hAnsi="Arial" w:cs="Arial"/>
          <w:szCs w:val="24"/>
          <w:lang w:val="en-IN" w:eastAsia="en-IN"/>
        </w:rPr>
        <w:t xml:space="preserve">regulate business enterprises </w:t>
      </w:r>
      <w:r w:rsidR="00E0052A" w:rsidRPr="00397115">
        <w:rPr>
          <w:rFonts w:ascii="Arial" w:eastAsia="Times New Roman" w:hAnsi="Arial" w:cs="Arial"/>
          <w:szCs w:val="24"/>
          <w:lang w:val="en-IN" w:eastAsia="en-IN"/>
        </w:rPr>
        <w:t xml:space="preserve">at the national level </w:t>
      </w:r>
      <w:r w:rsidR="00F3554F" w:rsidRPr="00397115">
        <w:rPr>
          <w:rFonts w:ascii="Arial" w:eastAsia="Times New Roman" w:hAnsi="Arial" w:cs="Arial"/>
          <w:szCs w:val="24"/>
          <w:lang w:val="en-IN" w:eastAsia="en-IN"/>
        </w:rPr>
        <w:t xml:space="preserve">and ensure that they respect human rights in all their operations and throughout their supply chains. </w:t>
      </w:r>
      <w:r w:rsidR="00152912" w:rsidRPr="00397115">
        <w:rPr>
          <w:rFonts w:ascii="Arial" w:eastAsia="Times New Roman" w:hAnsi="Arial" w:cs="Arial"/>
          <w:szCs w:val="24"/>
          <w:lang w:val="en-IN" w:eastAsia="en-IN"/>
        </w:rPr>
        <w:t>Embedding</w:t>
      </w:r>
      <w:r w:rsidR="00F3554F" w:rsidRPr="00397115">
        <w:rPr>
          <w:rFonts w:ascii="Arial" w:eastAsia="Times New Roman" w:hAnsi="Arial" w:cs="Arial"/>
          <w:szCs w:val="24"/>
          <w:lang w:val="en-IN" w:eastAsia="en-IN"/>
        </w:rPr>
        <w:t xml:space="preserve"> mandatory human rights due diligence</w:t>
      </w:r>
      <w:r w:rsidR="001A587F" w:rsidRPr="00397115">
        <w:rPr>
          <w:rFonts w:ascii="Arial" w:eastAsia="Times New Roman" w:hAnsi="Arial" w:cs="Arial"/>
          <w:szCs w:val="24"/>
          <w:lang w:val="en-IN" w:eastAsia="en-IN"/>
        </w:rPr>
        <w:t xml:space="preserve"> (mHRDD)</w:t>
      </w:r>
      <w:r w:rsidR="00964C23" w:rsidRPr="00397115">
        <w:rPr>
          <w:rFonts w:ascii="Arial" w:eastAsia="Times New Roman" w:hAnsi="Arial" w:cs="Arial"/>
          <w:szCs w:val="24"/>
          <w:lang w:val="en-IN" w:eastAsia="en-IN"/>
        </w:rPr>
        <w:t xml:space="preserve"> </w:t>
      </w:r>
      <w:r w:rsidR="00D65AEE" w:rsidRPr="00397115">
        <w:rPr>
          <w:rFonts w:ascii="Arial" w:eastAsia="Times New Roman" w:hAnsi="Arial" w:cs="Arial"/>
          <w:szCs w:val="24"/>
          <w:lang w:val="en-IN" w:eastAsia="en-IN"/>
        </w:rPr>
        <w:t xml:space="preserve">will be important to </w:t>
      </w:r>
      <w:r w:rsidR="00221D11" w:rsidRPr="00397115">
        <w:rPr>
          <w:rFonts w:ascii="Arial" w:eastAsia="Times New Roman" w:hAnsi="Arial" w:cs="Arial"/>
          <w:szCs w:val="24"/>
          <w:lang w:val="en-IN" w:eastAsia="en-IN"/>
        </w:rPr>
        <w:t xml:space="preserve">support countries efforts to </w:t>
      </w:r>
      <w:r w:rsidR="008E0BF1" w:rsidRPr="00397115">
        <w:rPr>
          <w:rFonts w:ascii="Arial" w:eastAsia="Times New Roman" w:hAnsi="Arial" w:cs="Arial"/>
          <w:szCs w:val="24"/>
          <w:lang w:val="en-IN" w:eastAsia="en-IN"/>
        </w:rPr>
        <w:t>uphold human rights</w:t>
      </w:r>
      <w:r w:rsidR="00603F49" w:rsidRPr="00397115">
        <w:rPr>
          <w:rFonts w:ascii="Arial" w:eastAsia="Times New Roman" w:hAnsi="Arial" w:cs="Arial"/>
          <w:szCs w:val="24"/>
          <w:lang w:val="en-IN" w:eastAsia="en-IN"/>
        </w:rPr>
        <w:t xml:space="preserve"> and </w:t>
      </w:r>
      <w:r w:rsidR="00221D11" w:rsidRPr="00397115">
        <w:rPr>
          <w:rFonts w:ascii="Arial" w:eastAsia="Times New Roman" w:hAnsi="Arial" w:cs="Arial"/>
          <w:szCs w:val="24"/>
          <w:lang w:val="en-IN" w:eastAsia="en-IN"/>
        </w:rPr>
        <w:t>achieve the SDGs.</w:t>
      </w:r>
      <w:r w:rsidR="00F84577" w:rsidRPr="00397115">
        <w:rPr>
          <w:rFonts w:ascii="Arial" w:eastAsia="Times New Roman" w:hAnsi="Arial" w:cs="Arial"/>
          <w:szCs w:val="24"/>
          <w:lang w:val="en-IN" w:eastAsia="en-IN"/>
        </w:rPr>
        <w:t xml:space="preserve"> </w:t>
      </w:r>
      <w:r w:rsidR="002B568A" w:rsidRPr="00397115">
        <w:rPr>
          <w:rFonts w:ascii="Arial" w:eastAsia="Times New Roman" w:hAnsi="Arial" w:cs="Arial"/>
          <w:szCs w:val="24"/>
          <w:lang w:val="en-IN" w:eastAsia="en-IN"/>
        </w:rPr>
        <w:t>States can encourage and require business</w:t>
      </w:r>
      <w:r w:rsidR="00A52E61" w:rsidRPr="00397115">
        <w:rPr>
          <w:rFonts w:ascii="Arial" w:eastAsia="Times New Roman" w:hAnsi="Arial" w:cs="Arial"/>
          <w:szCs w:val="24"/>
          <w:lang w:val="en-IN" w:eastAsia="en-IN"/>
        </w:rPr>
        <w:t>es, including</w:t>
      </w:r>
      <w:r w:rsidR="002B568A" w:rsidRPr="00397115">
        <w:rPr>
          <w:rFonts w:ascii="Arial" w:eastAsia="Times New Roman" w:hAnsi="Arial" w:cs="Arial"/>
          <w:szCs w:val="24"/>
          <w:lang w:val="en-IN" w:eastAsia="en-IN"/>
        </w:rPr>
        <w:t xml:space="preserve"> foreign investors</w:t>
      </w:r>
      <w:r w:rsidR="00A52E61" w:rsidRPr="00397115">
        <w:rPr>
          <w:rFonts w:ascii="Arial" w:eastAsia="Times New Roman" w:hAnsi="Arial" w:cs="Arial"/>
          <w:szCs w:val="24"/>
          <w:lang w:val="en-IN" w:eastAsia="en-IN"/>
        </w:rPr>
        <w:t>,</w:t>
      </w:r>
      <w:r w:rsidR="002B568A" w:rsidRPr="00397115">
        <w:rPr>
          <w:rFonts w:ascii="Arial" w:eastAsia="Times New Roman" w:hAnsi="Arial" w:cs="Arial"/>
          <w:szCs w:val="24"/>
          <w:lang w:val="en-IN" w:eastAsia="en-IN"/>
        </w:rPr>
        <w:t xml:space="preserve"> to comply with their human rights responsibilities through various means, including </w:t>
      </w:r>
      <w:r w:rsidR="00A52E61" w:rsidRPr="00397115">
        <w:rPr>
          <w:rFonts w:ascii="Arial" w:eastAsia="Times New Roman" w:hAnsi="Arial" w:cs="Arial"/>
          <w:szCs w:val="24"/>
          <w:lang w:val="en-IN" w:eastAsia="en-IN"/>
        </w:rPr>
        <w:t xml:space="preserve">standards set in </w:t>
      </w:r>
      <w:r w:rsidR="002B568A" w:rsidRPr="00397115">
        <w:rPr>
          <w:rFonts w:ascii="Arial" w:eastAsia="Times New Roman" w:hAnsi="Arial" w:cs="Arial"/>
          <w:szCs w:val="24"/>
          <w:lang w:val="en-IN" w:eastAsia="en-IN"/>
        </w:rPr>
        <w:t xml:space="preserve">National Action Plans, domestic legislation and international agreements. </w:t>
      </w:r>
    </w:p>
    <w:p w14:paraId="753C39A6" w14:textId="5C6A7CFD" w:rsidR="00D31517" w:rsidRPr="00397115" w:rsidRDefault="00A52E61" w:rsidP="002B568A">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T</w:t>
      </w:r>
      <w:r w:rsidR="0089114C" w:rsidRPr="00397115">
        <w:rPr>
          <w:rFonts w:ascii="Arial" w:eastAsia="Times New Roman" w:hAnsi="Arial" w:cs="Arial"/>
          <w:szCs w:val="24"/>
          <w:lang w:val="en-IN" w:eastAsia="en-IN"/>
        </w:rPr>
        <w:t>he adoption of</w:t>
      </w:r>
      <w:r w:rsidR="00CC2B1B" w:rsidRPr="00397115">
        <w:rPr>
          <w:rFonts w:ascii="Arial" w:eastAsia="Times New Roman" w:hAnsi="Arial" w:cs="Arial"/>
          <w:szCs w:val="24"/>
          <w:lang w:val="en-IN" w:eastAsia="en-IN"/>
        </w:rPr>
        <w:t xml:space="preserve"> human rights due diligence</w:t>
      </w:r>
      <w:r w:rsidR="0089114C" w:rsidRPr="00397115">
        <w:rPr>
          <w:rFonts w:ascii="Arial" w:eastAsia="Times New Roman" w:hAnsi="Arial" w:cs="Arial"/>
          <w:szCs w:val="24"/>
          <w:lang w:val="en-IN" w:eastAsia="en-IN"/>
        </w:rPr>
        <w:t xml:space="preserve"> requirements at national, regional and international levels can </w:t>
      </w:r>
      <w:r w:rsidR="0073443C" w:rsidRPr="00397115">
        <w:rPr>
          <w:rFonts w:ascii="Arial" w:eastAsia="Times New Roman" w:hAnsi="Arial" w:cs="Arial"/>
          <w:szCs w:val="24"/>
          <w:lang w:val="en-IN" w:eastAsia="en-IN"/>
        </w:rPr>
        <w:t>help</w:t>
      </w:r>
      <w:r w:rsidR="00C4603A" w:rsidRPr="00397115">
        <w:rPr>
          <w:rFonts w:ascii="Arial" w:eastAsia="Times New Roman" w:hAnsi="Arial" w:cs="Arial"/>
          <w:szCs w:val="24"/>
          <w:lang w:val="en-IN" w:eastAsia="en-IN"/>
        </w:rPr>
        <w:t xml:space="preserve"> </w:t>
      </w:r>
      <w:r w:rsidRPr="00397115">
        <w:rPr>
          <w:rFonts w:ascii="Arial" w:eastAsia="Times New Roman" w:hAnsi="Arial" w:cs="Arial"/>
          <w:szCs w:val="24"/>
          <w:lang w:val="en-IN" w:eastAsia="en-IN"/>
        </w:rPr>
        <w:t xml:space="preserve">prevent </w:t>
      </w:r>
      <w:r w:rsidR="00C4603A" w:rsidRPr="00397115">
        <w:rPr>
          <w:rFonts w:ascii="Arial" w:eastAsia="Times New Roman" w:hAnsi="Arial" w:cs="Arial"/>
          <w:szCs w:val="24"/>
          <w:lang w:val="en-IN" w:eastAsia="en-IN"/>
        </w:rPr>
        <w:t>and</w:t>
      </w:r>
      <w:r w:rsidR="00CC2B1B" w:rsidRPr="00397115">
        <w:rPr>
          <w:rFonts w:ascii="Arial" w:eastAsia="Times New Roman" w:hAnsi="Arial" w:cs="Arial"/>
          <w:szCs w:val="24"/>
          <w:lang w:val="en-IN" w:eastAsia="en-IN"/>
        </w:rPr>
        <w:t xml:space="preserve"> </w:t>
      </w:r>
      <w:r w:rsidR="0089114C" w:rsidRPr="00397115">
        <w:rPr>
          <w:rFonts w:ascii="Arial" w:eastAsia="Times New Roman" w:hAnsi="Arial" w:cs="Arial"/>
          <w:szCs w:val="24"/>
          <w:lang w:val="en-IN" w:eastAsia="en-IN"/>
        </w:rPr>
        <w:t>mitigat</w:t>
      </w:r>
      <w:r w:rsidR="0073443C" w:rsidRPr="00397115">
        <w:rPr>
          <w:rFonts w:ascii="Arial" w:eastAsia="Times New Roman" w:hAnsi="Arial" w:cs="Arial"/>
          <w:szCs w:val="24"/>
          <w:lang w:val="en-IN" w:eastAsia="en-IN"/>
        </w:rPr>
        <w:t>e</w:t>
      </w:r>
      <w:r w:rsidR="00CC2B1B" w:rsidRPr="00397115">
        <w:rPr>
          <w:rFonts w:ascii="Arial" w:eastAsia="Times New Roman" w:hAnsi="Arial" w:cs="Arial"/>
          <w:szCs w:val="24"/>
          <w:lang w:val="en-IN" w:eastAsia="en-IN"/>
        </w:rPr>
        <w:t xml:space="preserve"> </w:t>
      </w:r>
      <w:r w:rsidR="00C4603A" w:rsidRPr="00397115">
        <w:rPr>
          <w:rFonts w:ascii="Arial" w:eastAsia="Times New Roman" w:hAnsi="Arial" w:cs="Arial"/>
          <w:szCs w:val="24"/>
          <w:lang w:val="en-IN" w:eastAsia="en-IN"/>
        </w:rPr>
        <w:t>the</w:t>
      </w:r>
      <w:r w:rsidR="0089114C" w:rsidRPr="00397115">
        <w:rPr>
          <w:rFonts w:ascii="Arial" w:eastAsia="Times New Roman" w:hAnsi="Arial" w:cs="Arial"/>
          <w:szCs w:val="24"/>
          <w:lang w:val="en-IN" w:eastAsia="en-IN"/>
        </w:rPr>
        <w:t xml:space="preserve"> </w:t>
      </w:r>
      <w:r w:rsidR="0073443C" w:rsidRPr="00397115">
        <w:rPr>
          <w:rFonts w:ascii="Arial" w:eastAsia="Times New Roman" w:hAnsi="Arial" w:cs="Arial"/>
          <w:szCs w:val="24"/>
          <w:lang w:val="en-IN" w:eastAsia="en-IN"/>
        </w:rPr>
        <w:t xml:space="preserve">negative </w:t>
      </w:r>
      <w:r w:rsidR="0089114C" w:rsidRPr="00397115">
        <w:rPr>
          <w:rFonts w:ascii="Arial" w:eastAsia="Times New Roman" w:hAnsi="Arial" w:cs="Arial"/>
          <w:szCs w:val="24"/>
          <w:lang w:val="en-IN" w:eastAsia="en-IN"/>
        </w:rPr>
        <w:t xml:space="preserve">effects of business operations </w:t>
      </w:r>
      <w:r w:rsidR="0073443C" w:rsidRPr="00397115">
        <w:rPr>
          <w:rFonts w:ascii="Arial" w:eastAsia="Times New Roman" w:hAnsi="Arial" w:cs="Arial"/>
          <w:szCs w:val="24"/>
          <w:lang w:val="en-IN" w:eastAsia="en-IN"/>
        </w:rPr>
        <w:t>o</w:t>
      </w:r>
      <w:r w:rsidR="0089114C" w:rsidRPr="00397115">
        <w:rPr>
          <w:rFonts w:ascii="Arial" w:eastAsia="Times New Roman" w:hAnsi="Arial" w:cs="Arial"/>
          <w:szCs w:val="24"/>
          <w:lang w:val="en-IN" w:eastAsia="en-IN"/>
        </w:rPr>
        <w:t xml:space="preserve">n human rights and </w:t>
      </w:r>
      <w:r w:rsidR="00CC2B1B" w:rsidRPr="00397115">
        <w:rPr>
          <w:rFonts w:ascii="Arial" w:eastAsia="Times New Roman" w:hAnsi="Arial" w:cs="Arial"/>
          <w:szCs w:val="24"/>
          <w:lang w:val="en-IN" w:eastAsia="en-IN"/>
        </w:rPr>
        <w:t xml:space="preserve">provide </w:t>
      </w:r>
      <w:r w:rsidR="0073443C" w:rsidRPr="00397115">
        <w:rPr>
          <w:rFonts w:ascii="Arial" w:eastAsia="Times New Roman" w:hAnsi="Arial" w:cs="Arial"/>
          <w:szCs w:val="24"/>
          <w:lang w:val="en-IN" w:eastAsia="en-IN"/>
        </w:rPr>
        <w:t xml:space="preserve">access to effective </w:t>
      </w:r>
      <w:r w:rsidR="00CC2B1B" w:rsidRPr="00397115">
        <w:rPr>
          <w:rFonts w:ascii="Arial" w:eastAsia="Times New Roman" w:hAnsi="Arial" w:cs="Arial"/>
          <w:szCs w:val="24"/>
          <w:lang w:val="en-IN" w:eastAsia="en-IN"/>
        </w:rPr>
        <w:t>remedy</w:t>
      </w:r>
      <w:r w:rsidR="0089114C" w:rsidRPr="00397115">
        <w:rPr>
          <w:rFonts w:ascii="Arial" w:eastAsia="Times New Roman" w:hAnsi="Arial" w:cs="Arial"/>
          <w:szCs w:val="24"/>
          <w:lang w:val="en-IN" w:eastAsia="en-IN"/>
        </w:rPr>
        <w:t xml:space="preserve">. </w:t>
      </w:r>
      <w:r w:rsidR="0073443C" w:rsidRPr="00397115">
        <w:rPr>
          <w:rFonts w:ascii="Arial" w:eastAsia="Times New Roman" w:hAnsi="Arial" w:cs="Arial"/>
          <w:szCs w:val="24"/>
          <w:lang w:val="en-IN" w:eastAsia="en-IN"/>
        </w:rPr>
        <w:t xml:space="preserve">Embedding </w:t>
      </w:r>
      <w:r w:rsidR="0089114C" w:rsidRPr="00397115">
        <w:rPr>
          <w:rFonts w:ascii="Arial" w:eastAsia="Times New Roman" w:hAnsi="Arial" w:cs="Arial"/>
          <w:szCs w:val="24"/>
          <w:lang w:val="en-IN" w:eastAsia="en-IN"/>
        </w:rPr>
        <w:t xml:space="preserve">these practices in business operations can also allow </w:t>
      </w:r>
      <w:r w:rsidR="0073443C" w:rsidRPr="00397115">
        <w:rPr>
          <w:rFonts w:ascii="Arial" w:eastAsia="Times New Roman" w:hAnsi="Arial" w:cs="Arial"/>
          <w:szCs w:val="24"/>
          <w:lang w:val="en-IN" w:eastAsia="en-IN"/>
        </w:rPr>
        <w:t xml:space="preserve">for </w:t>
      </w:r>
      <w:r w:rsidR="0089114C" w:rsidRPr="00397115">
        <w:rPr>
          <w:rFonts w:ascii="Arial" w:eastAsia="Times New Roman" w:hAnsi="Arial" w:cs="Arial"/>
          <w:szCs w:val="24"/>
          <w:lang w:val="en-IN" w:eastAsia="en-IN"/>
        </w:rPr>
        <w:t>better</w:t>
      </w:r>
      <w:r w:rsidR="00CC2B1B" w:rsidRPr="00397115">
        <w:rPr>
          <w:rFonts w:ascii="Arial" w:eastAsia="Times New Roman" w:hAnsi="Arial" w:cs="Arial"/>
          <w:szCs w:val="24"/>
          <w:lang w:val="en-IN" w:eastAsia="en-IN"/>
        </w:rPr>
        <w:t xml:space="preserve"> monitor</w:t>
      </w:r>
      <w:r w:rsidR="0089114C" w:rsidRPr="00397115">
        <w:rPr>
          <w:rFonts w:ascii="Arial" w:eastAsia="Times New Roman" w:hAnsi="Arial" w:cs="Arial"/>
          <w:szCs w:val="24"/>
          <w:lang w:val="en-IN" w:eastAsia="en-IN"/>
        </w:rPr>
        <w:t>ing</w:t>
      </w:r>
      <w:r w:rsidR="00CC2B1B" w:rsidRPr="00397115">
        <w:rPr>
          <w:rFonts w:ascii="Arial" w:eastAsia="Times New Roman" w:hAnsi="Arial" w:cs="Arial"/>
          <w:szCs w:val="24"/>
          <w:lang w:val="en-IN" w:eastAsia="en-IN"/>
        </w:rPr>
        <w:t xml:space="preserve"> and </w:t>
      </w:r>
      <w:r w:rsidR="0089114C" w:rsidRPr="00397115">
        <w:rPr>
          <w:rFonts w:ascii="Arial" w:eastAsia="Times New Roman" w:hAnsi="Arial" w:cs="Arial"/>
          <w:szCs w:val="24"/>
          <w:lang w:val="en-IN" w:eastAsia="en-IN"/>
        </w:rPr>
        <w:t xml:space="preserve">reporting of </w:t>
      </w:r>
      <w:r w:rsidRPr="00397115">
        <w:rPr>
          <w:rFonts w:ascii="Arial" w:eastAsia="Times New Roman" w:hAnsi="Arial" w:cs="Arial"/>
          <w:szCs w:val="24"/>
          <w:lang w:val="en-IN" w:eastAsia="en-IN"/>
        </w:rPr>
        <w:t xml:space="preserve">their </w:t>
      </w:r>
      <w:r w:rsidR="0089114C" w:rsidRPr="00397115">
        <w:rPr>
          <w:rFonts w:ascii="Arial" w:eastAsia="Times New Roman" w:hAnsi="Arial" w:cs="Arial"/>
          <w:szCs w:val="24"/>
          <w:lang w:val="en-IN" w:eastAsia="en-IN"/>
        </w:rPr>
        <w:t>effective</w:t>
      </w:r>
      <w:r w:rsidR="0073443C" w:rsidRPr="00397115">
        <w:rPr>
          <w:rFonts w:ascii="Arial" w:eastAsia="Times New Roman" w:hAnsi="Arial" w:cs="Arial"/>
          <w:szCs w:val="24"/>
          <w:lang w:val="en-IN" w:eastAsia="en-IN"/>
        </w:rPr>
        <w:t>nes</w:t>
      </w:r>
      <w:r w:rsidR="0089114C" w:rsidRPr="00397115">
        <w:rPr>
          <w:rFonts w:ascii="Arial" w:eastAsia="Times New Roman" w:hAnsi="Arial" w:cs="Arial"/>
          <w:szCs w:val="24"/>
          <w:lang w:val="en-IN" w:eastAsia="en-IN"/>
        </w:rPr>
        <w:t>s. T</w:t>
      </w:r>
      <w:r w:rsidR="00C4603A" w:rsidRPr="00397115">
        <w:rPr>
          <w:rFonts w:ascii="Arial" w:eastAsia="Times New Roman" w:hAnsi="Arial" w:cs="Arial"/>
          <w:szCs w:val="24"/>
          <w:lang w:val="en-IN" w:eastAsia="en-IN"/>
        </w:rPr>
        <w:t xml:space="preserve">he potential of </w:t>
      </w:r>
      <w:r w:rsidR="001A587F" w:rsidRPr="00397115">
        <w:rPr>
          <w:rFonts w:ascii="Arial" w:eastAsia="Times New Roman" w:hAnsi="Arial" w:cs="Arial"/>
          <w:szCs w:val="24"/>
          <w:lang w:val="en-IN" w:eastAsia="en-IN"/>
        </w:rPr>
        <w:t>m</w:t>
      </w:r>
      <w:r w:rsidR="00C4603A" w:rsidRPr="00397115">
        <w:rPr>
          <w:rFonts w:ascii="Arial" w:eastAsia="Times New Roman" w:hAnsi="Arial" w:cs="Arial"/>
          <w:szCs w:val="24"/>
          <w:lang w:val="en-IN" w:eastAsia="en-IN"/>
        </w:rPr>
        <w:t>HRDD legislation to strengthen the prevention of human rights violations, while also addressing remediation after the occurrence of harm through State</w:t>
      </w:r>
      <w:r w:rsidR="000051AC" w:rsidRPr="00397115">
        <w:rPr>
          <w:rFonts w:ascii="Arial" w:eastAsia="Times New Roman" w:hAnsi="Arial" w:cs="Arial"/>
          <w:szCs w:val="24"/>
          <w:lang w:val="en-IN" w:eastAsia="en-IN"/>
        </w:rPr>
        <w:t>-based</w:t>
      </w:r>
      <w:r w:rsidR="00C4603A" w:rsidRPr="00397115">
        <w:rPr>
          <w:rFonts w:ascii="Arial" w:eastAsia="Times New Roman" w:hAnsi="Arial" w:cs="Arial"/>
          <w:szCs w:val="24"/>
          <w:lang w:val="en-IN" w:eastAsia="en-IN"/>
        </w:rPr>
        <w:t xml:space="preserve"> mechanisms, could be </w:t>
      </w:r>
      <w:r w:rsidRPr="00397115">
        <w:rPr>
          <w:rFonts w:ascii="Arial" w:eastAsia="Times New Roman" w:hAnsi="Arial" w:cs="Arial"/>
          <w:szCs w:val="24"/>
          <w:lang w:val="en-IN" w:eastAsia="en-IN"/>
        </w:rPr>
        <w:t xml:space="preserve">facilitated </w:t>
      </w:r>
      <w:r w:rsidR="00C4603A" w:rsidRPr="00397115">
        <w:rPr>
          <w:rFonts w:ascii="Arial" w:eastAsia="Times New Roman" w:hAnsi="Arial" w:cs="Arial"/>
          <w:szCs w:val="24"/>
          <w:lang w:val="en-IN" w:eastAsia="en-IN"/>
        </w:rPr>
        <w:t>through the establishment of international standards on this matter.</w:t>
      </w:r>
      <w:r w:rsidR="0089114C" w:rsidRPr="00397115">
        <w:rPr>
          <w:rStyle w:val="FootnoteReference"/>
          <w:rFonts w:ascii="Arial" w:eastAsia="Times New Roman" w:hAnsi="Arial" w:cs="Arial"/>
          <w:szCs w:val="24"/>
          <w:lang w:val="en-IN" w:eastAsia="en-IN"/>
        </w:rPr>
        <w:footnoteReference w:id="33"/>
      </w:r>
      <w:r w:rsidR="00C4603A" w:rsidRPr="00397115">
        <w:rPr>
          <w:rFonts w:ascii="Arial" w:eastAsia="Times New Roman" w:hAnsi="Arial" w:cs="Arial"/>
          <w:szCs w:val="24"/>
          <w:lang w:val="en-IN" w:eastAsia="en-IN"/>
        </w:rPr>
        <w:t xml:space="preserve"> </w:t>
      </w:r>
    </w:p>
    <w:p w14:paraId="0D30ABA7" w14:textId="372984F8" w:rsidR="002B568A" w:rsidRPr="00397115" w:rsidRDefault="00C4603A" w:rsidP="00BA3B8C">
      <w:pPr>
        <w:spacing w:before="100" w:beforeAutospacing="1" w:after="100" w:afterAutospacing="1" w:line="240" w:lineRule="auto"/>
        <w:jc w:val="both"/>
        <w:rPr>
          <w:rFonts w:ascii="Arial" w:eastAsia="Times New Roman" w:hAnsi="Arial" w:cs="Arial"/>
          <w:szCs w:val="24"/>
          <w:lang w:val="en-IN" w:eastAsia="en-IN"/>
        </w:rPr>
      </w:pPr>
      <w:r w:rsidRPr="00397115">
        <w:rPr>
          <w:rFonts w:ascii="Arial" w:eastAsia="Times New Roman" w:hAnsi="Arial" w:cs="Arial"/>
          <w:szCs w:val="24"/>
          <w:lang w:val="en-IN" w:eastAsia="en-IN"/>
        </w:rPr>
        <w:t xml:space="preserve">Similarly, adopting responsible investment standards, </w:t>
      </w:r>
      <w:r w:rsidR="0028168F" w:rsidRPr="00397115">
        <w:rPr>
          <w:rFonts w:ascii="Arial" w:eastAsia="Times New Roman" w:hAnsi="Arial" w:cs="Arial"/>
          <w:szCs w:val="24"/>
          <w:lang w:val="en-IN" w:eastAsia="en-IN"/>
        </w:rPr>
        <w:t xml:space="preserve">such as </w:t>
      </w:r>
      <w:r w:rsidRPr="00397115">
        <w:rPr>
          <w:rFonts w:ascii="Arial" w:eastAsia="Times New Roman" w:hAnsi="Arial" w:cs="Arial"/>
          <w:szCs w:val="24"/>
          <w:lang w:val="en-IN" w:eastAsia="en-IN"/>
        </w:rPr>
        <w:t>the need to balance the rights and obligations of foreign investors and respect the right of States to regulate in their public interest, are essential for achieving</w:t>
      </w:r>
      <w:r w:rsidR="00964C23" w:rsidRPr="00397115">
        <w:rPr>
          <w:rFonts w:ascii="Arial" w:eastAsia="Times New Roman" w:hAnsi="Arial" w:cs="Arial"/>
          <w:szCs w:val="24"/>
          <w:lang w:val="en-IN" w:eastAsia="en-IN"/>
        </w:rPr>
        <w:t xml:space="preserve"> the SDGs and the </w:t>
      </w:r>
      <w:r w:rsidR="0038791E" w:rsidRPr="00397115">
        <w:rPr>
          <w:rFonts w:ascii="Arial" w:eastAsia="Times New Roman" w:hAnsi="Arial" w:cs="Arial"/>
          <w:szCs w:val="24"/>
          <w:lang w:val="en-IN" w:eastAsia="en-IN"/>
        </w:rPr>
        <w:t>realizat</w:t>
      </w:r>
      <w:r w:rsidR="00964C23" w:rsidRPr="00397115">
        <w:rPr>
          <w:rFonts w:ascii="Arial" w:eastAsia="Times New Roman" w:hAnsi="Arial" w:cs="Arial"/>
          <w:szCs w:val="24"/>
          <w:lang w:val="en-IN" w:eastAsia="en-IN"/>
        </w:rPr>
        <w:t>ion of human rights</w:t>
      </w:r>
      <w:r w:rsidR="0028168F" w:rsidRPr="00397115">
        <w:rPr>
          <w:rFonts w:ascii="Arial" w:eastAsia="Times New Roman" w:hAnsi="Arial" w:cs="Arial"/>
          <w:szCs w:val="24"/>
          <w:lang w:val="en-IN" w:eastAsia="en-IN"/>
        </w:rPr>
        <w:t xml:space="preserve">, and should be included in the </w:t>
      </w:r>
      <w:r w:rsidR="00446E7F" w:rsidRPr="00397115">
        <w:rPr>
          <w:rFonts w:ascii="Arial" w:eastAsia="Times New Roman" w:hAnsi="Arial" w:cs="Arial"/>
          <w:szCs w:val="24"/>
          <w:lang w:val="en-IN" w:eastAsia="en-IN"/>
        </w:rPr>
        <w:t xml:space="preserve">international </w:t>
      </w:r>
      <w:r w:rsidR="0028168F" w:rsidRPr="00397115">
        <w:rPr>
          <w:rFonts w:ascii="Arial" w:eastAsia="Times New Roman" w:hAnsi="Arial" w:cs="Arial"/>
          <w:szCs w:val="24"/>
          <w:lang w:val="en-IN" w:eastAsia="en-IN"/>
        </w:rPr>
        <w:t xml:space="preserve">investment policies and </w:t>
      </w:r>
      <w:r w:rsidR="00446E7F" w:rsidRPr="00397115">
        <w:rPr>
          <w:rFonts w:ascii="Arial" w:eastAsia="Times New Roman" w:hAnsi="Arial" w:cs="Arial"/>
          <w:szCs w:val="24"/>
          <w:lang w:val="en-IN" w:eastAsia="en-IN"/>
        </w:rPr>
        <w:t>agreements</w:t>
      </w:r>
      <w:r w:rsidR="00361F35" w:rsidRPr="00397115">
        <w:rPr>
          <w:rFonts w:ascii="Arial" w:eastAsia="Times New Roman" w:hAnsi="Arial" w:cs="Arial"/>
          <w:szCs w:val="24"/>
          <w:lang w:val="en-IN" w:eastAsia="en-IN"/>
        </w:rPr>
        <w:t>.</w:t>
      </w:r>
      <w:r w:rsidR="00D31517" w:rsidRPr="00397115">
        <w:rPr>
          <w:rFonts w:ascii="Arial" w:eastAsia="Times New Roman" w:hAnsi="Arial" w:cs="Arial"/>
          <w:szCs w:val="24"/>
          <w:lang w:val="en-IN" w:eastAsia="en-IN"/>
        </w:rPr>
        <w:t xml:space="preserve"> </w:t>
      </w:r>
      <w:r w:rsidR="002B568A" w:rsidRPr="00397115">
        <w:rPr>
          <w:rFonts w:ascii="Arial" w:eastAsia="Times New Roman" w:hAnsi="Arial" w:cs="Arial"/>
          <w:szCs w:val="24"/>
          <w:lang w:val="en-IN" w:eastAsia="en-IN"/>
        </w:rPr>
        <w:t xml:space="preserve">Special attention </w:t>
      </w:r>
      <w:r w:rsidR="00D31517" w:rsidRPr="00397115">
        <w:rPr>
          <w:rFonts w:ascii="Arial" w:eastAsia="Times New Roman" w:hAnsi="Arial" w:cs="Arial"/>
          <w:szCs w:val="24"/>
          <w:lang w:val="en-IN" w:eastAsia="en-IN"/>
        </w:rPr>
        <w:t xml:space="preserve">should </w:t>
      </w:r>
      <w:r w:rsidR="002B568A" w:rsidRPr="00397115">
        <w:rPr>
          <w:rFonts w:ascii="Arial" w:eastAsia="Times New Roman" w:hAnsi="Arial" w:cs="Arial"/>
          <w:szCs w:val="24"/>
          <w:lang w:val="en-IN" w:eastAsia="en-IN"/>
        </w:rPr>
        <w:t>be paid to the recently adopted Protocol on Investment to the African Continental Free Trade Agreement (AfCFTA)</w:t>
      </w:r>
      <w:r w:rsidR="002B568A" w:rsidRPr="00397115">
        <w:rPr>
          <w:rStyle w:val="FootnoteReference"/>
          <w:rFonts w:ascii="Arial" w:eastAsia="Times New Roman" w:hAnsi="Arial" w:cs="Arial"/>
          <w:szCs w:val="24"/>
          <w:lang w:val="en-IN" w:eastAsia="en-IN"/>
        </w:rPr>
        <w:footnoteReference w:id="34"/>
      </w:r>
      <w:r w:rsidR="002B568A" w:rsidRPr="00397115">
        <w:rPr>
          <w:rFonts w:ascii="Arial" w:eastAsia="Times New Roman" w:hAnsi="Arial" w:cs="Arial"/>
          <w:szCs w:val="24"/>
          <w:lang w:val="en-IN" w:eastAsia="en-IN"/>
        </w:rPr>
        <w:t xml:space="preserve">, which in Chapter 5 includes </w:t>
      </w:r>
      <w:r w:rsidR="002B568A" w:rsidRPr="00397115">
        <w:rPr>
          <w:rFonts w:ascii="Arial" w:eastAsia="Times New Roman" w:hAnsi="Arial" w:cs="Arial"/>
          <w:szCs w:val="24"/>
          <w:lang w:val="en-IN" w:eastAsia="en-IN"/>
        </w:rPr>
        <w:lastRenderedPageBreak/>
        <w:t xml:space="preserve">binding obligations for foreign investors. Particularly, Article 33 on Business Ethics, Human Rights and Labour Standards requires investors and their investments to comply with high standards of business ethics, investment-related human rights and labour standards; Article 34 lays out an obligation to respect and protect the environment, in accordance with the human right to a clean, healthy and sustainable environment. Further, Article 38 on Corporate Social Responsibility requires investors to endeavour to achieve the highest possible level of contribution to the sustainable development of the Host State and the local community through the adoption of a high degree of socially responsible practices; and Article 39 on Corporate Governance requires investors to meet national, regional and internationally accepted standards of corporate governance, in particular in respect of transparency and accounting. This Protocol </w:t>
      </w:r>
      <w:r w:rsidR="00A52E61" w:rsidRPr="00397115">
        <w:rPr>
          <w:rFonts w:ascii="Arial" w:eastAsia="Times New Roman" w:hAnsi="Arial" w:cs="Arial"/>
          <w:szCs w:val="24"/>
          <w:lang w:val="en-IN" w:eastAsia="en-IN"/>
        </w:rPr>
        <w:t>can be</w:t>
      </w:r>
      <w:r w:rsidR="002B568A" w:rsidRPr="00397115">
        <w:rPr>
          <w:rFonts w:ascii="Arial" w:eastAsia="Times New Roman" w:hAnsi="Arial" w:cs="Arial"/>
          <w:szCs w:val="24"/>
          <w:lang w:val="en-IN" w:eastAsia="en-IN"/>
        </w:rPr>
        <w:t xml:space="preserve"> a standard setter for investment agreements and a model for other countries seeking to strengthen ESG and human rights requirements for foreign investors.</w:t>
      </w:r>
    </w:p>
    <w:sectPr w:rsidR="002B568A" w:rsidRPr="0039711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38E0" w14:textId="77777777" w:rsidR="00FE7BB1" w:rsidRDefault="00FE7BB1" w:rsidP="00DA04CF">
      <w:pPr>
        <w:spacing w:after="0" w:line="240" w:lineRule="auto"/>
      </w:pPr>
      <w:r>
        <w:separator/>
      </w:r>
    </w:p>
  </w:endnote>
  <w:endnote w:type="continuationSeparator" w:id="0">
    <w:p w14:paraId="79B2C897" w14:textId="77777777" w:rsidR="00FE7BB1" w:rsidRDefault="00FE7BB1" w:rsidP="00DA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15479033"/>
      <w:docPartObj>
        <w:docPartGallery w:val="Page Numbers (Bottom of Page)"/>
        <w:docPartUnique/>
      </w:docPartObj>
    </w:sdtPr>
    <w:sdtContent>
      <w:p w14:paraId="3CB13BDA" w14:textId="22465605" w:rsidR="00D6560B" w:rsidRPr="00D6560B" w:rsidRDefault="00D6560B" w:rsidP="00D6560B">
        <w:pPr>
          <w:pStyle w:val="Footer"/>
          <w:jc w:val="center"/>
          <w:rPr>
            <w:rFonts w:ascii="Arial" w:hAnsi="Arial" w:cs="Arial"/>
            <w:sz w:val="20"/>
            <w:szCs w:val="20"/>
          </w:rPr>
        </w:pPr>
        <w:r w:rsidRPr="00D6560B">
          <w:rPr>
            <w:rFonts w:ascii="Arial" w:hAnsi="Arial" w:cs="Arial"/>
            <w:sz w:val="20"/>
            <w:szCs w:val="20"/>
          </w:rPr>
          <w:fldChar w:fldCharType="begin"/>
        </w:r>
        <w:r w:rsidRPr="00D6560B">
          <w:rPr>
            <w:rFonts w:ascii="Arial" w:hAnsi="Arial" w:cs="Arial"/>
            <w:sz w:val="20"/>
            <w:szCs w:val="20"/>
          </w:rPr>
          <w:instrText>PAGE   \* MERGEFORMAT</w:instrText>
        </w:r>
        <w:r w:rsidRPr="00D6560B">
          <w:rPr>
            <w:rFonts w:ascii="Arial" w:hAnsi="Arial" w:cs="Arial"/>
            <w:sz w:val="20"/>
            <w:szCs w:val="20"/>
          </w:rPr>
          <w:fldChar w:fldCharType="separate"/>
        </w:r>
        <w:r w:rsidRPr="00D6560B">
          <w:rPr>
            <w:rFonts w:ascii="Arial" w:hAnsi="Arial" w:cs="Arial"/>
            <w:sz w:val="20"/>
            <w:szCs w:val="20"/>
            <w:lang w:val="es-ES"/>
          </w:rPr>
          <w:t>2</w:t>
        </w:r>
        <w:r w:rsidRPr="00D6560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38A2" w14:textId="77777777" w:rsidR="00FE7BB1" w:rsidRDefault="00FE7BB1" w:rsidP="00DA04CF">
      <w:pPr>
        <w:spacing w:after="0" w:line="240" w:lineRule="auto"/>
      </w:pPr>
      <w:r>
        <w:separator/>
      </w:r>
    </w:p>
  </w:footnote>
  <w:footnote w:type="continuationSeparator" w:id="0">
    <w:p w14:paraId="584BA8A9" w14:textId="77777777" w:rsidR="00FE7BB1" w:rsidRDefault="00FE7BB1" w:rsidP="00DA04CF">
      <w:pPr>
        <w:spacing w:after="0" w:line="240" w:lineRule="auto"/>
      </w:pPr>
      <w:r>
        <w:continuationSeparator/>
      </w:r>
    </w:p>
  </w:footnote>
  <w:footnote w:id="1">
    <w:p w14:paraId="0D0FF6D2" w14:textId="5B831A92" w:rsidR="00B54AD5" w:rsidRPr="00935A99" w:rsidRDefault="00B54AD5">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See: Debevoise &amp; Plimpton, UN Guiding Principles on Business and Human Rights at 10: The Impact of the UNGPs on Courts and Judicial Mechanisms</w:t>
      </w:r>
      <w:r w:rsidR="0090602E" w:rsidRPr="00935A99">
        <w:rPr>
          <w:rFonts w:ascii="Arial" w:hAnsi="Arial" w:cs="Arial"/>
        </w:rPr>
        <w:t xml:space="preserve">. </w:t>
      </w:r>
      <w:hyperlink r:id="rId1" w:history="1">
        <w:r w:rsidRPr="00935A99">
          <w:rPr>
            <w:rStyle w:val="Hyperlink"/>
            <w:rFonts w:ascii="Arial" w:hAnsi="Arial" w:cs="Arial"/>
          </w:rPr>
          <w:t>https://www.ohchr.org/sites/default/files/Documents/Issues/Business/UNGPsBHRnext10/debevoise.pdf</w:t>
        </w:r>
      </w:hyperlink>
    </w:p>
  </w:footnote>
  <w:footnote w:id="2">
    <w:p w14:paraId="42A452A4" w14:textId="6564460E" w:rsidR="00622DD2" w:rsidRPr="00935A99" w:rsidRDefault="00622DD2">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See: South Centre, Virtual Consultation in Support of the UN Working Group’s 2021 Report to the UN General Assembly on Human Rights-Compatible International Investment Agreements</w:t>
      </w:r>
      <w:r w:rsidR="006A27D4" w:rsidRPr="00935A99">
        <w:rPr>
          <w:rFonts w:ascii="Arial" w:hAnsi="Arial" w:cs="Arial"/>
        </w:rPr>
        <w:t xml:space="preserve">. </w:t>
      </w:r>
      <w:hyperlink r:id="rId2" w:history="1">
        <w:r w:rsidR="006A27D4" w:rsidRPr="00935A99">
          <w:rPr>
            <w:rStyle w:val="Hyperlink"/>
            <w:rFonts w:ascii="Arial" w:hAnsi="Arial" w:cs="Arial"/>
          </w:rPr>
          <w:t>https://www.southcentre.int/wp-content/uploads/2021/08/HRs-compatible-IIAs-report.pdf</w:t>
        </w:r>
      </w:hyperlink>
    </w:p>
  </w:footnote>
  <w:footnote w:id="3">
    <w:p w14:paraId="2598686A" w14:textId="78EF584C" w:rsidR="00955808" w:rsidRPr="00935A99" w:rsidRDefault="00955808">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036C6C" w:rsidRPr="00935A99">
        <w:rPr>
          <w:rFonts w:ascii="Arial" w:hAnsi="Arial" w:cs="Arial"/>
        </w:rPr>
        <w:t>Matthew Mazzoni and Jennifer Teefey,</w:t>
      </w:r>
      <w:r w:rsidR="00E82EFC" w:rsidRPr="00935A99">
        <w:rPr>
          <w:rFonts w:ascii="Arial" w:hAnsi="Arial" w:cs="Arial"/>
        </w:rPr>
        <w:t xml:space="preserve"> ESG + Incentives 2023 Report, Harvard Law School Forum on Corporate Governance</w:t>
      </w:r>
      <w:r w:rsidR="00CF5A6E" w:rsidRPr="00935A99">
        <w:rPr>
          <w:rFonts w:ascii="Arial" w:hAnsi="Arial" w:cs="Arial"/>
        </w:rPr>
        <w:t>, 3 September 2023.</w:t>
      </w:r>
      <w:r w:rsidR="00E82EFC" w:rsidRPr="00935A99">
        <w:rPr>
          <w:rFonts w:ascii="Arial" w:hAnsi="Arial" w:cs="Arial"/>
        </w:rPr>
        <w:t xml:space="preserve"> </w:t>
      </w:r>
      <w:hyperlink r:id="rId3" w:history="1">
        <w:r w:rsidR="00E82EFC" w:rsidRPr="00935A99">
          <w:rPr>
            <w:rStyle w:val="Hyperlink"/>
            <w:rFonts w:ascii="Arial" w:hAnsi="Arial" w:cs="Arial"/>
          </w:rPr>
          <w:t>https://corpgov.law.harvard.edu/2023/09/03/esg-incentives-2023-report/</w:t>
        </w:r>
      </w:hyperlink>
      <w:r w:rsidR="009D02E1" w:rsidRPr="00935A99">
        <w:rPr>
          <w:rFonts w:ascii="Arial" w:hAnsi="Arial" w:cs="Arial"/>
        </w:rPr>
        <w:t xml:space="preserve"> </w:t>
      </w:r>
    </w:p>
  </w:footnote>
  <w:footnote w:id="4">
    <w:p w14:paraId="0E987D45" w14:textId="039EA3EA" w:rsidR="00D0129E" w:rsidRPr="00935A99" w:rsidRDefault="00D0129E">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E Napoletano, Environmental, Social and Governance: What is ESG Investing?, Forbes (2023)</w:t>
      </w:r>
      <w:r w:rsidR="00D67ED5">
        <w:rPr>
          <w:rFonts w:ascii="Arial" w:hAnsi="Arial" w:cs="Arial"/>
        </w:rPr>
        <w:t xml:space="preserve">. </w:t>
      </w:r>
      <w:hyperlink r:id="rId4" w:history="1">
        <w:r w:rsidRPr="00935A99">
          <w:rPr>
            <w:rStyle w:val="Hyperlink"/>
            <w:rFonts w:ascii="Arial" w:hAnsi="Arial" w:cs="Arial"/>
          </w:rPr>
          <w:t>https://www.forbes.com/advisor/investing/esg-investing/</w:t>
        </w:r>
      </w:hyperlink>
    </w:p>
  </w:footnote>
  <w:footnote w:id="5">
    <w:p w14:paraId="7465A40B" w14:textId="6011C840" w:rsidR="0058796C" w:rsidRPr="00935A99" w:rsidRDefault="0058796C">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ED6E33" w:rsidRPr="00935A99">
        <w:rPr>
          <w:rFonts w:ascii="Arial" w:hAnsi="Arial" w:cs="Arial"/>
        </w:rPr>
        <w:t xml:space="preserve">Chris Flood, Investors warned of ‘greenwashing’ risk as ESG-labelled funds double, </w:t>
      </w:r>
      <w:r w:rsidR="00E00C13" w:rsidRPr="00935A99">
        <w:rPr>
          <w:rFonts w:ascii="Arial" w:hAnsi="Arial" w:cs="Arial"/>
        </w:rPr>
        <w:t xml:space="preserve">Financial Times, 24 April 2023. </w:t>
      </w:r>
      <w:hyperlink r:id="rId5" w:history="1">
        <w:r w:rsidR="00E00C13" w:rsidRPr="00935A99">
          <w:rPr>
            <w:rStyle w:val="Hyperlink"/>
            <w:rFonts w:ascii="Arial" w:hAnsi="Arial" w:cs="Arial"/>
          </w:rPr>
          <w:t>https://www.ft.com/content/79772342-d260-4dd5-b943-5e75bc27878c</w:t>
        </w:r>
      </w:hyperlink>
      <w:r w:rsidRPr="00935A99">
        <w:rPr>
          <w:rFonts w:ascii="Arial" w:hAnsi="Arial" w:cs="Arial"/>
        </w:rPr>
        <w:t xml:space="preserve"> </w:t>
      </w:r>
    </w:p>
  </w:footnote>
  <w:footnote w:id="6">
    <w:p w14:paraId="6432E602" w14:textId="70AD111E" w:rsidR="00C94EC6" w:rsidRPr="00935A99" w:rsidRDefault="00C94EC6">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See: </w:t>
      </w:r>
      <w:r w:rsidR="00FB4DB0" w:rsidRPr="00935A99">
        <w:rPr>
          <w:rFonts w:ascii="Arial" w:hAnsi="Arial" w:cs="Arial"/>
        </w:rPr>
        <w:t>Jan Rydzak, ESG Data Needs a Human Rights Upgrade, Ranking Digital Rights</w:t>
      </w:r>
      <w:r w:rsidR="00567761" w:rsidRPr="00935A99">
        <w:rPr>
          <w:rFonts w:ascii="Arial" w:hAnsi="Arial" w:cs="Arial"/>
        </w:rPr>
        <w:t>.</w:t>
      </w:r>
      <w:r w:rsidR="00FB4DB0" w:rsidRPr="00935A99">
        <w:rPr>
          <w:rFonts w:ascii="Arial" w:hAnsi="Arial" w:cs="Arial"/>
        </w:rPr>
        <w:t xml:space="preserve"> </w:t>
      </w:r>
      <w:r w:rsidR="00567761" w:rsidRPr="00935A99">
        <w:rPr>
          <w:rFonts w:ascii="Arial" w:hAnsi="Arial" w:cs="Arial"/>
        </w:rPr>
        <w:t xml:space="preserve"> </w:t>
      </w:r>
      <w:hyperlink r:id="rId6" w:history="1">
        <w:r w:rsidR="00FB4DB0" w:rsidRPr="00935A99">
          <w:rPr>
            <w:rStyle w:val="Hyperlink"/>
            <w:rFonts w:ascii="Arial" w:hAnsi="Arial" w:cs="Arial"/>
          </w:rPr>
          <w:t>https://rankingdigitalrights.org/mini-report/esg-data-needs-a-human-rights-upgrade/</w:t>
        </w:r>
      </w:hyperlink>
    </w:p>
  </w:footnote>
  <w:footnote w:id="7">
    <w:p w14:paraId="33DBA62B" w14:textId="4F9F308D" w:rsidR="00FD5FD4" w:rsidRPr="00935A99" w:rsidRDefault="00FD5FD4">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See: MSCI, What is </w:t>
      </w:r>
      <w:r w:rsidR="00462A95" w:rsidRPr="00935A99">
        <w:rPr>
          <w:rFonts w:ascii="Arial" w:hAnsi="Arial" w:cs="Arial"/>
        </w:rPr>
        <w:t>an MSCI ESG Rating?</w:t>
      </w:r>
      <w:r w:rsidR="00661099" w:rsidRPr="00935A99">
        <w:rPr>
          <w:rFonts w:ascii="Arial" w:hAnsi="Arial" w:cs="Arial"/>
        </w:rPr>
        <w:t>.</w:t>
      </w:r>
      <w:r w:rsidR="00462A95" w:rsidRPr="00935A99">
        <w:rPr>
          <w:rFonts w:ascii="Arial" w:hAnsi="Arial" w:cs="Arial"/>
        </w:rPr>
        <w:t xml:space="preserve"> </w:t>
      </w:r>
      <w:hyperlink r:id="rId7" w:history="1">
        <w:r w:rsidR="00462A95" w:rsidRPr="00935A99">
          <w:rPr>
            <w:rStyle w:val="Hyperlink"/>
            <w:rFonts w:ascii="Arial" w:hAnsi="Arial" w:cs="Arial"/>
          </w:rPr>
          <w:t>https://www.msci.com/our-solutions/esg-investing/esg-ratings</w:t>
        </w:r>
      </w:hyperlink>
    </w:p>
  </w:footnote>
  <w:footnote w:id="8">
    <w:p w14:paraId="77A3E144" w14:textId="189C8C97" w:rsidR="002B568A" w:rsidRPr="00935A99" w:rsidRDefault="002B568A" w:rsidP="002B568A">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EB7324" w:rsidRPr="00935A99">
        <w:rPr>
          <w:rFonts w:ascii="Arial" w:hAnsi="Arial" w:cs="Arial"/>
        </w:rPr>
        <w:t xml:space="preserve">Steve Johnson, Companies with good ESG scores pollute as much as low-rated rivals, Financial Times, 31 July 2023. </w:t>
      </w:r>
      <w:hyperlink r:id="rId8" w:history="1">
        <w:r w:rsidR="00EB7324" w:rsidRPr="00935A99">
          <w:rPr>
            <w:rStyle w:val="Hyperlink"/>
            <w:rFonts w:ascii="Arial" w:eastAsia="Times New Roman" w:hAnsi="Arial" w:cs="Arial"/>
            <w:szCs w:val="24"/>
            <w:lang w:val="en-IN" w:eastAsia="en-IN"/>
          </w:rPr>
          <w:t>https://www.ft.com/content/b9582d62-cc6f-4b76-b0f9-5b37cf15dce4</w:t>
        </w:r>
      </w:hyperlink>
      <w:r w:rsidRPr="00935A99">
        <w:rPr>
          <w:rFonts w:ascii="Arial" w:eastAsia="Times New Roman" w:hAnsi="Arial" w:cs="Arial"/>
          <w:szCs w:val="24"/>
          <w:lang w:val="en-IN" w:eastAsia="en-IN"/>
        </w:rPr>
        <w:t xml:space="preserve"> </w:t>
      </w:r>
    </w:p>
  </w:footnote>
  <w:footnote w:id="9">
    <w:p w14:paraId="6505EC08" w14:textId="56DF9AC1" w:rsidR="002B568A" w:rsidRPr="00935A99" w:rsidRDefault="002B568A" w:rsidP="002B568A">
      <w:pPr>
        <w:pStyle w:val="FootnoteText"/>
        <w:rPr>
          <w:rFonts w:ascii="Arial" w:hAnsi="Arial" w:cs="Arial"/>
          <w:lang w:val="en-IN"/>
        </w:rPr>
      </w:pPr>
      <w:r w:rsidRPr="00935A99">
        <w:rPr>
          <w:rStyle w:val="FootnoteReference"/>
          <w:rFonts w:ascii="Arial" w:hAnsi="Arial" w:cs="Arial"/>
          <w:lang w:val="en-IN"/>
        </w:rPr>
        <w:footnoteRef/>
      </w:r>
      <w:r w:rsidRPr="00935A99">
        <w:rPr>
          <w:rFonts w:ascii="Arial" w:hAnsi="Arial" w:cs="Arial"/>
          <w:lang w:val="en-IN"/>
        </w:rPr>
        <w:t xml:space="preserve"> </w:t>
      </w:r>
      <w:r w:rsidR="00397C30" w:rsidRPr="00935A99">
        <w:rPr>
          <w:rFonts w:ascii="Arial" w:hAnsi="Arial" w:cs="Arial"/>
          <w:lang w:val="en-IN"/>
        </w:rPr>
        <w:t xml:space="preserve">Leslie Hook and Brooke Masters, </w:t>
      </w:r>
      <w:r w:rsidRPr="00935A99">
        <w:rPr>
          <w:rFonts w:ascii="Arial" w:hAnsi="Arial" w:cs="Arial"/>
          <w:lang w:val="en-IN"/>
        </w:rPr>
        <w:t>BlackRock breaks with Glencore over environment policy</w:t>
      </w:r>
      <w:r w:rsidR="00397C30" w:rsidRPr="00935A99">
        <w:rPr>
          <w:rFonts w:ascii="Arial" w:hAnsi="Arial" w:cs="Arial"/>
          <w:lang w:val="en-IN"/>
        </w:rPr>
        <w:t>, Financial Times, 10 September 2023.</w:t>
      </w:r>
      <w:r w:rsidRPr="00935A99">
        <w:rPr>
          <w:rFonts w:ascii="Arial" w:hAnsi="Arial" w:cs="Arial"/>
          <w:lang w:val="en-IN"/>
        </w:rPr>
        <w:t xml:space="preserve"> </w:t>
      </w:r>
      <w:hyperlink r:id="rId9" w:history="1">
        <w:r w:rsidRPr="00935A99">
          <w:rPr>
            <w:rStyle w:val="Hyperlink"/>
            <w:rFonts w:ascii="Arial" w:hAnsi="Arial" w:cs="Arial"/>
            <w:lang w:val="en-IN"/>
          </w:rPr>
          <w:t>https://www.ft.com/content/5b0d426a-87fe-4998-a3d6-3cf9f5669e6a</w:t>
        </w:r>
      </w:hyperlink>
      <w:r w:rsidRPr="00935A99">
        <w:rPr>
          <w:rFonts w:ascii="Arial" w:hAnsi="Arial" w:cs="Arial"/>
          <w:lang w:val="en-IN"/>
        </w:rPr>
        <w:t xml:space="preserve"> </w:t>
      </w:r>
    </w:p>
  </w:footnote>
  <w:footnote w:id="10">
    <w:p w14:paraId="05FB81D6" w14:textId="048D41C7" w:rsidR="00FF310B" w:rsidRPr="00935A99" w:rsidRDefault="00FF310B" w:rsidP="00FF310B">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C8761E" w:rsidRPr="00935A99">
        <w:rPr>
          <w:rFonts w:ascii="Arial" w:hAnsi="Arial" w:cs="Arial"/>
        </w:rPr>
        <w:t xml:space="preserve">Alice Hancock, EU to ban ‘climate neutral’ claims by 2026, Financial Times, 20 September 2023. </w:t>
      </w:r>
      <w:hyperlink r:id="rId10" w:history="1">
        <w:r w:rsidR="00C8761E" w:rsidRPr="00935A99">
          <w:rPr>
            <w:rStyle w:val="Hyperlink"/>
            <w:rFonts w:ascii="Arial" w:hAnsi="Arial" w:cs="Arial"/>
          </w:rPr>
          <w:t>https://www.ft.com/content/53f84f03-1f1c-4240-977f-9de0e4893377</w:t>
        </w:r>
      </w:hyperlink>
      <w:r w:rsidRPr="00935A99">
        <w:rPr>
          <w:rFonts w:ascii="Arial" w:hAnsi="Arial" w:cs="Arial"/>
        </w:rPr>
        <w:t xml:space="preserve"> </w:t>
      </w:r>
    </w:p>
  </w:footnote>
  <w:footnote w:id="11">
    <w:p w14:paraId="4451D8B2" w14:textId="7FDADE03" w:rsidR="00D4634F" w:rsidRPr="00935A99" w:rsidRDefault="00D4634F" w:rsidP="00D4634F">
      <w:pPr>
        <w:pStyle w:val="FootnoteText"/>
        <w:rPr>
          <w:rFonts w:ascii="Arial" w:hAnsi="Arial" w:cs="Arial"/>
          <w:lang w:val="en-IN"/>
        </w:rPr>
      </w:pPr>
      <w:r w:rsidRPr="00935A99">
        <w:rPr>
          <w:rStyle w:val="FootnoteReference"/>
          <w:rFonts w:ascii="Arial" w:hAnsi="Arial" w:cs="Arial"/>
        </w:rPr>
        <w:footnoteRef/>
      </w:r>
      <w:r w:rsidRPr="00935A99">
        <w:rPr>
          <w:rFonts w:ascii="Arial" w:hAnsi="Arial" w:cs="Arial"/>
        </w:rPr>
        <w:t xml:space="preserve"> </w:t>
      </w:r>
      <w:r w:rsidR="00FF05A1" w:rsidRPr="00935A99">
        <w:rPr>
          <w:rFonts w:ascii="Arial" w:hAnsi="Arial" w:cs="Arial"/>
        </w:rPr>
        <w:t>Douglas Gillison and Michelle Price, US SEC cracks down on funds "greenwashing" with new investment requirement, R</w:t>
      </w:r>
      <w:r w:rsidR="00F24222" w:rsidRPr="00935A99">
        <w:rPr>
          <w:rFonts w:ascii="Arial" w:hAnsi="Arial" w:cs="Arial"/>
        </w:rPr>
        <w:t>e</w:t>
      </w:r>
      <w:r w:rsidR="00FF05A1" w:rsidRPr="00935A99">
        <w:rPr>
          <w:rFonts w:ascii="Arial" w:hAnsi="Arial" w:cs="Arial"/>
        </w:rPr>
        <w:t xml:space="preserve">uters, </w:t>
      </w:r>
      <w:r w:rsidR="00F24222" w:rsidRPr="00935A99">
        <w:rPr>
          <w:rFonts w:ascii="Arial" w:hAnsi="Arial" w:cs="Arial"/>
        </w:rPr>
        <w:t xml:space="preserve">20 September 2023. </w:t>
      </w:r>
      <w:hyperlink r:id="rId11" w:history="1">
        <w:r w:rsidR="00F24222" w:rsidRPr="00935A99">
          <w:rPr>
            <w:rStyle w:val="Hyperlink"/>
            <w:rFonts w:ascii="Arial" w:hAnsi="Arial" w:cs="Arial"/>
          </w:rPr>
          <w:t>https://www.reuters.com/sustainability/us-sec-poised-ban-deceptive-esg-growth-fund-labels-2023-09-20/</w:t>
        </w:r>
      </w:hyperlink>
      <w:r w:rsidRPr="00935A99">
        <w:rPr>
          <w:rFonts w:ascii="Arial" w:hAnsi="Arial" w:cs="Arial"/>
        </w:rPr>
        <w:t xml:space="preserve"> </w:t>
      </w:r>
    </w:p>
  </w:footnote>
  <w:footnote w:id="12">
    <w:p w14:paraId="2AA805FA" w14:textId="72B95D85" w:rsidR="005621BE" w:rsidRPr="00935A99" w:rsidRDefault="005621BE">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F24222" w:rsidRPr="00935A99">
        <w:rPr>
          <w:rFonts w:ascii="Arial" w:hAnsi="Arial" w:cs="Arial"/>
        </w:rPr>
        <w:t xml:space="preserve">David Breg, </w:t>
      </w:r>
      <w:r w:rsidR="00676A53" w:rsidRPr="00935A99">
        <w:rPr>
          <w:rFonts w:ascii="Arial" w:hAnsi="Arial" w:cs="Arial"/>
        </w:rPr>
        <w:t xml:space="preserve">More Companies Are Disclosing Their ESG Data, but Confusion on How Persists, WSJ, 21 September 2023. </w:t>
      </w:r>
      <w:hyperlink r:id="rId12" w:history="1">
        <w:r w:rsidR="00676A53" w:rsidRPr="00935A99">
          <w:rPr>
            <w:rStyle w:val="Hyperlink"/>
            <w:rFonts w:ascii="Arial" w:hAnsi="Arial" w:cs="Arial"/>
          </w:rPr>
          <w:t>https://www.wsj.com/articles/more-companies-are-disclosing-their-esg-data-but-confusion-on-how-persists-e667698c</w:t>
        </w:r>
      </w:hyperlink>
      <w:r w:rsidRPr="00935A99">
        <w:rPr>
          <w:rFonts w:ascii="Arial" w:hAnsi="Arial" w:cs="Arial"/>
        </w:rPr>
        <w:t xml:space="preserve"> </w:t>
      </w:r>
    </w:p>
  </w:footnote>
  <w:footnote w:id="13">
    <w:p w14:paraId="5C66504D" w14:textId="64E94AF8" w:rsidR="009D3417" w:rsidRPr="00935A99" w:rsidRDefault="009D3417">
      <w:pPr>
        <w:pStyle w:val="FootnoteText"/>
        <w:rPr>
          <w:rFonts w:ascii="Arial" w:hAnsi="Arial" w:cs="Arial"/>
          <w:lang w:val="fr-CH"/>
        </w:rPr>
      </w:pPr>
      <w:r w:rsidRPr="00935A99">
        <w:rPr>
          <w:rStyle w:val="FootnoteReference"/>
          <w:rFonts w:ascii="Arial" w:hAnsi="Arial" w:cs="Arial"/>
        </w:rPr>
        <w:footnoteRef/>
      </w:r>
      <w:r w:rsidRPr="00935A99">
        <w:rPr>
          <w:rFonts w:ascii="Arial" w:hAnsi="Arial" w:cs="Arial"/>
          <w:lang w:val="fr-CH"/>
        </w:rPr>
        <w:t xml:space="preserve"> See for instance</w:t>
      </w:r>
      <w:r w:rsidR="00676A53" w:rsidRPr="00935A99">
        <w:rPr>
          <w:rFonts w:ascii="Arial" w:hAnsi="Arial" w:cs="Arial"/>
          <w:lang w:val="fr-CH"/>
        </w:rPr>
        <w:t>,</w:t>
      </w:r>
      <w:r w:rsidRPr="00935A99">
        <w:rPr>
          <w:rFonts w:ascii="Arial" w:hAnsi="Arial" w:cs="Arial"/>
          <w:lang w:val="fr-CH"/>
        </w:rPr>
        <w:t xml:space="preserve"> France’s LOI n° 2017-399 </w:t>
      </w:r>
      <w:r w:rsidRPr="00935A99">
        <w:rPr>
          <w:rFonts w:ascii="Arial" w:hAnsi="Arial" w:cs="Arial"/>
          <w:i/>
          <w:iCs/>
          <w:lang w:val="fr-CH"/>
        </w:rPr>
        <w:t>relative au devoir de vigilance des sociétés mères et des entreprises donneuses d'ordre</w:t>
      </w:r>
    </w:p>
  </w:footnote>
  <w:footnote w:id="14">
    <w:p w14:paraId="6FA9CCFA" w14:textId="60963772" w:rsidR="003C4793" w:rsidRPr="00935A99" w:rsidRDefault="003C4793">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ED24CB" w:rsidRPr="00935A99">
        <w:rPr>
          <w:rFonts w:ascii="Arial" w:hAnsi="Arial" w:cs="Arial"/>
        </w:rPr>
        <w:t xml:space="preserve">Securities and Exchanges Commission of Brazil, </w:t>
      </w:r>
      <w:r w:rsidR="00E6343E" w:rsidRPr="00935A99">
        <w:rPr>
          <w:rFonts w:ascii="Arial" w:hAnsi="Arial" w:cs="Arial"/>
        </w:rPr>
        <w:t xml:space="preserve">Resolution No. 59, 22 December 2021. </w:t>
      </w:r>
      <w:hyperlink r:id="rId13" w:history="1">
        <w:r w:rsidR="00AA3C59" w:rsidRPr="00935A99">
          <w:rPr>
            <w:rStyle w:val="Hyperlink"/>
            <w:rFonts w:ascii="Arial" w:hAnsi="Arial" w:cs="Arial"/>
          </w:rPr>
          <w:t>https://conteudo.cvm.gov.br/legislacao/resolucoes/resol059.html</w:t>
        </w:r>
      </w:hyperlink>
      <w:r w:rsidRPr="00935A99">
        <w:rPr>
          <w:rFonts w:ascii="Arial" w:hAnsi="Arial" w:cs="Arial"/>
        </w:rPr>
        <w:t xml:space="preserve"> </w:t>
      </w:r>
    </w:p>
  </w:footnote>
  <w:footnote w:id="15">
    <w:p w14:paraId="5943EC75" w14:textId="0F4F11C9" w:rsidR="00747B1D" w:rsidRPr="00935A99" w:rsidRDefault="00747B1D">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AA3C59" w:rsidRPr="00935A99">
        <w:rPr>
          <w:rFonts w:ascii="Arial" w:hAnsi="Arial" w:cs="Arial"/>
        </w:rPr>
        <w:t>Brazilian Securities Commission's Resolution No. 59</w:t>
      </w:r>
      <w:r w:rsidR="002F36E0" w:rsidRPr="00935A99">
        <w:rPr>
          <w:rFonts w:ascii="Arial" w:hAnsi="Arial" w:cs="Arial"/>
        </w:rPr>
        <w:t>, Green Finance Platform.</w:t>
      </w:r>
      <w:r w:rsidR="008D7249" w:rsidRPr="00935A99">
        <w:rPr>
          <w:rFonts w:ascii="Arial" w:hAnsi="Arial" w:cs="Arial"/>
        </w:rPr>
        <w:t xml:space="preserve"> </w:t>
      </w:r>
      <w:hyperlink r:id="rId14" w:history="1">
        <w:r w:rsidR="00AA3C59" w:rsidRPr="00935A99">
          <w:rPr>
            <w:rStyle w:val="Hyperlink"/>
            <w:rFonts w:ascii="Arial" w:hAnsi="Arial" w:cs="Arial"/>
          </w:rPr>
          <w:t>https://www.greenfinanceplatform.org/policies-and-regulations/brazilian-securities-commissioncvms-resolution-no-59</w:t>
        </w:r>
      </w:hyperlink>
      <w:r w:rsidRPr="00935A99">
        <w:rPr>
          <w:rFonts w:ascii="Arial" w:hAnsi="Arial" w:cs="Arial"/>
        </w:rPr>
        <w:t xml:space="preserve"> </w:t>
      </w:r>
    </w:p>
  </w:footnote>
  <w:footnote w:id="16">
    <w:p w14:paraId="502EF046" w14:textId="6131A3F1" w:rsidR="002A0019" w:rsidRPr="00935A99" w:rsidRDefault="002A0019" w:rsidP="002A0019">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SEBI Circular dated 12 July 2023 on BRSR Core Framework for assurance and ESG disclosures for</w:t>
      </w:r>
      <w:r w:rsidR="00E657A3" w:rsidRPr="00935A99">
        <w:rPr>
          <w:rFonts w:ascii="Arial" w:hAnsi="Arial" w:cs="Arial"/>
        </w:rPr>
        <w:t xml:space="preserve"> </w:t>
      </w:r>
      <w:r w:rsidRPr="00935A99">
        <w:rPr>
          <w:rFonts w:ascii="Arial" w:hAnsi="Arial" w:cs="Arial"/>
        </w:rPr>
        <w:t>value</w:t>
      </w:r>
      <w:r w:rsidR="00E657A3" w:rsidRPr="00935A99">
        <w:rPr>
          <w:rFonts w:ascii="Arial" w:hAnsi="Arial" w:cs="Arial"/>
        </w:rPr>
        <w:t xml:space="preserve"> </w:t>
      </w:r>
      <w:r w:rsidRPr="00935A99">
        <w:rPr>
          <w:rFonts w:ascii="Arial" w:hAnsi="Arial" w:cs="Arial"/>
        </w:rPr>
        <w:t>chain</w:t>
      </w:r>
      <w:r w:rsidR="00E657A3" w:rsidRPr="00935A99">
        <w:rPr>
          <w:rFonts w:ascii="Arial" w:hAnsi="Arial" w:cs="Arial"/>
        </w:rPr>
        <w:t xml:space="preserve">. </w:t>
      </w:r>
      <w:hyperlink r:id="rId15" w:history="1">
        <w:r w:rsidR="00E657A3" w:rsidRPr="00935A99">
          <w:rPr>
            <w:rStyle w:val="Hyperlink"/>
            <w:rFonts w:ascii="Arial" w:hAnsi="Arial" w:cs="Arial"/>
          </w:rPr>
          <w:t>https://www.sebi.gov.in/legal/circulars/jul-2023/brsr-core-framework-for-assurance-and-esg-disclosures-for-value-chain_73854.html</w:t>
        </w:r>
      </w:hyperlink>
      <w:r w:rsidR="00E657A3" w:rsidRPr="00935A99">
        <w:rPr>
          <w:rFonts w:ascii="Arial" w:hAnsi="Arial" w:cs="Arial"/>
        </w:rPr>
        <w:t xml:space="preserve"> </w:t>
      </w:r>
    </w:p>
  </w:footnote>
  <w:footnote w:id="17">
    <w:p w14:paraId="5F53DC8A" w14:textId="42C13BD2" w:rsidR="002211C4" w:rsidRPr="00935A99" w:rsidRDefault="002211C4" w:rsidP="00F716FC">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F716FC" w:rsidRPr="00935A99">
        <w:rPr>
          <w:rFonts w:ascii="Arial" w:hAnsi="Arial" w:cs="Arial"/>
        </w:rPr>
        <w:t xml:space="preserve">Securities Commission Malaysia, </w:t>
      </w:r>
      <w:r w:rsidR="009577AB" w:rsidRPr="00935A99">
        <w:rPr>
          <w:rFonts w:ascii="Arial" w:hAnsi="Arial" w:cs="Arial"/>
        </w:rPr>
        <w:t>Guidelines on Sustainable and Responsible Investment Funds</w:t>
      </w:r>
      <w:r w:rsidR="00F716FC" w:rsidRPr="00935A99">
        <w:rPr>
          <w:rFonts w:ascii="Arial" w:hAnsi="Arial" w:cs="Arial"/>
        </w:rPr>
        <w:t xml:space="preserve">, </w:t>
      </w:r>
      <w:r w:rsidR="009577AB" w:rsidRPr="00935A99">
        <w:rPr>
          <w:rFonts w:ascii="Arial" w:hAnsi="Arial" w:cs="Arial"/>
        </w:rPr>
        <w:t xml:space="preserve">Revised 17 February 2023. </w:t>
      </w:r>
      <w:hyperlink r:id="rId16" w:history="1">
        <w:r w:rsidR="009577AB" w:rsidRPr="00935A99">
          <w:rPr>
            <w:rStyle w:val="Hyperlink"/>
            <w:rFonts w:ascii="Arial" w:hAnsi="Arial" w:cs="Arial"/>
          </w:rPr>
          <w:t>https://www.sc.com.my/api/documentms/download.ashx?id=1863d35d-9a34-4ccc-bf61-9f942b520b44</w:t>
        </w:r>
      </w:hyperlink>
      <w:r w:rsidRPr="00935A99">
        <w:rPr>
          <w:rFonts w:ascii="Arial" w:hAnsi="Arial" w:cs="Arial"/>
        </w:rPr>
        <w:t xml:space="preserve"> </w:t>
      </w:r>
    </w:p>
  </w:footnote>
  <w:footnote w:id="18">
    <w:p w14:paraId="41050999" w14:textId="7B4D28DE" w:rsidR="00AE085F" w:rsidRPr="00935A99" w:rsidRDefault="00AE085F">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1316F4" w:rsidRPr="00935A99">
        <w:rPr>
          <w:rFonts w:ascii="Arial" w:hAnsi="Arial" w:cs="Arial"/>
        </w:rPr>
        <w:t xml:space="preserve">Mark Uhrynuk, Wei Na Sim &amp; Joey C.Y. Lee, </w:t>
      </w:r>
      <w:r w:rsidR="00FC65C2" w:rsidRPr="00935A99">
        <w:rPr>
          <w:rFonts w:ascii="Arial" w:hAnsi="Arial" w:cs="Arial"/>
        </w:rPr>
        <w:t>Securities Commission Malaysia Publishes Revised Guidelines on Sustainable and Responsible Investment Funds, Eye on ESG, 21 March 2023.</w:t>
      </w:r>
      <w:r w:rsidR="001316F4" w:rsidRPr="00935A99">
        <w:rPr>
          <w:rFonts w:ascii="Arial" w:hAnsi="Arial" w:cs="Arial"/>
        </w:rPr>
        <w:t xml:space="preserve"> </w:t>
      </w:r>
      <w:hyperlink r:id="rId17" w:history="1">
        <w:r w:rsidR="001316F4" w:rsidRPr="00935A99">
          <w:rPr>
            <w:rStyle w:val="Hyperlink"/>
            <w:rFonts w:ascii="Arial" w:hAnsi="Arial" w:cs="Arial"/>
          </w:rPr>
          <w:t>https://www.eyeonesg.com/2023/03/securities-commission-malaysia-publishes-revised-guidelines-on-sustainable-and-responsible-investment-funds/</w:t>
        </w:r>
      </w:hyperlink>
      <w:r w:rsidRPr="00935A99">
        <w:rPr>
          <w:rFonts w:ascii="Arial" w:hAnsi="Arial" w:cs="Arial"/>
        </w:rPr>
        <w:t xml:space="preserve"> </w:t>
      </w:r>
    </w:p>
  </w:footnote>
  <w:footnote w:id="19">
    <w:p w14:paraId="6BF6140F" w14:textId="40645C29" w:rsidR="000A6116" w:rsidRPr="00935A99" w:rsidRDefault="000A6116">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E43284" w:rsidRPr="00935A99">
        <w:rPr>
          <w:rFonts w:ascii="Arial" w:hAnsi="Arial" w:cs="Arial"/>
        </w:rPr>
        <w:t xml:space="preserve">Securities Commission Malaysia, SC Unveils Principles-Based Sustainable and Responsible Investment Taxonomy for the Malaysian Capital Market 12 December 2022. </w:t>
      </w:r>
      <w:hyperlink r:id="rId18" w:history="1">
        <w:r w:rsidR="00F87791" w:rsidRPr="00935A99">
          <w:rPr>
            <w:rStyle w:val="Hyperlink"/>
            <w:rFonts w:ascii="Arial" w:hAnsi="Arial" w:cs="Arial"/>
          </w:rPr>
          <w:t>https://www.sc.com.my/resources/media/media-release/sc-unveils-principles-based-sustainable-and-responsible-investment-taxonomy-for-the-malaysian-capital-market</w:t>
        </w:r>
      </w:hyperlink>
      <w:r w:rsidRPr="00935A99">
        <w:rPr>
          <w:rFonts w:ascii="Arial" w:hAnsi="Arial" w:cs="Arial"/>
        </w:rPr>
        <w:t xml:space="preserve"> </w:t>
      </w:r>
    </w:p>
  </w:footnote>
  <w:footnote w:id="20">
    <w:p w14:paraId="7EF12B6C" w14:textId="61F58591" w:rsidR="00EB028D" w:rsidRPr="00935A99" w:rsidRDefault="00EB028D">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F87791" w:rsidRPr="00935A99">
        <w:rPr>
          <w:rFonts w:ascii="Arial" w:hAnsi="Arial" w:cs="Arial"/>
        </w:rPr>
        <w:t xml:space="preserve">World Bank, Colombia: Leading the Path to Sustainability in Latin America, 7 September 2022.  </w:t>
      </w:r>
      <w:hyperlink r:id="rId19" w:history="1">
        <w:r w:rsidR="00F87791" w:rsidRPr="00935A99">
          <w:rPr>
            <w:rStyle w:val="Hyperlink"/>
            <w:rFonts w:ascii="Arial" w:hAnsi="Arial" w:cs="Arial"/>
          </w:rPr>
          <w:t>https://www.worldbank.org/en/news/feature/2022/08/31/colombia-leading-the-path-to-sustainability-in-latin-america</w:t>
        </w:r>
      </w:hyperlink>
      <w:r w:rsidRPr="00935A99">
        <w:rPr>
          <w:rFonts w:ascii="Arial" w:hAnsi="Arial" w:cs="Arial"/>
        </w:rPr>
        <w:t xml:space="preserve"> </w:t>
      </w:r>
    </w:p>
  </w:footnote>
  <w:footnote w:id="21">
    <w:p w14:paraId="054FEC57" w14:textId="663ADD7E" w:rsidR="001675F1" w:rsidRPr="00935A99" w:rsidRDefault="001675F1" w:rsidP="004A28C4">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1D52E6" w:rsidRPr="00935A99">
        <w:rPr>
          <w:rFonts w:ascii="Arial" w:hAnsi="Arial" w:cs="Arial"/>
        </w:rPr>
        <w:t xml:space="preserve">Mariana Escobar Uribe, </w:t>
      </w:r>
      <w:r w:rsidR="004A28C4" w:rsidRPr="00935A99">
        <w:rPr>
          <w:rFonts w:ascii="Arial" w:hAnsi="Arial" w:cs="Arial"/>
        </w:rPr>
        <w:t xml:space="preserve">Presentation on ESG: Market development and disclosure standards in Colombia, 26 April 2022. </w:t>
      </w:r>
      <w:hyperlink r:id="rId20" w:history="1">
        <w:r w:rsidR="00300A90" w:rsidRPr="00935A99">
          <w:rPr>
            <w:rStyle w:val="Hyperlink"/>
            <w:rFonts w:ascii="Arial" w:hAnsi="Arial" w:cs="Arial"/>
          </w:rPr>
          <w:t>https://www.cmfchile.cl/portal/prensa/615/articles-50356_presentacion_mariana.pdf</w:t>
        </w:r>
      </w:hyperlink>
      <w:r w:rsidR="00E5073F" w:rsidRPr="00935A99">
        <w:rPr>
          <w:rFonts w:ascii="Arial" w:hAnsi="Arial" w:cs="Arial"/>
        </w:rPr>
        <w:t xml:space="preserve"> </w:t>
      </w:r>
    </w:p>
  </w:footnote>
  <w:footnote w:id="22">
    <w:p w14:paraId="3C8464F7" w14:textId="77777777" w:rsidR="002C6047" w:rsidRPr="00935A99" w:rsidRDefault="009D2EE6" w:rsidP="002C6047">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300A90" w:rsidRPr="00935A99">
        <w:rPr>
          <w:rFonts w:ascii="Arial" w:hAnsi="Arial" w:cs="Arial"/>
        </w:rPr>
        <w:t>Juan Antonio Parodi, Raúl Álvarez and Verónica Cuadra,</w:t>
      </w:r>
      <w:r w:rsidR="002C6047" w:rsidRPr="00935A99">
        <w:rPr>
          <w:rFonts w:ascii="Arial" w:hAnsi="Arial" w:cs="Arial"/>
        </w:rPr>
        <w:t xml:space="preserve"> Law Over Borders Comparative Guide:</w:t>
      </w:r>
    </w:p>
    <w:p w14:paraId="5CCF6289" w14:textId="28364A42" w:rsidR="009D2EE6" w:rsidRPr="00935A99" w:rsidRDefault="002C6047" w:rsidP="002C6047">
      <w:pPr>
        <w:pStyle w:val="FootnoteText"/>
        <w:rPr>
          <w:rFonts w:ascii="Arial" w:hAnsi="Arial" w:cs="Arial"/>
        </w:rPr>
      </w:pPr>
      <w:r w:rsidRPr="00935A99">
        <w:rPr>
          <w:rFonts w:ascii="Arial" w:hAnsi="Arial" w:cs="Arial"/>
        </w:rPr>
        <w:t>Environmental, Social &amp; Governance</w:t>
      </w:r>
      <w:r w:rsidR="00E71545" w:rsidRPr="00935A99">
        <w:rPr>
          <w:rFonts w:ascii="Arial" w:hAnsi="Arial" w:cs="Arial"/>
        </w:rPr>
        <w:t xml:space="preserve"> in Chile, The Global Legal Post, September 2023. </w:t>
      </w:r>
      <w:r w:rsidR="00300A90" w:rsidRPr="00935A99">
        <w:rPr>
          <w:rFonts w:ascii="Arial" w:hAnsi="Arial" w:cs="Arial"/>
        </w:rPr>
        <w:t xml:space="preserve"> </w:t>
      </w:r>
      <w:hyperlink r:id="rId21" w:history="1">
        <w:r w:rsidRPr="00935A99">
          <w:rPr>
            <w:rStyle w:val="Hyperlink"/>
            <w:rFonts w:ascii="Arial" w:hAnsi="Arial" w:cs="Arial"/>
          </w:rPr>
          <w:t>https://www.globallegalpost.com/lawoverborders/environmental-social-governance-559211028/chile-90451183</w:t>
        </w:r>
      </w:hyperlink>
      <w:r w:rsidR="009D2EE6" w:rsidRPr="00935A99">
        <w:rPr>
          <w:rFonts w:ascii="Arial" w:hAnsi="Arial" w:cs="Arial"/>
        </w:rPr>
        <w:t xml:space="preserve"> </w:t>
      </w:r>
    </w:p>
  </w:footnote>
  <w:footnote w:id="23">
    <w:p w14:paraId="637808C0" w14:textId="0AFDCD0D" w:rsidR="007C58D3" w:rsidRPr="00935A99" w:rsidRDefault="007C58D3">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9D17FE" w:rsidRPr="00935A99">
        <w:rPr>
          <w:rFonts w:ascii="Arial" w:hAnsi="Arial" w:cs="Arial"/>
        </w:rPr>
        <w:t xml:space="preserve">Rachel Savage, More African countries implementing ESG finance policies – study, Reuters, 13 October 2022. </w:t>
      </w:r>
      <w:hyperlink r:id="rId22" w:history="1">
        <w:r w:rsidR="009D17FE" w:rsidRPr="00935A99">
          <w:rPr>
            <w:rStyle w:val="Hyperlink"/>
            <w:rFonts w:ascii="Arial" w:hAnsi="Arial" w:cs="Arial"/>
          </w:rPr>
          <w:t>https://www.reuters.com/business/finance/more-african-countries-implementing-esg-finance-policies-study-2022-10-13/</w:t>
        </w:r>
      </w:hyperlink>
      <w:r w:rsidRPr="00935A99">
        <w:rPr>
          <w:rFonts w:ascii="Arial" w:hAnsi="Arial" w:cs="Arial"/>
        </w:rPr>
        <w:t xml:space="preserve"> </w:t>
      </w:r>
    </w:p>
  </w:footnote>
  <w:footnote w:id="24">
    <w:p w14:paraId="014960F0" w14:textId="5E8E4520" w:rsidR="004A7F3A" w:rsidRPr="00935A99" w:rsidRDefault="004A7F3A">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A74CB3" w:rsidRPr="00935A99">
        <w:rPr>
          <w:rFonts w:ascii="Arial" w:hAnsi="Arial" w:cs="Arial"/>
        </w:rPr>
        <w:t xml:space="preserve">Johannesburg Stock Exchange, </w:t>
      </w:r>
      <w:r w:rsidR="00EC2938" w:rsidRPr="00935A99">
        <w:rPr>
          <w:rFonts w:ascii="Arial" w:hAnsi="Arial" w:cs="Arial"/>
        </w:rPr>
        <w:t xml:space="preserve">JSE’s Sustainability and Climate Disclosure Guidance. </w:t>
      </w:r>
      <w:hyperlink r:id="rId23" w:history="1">
        <w:r w:rsidR="00EC2938" w:rsidRPr="00935A99">
          <w:rPr>
            <w:rStyle w:val="Hyperlink"/>
            <w:rFonts w:ascii="Arial" w:hAnsi="Arial" w:cs="Arial"/>
          </w:rPr>
          <w:t>https://www.jse.co.za/our-business/sustainability/jses-sustainability-and-climate-disclosure-guidance</w:t>
        </w:r>
      </w:hyperlink>
      <w:r w:rsidRPr="00935A99">
        <w:rPr>
          <w:rFonts w:ascii="Arial" w:hAnsi="Arial" w:cs="Arial"/>
        </w:rPr>
        <w:t xml:space="preserve"> </w:t>
      </w:r>
    </w:p>
  </w:footnote>
  <w:footnote w:id="25">
    <w:p w14:paraId="304CE138" w14:textId="0D6B6505" w:rsidR="006E7B16" w:rsidRPr="00935A99" w:rsidRDefault="006E7B16">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87308D" w:rsidRPr="00935A99">
        <w:rPr>
          <w:rFonts w:ascii="Arial" w:hAnsi="Arial" w:cs="Arial"/>
        </w:rPr>
        <w:t xml:space="preserve">Michela Scatigna, Dora Xia and Others, Achievements and </w:t>
      </w:r>
      <w:r w:rsidR="009B216B" w:rsidRPr="00935A99">
        <w:rPr>
          <w:rFonts w:ascii="Arial" w:hAnsi="Arial" w:cs="Arial"/>
        </w:rPr>
        <w:t xml:space="preserve">challenges in ESG Markets, BIS </w:t>
      </w:r>
      <w:r w:rsidR="00E91C38" w:rsidRPr="00935A99">
        <w:rPr>
          <w:rFonts w:ascii="Arial" w:hAnsi="Arial" w:cs="Arial"/>
        </w:rPr>
        <w:t>Quarterly</w:t>
      </w:r>
      <w:r w:rsidR="009B216B" w:rsidRPr="00935A99">
        <w:rPr>
          <w:rFonts w:ascii="Arial" w:hAnsi="Arial" w:cs="Arial"/>
        </w:rPr>
        <w:t xml:space="preserve"> Review, December 2021, p. </w:t>
      </w:r>
      <w:r w:rsidR="007F41A7" w:rsidRPr="00935A99">
        <w:rPr>
          <w:rFonts w:ascii="Arial" w:hAnsi="Arial" w:cs="Arial"/>
        </w:rPr>
        <w:t>94</w:t>
      </w:r>
      <w:r w:rsidR="00E91C38" w:rsidRPr="00935A99">
        <w:rPr>
          <w:rFonts w:ascii="Arial" w:hAnsi="Arial" w:cs="Arial"/>
        </w:rPr>
        <w:t xml:space="preserve">. </w:t>
      </w:r>
      <w:hyperlink r:id="rId24" w:history="1">
        <w:r w:rsidR="009B216B" w:rsidRPr="00935A99">
          <w:rPr>
            <w:rStyle w:val="Hyperlink"/>
            <w:rFonts w:ascii="Arial" w:hAnsi="Arial" w:cs="Arial"/>
          </w:rPr>
          <w:t>https://www.bis.org/publ/qtrpdf/r_qt2112f.pdf</w:t>
        </w:r>
      </w:hyperlink>
    </w:p>
  </w:footnote>
  <w:footnote w:id="26">
    <w:p w14:paraId="27632F7D" w14:textId="2B078B61" w:rsidR="00C55CB6" w:rsidRPr="00935A99" w:rsidRDefault="00C55CB6">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E91C38" w:rsidRPr="00935A99">
        <w:rPr>
          <w:rFonts w:ascii="Arial" w:hAnsi="Arial" w:cs="Arial"/>
        </w:rPr>
        <w:t xml:space="preserve">Qayyum Rajan, </w:t>
      </w:r>
      <w:r w:rsidR="0096203E" w:rsidRPr="00935A99">
        <w:rPr>
          <w:rFonts w:ascii="Arial" w:hAnsi="Arial" w:cs="Arial"/>
        </w:rPr>
        <w:t xml:space="preserve">Green, Blue, Pink and Social Corporate Washing, ESGAnalytics, 29 March 2022. </w:t>
      </w:r>
      <w:hyperlink r:id="rId25" w:history="1">
        <w:r w:rsidR="00C446F2" w:rsidRPr="003215D1">
          <w:rPr>
            <w:rStyle w:val="Hyperlink"/>
            <w:rFonts w:ascii="Arial" w:hAnsi="Arial" w:cs="Arial"/>
          </w:rPr>
          <w:t>https://www.esganalytics.io/insights/social-green-blue-pink-washing</w:t>
        </w:r>
      </w:hyperlink>
      <w:r w:rsidR="00C446F2">
        <w:rPr>
          <w:rFonts w:ascii="Arial" w:hAnsi="Arial" w:cs="Arial"/>
        </w:rPr>
        <w:t xml:space="preserve"> </w:t>
      </w:r>
      <w:r w:rsidR="00E649D1" w:rsidRPr="00935A99">
        <w:rPr>
          <w:rFonts w:ascii="Arial" w:hAnsi="Arial" w:cs="Arial"/>
        </w:rPr>
        <w:t xml:space="preserve"> </w:t>
      </w:r>
    </w:p>
  </w:footnote>
  <w:footnote w:id="27">
    <w:p w14:paraId="2E7781ED" w14:textId="119344DF" w:rsidR="002B568A" w:rsidRPr="00935A99" w:rsidRDefault="002B568A" w:rsidP="002B568A">
      <w:pPr>
        <w:pStyle w:val="FootnoteText"/>
        <w:rPr>
          <w:rFonts w:ascii="Arial" w:hAnsi="Arial" w:cs="Arial"/>
          <w:lang w:val="en-IN"/>
        </w:rPr>
      </w:pPr>
      <w:r w:rsidRPr="00935A99">
        <w:rPr>
          <w:rStyle w:val="FootnoteReference"/>
          <w:rFonts w:ascii="Arial" w:hAnsi="Arial" w:cs="Arial"/>
        </w:rPr>
        <w:footnoteRef/>
      </w:r>
      <w:r w:rsidRPr="00935A99">
        <w:rPr>
          <w:rFonts w:ascii="Arial" w:hAnsi="Arial" w:cs="Arial"/>
        </w:rPr>
        <w:t xml:space="preserve"> </w:t>
      </w:r>
      <w:r w:rsidR="00481D35" w:rsidRPr="00935A99">
        <w:rPr>
          <w:rFonts w:ascii="Arial" w:hAnsi="Arial" w:cs="Arial"/>
        </w:rPr>
        <w:t xml:space="preserve">United Nations, Greenwashing – the deceptive tactics behind environmental claims. </w:t>
      </w:r>
      <w:hyperlink r:id="rId26" w:history="1">
        <w:r w:rsidR="00481D35" w:rsidRPr="00935A99">
          <w:rPr>
            <w:rStyle w:val="Hyperlink"/>
            <w:rFonts w:ascii="Arial" w:hAnsi="Arial" w:cs="Arial"/>
          </w:rPr>
          <w:t>https://www.un.org/en/climatechange/science/climate-issues/greenwashing</w:t>
        </w:r>
      </w:hyperlink>
      <w:r w:rsidRPr="00935A99">
        <w:rPr>
          <w:rFonts w:ascii="Arial" w:hAnsi="Arial" w:cs="Arial"/>
        </w:rPr>
        <w:t xml:space="preserve"> </w:t>
      </w:r>
    </w:p>
  </w:footnote>
  <w:footnote w:id="28">
    <w:p w14:paraId="50C82317" w14:textId="6FA0F074" w:rsidR="007F6D8A" w:rsidRPr="00935A99" w:rsidRDefault="007F6D8A" w:rsidP="004161DA">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4161DA" w:rsidRPr="00935A99">
        <w:rPr>
          <w:rFonts w:ascii="Arial" w:hAnsi="Arial" w:cs="Arial"/>
        </w:rPr>
        <w:t xml:space="preserve">Gemma Bowcock, Hollow corporate promises: How to stop false climate claims, Carbon Market Watch, </w:t>
      </w:r>
      <w:r w:rsidR="00167CBC" w:rsidRPr="00935A99">
        <w:rPr>
          <w:rFonts w:ascii="Arial" w:hAnsi="Arial" w:cs="Arial"/>
        </w:rPr>
        <w:t>28 February 2022.</w:t>
      </w:r>
      <w:r w:rsidR="004161DA" w:rsidRPr="00935A99">
        <w:rPr>
          <w:rFonts w:ascii="Arial" w:hAnsi="Arial" w:cs="Arial"/>
        </w:rPr>
        <w:t xml:space="preserve"> </w:t>
      </w:r>
      <w:hyperlink r:id="rId27" w:history="1">
        <w:r w:rsidR="004161DA" w:rsidRPr="00935A99">
          <w:rPr>
            <w:rStyle w:val="Hyperlink"/>
            <w:rFonts w:ascii="Arial" w:hAnsi="Arial" w:cs="Arial"/>
          </w:rPr>
          <w:t>https://carbonmarketwatch.org/2022/02/28/hollow-corporate-promises-how-to-stop-false-climate-claims/</w:t>
        </w:r>
      </w:hyperlink>
      <w:r w:rsidRPr="00935A99">
        <w:rPr>
          <w:rFonts w:ascii="Arial" w:hAnsi="Arial" w:cs="Arial"/>
        </w:rPr>
        <w:t xml:space="preserve"> </w:t>
      </w:r>
    </w:p>
  </w:footnote>
  <w:footnote w:id="29">
    <w:p w14:paraId="28F70AEA" w14:textId="5B43055F" w:rsidR="007F6D8A" w:rsidRPr="00935A99" w:rsidRDefault="007F6D8A" w:rsidP="007F6D8A">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167CBC" w:rsidRPr="00935A99">
        <w:rPr>
          <w:rFonts w:ascii="Arial" w:hAnsi="Arial" w:cs="Arial"/>
        </w:rPr>
        <w:t xml:space="preserve">Patrick Greenfield, </w:t>
      </w:r>
      <w:r w:rsidR="004B0C21" w:rsidRPr="00935A99">
        <w:rPr>
          <w:rFonts w:ascii="Arial" w:hAnsi="Arial" w:cs="Arial"/>
        </w:rPr>
        <w:t xml:space="preserve">Delta Air Lines faces lawsuit over $1bn carbon neutrality claim, The Guardian, 30 May 2023. </w:t>
      </w:r>
      <w:hyperlink r:id="rId28" w:history="1">
        <w:r w:rsidR="004B0C21" w:rsidRPr="00935A99">
          <w:rPr>
            <w:rStyle w:val="Hyperlink"/>
            <w:rFonts w:ascii="Arial" w:hAnsi="Arial" w:cs="Arial"/>
          </w:rPr>
          <w:t>https://www.theguardian.com/environment/2023/may/30/delta-air-lines-lawsuit-carbon-neutrality-aoe</w:t>
        </w:r>
      </w:hyperlink>
      <w:r w:rsidRPr="00935A99">
        <w:rPr>
          <w:rFonts w:ascii="Arial" w:hAnsi="Arial" w:cs="Arial"/>
        </w:rPr>
        <w:t xml:space="preserve"> </w:t>
      </w:r>
    </w:p>
  </w:footnote>
  <w:footnote w:id="30">
    <w:p w14:paraId="69484E95" w14:textId="1F36A8F1" w:rsidR="00B11057" w:rsidRPr="00935A99" w:rsidRDefault="00B11057">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F2394D" w:rsidRPr="00935A99">
        <w:rPr>
          <w:rFonts w:ascii="Arial" w:hAnsi="Arial" w:cs="Arial"/>
        </w:rPr>
        <w:t>Cam Simpson, Akshar Rathi and Saijel Kishan, The ESG Mirage, Bl</w:t>
      </w:r>
      <w:r w:rsidR="0039126B" w:rsidRPr="00935A99">
        <w:rPr>
          <w:rFonts w:ascii="Arial" w:hAnsi="Arial" w:cs="Arial"/>
        </w:rPr>
        <w:t>o</w:t>
      </w:r>
      <w:r w:rsidR="00F2394D" w:rsidRPr="00935A99">
        <w:rPr>
          <w:rFonts w:ascii="Arial" w:hAnsi="Arial" w:cs="Arial"/>
        </w:rPr>
        <w:t>omberg</w:t>
      </w:r>
      <w:r w:rsidR="0039126B" w:rsidRPr="00935A99">
        <w:rPr>
          <w:rFonts w:ascii="Arial" w:hAnsi="Arial" w:cs="Arial"/>
        </w:rPr>
        <w:t xml:space="preserve">, </w:t>
      </w:r>
      <w:r w:rsidR="00413884" w:rsidRPr="00935A99">
        <w:rPr>
          <w:rFonts w:ascii="Arial" w:hAnsi="Arial" w:cs="Arial"/>
        </w:rPr>
        <w:t xml:space="preserve">10 December </w:t>
      </w:r>
      <w:r w:rsidR="00F2394D" w:rsidRPr="00935A99">
        <w:rPr>
          <w:rFonts w:ascii="Arial" w:hAnsi="Arial" w:cs="Arial"/>
        </w:rPr>
        <w:t>2021</w:t>
      </w:r>
      <w:r w:rsidR="00413884" w:rsidRPr="00935A99">
        <w:rPr>
          <w:rFonts w:ascii="Arial" w:hAnsi="Arial" w:cs="Arial"/>
        </w:rPr>
        <w:t>.</w:t>
      </w:r>
      <w:r w:rsidR="00F2394D" w:rsidRPr="00935A99">
        <w:rPr>
          <w:rFonts w:ascii="Arial" w:hAnsi="Arial" w:cs="Arial"/>
        </w:rPr>
        <w:t xml:space="preserve">  </w:t>
      </w:r>
      <w:hyperlink r:id="rId29" w:history="1">
        <w:r w:rsidR="004B0C21" w:rsidRPr="00935A99">
          <w:rPr>
            <w:rStyle w:val="Hyperlink"/>
            <w:rFonts w:ascii="Arial" w:hAnsi="Arial" w:cs="Arial"/>
          </w:rPr>
          <w:t>https://www.bloomberg.com/graphics/2021-what-is-esg-investing-msci-ratings-focus-on-corporate-bottom-line/</w:t>
        </w:r>
      </w:hyperlink>
      <w:r w:rsidR="003A48C5" w:rsidRPr="00935A99">
        <w:rPr>
          <w:rFonts w:ascii="Arial" w:hAnsi="Arial" w:cs="Arial"/>
        </w:rPr>
        <w:t>.</w:t>
      </w:r>
    </w:p>
  </w:footnote>
  <w:footnote w:id="31">
    <w:p w14:paraId="25B9A786" w14:textId="31FA7079" w:rsidR="00122FEE" w:rsidRPr="00935A99" w:rsidRDefault="00122FEE" w:rsidP="00CC32D1">
      <w:pPr>
        <w:pStyle w:val="FootnoteText"/>
        <w:ind w:left="720" w:hanging="720"/>
        <w:rPr>
          <w:rFonts w:ascii="Arial" w:hAnsi="Arial" w:cs="Arial"/>
          <w:i/>
          <w:iCs/>
        </w:rPr>
      </w:pPr>
      <w:r w:rsidRPr="00935A99">
        <w:rPr>
          <w:rStyle w:val="FootnoteReference"/>
          <w:rFonts w:ascii="Arial" w:hAnsi="Arial" w:cs="Arial"/>
        </w:rPr>
        <w:footnoteRef/>
      </w:r>
      <w:r w:rsidRPr="00935A99">
        <w:rPr>
          <w:rFonts w:ascii="Arial" w:hAnsi="Arial" w:cs="Arial"/>
        </w:rPr>
        <w:t xml:space="preserve"> See: </w:t>
      </w:r>
      <w:r w:rsidR="00CC32D1" w:rsidRPr="00935A99">
        <w:rPr>
          <w:rFonts w:ascii="Arial" w:hAnsi="Arial" w:cs="Arial"/>
        </w:rPr>
        <w:t>Rydzak</w:t>
      </w:r>
      <w:r w:rsidR="00413884" w:rsidRPr="00935A99">
        <w:rPr>
          <w:rFonts w:ascii="Arial" w:hAnsi="Arial" w:cs="Arial"/>
        </w:rPr>
        <w:t xml:space="preserve">, </w:t>
      </w:r>
      <w:r w:rsidR="00760B51" w:rsidRPr="00935A99">
        <w:rPr>
          <w:rFonts w:ascii="Arial" w:hAnsi="Arial" w:cs="Arial"/>
          <w:i/>
          <w:iCs/>
        </w:rPr>
        <w:t>supra</w:t>
      </w:r>
      <w:r w:rsidR="00413884" w:rsidRPr="00935A99">
        <w:rPr>
          <w:rFonts w:ascii="Arial" w:hAnsi="Arial" w:cs="Arial"/>
          <w:i/>
          <w:iCs/>
        </w:rPr>
        <w:t>.</w:t>
      </w:r>
    </w:p>
  </w:footnote>
  <w:footnote w:id="32">
    <w:p w14:paraId="5F3A7A2E" w14:textId="7B81BB0E" w:rsidR="00EA42D8" w:rsidRPr="00935A99" w:rsidRDefault="00EA42D8">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Ibid.</w:t>
      </w:r>
    </w:p>
  </w:footnote>
  <w:footnote w:id="33">
    <w:p w14:paraId="21C22A2E" w14:textId="788240F4" w:rsidR="0089114C" w:rsidRPr="00935A99" w:rsidRDefault="0089114C">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2C72C9" w:rsidRPr="00935A99">
        <w:rPr>
          <w:rFonts w:ascii="Arial" w:hAnsi="Arial" w:cs="Arial"/>
        </w:rPr>
        <w:t xml:space="preserve">Daniel Uribe Terán, </w:t>
      </w:r>
      <w:r w:rsidR="0087115D" w:rsidRPr="00935A99">
        <w:rPr>
          <w:rFonts w:ascii="Arial" w:hAnsi="Arial" w:cs="Arial"/>
        </w:rPr>
        <w:t xml:space="preserve">Beyond Corporate Social Responsibility: Strengthening Human Rights Due Diligence through the Legally Binding Instrument on Business and Human Rights, South Centre Research Paper 138, October 2021. </w:t>
      </w:r>
      <w:hyperlink r:id="rId30" w:history="1">
        <w:r w:rsidR="0087115D" w:rsidRPr="00935A99">
          <w:rPr>
            <w:rStyle w:val="Hyperlink"/>
            <w:rFonts w:ascii="Arial" w:hAnsi="Arial" w:cs="Arial"/>
          </w:rPr>
          <w:t>https://www.southcentre.int/research-paper-138-october-2021/</w:t>
        </w:r>
      </w:hyperlink>
      <w:r w:rsidR="0087115D" w:rsidRPr="00935A99">
        <w:rPr>
          <w:rFonts w:ascii="Arial" w:hAnsi="Arial" w:cs="Arial"/>
        </w:rPr>
        <w:t xml:space="preserve"> </w:t>
      </w:r>
    </w:p>
  </w:footnote>
  <w:footnote w:id="34">
    <w:p w14:paraId="78E80EEC" w14:textId="625BF4AE" w:rsidR="002B568A" w:rsidRPr="00935A99" w:rsidRDefault="002B568A" w:rsidP="002B568A">
      <w:pPr>
        <w:pStyle w:val="FootnoteText"/>
        <w:rPr>
          <w:rFonts w:ascii="Arial" w:hAnsi="Arial" w:cs="Arial"/>
        </w:rPr>
      </w:pPr>
      <w:r w:rsidRPr="00935A99">
        <w:rPr>
          <w:rStyle w:val="FootnoteReference"/>
          <w:rFonts w:ascii="Arial" w:hAnsi="Arial" w:cs="Arial"/>
        </w:rPr>
        <w:footnoteRef/>
      </w:r>
      <w:r w:rsidRPr="00935A99">
        <w:rPr>
          <w:rFonts w:ascii="Arial" w:hAnsi="Arial" w:cs="Arial"/>
        </w:rPr>
        <w:t xml:space="preserve"> </w:t>
      </w:r>
      <w:r w:rsidR="002B6A5E" w:rsidRPr="00935A99">
        <w:rPr>
          <w:rFonts w:ascii="Arial" w:hAnsi="Arial" w:cs="Arial"/>
        </w:rPr>
        <w:t xml:space="preserve">Danish, Hamed El-Kady, Makane Moïse Mbengue, Suzy H. Nikièma &amp; Daniel Uribe, </w:t>
      </w:r>
      <w:r w:rsidR="0096072E" w:rsidRPr="00935A99">
        <w:rPr>
          <w:rFonts w:ascii="Arial" w:hAnsi="Arial" w:cs="Arial"/>
        </w:rPr>
        <w:t xml:space="preserve">The Protocol on Investment to the Agreement Establishing the African Continental Free Trade Area: What’s in it and what’s next for the Continent?, Investment Treaty News, 1 July 2023. </w:t>
      </w:r>
      <w:hyperlink r:id="rId31" w:history="1">
        <w:r w:rsidR="00EE2809" w:rsidRPr="00935A99">
          <w:rPr>
            <w:rStyle w:val="Hyperlink"/>
            <w:rFonts w:ascii="Arial" w:hAnsi="Arial" w:cs="Arial"/>
          </w:rPr>
          <w:t>https://www.iisd.org/itn/en/2023/07/01/the-protocol-on-investment-to-the-agreement-establishing-the-african-continental-free-trade-area-whats-in-it-and-whats-next-for-the-continent/</w:t>
        </w:r>
      </w:hyperlink>
      <w:r w:rsidRPr="00935A99">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E4BD" w14:textId="43E0191F" w:rsidR="00B54AD5" w:rsidRDefault="009A1620">
    <w:pPr>
      <w:pStyle w:val="Header"/>
    </w:pPr>
    <w:r w:rsidRPr="00497257">
      <w:rPr>
        <w:noProof/>
      </w:rPr>
      <w:drawing>
        <wp:anchor distT="0" distB="0" distL="114300" distR="114300" simplePos="0" relativeHeight="251659264" behindDoc="1" locked="0" layoutInCell="1" allowOverlap="1" wp14:anchorId="7A5DF475" wp14:editId="4F96DF4D">
          <wp:simplePos x="0" y="0"/>
          <wp:positionH relativeFrom="margin">
            <wp:align>center</wp:align>
          </wp:positionH>
          <wp:positionV relativeFrom="paragraph">
            <wp:posOffset>7620</wp:posOffset>
          </wp:positionV>
          <wp:extent cx="1018800" cy="540000"/>
          <wp:effectExtent l="0" t="0" r="0" b="0"/>
          <wp:wrapTight wrapText="bothSides">
            <wp:wrapPolygon edited="0">
              <wp:start x="0" y="0"/>
              <wp:lineTo x="0" y="20584"/>
              <wp:lineTo x="21007" y="20584"/>
              <wp:lineTo x="2100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6010" t="23642" r="10589" b="21276"/>
                  <a:stretch/>
                </pic:blipFill>
                <pic:spPr bwMode="auto">
                  <a:xfrm>
                    <a:off x="0" y="0"/>
                    <a:ext cx="10188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BDC736" w14:textId="65E601CE" w:rsidR="00B54AD5" w:rsidRDefault="00B54AD5">
    <w:pPr>
      <w:pStyle w:val="Header"/>
    </w:pPr>
  </w:p>
  <w:p w14:paraId="30E4B53C" w14:textId="0D13EA4A" w:rsidR="00B54AD5" w:rsidRDefault="00B54AD5">
    <w:pPr>
      <w:pStyle w:val="Header"/>
    </w:pPr>
  </w:p>
  <w:p w14:paraId="4FA85C00" w14:textId="24278821" w:rsidR="00B54AD5" w:rsidRDefault="00B54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B6E"/>
    <w:multiLevelType w:val="multilevel"/>
    <w:tmpl w:val="7C00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A05F8"/>
    <w:multiLevelType w:val="multilevel"/>
    <w:tmpl w:val="3F261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3266A"/>
    <w:multiLevelType w:val="multilevel"/>
    <w:tmpl w:val="E262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A59E4"/>
    <w:multiLevelType w:val="multilevel"/>
    <w:tmpl w:val="AA7E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F3393"/>
    <w:multiLevelType w:val="multilevel"/>
    <w:tmpl w:val="B606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A6CE7"/>
    <w:multiLevelType w:val="multilevel"/>
    <w:tmpl w:val="30EE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715C1"/>
    <w:multiLevelType w:val="hybridMultilevel"/>
    <w:tmpl w:val="945AD4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42311380">
    <w:abstractNumId w:val="3"/>
  </w:num>
  <w:num w:numId="2" w16cid:durableId="1819761000">
    <w:abstractNumId w:val="0"/>
  </w:num>
  <w:num w:numId="3" w16cid:durableId="373429950">
    <w:abstractNumId w:val="1"/>
  </w:num>
  <w:num w:numId="4" w16cid:durableId="1141846097">
    <w:abstractNumId w:val="5"/>
  </w:num>
  <w:num w:numId="5" w16cid:durableId="649796167">
    <w:abstractNumId w:val="4"/>
  </w:num>
  <w:num w:numId="6" w16cid:durableId="1878010368">
    <w:abstractNumId w:val="2"/>
  </w:num>
  <w:num w:numId="7" w16cid:durableId="116461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0NDY3NzQ2sTAwMTdS0lEKTi0uzszPAykwrgUAo8rDqywAAAA="/>
  </w:docVars>
  <w:rsids>
    <w:rsidRoot w:val="00CB6F6A"/>
    <w:rsid w:val="00000C87"/>
    <w:rsid w:val="000051AC"/>
    <w:rsid w:val="0002024A"/>
    <w:rsid w:val="00025C0A"/>
    <w:rsid w:val="00031E15"/>
    <w:rsid w:val="00036C6A"/>
    <w:rsid w:val="00036C6C"/>
    <w:rsid w:val="00041F7A"/>
    <w:rsid w:val="000426CA"/>
    <w:rsid w:val="000430D5"/>
    <w:rsid w:val="00045D50"/>
    <w:rsid w:val="00050D13"/>
    <w:rsid w:val="00066310"/>
    <w:rsid w:val="000665AA"/>
    <w:rsid w:val="00075C52"/>
    <w:rsid w:val="00090A7C"/>
    <w:rsid w:val="00091CB9"/>
    <w:rsid w:val="00096004"/>
    <w:rsid w:val="00097D60"/>
    <w:rsid w:val="000A1785"/>
    <w:rsid w:val="000A6116"/>
    <w:rsid w:val="000A6FCA"/>
    <w:rsid w:val="000B0E77"/>
    <w:rsid w:val="000B2499"/>
    <w:rsid w:val="000B3823"/>
    <w:rsid w:val="000B7FFA"/>
    <w:rsid w:val="000D3416"/>
    <w:rsid w:val="000D7297"/>
    <w:rsid w:val="000D7AFF"/>
    <w:rsid w:val="000E5CF1"/>
    <w:rsid w:val="000F1493"/>
    <w:rsid w:val="000F3DCA"/>
    <w:rsid w:val="000F56CB"/>
    <w:rsid w:val="00104D70"/>
    <w:rsid w:val="001121FF"/>
    <w:rsid w:val="00115705"/>
    <w:rsid w:val="00122FEE"/>
    <w:rsid w:val="00125366"/>
    <w:rsid w:val="00125E1C"/>
    <w:rsid w:val="00127BE8"/>
    <w:rsid w:val="001316F4"/>
    <w:rsid w:val="001347DC"/>
    <w:rsid w:val="00136E87"/>
    <w:rsid w:val="00140661"/>
    <w:rsid w:val="001425AD"/>
    <w:rsid w:val="001470D8"/>
    <w:rsid w:val="00147313"/>
    <w:rsid w:val="00152912"/>
    <w:rsid w:val="00157AD6"/>
    <w:rsid w:val="001675F1"/>
    <w:rsid w:val="00167B46"/>
    <w:rsid w:val="00167CBC"/>
    <w:rsid w:val="00172A81"/>
    <w:rsid w:val="00172FC4"/>
    <w:rsid w:val="001819A8"/>
    <w:rsid w:val="001839A1"/>
    <w:rsid w:val="0019083A"/>
    <w:rsid w:val="001946A5"/>
    <w:rsid w:val="00197A4E"/>
    <w:rsid w:val="001A21FB"/>
    <w:rsid w:val="001A587F"/>
    <w:rsid w:val="001A6D8F"/>
    <w:rsid w:val="001A7743"/>
    <w:rsid w:val="001A7C3D"/>
    <w:rsid w:val="001B0E6F"/>
    <w:rsid w:val="001B2AA2"/>
    <w:rsid w:val="001B3370"/>
    <w:rsid w:val="001C1D10"/>
    <w:rsid w:val="001C65CA"/>
    <w:rsid w:val="001D0A40"/>
    <w:rsid w:val="001D2616"/>
    <w:rsid w:val="001D52E6"/>
    <w:rsid w:val="001D5F9C"/>
    <w:rsid w:val="001E3D66"/>
    <w:rsid w:val="001E4D01"/>
    <w:rsid w:val="001F01D2"/>
    <w:rsid w:val="001F62A4"/>
    <w:rsid w:val="001F7312"/>
    <w:rsid w:val="00200021"/>
    <w:rsid w:val="00203C55"/>
    <w:rsid w:val="0020627C"/>
    <w:rsid w:val="002211C4"/>
    <w:rsid w:val="00221780"/>
    <w:rsid w:val="00221D11"/>
    <w:rsid w:val="002234F3"/>
    <w:rsid w:val="00224A45"/>
    <w:rsid w:val="002274BD"/>
    <w:rsid w:val="00232EEC"/>
    <w:rsid w:val="002357A4"/>
    <w:rsid w:val="00237FF2"/>
    <w:rsid w:val="00254B3A"/>
    <w:rsid w:val="00256AED"/>
    <w:rsid w:val="0026081F"/>
    <w:rsid w:val="002658DA"/>
    <w:rsid w:val="002658F5"/>
    <w:rsid w:val="0028168F"/>
    <w:rsid w:val="002825AC"/>
    <w:rsid w:val="00283807"/>
    <w:rsid w:val="00296B5C"/>
    <w:rsid w:val="00297F28"/>
    <w:rsid w:val="002A0019"/>
    <w:rsid w:val="002A46EB"/>
    <w:rsid w:val="002A4FB8"/>
    <w:rsid w:val="002B098A"/>
    <w:rsid w:val="002B4DAF"/>
    <w:rsid w:val="002B568A"/>
    <w:rsid w:val="002B6A5E"/>
    <w:rsid w:val="002C4C8D"/>
    <w:rsid w:val="002C6047"/>
    <w:rsid w:val="002C72C9"/>
    <w:rsid w:val="002D58E3"/>
    <w:rsid w:val="002D7980"/>
    <w:rsid w:val="002E1592"/>
    <w:rsid w:val="002E3010"/>
    <w:rsid w:val="002E38ED"/>
    <w:rsid w:val="002E5D70"/>
    <w:rsid w:val="002F36E0"/>
    <w:rsid w:val="002F594C"/>
    <w:rsid w:val="00300A90"/>
    <w:rsid w:val="00320422"/>
    <w:rsid w:val="0035327A"/>
    <w:rsid w:val="0035506E"/>
    <w:rsid w:val="00355B90"/>
    <w:rsid w:val="00361F35"/>
    <w:rsid w:val="00362FC8"/>
    <w:rsid w:val="00366352"/>
    <w:rsid w:val="00372EFF"/>
    <w:rsid w:val="003758DB"/>
    <w:rsid w:val="0038791E"/>
    <w:rsid w:val="0039126B"/>
    <w:rsid w:val="003934A6"/>
    <w:rsid w:val="00397115"/>
    <w:rsid w:val="00397C30"/>
    <w:rsid w:val="003A48C5"/>
    <w:rsid w:val="003A5E1B"/>
    <w:rsid w:val="003C28C4"/>
    <w:rsid w:val="003C4793"/>
    <w:rsid w:val="003D530D"/>
    <w:rsid w:val="003E3808"/>
    <w:rsid w:val="003E730A"/>
    <w:rsid w:val="003E7453"/>
    <w:rsid w:val="003F4F53"/>
    <w:rsid w:val="003F557D"/>
    <w:rsid w:val="003F6E8B"/>
    <w:rsid w:val="004001D3"/>
    <w:rsid w:val="00400310"/>
    <w:rsid w:val="00403C32"/>
    <w:rsid w:val="00404354"/>
    <w:rsid w:val="00404728"/>
    <w:rsid w:val="004101CD"/>
    <w:rsid w:val="00411908"/>
    <w:rsid w:val="004137BE"/>
    <w:rsid w:val="00413884"/>
    <w:rsid w:val="004142D5"/>
    <w:rsid w:val="004161DA"/>
    <w:rsid w:val="00430146"/>
    <w:rsid w:val="00442062"/>
    <w:rsid w:val="00442314"/>
    <w:rsid w:val="00446E7F"/>
    <w:rsid w:val="00450746"/>
    <w:rsid w:val="00456EA8"/>
    <w:rsid w:val="00462A95"/>
    <w:rsid w:val="00480078"/>
    <w:rsid w:val="00481D35"/>
    <w:rsid w:val="00495BB6"/>
    <w:rsid w:val="004A28C4"/>
    <w:rsid w:val="004A7F3A"/>
    <w:rsid w:val="004B0C21"/>
    <w:rsid w:val="004B1BC6"/>
    <w:rsid w:val="004B57DD"/>
    <w:rsid w:val="004B7A86"/>
    <w:rsid w:val="004B7DA3"/>
    <w:rsid w:val="004C2599"/>
    <w:rsid w:val="004C72C1"/>
    <w:rsid w:val="004D17C0"/>
    <w:rsid w:val="004D7E45"/>
    <w:rsid w:val="004E2AC3"/>
    <w:rsid w:val="004F62E8"/>
    <w:rsid w:val="005008D7"/>
    <w:rsid w:val="00503F9E"/>
    <w:rsid w:val="00510552"/>
    <w:rsid w:val="005149A9"/>
    <w:rsid w:val="0052050E"/>
    <w:rsid w:val="005215C5"/>
    <w:rsid w:val="00535685"/>
    <w:rsid w:val="00535C2C"/>
    <w:rsid w:val="00537DCA"/>
    <w:rsid w:val="0054383D"/>
    <w:rsid w:val="005446CF"/>
    <w:rsid w:val="0054677D"/>
    <w:rsid w:val="00553FF7"/>
    <w:rsid w:val="005561B8"/>
    <w:rsid w:val="005601F3"/>
    <w:rsid w:val="00560903"/>
    <w:rsid w:val="005621BE"/>
    <w:rsid w:val="005640AA"/>
    <w:rsid w:val="005650E5"/>
    <w:rsid w:val="005656CC"/>
    <w:rsid w:val="00567761"/>
    <w:rsid w:val="00571215"/>
    <w:rsid w:val="00573D82"/>
    <w:rsid w:val="005828F2"/>
    <w:rsid w:val="005861AC"/>
    <w:rsid w:val="005862F5"/>
    <w:rsid w:val="0058796C"/>
    <w:rsid w:val="005A1094"/>
    <w:rsid w:val="005B0809"/>
    <w:rsid w:val="005B611B"/>
    <w:rsid w:val="005B7F1B"/>
    <w:rsid w:val="005C62DD"/>
    <w:rsid w:val="005E445B"/>
    <w:rsid w:val="005E4DBD"/>
    <w:rsid w:val="005E4E4E"/>
    <w:rsid w:val="005F2C25"/>
    <w:rsid w:val="005F6258"/>
    <w:rsid w:val="00600D3E"/>
    <w:rsid w:val="006032EA"/>
    <w:rsid w:val="00603F49"/>
    <w:rsid w:val="00605B4A"/>
    <w:rsid w:val="00620EA2"/>
    <w:rsid w:val="00621C35"/>
    <w:rsid w:val="00622DD2"/>
    <w:rsid w:val="006233D3"/>
    <w:rsid w:val="0062689F"/>
    <w:rsid w:val="00631190"/>
    <w:rsid w:val="00641A2B"/>
    <w:rsid w:val="0064227B"/>
    <w:rsid w:val="00661099"/>
    <w:rsid w:val="006744B8"/>
    <w:rsid w:val="00676A53"/>
    <w:rsid w:val="00682BC5"/>
    <w:rsid w:val="006840C2"/>
    <w:rsid w:val="00685D09"/>
    <w:rsid w:val="006860DE"/>
    <w:rsid w:val="00693305"/>
    <w:rsid w:val="0069448B"/>
    <w:rsid w:val="0069655E"/>
    <w:rsid w:val="00696FF9"/>
    <w:rsid w:val="006A14E2"/>
    <w:rsid w:val="006A27D4"/>
    <w:rsid w:val="006B52EC"/>
    <w:rsid w:val="006B676D"/>
    <w:rsid w:val="006B705E"/>
    <w:rsid w:val="006D2488"/>
    <w:rsid w:val="006D61C2"/>
    <w:rsid w:val="006E2A04"/>
    <w:rsid w:val="006E6600"/>
    <w:rsid w:val="006E7B16"/>
    <w:rsid w:val="007052B4"/>
    <w:rsid w:val="00705CF7"/>
    <w:rsid w:val="0071040F"/>
    <w:rsid w:val="00711025"/>
    <w:rsid w:val="00711AD7"/>
    <w:rsid w:val="007147AA"/>
    <w:rsid w:val="007228CD"/>
    <w:rsid w:val="00726B02"/>
    <w:rsid w:val="0073443C"/>
    <w:rsid w:val="007421ED"/>
    <w:rsid w:val="0074253E"/>
    <w:rsid w:val="00747B1D"/>
    <w:rsid w:val="00750055"/>
    <w:rsid w:val="007537D6"/>
    <w:rsid w:val="00756116"/>
    <w:rsid w:val="007606B4"/>
    <w:rsid w:val="00760B51"/>
    <w:rsid w:val="00760CDB"/>
    <w:rsid w:val="007646F3"/>
    <w:rsid w:val="007677D2"/>
    <w:rsid w:val="00776AD0"/>
    <w:rsid w:val="00777E77"/>
    <w:rsid w:val="00781533"/>
    <w:rsid w:val="0078432B"/>
    <w:rsid w:val="00784BF6"/>
    <w:rsid w:val="00787335"/>
    <w:rsid w:val="00787C82"/>
    <w:rsid w:val="0079557F"/>
    <w:rsid w:val="007A09AA"/>
    <w:rsid w:val="007B3275"/>
    <w:rsid w:val="007B4874"/>
    <w:rsid w:val="007C045D"/>
    <w:rsid w:val="007C58D3"/>
    <w:rsid w:val="007D04A2"/>
    <w:rsid w:val="007E1F64"/>
    <w:rsid w:val="007F41A7"/>
    <w:rsid w:val="007F6D8A"/>
    <w:rsid w:val="0080607E"/>
    <w:rsid w:val="00806A04"/>
    <w:rsid w:val="0080761A"/>
    <w:rsid w:val="0081010D"/>
    <w:rsid w:val="00814138"/>
    <w:rsid w:val="008218F8"/>
    <w:rsid w:val="008235BA"/>
    <w:rsid w:val="008320DE"/>
    <w:rsid w:val="00834260"/>
    <w:rsid w:val="00851902"/>
    <w:rsid w:val="00856E6E"/>
    <w:rsid w:val="00857340"/>
    <w:rsid w:val="0086209F"/>
    <w:rsid w:val="0086451D"/>
    <w:rsid w:val="008668F6"/>
    <w:rsid w:val="00871067"/>
    <w:rsid w:val="0087115D"/>
    <w:rsid w:val="00871DC9"/>
    <w:rsid w:val="0087308D"/>
    <w:rsid w:val="00875E1B"/>
    <w:rsid w:val="008763C1"/>
    <w:rsid w:val="00884BB8"/>
    <w:rsid w:val="008868A9"/>
    <w:rsid w:val="00886AA3"/>
    <w:rsid w:val="0089114C"/>
    <w:rsid w:val="00894B31"/>
    <w:rsid w:val="008A33A9"/>
    <w:rsid w:val="008A37A4"/>
    <w:rsid w:val="008B0FE3"/>
    <w:rsid w:val="008B2B86"/>
    <w:rsid w:val="008D061B"/>
    <w:rsid w:val="008D2A70"/>
    <w:rsid w:val="008D4337"/>
    <w:rsid w:val="008D5E30"/>
    <w:rsid w:val="008D6424"/>
    <w:rsid w:val="008D7249"/>
    <w:rsid w:val="008E0BF1"/>
    <w:rsid w:val="008F1322"/>
    <w:rsid w:val="009006AC"/>
    <w:rsid w:val="00900DBB"/>
    <w:rsid w:val="00901F7A"/>
    <w:rsid w:val="00902587"/>
    <w:rsid w:val="009042BC"/>
    <w:rsid w:val="00905213"/>
    <w:rsid w:val="0090602E"/>
    <w:rsid w:val="0090661A"/>
    <w:rsid w:val="009135FF"/>
    <w:rsid w:val="009140CD"/>
    <w:rsid w:val="009200F2"/>
    <w:rsid w:val="00923D52"/>
    <w:rsid w:val="0093093D"/>
    <w:rsid w:val="00933E09"/>
    <w:rsid w:val="00935A99"/>
    <w:rsid w:val="00941646"/>
    <w:rsid w:val="00944B2A"/>
    <w:rsid w:val="009504DC"/>
    <w:rsid w:val="00955808"/>
    <w:rsid w:val="009577AB"/>
    <w:rsid w:val="00957CE5"/>
    <w:rsid w:val="0096072E"/>
    <w:rsid w:val="0096203E"/>
    <w:rsid w:val="0096290A"/>
    <w:rsid w:val="00964C23"/>
    <w:rsid w:val="009876A6"/>
    <w:rsid w:val="009928F7"/>
    <w:rsid w:val="009940A5"/>
    <w:rsid w:val="009A1620"/>
    <w:rsid w:val="009A19DA"/>
    <w:rsid w:val="009B216B"/>
    <w:rsid w:val="009C5D74"/>
    <w:rsid w:val="009D02E1"/>
    <w:rsid w:val="009D17FE"/>
    <w:rsid w:val="009D2EE6"/>
    <w:rsid w:val="009D3417"/>
    <w:rsid w:val="009D5C70"/>
    <w:rsid w:val="009D7C83"/>
    <w:rsid w:val="009D7DBD"/>
    <w:rsid w:val="009E5CD7"/>
    <w:rsid w:val="00A055DD"/>
    <w:rsid w:val="00A05C41"/>
    <w:rsid w:val="00A10840"/>
    <w:rsid w:val="00A11954"/>
    <w:rsid w:val="00A171E5"/>
    <w:rsid w:val="00A17526"/>
    <w:rsid w:val="00A2181D"/>
    <w:rsid w:val="00A24953"/>
    <w:rsid w:val="00A25216"/>
    <w:rsid w:val="00A279C3"/>
    <w:rsid w:val="00A3236C"/>
    <w:rsid w:val="00A43BA3"/>
    <w:rsid w:val="00A5270C"/>
    <w:rsid w:val="00A52E61"/>
    <w:rsid w:val="00A53009"/>
    <w:rsid w:val="00A532B8"/>
    <w:rsid w:val="00A5441F"/>
    <w:rsid w:val="00A56A34"/>
    <w:rsid w:val="00A6019E"/>
    <w:rsid w:val="00A633FA"/>
    <w:rsid w:val="00A74CB3"/>
    <w:rsid w:val="00A7712B"/>
    <w:rsid w:val="00A95E0C"/>
    <w:rsid w:val="00A971FA"/>
    <w:rsid w:val="00A97383"/>
    <w:rsid w:val="00AA0441"/>
    <w:rsid w:val="00AA3C59"/>
    <w:rsid w:val="00AB10C8"/>
    <w:rsid w:val="00AC68E4"/>
    <w:rsid w:val="00AD192B"/>
    <w:rsid w:val="00AD321B"/>
    <w:rsid w:val="00AE0361"/>
    <w:rsid w:val="00AE085F"/>
    <w:rsid w:val="00AE11D3"/>
    <w:rsid w:val="00AE1874"/>
    <w:rsid w:val="00AE6E31"/>
    <w:rsid w:val="00AF61A9"/>
    <w:rsid w:val="00B11057"/>
    <w:rsid w:val="00B3500E"/>
    <w:rsid w:val="00B50EDD"/>
    <w:rsid w:val="00B54AD5"/>
    <w:rsid w:val="00B563CD"/>
    <w:rsid w:val="00B63A29"/>
    <w:rsid w:val="00B6783C"/>
    <w:rsid w:val="00B705A0"/>
    <w:rsid w:val="00B75AEA"/>
    <w:rsid w:val="00B76C19"/>
    <w:rsid w:val="00B80AD3"/>
    <w:rsid w:val="00B8131F"/>
    <w:rsid w:val="00B92324"/>
    <w:rsid w:val="00B971EE"/>
    <w:rsid w:val="00BA3B8C"/>
    <w:rsid w:val="00BB2CB4"/>
    <w:rsid w:val="00BB7889"/>
    <w:rsid w:val="00BC4C90"/>
    <w:rsid w:val="00BC51D9"/>
    <w:rsid w:val="00BC569A"/>
    <w:rsid w:val="00BC59ED"/>
    <w:rsid w:val="00BC651F"/>
    <w:rsid w:val="00BC76A0"/>
    <w:rsid w:val="00BD00F8"/>
    <w:rsid w:val="00BD0F99"/>
    <w:rsid w:val="00BD16D4"/>
    <w:rsid w:val="00BE5E03"/>
    <w:rsid w:val="00BF28EB"/>
    <w:rsid w:val="00BF6D17"/>
    <w:rsid w:val="00BF7CFD"/>
    <w:rsid w:val="00C035C8"/>
    <w:rsid w:val="00C078E6"/>
    <w:rsid w:val="00C10EA2"/>
    <w:rsid w:val="00C21DE7"/>
    <w:rsid w:val="00C22AAA"/>
    <w:rsid w:val="00C26D25"/>
    <w:rsid w:val="00C40D8B"/>
    <w:rsid w:val="00C446F2"/>
    <w:rsid w:val="00C4603A"/>
    <w:rsid w:val="00C471B8"/>
    <w:rsid w:val="00C5163C"/>
    <w:rsid w:val="00C52328"/>
    <w:rsid w:val="00C52826"/>
    <w:rsid w:val="00C543A4"/>
    <w:rsid w:val="00C55CB6"/>
    <w:rsid w:val="00C57675"/>
    <w:rsid w:val="00C61C49"/>
    <w:rsid w:val="00C67C1A"/>
    <w:rsid w:val="00C769D9"/>
    <w:rsid w:val="00C76DB9"/>
    <w:rsid w:val="00C8020B"/>
    <w:rsid w:val="00C816C6"/>
    <w:rsid w:val="00C82821"/>
    <w:rsid w:val="00C8761E"/>
    <w:rsid w:val="00C94EC6"/>
    <w:rsid w:val="00C96DC1"/>
    <w:rsid w:val="00C96F3F"/>
    <w:rsid w:val="00CA5261"/>
    <w:rsid w:val="00CA6565"/>
    <w:rsid w:val="00CA7164"/>
    <w:rsid w:val="00CB4A10"/>
    <w:rsid w:val="00CB6F6A"/>
    <w:rsid w:val="00CC2B1B"/>
    <w:rsid w:val="00CC32D1"/>
    <w:rsid w:val="00CC3A53"/>
    <w:rsid w:val="00CD4C54"/>
    <w:rsid w:val="00CD501C"/>
    <w:rsid w:val="00CF17C2"/>
    <w:rsid w:val="00CF5A6E"/>
    <w:rsid w:val="00CF6CAC"/>
    <w:rsid w:val="00D0129E"/>
    <w:rsid w:val="00D07C98"/>
    <w:rsid w:val="00D114DE"/>
    <w:rsid w:val="00D13A8A"/>
    <w:rsid w:val="00D144A0"/>
    <w:rsid w:val="00D2032D"/>
    <w:rsid w:val="00D2201C"/>
    <w:rsid w:val="00D279AC"/>
    <w:rsid w:val="00D27F81"/>
    <w:rsid w:val="00D3033A"/>
    <w:rsid w:val="00D31517"/>
    <w:rsid w:val="00D331D5"/>
    <w:rsid w:val="00D4081D"/>
    <w:rsid w:val="00D4290B"/>
    <w:rsid w:val="00D43FE9"/>
    <w:rsid w:val="00D44E25"/>
    <w:rsid w:val="00D4634F"/>
    <w:rsid w:val="00D500A1"/>
    <w:rsid w:val="00D55138"/>
    <w:rsid w:val="00D55E0A"/>
    <w:rsid w:val="00D6205D"/>
    <w:rsid w:val="00D6560B"/>
    <w:rsid w:val="00D65AEE"/>
    <w:rsid w:val="00D67ED5"/>
    <w:rsid w:val="00D7353D"/>
    <w:rsid w:val="00D75F9A"/>
    <w:rsid w:val="00D86472"/>
    <w:rsid w:val="00D96842"/>
    <w:rsid w:val="00DA04CF"/>
    <w:rsid w:val="00DA4EFA"/>
    <w:rsid w:val="00DB110B"/>
    <w:rsid w:val="00DB41EA"/>
    <w:rsid w:val="00DD5566"/>
    <w:rsid w:val="00DD5AE0"/>
    <w:rsid w:val="00DE0629"/>
    <w:rsid w:val="00DE225A"/>
    <w:rsid w:val="00DE30D7"/>
    <w:rsid w:val="00DE644D"/>
    <w:rsid w:val="00DF45AA"/>
    <w:rsid w:val="00E0052A"/>
    <w:rsid w:val="00E00C13"/>
    <w:rsid w:val="00E03161"/>
    <w:rsid w:val="00E053CD"/>
    <w:rsid w:val="00E06CB8"/>
    <w:rsid w:val="00E1032E"/>
    <w:rsid w:val="00E149E0"/>
    <w:rsid w:val="00E17BBB"/>
    <w:rsid w:val="00E33936"/>
    <w:rsid w:val="00E43284"/>
    <w:rsid w:val="00E5073F"/>
    <w:rsid w:val="00E5486F"/>
    <w:rsid w:val="00E6137A"/>
    <w:rsid w:val="00E62147"/>
    <w:rsid w:val="00E6343E"/>
    <w:rsid w:val="00E649D1"/>
    <w:rsid w:val="00E657A3"/>
    <w:rsid w:val="00E7046F"/>
    <w:rsid w:val="00E71545"/>
    <w:rsid w:val="00E763BD"/>
    <w:rsid w:val="00E769EC"/>
    <w:rsid w:val="00E81C49"/>
    <w:rsid w:val="00E82EFC"/>
    <w:rsid w:val="00E8745F"/>
    <w:rsid w:val="00E90994"/>
    <w:rsid w:val="00E91C38"/>
    <w:rsid w:val="00EA42D8"/>
    <w:rsid w:val="00EB028D"/>
    <w:rsid w:val="00EB02FD"/>
    <w:rsid w:val="00EB0F11"/>
    <w:rsid w:val="00EB1BF0"/>
    <w:rsid w:val="00EB3449"/>
    <w:rsid w:val="00EB7324"/>
    <w:rsid w:val="00EC2938"/>
    <w:rsid w:val="00ED24CB"/>
    <w:rsid w:val="00ED55B8"/>
    <w:rsid w:val="00ED6E33"/>
    <w:rsid w:val="00EE2809"/>
    <w:rsid w:val="00EF44C6"/>
    <w:rsid w:val="00EF52F8"/>
    <w:rsid w:val="00F161DD"/>
    <w:rsid w:val="00F162BD"/>
    <w:rsid w:val="00F20311"/>
    <w:rsid w:val="00F20B9E"/>
    <w:rsid w:val="00F21320"/>
    <w:rsid w:val="00F2394D"/>
    <w:rsid w:val="00F24222"/>
    <w:rsid w:val="00F3554F"/>
    <w:rsid w:val="00F46340"/>
    <w:rsid w:val="00F50B60"/>
    <w:rsid w:val="00F64103"/>
    <w:rsid w:val="00F66575"/>
    <w:rsid w:val="00F712AC"/>
    <w:rsid w:val="00F716FC"/>
    <w:rsid w:val="00F71937"/>
    <w:rsid w:val="00F84577"/>
    <w:rsid w:val="00F85320"/>
    <w:rsid w:val="00F87791"/>
    <w:rsid w:val="00F90591"/>
    <w:rsid w:val="00F96016"/>
    <w:rsid w:val="00FA442C"/>
    <w:rsid w:val="00FA7641"/>
    <w:rsid w:val="00FB1F7C"/>
    <w:rsid w:val="00FB2DFB"/>
    <w:rsid w:val="00FB4A15"/>
    <w:rsid w:val="00FB4DB0"/>
    <w:rsid w:val="00FC0B71"/>
    <w:rsid w:val="00FC15B7"/>
    <w:rsid w:val="00FC2E66"/>
    <w:rsid w:val="00FC65C2"/>
    <w:rsid w:val="00FD3248"/>
    <w:rsid w:val="00FD5FD4"/>
    <w:rsid w:val="00FE1862"/>
    <w:rsid w:val="00FE1F48"/>
    <w:rsid w:val="00FE7BB1"/>
    <w:rsid w:val="00FF05A1"/>
    <w:rsid w:val="00FF1E90"/>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B14B3"/>
  <w15:chartTrackingRefBased/>
  <w15:docId w15:val="{82FCCCCF-2D56-48B1-B22F-0101FE5C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6A"/>
    <w:pPr>
      <w:spacing w:before="100" w:beforeAutospacing="1" w:after="100" w:afterAutospacing="1" w:line="240" w:lineRule="auto"/>
    </w:pPr>
    <w:rPr>
      <w:rFonts w:ascii="Times New Roman" w:eastAsia="Times New Roman" w:hAnsi="Times New Roman" w:cs="Times New Roman"/>
      <w:szCs w:val="24"/>
      <w:lang w:val="en-IN" w:eastAsia="en-IN"/>
    </w:rPr>
  </w:style>
  <w:style w:type="character" w:styleId="Strong">
    <w:name w:val="Strong"/>
    <w:basedOn w:val="DefaultParagraphFont"/>
    <w:uiPriority w:val="22"/>
    <w:qFormat/>
    <w:rsid w:val="00CB6F6A"/>
    <w:rPr>
      <w:b/>
      <w:bCs/>
    </w:rPr>
  </w:style>
  <w:style w:type="character" w:styleId="Hyperlink">
    <w:name w:val="Hyperlink"/>
    <w:basedOn w:val="DefaultParagraphFont"/>
    <w:uiPriority w:val="99"/>
    <w:unhideWhenUsed/>
    <w:rsid w:val="00CB6F6A"/>
    <w:rPr>
      <w:color w:val="0000FF"/>
      <w:u w:val="single"/>
    </w:rPr>
  </w:style>
  <w:style w:type="paragraph" w:styleId="FootnoteText">
    <w:name w:val="footnote text"/>
    <w:basedOn w:val="Normal"/>
    <w:link w:val="FootnoteTextChar"/>
    <w:uiPriority w:val="99"/>
    <w:unhideWhenUsed/>
    <w:rsid w:val="00DA04CF"/>
    <w:pPr>
      <w:spacing w:after="0" w:line="240" w:lineRule="auto"/>
    </w:pPr>
    <w:rPr>
      <w:sz w:val="20"/>
      <w:szCs w:val="20"/>
    </w:rPr>
  </w:style>
  <w:style w:type="character" w:customStyle="1" w:styleId="FootnoteTextChar">
    <w:name w:val="Footnote Text Char"/>
    <w:basedOn w:val="DefaultParagraphFont"/>
    <w:link w:val="FootnoteText"/>
    <w:uiPriority w:val="99"/>
    <w:rsid w:val="00DA04CF"/>
    <w:rPr>
      <w:sz w:val="20"/>
      <w:szCs w:val="20"/>
    </w:rPr>
  </w:style>
  <w:style w:type="character" w:styleId="FootnoteReference">
    <w:name w:val="footnote reference"/>
    <w:basedOn w:val="DefaultParagraphFont"/>
    <w:uiPriority w:val="99"/>
    <w:semiHidden/>
    <w:unhideWhenUsed/>
    <w:rsid w:val="00DA04CF"/>
    <w:rPr>
      <w:vertAlign w:val="superscript"/>
    </w:rPr>
  </w:style>
  <w:style w:type="paragraph" w:styleId="EndnoteText">
    <w:name w:val="endnote text"/>
    <w:basedOn w:val="Normal"/>
    <w:link w:val="EndnoteTextChar"/>
    <w:uiPriority w:val="99"/>
    <w:semiHidden/>
    <w:unhideWhenUsed/>
    <w:rsid w:val="004D7E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E45"/>
    <w:rPr>
      <w:sz w:val="20"/>
      <w:szCs w:val="20"/>
    </w:rPr>
  </w:style>
  <w:style w:type="character" w:styleId="EndnoteReference">
    <w:name w:val="endnote reference"/>
    <w:basedOn w:val="DefaultParagraphFont"/>
    <w:uiPriority w:val="99"/>
    <w:semiHidden/>
    <w:unhideWhenUsed/>
    <w:rsid w:val="004D7E45"/>
    <w:rPr>
      <w:vertAlign w:val="superscript"/>
    </w:rPr>
  </w:style>
  <w:style w:type="character" w:styleId="UnresolvedMention">
    <w:name w:val="Unresolved Mention"/>
    <w:basedOn w:val="DefaultParagraphFont"/>
    <w:uiPriority w:val="99"/>
    <w:semiHidden/>
    <w:unhideWhenUsed/>
    <w:rsid w:val="00955808"/>
    <w:rPr>
      <w:color w:val="605E5C"/>
      <w:shd w:val="clear" w:color="auto" w:fill="E1DFDD"/>
    </w:rPr>
  </w:style>
  <w:style w:type="paragraph" w:styleId="Header">
    <w:name w:val="header"/>
    <w:basedOn w:val="Normal"/>
    <w:link w:val="HeaderChar"/>
    <w:uiPriority w:val="99"/>
    <w:unhideWhenUsed/>
    <w:rsid w:val="00F85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20"/>
  </w:style>
  <w:style w:type="paragraph" w:styleId="Footer">
    <w:name w:val="footer"/>
    <w:basedOn w:val="Normal"/>
    <w:link w:val="FooterChar"/>
    <w:uiPriority w:val="99"/>
    <w:unhideWhenUsed/>
    <w:rsid w:val="00F85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20"/>
  </w:style>
  <w:style w:type="paragraph" w:styleId="ListParagraph">
    <w:name w:val="List Paragraph"/>
    <w:basedOn w:val="Normal"/>
    <w:uiPriority w:val="34"/>
    <w:qFormat/>
    <w:rsid w:val="00622DD2"/>
    <w:pPr>
      <w:ind w:left="720"/>
      <w:contextualSpacing/>
    </w:pPr>
  </w:style>
  <w:style w:type="paragraph" w:styleId="Revision">
    <w:name w:val="Revision"/>
    <w:hidden/>
    <w:uiPriority w:val="99"/>
    <w:semiHidden/>
    <w:rsid w:val="00FC15B7"/>
    <w:pPr>
      <w:spacing w:after="0" w:line="240" w:lineRule="auto"/>
    </w:pPr>
  </w:style>
  <w:style w:type="character" w:styleId="CommentReference">
    <w:name w:val="annotation reference"/>
    <w:basedOn w:val="DefaultParagraphFont"/>
    <w:uiPriority w:val="99"/>
    <w:semiHidden/>
    <w:unhideWhenUsed/>
    <w:rsid w:val="00411908"/>
    <w:rPr>
      <w:sz w:val="16"/>
      <w:szCs w:val="16"/>
    </w:rPr>
  </w:style>
  <w:style w:type="paragraph" w:styleId="CommentText">
    <w:name w:val="annotation text"/>
    <w:basedOn w:val="Normal"/>
    <w:link w:val="CommentTextChar"/>
    <w:uiPriority w:val="99"/>
    <w:unhideWhenUsed/>
    <w:rsid w:val="00411908"/>
    <w:pPr>
      <w:spacing w:line="240" w:lineRule="auto"/>
    </w:pPr>
    <w:rPr>
      <w:sz w:val="20"/>
      <w:szCs w:val="20"/>
    </w:rPr>
  </w:style>
  <w:style w:type="character" w:customStyle="1" w:styleId="CommentTextChar">
    <w:name w:val="Comment Text Char"/>
    <w:basedOn w:val="DefaultParagraphFont"/>
    <w:link w:val="CommentText"/>
    <w:uiPriority w:val="99"/>
    <w:rsid w:val="00411908"/>
    <w:rPr>
      <w:sz w:val="20"/>
      <w:szCs w:val="20"/>
    </w:rPr>
  </w:style>
  <w:style w:type="paragraph" w:styleId="CommentSubject">
    <w:name w:val="annotation subject"/>
    <w:basedOn w:val="CommentText"/>
    <w:next w:val="CommentText"/>
    <w:link w:val="CommentSubjectChar"/>
    <w:uiPriority w:val="99"/>
    <w:semiHidden/>
    <w:unhideWhenUsed/>
    <w:rsid w:val="00411908"/>
    <w:rPr>
      <w:b/>
      <w:bCs/>
    </w:rPr>
  </w:style>
  <w:style w:type="character" w:customStyle="1" w:styleId="CommentSubjectChar">
    <w:name w:val="Comment Subject Char"/>
    <w:basedOn w:val="CommentTextChar"/>
    <w:link w:val="CommentSubject"/>
    <w:uiPriority w:val="99"/>
    <w:semiHidden/>
    <w:rsid w:val="00411908"/>
    <w:rPr>
      <w:b/>
      <w:bCs/>
      <w:sz w:val="20"/>
      <w:szCs w:val="20"/>
    </w:rPr>
  </w:style>
  <w:style w:type="character" w:styleId="FollowedHyperlink">
    <w:name w:val="FollowedHyperlink"/>
    <w:basedOn w:val="DefaultParagraphFont"/>
    <w:uiPriority w:val="99"/>
    <w:semiHidden/>
    <w:unhideWhenUsed/>
    <w:rsid w:val="00D0129E"/>
    <w:rPr>
      <w:color w:val="954F72" w:themeColor="followedHyperlink"/>
      <w:u w:val="single"/>
    </w:rPr>
  </w:style>
  <w:style w:type="character" w:customStyle="1" w:styleId="cf01">
    <w:name w:val="cf01"/>
    <w:basedOn w:val="DefaultParagraphFont"/>
    <w:rsid w:val="00682B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ft.com/content/b9582d62-cc6f-4b76-b0f9-5b37cf15dce4" TargetMode="External"/><Relationship Id="rId13" Type="http://schemas.openxmlformats.org/officeDocument/2006/relationships/hyperlink" Target="https://conteudo.cvm.gov.br/legislacao/resolucoes/resol059.html" TargetMode="External"/><Relationship Id="rId18" Type="http://schemas.openxmlformats.org/officeDocument/2006/relationships/hyperlink" Target="https://www.sc.com.my/resources/media/media-release/sc-unveils-principles-based-sustainable-and-responsible-investment-taxonomy-for-the-malaysian-capital-market" TargetMode="External"/><Relationship Id="rId26" Type="http://schemas.openxmlformats.org/officeDocument/2006/relationships/hyperlink" Target="https://www.un.org/en/climatechange/science/climate-issues/greenwashing" TargetMode="External"/><Relationship Id="rId3" Type="http://schemas.openxmlformats.org/officeDocument/2006/relationships/hyperlink" Target="https://corpgov.law.harvard.edu/2023/09/03/esg-incentives-2023-report/" TargetMode="External"/><Relationship Id="rId21" Type="http://schemas.openxmlformats.org/officeDocument/2006/relationships/hyperlink" Target="https://www.globallegalpost.com/lawoverborders/environmental-social-governance-559211028/chile-90451183" TargetMode="External"/><Relationship Id="rId7" Type="http://schemas.openxmlformats.org/officeDocument/2006/relationships/hyperlink" Target="https://www.msci.com/our-solutions/esg-investing/esg-ratings" TargetMode="External"/><Relationship Id="rId12" Type="http://schemas.openxmlformats.org/officeDocument/2006/relationships/hyperlink" Target="https://www.wsj.com/articles/more-companies-are-disclosing-their-esg-data-but-confusion-on-how-persists-e667698c" TargetMode="External"/><Relationship Id="rId17" Type="http://schemas.openxmlformats.org/officeDocument/2006/relationships/hyperlink" Target="https://www.eyeonesg.com/2023/03/securities-commission-malaysia-publishes-revised-guidelines-on-sustainable-and-responsible-investment-funds/" TargetMode="External"/><Relationship Id="rId25" Type="http://schemas.openxmlformats.org/officeDocument/2006/relationships/hyperlink" Target="https://www.esganalytics.io/insights/social-green-blue-pink-washing" TargetMode="External"/><Relationship Id="rId2" Type="http://schemas.openxmlformats.org/officeDocument/2006/relationships/hyperlink" Target="https://www.southcentre.int/wp-content/uploads/2021/08/HRs-compatible-IIAs-report.pdf" TargetMode="External"/><Relationship Id="rId16" Type="http://schemas.openxmlformats.org/officeDocument/2006/relationships/hyperlink" Target="https://www.sc.com.my/api/documentms/download.ashx?id=1863d35d-9a34-4ccc-bf61-9f942b520b44" TargetMode="External"/><Relationship Id="rId20" Type="http://schemas.openxmlformats.org/officeDocument/2006/relationships/hyperlink" Target="https://www.cmfchile.cl/portal/prensa/615/articles-50356_presentacion_mariana.pdf" TargetMode="External"/><Relationship Id="rId29" Type="http://schemas.openxmlformats.org/officeDocument/2006/relationships/hyperlink" Target="https://www.bloomberg.com/graphics/2021-what-is-esg-investing-msci-ratings-focus-on-corporate-bottom-line/" TargetMode="External"/><Relationship Id="rId1" Type="http://schemas.openxmlformats.org/officeDocument/2006/relationships/hyperlink" Target="https://www.ohchr.org/sites/default/files/Documents/Issues/Business/UNGPsBHRnext10/debevoise.pdf" TargetMode="External"/><Relationship Id="rId6" Type="http://schemas.openxmlformats.org/officeDocument/2006/relationships/hyperlink" Target="https://rankingdigitalrights.org/mini-report/esg-data-needs-a-human-rights-upgrade/" TargetMode="External"/><Relationship Id="rId11" Type="http://schemas.openxmlformats.org/officeDocument/2006/relationships/hyperlink" Target="https://www.reuters.com/sustainability/us-sec-poised-ban-deceptive-esg-growth-fund-labels-2023-09-20/" TargetMode="External"/><Relationship Id="rId24" Type="http://schemas.openxmlformats.org/officeDocument/2006/relationships/hyperlink" Target="https://www.bis.org/publ/qtrpdf/r_qt2112f.pdf" TargetMode="External"/><Relationship Id="rId5" Type="http://schemas.openxmlformats.org/officeDocument/2006/relationships/hyperlink" Target="https://www.ft.com/content/79772342-d260-4dd5-b943-5e75bc27878c" TargetMode="External"/><Relationship Id="rId15" Type="http://schemas.openxmlformats.org/officeDocument/2006/relationships/hyperlink" Target="https://www.sebi.gov.in/legal/circulars/jul-2023/brsr-core-framework-for-assurance-and-esg-disclosures-for-value-chain_73854.html" TargetMode="External"/><Relationship Id="rId23" Type="http://schemas.openxmlformats.org/officeDocument/2006/relationships/hyperlink" Target="https://www.jse.co.za/our-business/sustainability/jses-sustainability-and-climate-disclosure-guidance" TargetMode="External"/><Relationship Id="rId28" Type="http://schemas.openxmlformats.org/officeDocument/2006/relationships/hyperlink" Target="https://www.theguardian.com/environment/2023/may/30/delta-air-lines-lawsuit-carbon-neutrality-aoe" TargetMode="External"/><Relationship Id="rId10" Type="http://schemas.openxmlformats.org/officeDocument/2006/relationships/hyperlink" Target="https://www.ft.com/content/53f84f03-1f1c-4240-977f-9de0e4893377" TargetMode="External"/><Relationship Id="rId19" Type="http://schemas.openxmlformats.org/officeDocument/2006/relationships/hyperlink" Target="https://www.worldbank.org/en/news/feature/2022/08/31/colombia-leading-the-path-to-sustainability-in-latin-america" TargetMode="External"/><Relationship Id="rId31" Type="http://schemas.openxmlformats.org/officeDocument/2006/relationships/hyperlink" Target="https://www.iisd.org/itn/en/2023/07/01/the-protocol-on-investment-to-the-agreement-establishing-the-african-continental-free-trade-area-whats-in-it-and-whats-next-for-the-continent/" TargetMode="External"/><Relationship Id="rId4" Type="http://schemas.openxmlformats.org/officeDocument/2006/relationships/hyperlink" Target="https://www.forbes.com/advisor/investing/esg-investing/" TargetMode="External"/><Relationship Id="rId9" Type="http://schemas.openxmlformats.org/officeDocument/2006/relationships/hyperlink" Target="https://www.ft.com/content/5b0d426a-87fe-4998-a3d6-3cf9f5669e6a" TargetMode="External"/><Relationship Id="rId14" Type="http://schemas.openxmlformats.org/officeDocument/2006/relationships/hyperlink" Target="https://www.greenfinanceplatform.org/policies-and-regulations/brazilian-securities-commissioncvms-resolution-no-59" TargetMode="External"/><Relationship Id="rId22" Type="http://schemas.openxmlformats.org/officeDocument/2006/relationships/hyperlink" Target="https://www.reuters.com/business/finance/more-african-countries-implementing-esg-finance-policies-study-2022-10-13/" TargetMode="External"/><Relationship Id="rId27" Type="http://schemas.openxmlformats.org/officeDocument/2006/relationships/hyperlink" Target="https://carbonmarketwatch.org/2022/02/28/hollow-corporate-promises-how-to-stop-false-climate-claims/" TargetMode="External"/><Relationship Id="rId30" Type="http://schemas.openxmlformats.org/officeDocument/2006/relationships/hyperlink" Target="https://www.southcentre.int/research-paper-138-october-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2FF2143-BDD1-49B9-854C-C4CFE83607C7}">
  <ds:schemaRefs>
    <ds:schemaRef ds:uri="http://schemas.openxmlformats.org/officeDocument/2006/bibliography"/>
  </ds:schemaRefs>
</ds:datastoreItem>
</file>

<file path=customXml/itemProps2.xml><?xml version="1.0" encoding="utf-8"?>
<ds:datastoreItem xmlns:ds="http://schemas.openxmlformats.org/officeDocument/2006/customXml" ds:itemID="{BEBDEFA9-4B3B-4766-B5E3-F9FB5F0ACE92}"/>
</file>

<file path=customXml/itemProps3.xml><?xml version="1.0" encoding="utf-8"?>
<ds:datastoreItem xmlns:ds="http://schemas.openxmlformats.org/officeDocument/2006/customXml" ds:itemID="{560ABABF-0471-4D9F-86D2-3D849360B633}"/>
</file>

<file path=customXml/itemProps4.xml><?xml version="1.0" encoding="utf-8"?>
<ds:datastoreItem xmlns:ds="http://schemas.openxmlformats.org/officeDocument/2006/customXml" ds:itemID="{B5F72FA5-86E8-42C7-99E2-81FA256F82B6}"/>
</file>

<file path=docProps/app.xml><?xml version="1.0" encoding="utf-8"?>
<Properties xmlns="http://schemas.openxmlformats.org/officeDocument/2006/extended-properties" xmlns:vt="http://schemas.openxmlformats.org/officeDocument/2006/docPropsVTypes">
  <Template>Normal</Template>
  <TotalTime>19</TotalTime>
  <Pages>8</Pages>
  <Words>2498</Words>
  <Characters>14543</Characters>
  <Application>Microsoft Office Word</Application>
  <DocSecurity>0</DocSecurity>
  <Lines>217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dc:creator>
  <cp:keywords/>
  <dc:description/>
  <cp:lastModifiedBy>Danish</cp:lastModifiedBy>
  <cp:revision>19</cp:revision>
  <dcterms:created xsi:type="dcterms:W3CDTF">2023-10-11T14:23:00Z</dcterms:created>
  <dcterms:modified xsi:type="dcterms:W3CDTF">2023-10-11T16:02:00Z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