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03E0" w:rsidRDefault="002C66DF">
      <w:pPr>
        <w:pBdr>
          <w:top w:val="single" w:sz="8" w:space="2" w:color="000000"/>
          <w:left w:val="single" w:sz="8" w:space="2" w:color="000000"/>
          <w:bottom w:val="single" w:sz="8" w:space="2" w:color="000000"/>
          <w:right w:val="single" w:sz="8" w:space="2" w:color="000000"/>
        </w:pBdr>
        <w:spacing w:after="240"/>
        <w:jc w:val="both"/>
        <w:rPr>
          <w:rFonts w:ascii="Calibri" w:eastAsia="Calibri" w:hAnsi="Calibri" w:cs="Calibri"/>
          <w:sz w:val="24"/>
          <w:szCs w:val="24"/>
        </w:rPr>
      </w:pPr>
      <w:r>
        <w:rPr>
          <w:rFonts w:ascii="Calibri" w:eastAsia="Calibri" w:hAnsi="Calibri" w:cs="Calibri"/>
          <w:b/>
          <w:sz w:val="24"/>
          <w:szCs w:val="24"/>
        </w:rPr>
        <w:t>Are there any specific recommendations to States, businesses (including investors), civil society, UN bodies and National Human Rights Institutions that would assist in ensuring that investors act compatibly with the UNGPs?</w:t>
      </w:r>
    </w:p>
    <w:p w14:paraId="00000002" w14:textId="43C71ABB" w:rsidR="007003E0" w:rsidRDefault="002C66DF">
      <w:pPr>
        <w:spacing w:after="240"/>
        <w:jc w:val="both"/>
        <w:rPr>
          <w:rFonts w:ascii="Calibri" w:eastAsia="Calibri" w:hAnsi="Calibri" w:cs="Calibri"/>
          <w:sz w:val="24"/>
          <w:szCs w:val="24"/>
        </w:rPr>
      </w:pPr>
      <w:r>
        <w:rPr>
          <w:rFonts w:ascii="Calibri" w:eastAsia="Calibri" w:hAnsi="Calibri" w:cs="Calibri"/>
          <w:sz w:val="24"/>
          <w:szCs w:val="24"/>
        </w:rPr>
        <w:t xml:space="preserve">We are making this submission </w:t>
      </w:r>
      <w:r w:rsidR="00CC243B">
        <w:rPr>
          <w:rFonts w:ascii="Calibri" w:eastAsia="Calibri" w:hAnsi="Calibri" w:cs="Calibri"/>
          <w:sz w:val="24"/>
          <w:szCs w:val="24"/>
        </w:rPr>
        <w:t xml:space="preserve">dated </w:t>
      </w:r>
      <w:r w:rsidR="00C00A16">
        <w:rPr>
          <w:rFonts w:ascii="Calibri" w:eastAsia="Calibri" w:hAnsi="Calibri" w:cs="Calibri"/>
          <w:sz w:val="24"/>
          <w:szCs w:val="24"/>
        </w:rPr>
        <w:t>12</w:t>
      </w:r>
      <w:r w:rsidR="00CC243B">
        <w:rPr>
          <w:rFonts w:ascii="Calibri" w:eastAsia="Calibri" w:hAnsi="Calibri" w:cs="Calibri"/>
          <w:sz w:val="24"/>
          <w:szCs w:val="24"/>
        </w:rPr>
        <w:t xml:space="preserve"> October 2023 </w:t>
      </w:r>
      <w:r>
        <w:rPr>
          <w:rFonts w:ascii="Calibri" w:eastAsia="Calibri" w:hAnsi="Calibri" w:cs="Calibri"/>
          <w:sz w:val="24"/>
          <w:szCs w:val="24"/>
        </w:rPr>
        <w:t xml:space="preserve">on behalf of the Transnational Justice Clinic, hosted at the Centre for Human Rights and Legal Pluralism at McGill University Faculty of Law. </w:t>
      </w:r>
    </w:p>
    <w:p w14:paraId="00000003" w14:textId="346B9984" w:rsidR="007003E0" w:rsidRDefault="002C66DF">
      <w:pPr>
        <w:spacing w:after="240"/>
        <w:jc w:val="both"/>
        <w:rPr>
          <w:rFonts w:ascii="Calibri" w:eastAsia="Calibri" w:hAnsi="Calibri" w:cs="Calibri"/>
          <w:sz w:val="24"/>
          <w:szCs w:val="24"/>
        </w:rPr>
      </w:pPr>
      <w:r>
        <w:rPr>
          <w:rFonts w:ascii="Calibri" w:eastAsia="Calibri" w:hAnsi="Calibri" w:cs="Calibri"/>
          <w:sz w:val="24"/>
          <w:szCs w:val="24"/>
        </w:rPr>
        <w:t>Under the Guiding Principles on Business and Human Rights (UNGPs), States have a duty to protect against human rights abuses by businesses within their jurisdiction</w:t>
      </w:r>
      <w:r w:rsidR="00D70BA1">
        <w:rPr>
          <w:rFonts w:ascii="Calibri" w:eastAsia="Calibri" w:hAnsi="Calibri" w:cs="Calibri"/>
          <w:sz w:val="24"/>
          <w:szCs w:val="24"/>
        </w:rPr>
        <w:t>.</w:t>
      </w:r>
      <w:r w:rsidRPr="00C00A16">
        <w:rPr>
          <w:rStyle w:val="FootnoteReference"/>
        </w:rPr>
        <w:footnoteReference w:id="1"/>
      </w:r>
      <w:r>
        <w:rPr>
          <w:rFonts w:ascii="Calibri" w:eastAsia="Calibri" w:hAnsi="Calibri" w:cs="Calibri"/>
          <w:sz w:val="24"/>
          <w:szCs w:val="24"/>
        </w:rPr>
        <w:t xml:space="preserve"> States can encourage UNGP-compatible investment decisions by shifting their legal norms from shareholder to stakeholder primacy. Our submission points to legislative and regulatory recommendations to foster this transition. These proposals aim to give investors additional flexibility to factor ESG into their decisions, notably by encouraging states to expand the fiduciary duty of directors and officers to include the long-term interests of the corporation and its stakeholders. Robust implementation of Human Rights Due Diligence mandates would also enable complementary accountability mechanisms. States may </w:t>
      </w:r>
      <w:r w:rsidR="00762664">
        <w:rPr>
          <w:rFonts w:ascii="Calibri" w:eastAsia="Calibri" w:hAnsi="Calibri" w:cs="Calibri"/>
          <w:sz w:val="24"/>
          <w:szCs w:val="24"/>
        </w:rPr>
        <w:t xml:space="preserve">further </w:t>
      </w:r>
      <w:r>
        <w:rPr>
          <w:rFonts w:ascii="Calibri" w:eastAsia="Calibri" w:hAnsi="Calibri" w:cs="Calibri"/>
          <w:sz w:val="24"/>
          <w:szCs w:val="24"/>
        </w:rPr>
        <w:t>incentivize compliance by limiting investor exposure to shareholder lawsuits and providing appropriate tax incentives.</w:t>
      </w:r>
      <w:r w:rsidR="00762664">
        <w:rPr>
          <w:rFonts w:ascii="Calibri" w:eastAsia="Calibri" w:hAnsi="Calibri" w:cs="Calibri"/>
          <w:sz w:val="24"/>
          <w:szCs w:val="24"/>
        </w:rPr>
        <w:t xml:space="preserve"> Finally, our submission stresses that investors need not wait for these legislative and regulatory recommendations to be implemented. </w:t>
      </w:r>
      <w:r w:rsidR="00963D41">
        <w:rPr>
          <w:rFonts w:ascii="Calibri" w:eastAsia="Calibri" w:hAnsi="Calibri" w:cs="Calibri"/>
          <w:sz w:val="24"/>
          <w:szCs w:val="24"/>
        </w:rPr>
        <w:t xml:space="preserve">Under the UNGPs, investors have a responsibility to respect human rights and to address any adverse impacts they are involved in. As such, they may adopt </w:t>
      </w:r>
      <w:proofErr w:type="gramStart"/>
      <w:r w:rsidR="00963D41">
        <w:rPr>
          <w:rFonts w:ascii="Calibri" w:eastAsia="Calibri" w:hAnsi="Calibri" w:cs="Calibri"/>
          <w:sz w:val="24"/>
          <w:szCs w:val="24"/>
        </w:rPr>
        <w:t>a number of</w:t>
      </w:r>
      <w:proofErr w:type="gramEnd"/>
      <w:r w:rsidR="00963D41">
        <w:rPr>
          <w:rFonts w:ascii="Calibri" w:eastAsia="Calibri" w:hAnsi="Calibri" w:cs="Calibri"/>
          <w:sz w:val="24"/>
          <w:szCs w:val="24"/>
        </w:rPr>
        <w:t xml:space="preserve"> good practices and further drive compliance.</w:t>
      </w:r>
    </w:p>
    <w:p w14:paraId="00000004" w14:textId="77777777" w:rsidR="007003E0" w:rsidRDefault="002C66DF">
      <w:pPr>
        <w:pStyle w:val="Heading1"/>
        <w:jc w:val="both"/>
        <w:rPr>
          <w:rFonts w:ascii="Calibri" w:eastAsia="Calibri" w:hAnsi="Calibri" w:cs="Calibri"/>
          <w:sz w:val="28"/>
          <w:szCs w:val="28"/>
        </w:rPr>
      </w:pPr>
      <w:r>
        <w:rPr>
          <w:rFonts w:ascii="Calibri" w:eastAsia="Calibri" w:hAnsi="Calibri" w:cs="Calibri"/>
          <w:sz w:val="28"/>
          <w:szCs w:val="28"/>
        </w:rPr>
        <w:t>Towards Stakeholder Primacy</w:t>
      </w:r>
    </w:p>
    <w:p w14:paraId="00000005" w14:textId="36224501" w:rsidR="007003E0" w:rsidRDefault="002C66DF">
      <w:pPr>
        <w:spacing w:after="240"/>
        <w:jc w:val="both"/>
        <w:rPr>
          <w:rFonts w:ascii="Calibri" w:eastAsia="Calibri" w:hAnsi="Calibri" w:cs="Calibri"/>
          <w:sz w:val="24"/>
          <w:szCs w:val="24"/>
        </w:rPr>
      </w:pPr>
      <w:r>
        <w:rPr>
          <w:rFonts w:ascii="Calibri" w:eastAsia="Calibri" w:hAnsi="Calibri" w:cs="Calibri"/>
          <w:sz w:val="24"/>
          <w:szCs w:val="24"/>
        </w:rPr>
        <w:t>To fulfill their international obligations, States must ensure that their laws and policies “do not constrain but enable business respect for human rights</w:t>
      </w:r>
      <w:r w:rsidR="00D70BA1">
        <w:rPr>
          <w:rFonts w:ascii="Calibri" w:eastAsia="Calibri" w:hAnsi="Calibri" w:cs="Calibri"/>
          <w:sz w:val="24"/>
          <w:szCs w:val="24"/>
        </w:rPr>
        <w:t>.</w:t>
      </w:r>
      <w:r>
        <w:rPr>
          <w:rFonts w:ascii="Calibri" w:eastAsia="Calibri" w:hAnsi="Calibri" w:cs="Calibri"/>
          <w:sz w:val="24"/>
          <w:szCs w:val="24"/>
        </w:rPr>
        <w:t>”</w:t>
      </w:r>
      <w:r w:rsidRPr="00C00A16">
        <w:rPr>
          <w:rStyle w:val="FootnoteReference"/>
        </w:rPr>
        <w:footnoteReference w:id="2"/>
      </w:r>
      <w:r>
        <w:rPr>
          <w:rFonts w:ascii="Calibri" w:eastAsia="Calibri" w:hAnsi="Calibri" w:cs="Calibri"/>
          <w:sz w:val="24"/>
          <w:szCs w:val="24"/>
        </w:rPr>
        <w:t xml:space="preserve"> State norms that lead corporations to prioritize shareholder wealth over all other concerns are incompatible with this principle. </w:t>
      </w:r>
    </w:p>
    <w:p w14:paraId="00000006" w14:textId="2281EDC7" w:rsidR="007003E0" w:rsidRDefault="002C66DF">
      <w:pPr>
        <w:spacing w:after="240"/>
        <w:jc w:val="both"/>
        <w:rPr>
          <w:rFonts w:ascii="Calibri" w:eastAsia="Calibri" w:hAnsi="Calibri" w:cs="Calibri"/>
          <w:sz w:val="24"/>
          <w:szCs w:val="24"/>
        </w:rPr>
      </w:pPr>
      <w:r>
        <w:rPr>
          <w:rFonts w:ascii="Calibri" w:eastAsia="Calibri" w:hAnsi="Calibri" w:cs="Calibri"/>
          <w:sz w:val="24"/>
          <w:szCs w:val="24"/>
        </w:rPr>
        <w:t>Shareholder primacy gears corporate decision-making towards maximizing shareholder wealth. On the other hand, stakeholder primacy considers a broader range of actors in determining corporations’ interests. This emerging approach aims to facilitate the prevention of human rights harms as well as climate-related risks</w:t>
      </w:r>
      <w:r w:rsidR="00D70BA1">
        <w:rPr>
          <w:rFonts w:ascii="Calibri" w:eastAsia="Calibri" w:hAnsi="Calibri" w:cs="Calibri"/>
          <w:sz w:val="24"/>
          <w:szCs w:val="24"/>
        </w:rPr>
        <w:t>.</w:t>
      </w:r>
      <w:r w:rsidRPr="00C00A16">
        <w:rPr>
          <w:rStyle w:val="FootnoteReference"/>
        </w:rPr>
        <w:footnoteReference w:id="3"/>
      </w:r>
    </w:p>
    <w:p w14:paraId="00000007" w14:textId="1672E458" w:rsidR="007003E0" w:rsidRDefault="002C66DF">
      <w:pPr>
        <w:spacing w:after="240"/>
        <w:jc w:val="both"/>
        <w:rPr>
          <w:rFonts w:ascii="Calibri" w:eastAsia="Calibri" w:hAnsi="Calibri" w:cs="Calibri"/>
          <w:sz w:val="24"/>
          <w:szCs w:val="24"/>
        </w:rPr>
      </w:pPr>
      <w:r>
        <w:rPr>
          <w:rFonts w:ascii="Calibri" w:eastAsia="Calibri" w:hAnsi="Calibri" w:cs="Calibri"/>
          <w:sz w:val="24"/>
          <w:szCs w:val="24"/>
        </w:rPr>
        <w:lastRenderedPageBreak/>
        <w:t>Traditional understandings of investors’ fiduciary duty promote shareholder primacy by equating a corporation’s interests with those of its shareholders</w:t>
      </w:r>
      <w:r w:rsidR="00D70BA1">
        <w:rPr>
          <w:rFonts w:ascii="Calibri" w:eastAsia="Calibri" w:hAnsi="Calibri" w:cs="Calibri"/>
          <w:sz w:val="24"/>
          <w:szCs w:val="24"/>
        </w:rPr>
        <w:t>.</w:t>
      </w:r>
      <w:r w:rsidRPr="00C00A16">
        <w:rPr>
          <w:rStyle w:val="FootnoteReference"/>
        </w:rPr>
        <w:footnoteReference w:id="4"/>
      </w:r>
      <w:r>
        <w:rPr>
          <w:rFonts w:ascii="Calibri" w:eastAsia="Calibri" w:hAnsi="Calibri" w:cs="Calibri"/>
          <w:sz w:val="24"/>
          <w:szCs w:val="24"/>
        </w:rPr>
        <w:t xml:space="preserve"> A growing body of evidence undermines the notion that sound investments must favour short-term shareholder value over all other interests. This is what some authors call the “business case” for social and environmental corporate purpose</w:t>
      </w:r>
      <w:r w:rsidR="00D70BA1">
        <w:rPr>
          <w:rFonts w:ascii="Calibri" w:eastAsia="Calibri" w:hAnsi="Calibri" w:cs="Calibri"/>
          <w:sz w:val="24"/>
          <w:szCs w:val="24"/>
        </w:rPr>
        <w:t>.</w:t>
      </w:r>
      <w:r w:rsidRPr="00C00A16">
        <w:rPr>
          <w:rStyle w:val="FootnoteReference"/>
        </w:rPr>
        <w:footnoteReference w:id="5"/>
      </w:r>
    </w:p>
    <w:p w14:paraId="00000008" w14:textId="5CB18033" w:rsidR="007003E0" w:rsidRDefault="002C66DF">
      <w:pPr>
        <w:spacing w:after="240"/>
        <w:jc w:val="both"/>
        <w:rPr>
          <w:rFonts w:ascii="Calibri" w:eastAsia="Calibri" w:hAnsi="Calibri" w:cs="Calibri"/>
          <w:sz w:val="24"/>
          <w:szCs w:val="24"/>
        </w:rPr>
      </w:pPr>
      <w:r>
        <w:rPr>
          <w:rFonts w:ascii="Calibri" w:eastAsia="Calibri" w:hAnsi="Calibri" w:cs="Calibri"/>
          <w:sz w:val="24"/>
          <w:szCs w:val="24"/>
        </w:rPr>
        <w:t>However, the business case alone does not do enough to promote compliance with the UNGPs. Indeed, a fiduciary duty  confined to shareholders’ interests may not allow investors to meaningfully account for other considerations. If investment decisions that account for social and environmental concerns are less profitable in the short term, they may still be challenged as a breach of investors’ fiduciary duty</w:t>
      </w:r>
      <w:r w:rsidR="00D70BA1">
        <w:rPr>
          <w:rFonts w:ascii="Calibri" w:eastAsia="Calibri" w:hAnsi="Calibri" w:cs="Calibri"/>
          <w:sz w:val="24"/>
          <w:szCs w:val="24"/>
        </w:rPr>
        <w:t>.</w:t>
      </w:r>
      <w:r w:rsidRPr="00C00A16">
        <w:rPr>
          <w:rStyle w:val="FootnoteReference"/>
        </w:rPr>
        <w:footnoteReference w:id="6"/>
      </w:r>
      <w:r>
        <w:rPr>
          <w:rFonts w:ascii="Calibri" w:eastAsia="Calibri" w:hAnsi="Calibri" w:cs="Calibri"/>
          <w:sz w:val="24"/>
          <w:szCs w:val="24"/>
        </w:rPr>
        <w:t xml:space="preserve"> It is crucial that evolutions in the legal infrastructure of corporations be part of the effort to promote the UNGPs.</w:t>
      </w:r>
    </w:p>
    <w:p w14:paraId="00000009" w14:textId="77777777" w:rsidR="007003E0" w:rsidRDefault="002C66DF">
      <w:pPr>
        <w:pStyle w:val="Heading1"/>
        <w:jc w:val="both"/>
        <w:rPr>
          <w:rFonts w:ascii="Calibri" w:eastAsia="Calibri" w:hAnsi="Calibri" w:cs="Calibri"/>
          <w:sz w:val="28"/>
          <w:szCs w:val="28"/>
        </w:rPr>
      </w:pPr>
      <w:r>
        <w:rPr>
          <w:rFonts w:ascii="Calibri" w:eastAsia="Calibri" w:hAnsi="Calibri" w:cs="Calibri"/>
          <w:sz w:val="28"/>
          <w:szCs w:val="28"/>
        </w:rPr>
        <w:t>Expanding the Fiduciary Duty</w:t>
      </w:r>
    </w:p>
    <w:p w14:paraId="0000000A" w14:textId="53F7F5F3" w:rsidR="007003E0" w:rsidRDefault="002C66DF">
      <w:pPr>
        <w:spacing w:after="240"/>
        <w:jc w:val="both"/>
        <w:rPr>
          <w:rFonts w:ascii="Calibri" w:eastAsia="Calibri" w:hAnsi="Calibri" w:cs="Calibri"/>
          <w:sz w:val="24"/>
          <w:szCs w:val="24"/>
        </w:rPr>
      </w:pPr>
      <w:r>
        <w:rPr>
          <w:rFonts w:ascii="Calibri" w:eastAsia="Calibri" w:hAnsi="Calibri" w:cs="Calibri"/>
          <w:sz w:val="24"/>
          <w:szCs w:val="24"/>
        </w:rPr>
        <w:t>States can encourage sustainable, UNGP-compliant investments by broadening their legal definitions of the fiduciary duty. This expansion would align with the international community’s calls on the private sector to help address global concerns</w:t>
      </w:r>
      <w:r w:rsidR="00D70BA1">
        <w:rPr>
          <w:rFonts w:ascii="Calibri" w:eastAsia="Calibri" w:hAnsi="Calibri" w:cs="Calibri"/>
          <w:sz w:val="24"/>
          <w:szCs w:val="24"/>
        </w:rPr>
        <w:t>.</w:t>
      </w:r>
      <w:r w:rsidRPr="00C00A16">
        <w:rPr>
          <w:rStyle w:val="FootnoteReference"/>
        </w:rPr>
        <w:footnoteReference w:id="7"/>
      </w:r>
      <w:r>
        <w:rPr>
          <w:rFonts w:ascii="Calibri" w:eastAsia="Calibri" w:hAnsi="Calibri" w:cs="Calibri"/>
          <w:sz w:val="24"/>
          <w:szCs w:val="24"/>
        </w:rPr>
        <w:t xml:space="preserve"> Consequently, States should adapt their laws to accommodate corporations’ societal responsibility and better shift investor activity towards corporate sustainability.</w:t>
      </w:r>
    </w:p>
    <w:p w14:paraId="0000000B" w14:textId="324CF3E1" w:rsidR="007003E0" w:rsidRDefault="002C66DF">
      <w:pPr>
        <w:spacing w:after="240"/>
        <w:jc w:val="both"/>
        <w:rPr>
          <w:rFonts w:ascii="Calibri" w:eastAsia="Calibri" w:hAnsi="Calibri" w:cs="Calibri"/>
          <w:sz w:val="24"/>
          <w:szCs w:val="24"/>
        </w:rPr>
      </w:pPr>
      <w:r>
        <w:rPr>
          <w:rFonts w:ascii="Calibri" w:eastAsia="Calibri" w:hAnsi="Calibri" w:cs="Calibri"/>
          <w:sz w:val="24"/>
          <w:szCs w:val="24"/>
        </w:rPr>
        <w:t>The fiduciary duty of directors and officers should encompass the interests of a wider array of stakeholders, alongside those of shareholders. Legislative action in this direction can contribute to the prevention of both environmental and human rights harms, in alignment with the UNGPs</w:t>
      </w:r>
      <w:r w:rsidR="00D70BA1">
        <w:rPr>
          <w:rFonts w:ascii="Calibri" w:eastAsia="Calibri" w:hAnsi="Calibri" w:cs="Calibri"/>
          <w:sz w:val="24"/>
          <w:szCs w:val="24"/>
        </w:rPr>
        <w:t>.</w:t>
      </w:r>
      <w:r w:rsidRPr="00C00A16">
        <w:rPr>
          <w:rStyle w:val="FootnoteReference"/>
        </w:rPr>
        <w:footnoteReference w:id="8"/>
      </w:r>
      <w:r>
        <w:rPr>
          <w:rFonts w:ascii="Calibri" w:eastAsia="Calibri" w:hAnsi="Calibri" w:cs="Calibri"/>
          <w:sz w:val="24"/>
          <w:szCs w:val="24"/>
        </w:rPr>
        <w:t xml:space="preserve"> Broader fiduciary considerations should incentivize or – in some cases – require institutional investors to place the social and environmental interests of their beneficiaries above portfolio returns</w:t>
      </w:r>
      <w:r w:rsidR="00D70BA1">
        <w:rPr>
          <w:rFonts w:ascii="Calibri" w:eastAsia="Calibri" w:hAnsi="Calibri" w:cs="Calibri"/>
          <w:sz w:val="24"/>
          <w:szCs w:val="24"/>
        </w:rPr>
        <w:t>.</w:t>
      </w:r>
      <w:r w:rsidRPr="00C00A16">
        <w:rPr>
          <w:rStyle w:val="FootnoteReference"/>
        </w:rPr>
        <w:footnoteReference w:id="9"/>
      </w:r>
    </w:p>
    <w:p w14:paraId="0000000C" w14:textId="77777777" w:rsidR="007003E0" w:rsidRDefault="002C66DF">
      <w:pPr>
        <w:pStyle w:val="Heading1"/>
        <w:jc w:val="both"/>
        <w:rPr>
          <w:rFonts w:ascii="Calibri" w:eastAsia="Calibri" w:hAnsi="Calibri" w:cs="Calibri"/>
          <w:sz w:val="28"/>
          <w:szCs w:val="28"/>
        </w:rPr>
      </w:pPr>
      <w:r>
        <w:rPr>
          <w:rFonts w:ascii="Calibri" w:eastAsia="Calibri" w:hAnsi="Calibri" w:cs="Calibri"/>
          <w:sz w:val="28"/>
          <w:szCs w:val="28"/>
        </w:rPr>
        <w:lastRenderedPageBreak/>
        <w:t>From Shareholder to Company Interests</w:t>
      </w:r>
    </w:p>
    <w:p w14:paraId="0000000D" w14:textId="03411E76" w:rsidR="007003E0" w:rsidRDefault="002C66DF">
      <w:pPr>
        <w:spacing w:after="240"/>
        <w:jc w:val="both"/>
        <w:rPr>
          <w:rFonts w:ascii="Calibri" w:eastAsia="Calibri" w:hAnsi="Calibri" w:cs="Calibri"/>
          <w:sz w:val="24"/>
          <w:szCs w:val="24"/>
        </w:rPr>
      </w:pPr>
      <w:r>
        <w:rPr>
          <w:rFonts w:ascii="Calibri" w:eastAsia="Calibri" w:hAnsi="Calibri" w:cs="Calibri"/>
          <w:sz w:val="24"/>
          <w:szCs w:val="24"/>
        </w:rPr>
        <w:t>Several States have amended their corporate law to make room for the consideration of stakeholder issues. However, the drafting of these provisions may limit their beneficial effects on UNGP compliance</w:t>
      </w:r>
      <w:r w:rsidR="00D70BA1">
        <w:rPr>
          <w:rFonts w:ascii="Calibri" w:eastAsia="Calibri" w:hAnsi="Calibri" w:cs="Calibri"/>
          <w:sz w:val="24"/>
          <w:szCs w:val="24"/>
        </w:rPr>
        <w:t>.</w:t>
      </w:r>
      <w:r w:rsidRPr="00C00A16">
        <w:rPr>
          <w:rStyle w:val="FootnoteReference"/>
        </w:rPr>
        <w:footnoteReference w:id="10"/>
      </w:r>
      <w:r>
        <w:rPr>
          <w:rFonts w:ascii="Calibri" w:eastAsia="Calibri" w:hAnsi="Calibri" w:cs="Calibri"/>
          <w:sz w:val="24"/>
          <w:szCs w:val="24"/>
        </w:rPr>
        <w:t xml:space="preserve"> For example, fiduciary duty regulations in the United Kingdom now obligate directors to account for stakeholder interests, but still designate shareholders as the ultimate beneficiaries. The result is that directors’ acts, including investment decisions, may consider broader interests only for the benefit of shareholders</w:t>
      </w:r>
      <w:r w:rsidR="00D70BA1">
        <w:rPr>
          <w:rFonts w:ascii="Calibri" w:eastAsia="Calibri" w:hAnsi="Calibri" w:cs="Calibri"/>
          <w:sz w:val="24"/>
          <w:szCs w:val="24"/>
        </w:rPr>
        <w:t>.</w:t>
      </w:r>
      <w:r w:rsidRPr="00C00A16">
        <w:rPr>
          <w:rStyle w:val="FootnoteReference"/>
        </w:rPr>
        <w:footnoteReference w:id="11"/>
      </w:r>
    </w:p>
    <w:p w14:paraId="0000000E" w14:textId="7C3DDAE5" w:rsidR="007003E0" w:rsidRDefault="002C66DF">
      <w:pPr>
        <w:spacing w:after="240"/>
        <w:jc w:val="both"/>
        <w:rPr>
          <w:rFonts w:ascii="Calibri" w:eastAsia="Calibri" w:hAnsi="Calibri" w:cs="Calibri"/>
          <w:sz w:val="24"/>
          <w:szCs w:val="24"/>
        </w:rPr>
      </w:pPr>
      <w:r>
        <w:rPr>
          <w:rFonts w:ascii="Calibri" w:eastAsia="Calibri" w:hAnsi="Calibri" w:cs="Calibri"/>
          <w:sz w:val="24"/>
          <w:szCs w:val="24"/>
        </w:rPr>
        <w:t>Other States have gone further by obligating directors to prioritize “the best interests of the company”. In Canada, for instance, directors owe a duty to the corporation, and not only its shareholders. Canadian corporate law further empowers directors and officers to consider multiple stakeholder interests in their decisions, including workers and the environment</w:t>
      </w:r>
      <w:r w:rsidR="00D70BA1">
        <w:rPr>
          <w:rFonts w:ascii="Calibri" w:eastAsia="Calibri" w:hAnsi="Calibri" w:cs="Calibri"/>
          <w:sz w:val="24"/>
          <w:szCs w:val="24"/>
        </w:rPr>
        <w:t>.</w:t>
      </w:r>
      <w:r w:rsidRPr="00C00A16">
        <w:rPr>
          <w:rStyle w:val="FootnoteReference"/>
        </w:rPr>
        <w:footnoteReference w:id="12"/>
      </w:r>
    </w:p>
    <w:p w14:paraId="0000000F" w14:textId="3DC7C81B" w:rsidR="007003E0" w:rsidRDefault="002C66DF">
      <w:pPr>
        <w:spacing w:after="240"/>
        <w:jc w:val="both"/>
        <w:rPr>
          <w:rFonts w:ascii="Calibri" w:eastAsia="Calibri" w:hAnsi="Calibri" w:cs="Calibri"/>
          <w:sz w:val="24"/>
          <w:szCs w:val="24"/>
        </w:rPr>
      </w:pPr>
      <w:r>
        <w:rPr>
          <w:rFonts w:ascii="Calibri" w:eastAsia="Calibri" w:hAnsi="Calibri" w:cs="Calibri"/>
          <w:sz w:val="24"/>
          <w:szCs w:val="24"/>
        </w:rPr>
        <w:t>This broadened fiduciary duty requires directors to safeguard the long-term viability of the corporation even if this conflicts with maximizing shareholder wealth. Such a move away from shareholder primacy may therefore incentivize decisions, including investments, that account for a broader range of social and environmental interests</w:t>
      </w:r>
      <w:r w:rsidR="00F93A2A">
        <w:rPr>
          <w:rFonts w:ascii="Calibri" w:eastAsia="Calibri" w:hAnsi="Calibri" w:cs="Calibri"/>
          <w:sz w:val="24"/>
          <w:szCs w:val="24"/>
        </w:rPr>
        <w:t>.</w:t>
      </w:r>
      <w:r w:rsidRPr="00C00A16">
        <w:rPr>
          <w:rStyle w:val="FootnoteReference"/>
        </w:rPr>
        <w:footnoteReference w:id="13"/>
      </w:r>
    </w:p>
    <w:p w14:paraId="00000010" w14:textId="77777777" w:rsidR="007003E0" w:rsidRDefault="002C66DF">
      <w:pPr>
        <w:pStyle w:val="Heading1"/>
        <w:jc w:val="both"/>
        <w:rPr>
          <w:rFonts w:ascii="Calibri" w:eastAsia="Calibri" w:hAnsi="Calibri" w:cs="Calibri"/>
          <w:sz w:val="28"/>
          <w:szCs w:val="28"/>
        </w:rPr>
      </w:pPr>
      <w:r>
        <w:rPr>
          <w:rFonts w:ascii="Calibri" w:eastAsia="Calibri" w:hAnsi="Calibri" w:cs="Calibri"/>
          <w:sz w:val="28"/>
          <w:szCs w:val="28"/>
        </w:rPr>
        <w:t>Limits of Investor Discretion</w:t>
      </w:r>
    </w:p>
    <w:p w14:paraId="00000011" w14:textId="5FC8B4EF" w:rsidR="007003E0" w:rsidRDefault="002C66DF">
      <w:pPr>
        <w:spacing w:after="240"/>
        <w:jc w:val="both"/>
        <w:rPr>
          <w:rFonts w:ascii="Calibri" w:eastAsia="Calibri" w:hAnsi="Calibri" w:cs="Calibri"/>
          <w:sz w:val="24"/>
          <w:szCs w:val="24"/>
        </w:rPr>
      </w:pPr>
      <w:r>
        <w:rPr>
          <w:rFonts w:ascii="Calibri" w:eastAsia="Calibri" w:hAnsi="Calibri" w:cs="Calibri"/>
          <w:sz w:val="24"/>
          <w:szCs w:val="24"/>
        </w:rPr>
        <w:t>While welcoming these changes, scholars have cautioned against confining stakeholder primacy to a discretionary status</w:t>
      </w:r>
      <w:r w:rsidR="00D70BA1">
        <w:rPr>
          <w:rFonts w:ascii="Calibri" w:eastAsia="Calibri" w:hAnsi="Calibri" w:cs="Calibri"/>
          <w:sz w:val="24"/>
          <w:szCs w:val="24"/>
        </w:rPr>
        <w:t>.</w:t>
      </w:r>
      <w:r w:rsidRPr="00C00A16">
        <w:rPr>
          <w:rStyle w:val="FootnoteReference"/>
        </w:rPr>
        <w:footnoteReference w:id="14"/>
      </w:r>
      <w:r>
        <w:rPr>
          <w:rFonts w:ascii="Calibri" w:eastAsia="Calibri" w:hAnsi="Calibri" w:cs="Calibri"/>
          <w:sz w:val="24"/>
          <w:szCs w:val="24"/>
        </w:rPr>
        <w:t xml:space="preserve"> Indeed, Canadian law allows directors the flexibility to consider adverse environmental and social impacts, but also to ignore them if doing so does not contravene other legal requirements.</w:t>
      </w:r>
    </w:p>
    <w:p w14:paraId="00000012" w14:textId="242F66CE" w:rsidR="007003E0" w:rsidRDefault="002C66DF">
      <w:pPr>
        <w:jc w:val="both"/>
        <w:rPr>
          <w:rFonts w:ascii="Calibri" w:eastAsia="Calibri" w:hAnsi="Calibri" w:cs="Calibri"/>
          <w:sz w:val="24"/>
          <w:szCs w:val="24"/>
        </w:rPr>
      </w:pPr>
      <w:r>
        <w:rPr>
          <w:rFonts w:ascii="Calibri" w:eastAsia="Calibri" w:hAnsi="Calibri" w:cs="Calibri"/>
          <w:sz w:val="24"/>
          <w:szCs w:val="24"/>
        </w:rPr>
        <w:t>Some authors therefore recommend that States mandate, rather than simply allow, consideration of long-term stakeholder impacts</w:t>
      </w:r>
      <w:r w:rsidR="00D70BA1">
        <w:rPr>
          <w:rFonts w:ascii="Calibri" w:eastAsia="Calibri" w:hAnsi="Calibri" w:cs="Calibri"/>
          <w:sz w:val="24"/>
          <w:szCs w:val="24"/>
        </w:rPr>
        <w:t>.</w:t>
      </w:r>
      <w:r w:rsidRPr="00C00A16">
        <w:rPr>
          <w:rStyle w:val="FootnoteReference"/>
        </w:rPr>
        <w:footnoteReference w:id="15"/>
      </w:r>
      <w:r>
        <w:rPr>
          <w:rFonts w:ascii="Calibri" w:eastAsia="Calibri" w:hAnsi="Calibri" w:cs="Calibri"/>
          <w:sz w:val="24"/>
          <w:szCs w:val="24"/>
        </w:rPr>
        <w:t xml:space="preserve"> This more ambitious model forms the basis for the European Union’s proposed Directive on corporate sustainability due diligence</w:t>
      </w:r>
      <w:r w:rsidR="00D70BA1">
        <w:rPr>
          <w:rFonts w:ascii="Calibri" w:eastAsia="Calibri" w:hAnsi="Calibri" w:cs="Calibri"/>
          <w:sz w:val="24"/>
          <w:szCs w:val="24"/>
        </w:rPr>
        <w:t>.</w:t>
      </w:r>
      <w:r w:rsidRPr="00C00A16">
        <w:rPr>
          <w:rStyle w:val="FootnoteReference"/>
        </w:rPr>
        <w:footnoteReference w:id="16"/>
      </w:r>
      <w:r>
        <w:rPr>
          <w:rFonts w:ascii="Calibri" w:eastAsia="Calibri" w:hAnsi="Calibri" w:cs="Calibri"/>
          <w:sz w:val="24"/>
          <w:szCs w:val="24"/>
        </w:rPr>
        <w:t xml:space="preserve"> A firmer approach could help to incentivize environmentally and socially responsible investments. However, it also comes with political drawbacks due to opposition by corporate actors, as evidenced by the lengthy negotiation process surrounding the EU Directive</w:t>
      </w:r>
      <w:r w:rsidRPr="00C00A16">
        <w:rPr>
          <w:rStyle w:val="FootnoteReference"/>
        </w:rPr>
        <w:footnoteReference w:id="17"/>
      </w:r>
      <w:r>
        <w:rPr>
          <w:rFonts w:ascii="Calibri" w:eastAsia="Calibri" w:hAnsi="Calibri" w:cs="Calibri"/>
          <w:sz w:val="24"/>
          <w:szCs w:val="24"/>
        </w:rPr>
        <w:t>.</w:t>
      </w:r>
    </w:p>
    <w:p w14:paraId="00000013" w14:textId="77777777" w:rsidR="007003E0" w:rsidRDefault="002C66DF">
      <w:pPr>
        <w:pStyle w:val="Heading1"/>
        <w:jc w:val="both"/>
        <w:rPr>
          <w:rFonts w:ascii="Calibri" w:eastAsia="Calibri" w:hAnsi="Calibri" w:cs="Calibri"/>
          <w:sz w:val="28"/>
          <w:szCs w:val="28"/>
        </w:rPr>
      </w:pPr>
      <w:r>
        <w:rPr>
          <w:rFonts w:ascii="Calibri" w:eastAsia="Calibri" w:hAnsi="Calibri" w:cs="Calibri"/>
          <w:sz w:val="28"/>
          <w:szCs w:val="28"/>
        </w:rPr>
        <w:lastRenderedPageBreak/>
        <w:t>Human Rights Due Diligence and Accountability</w:t>
      </w:r>
    </w:p>
    <w:p w14:paraId="00000014" w14:textId="07A7765F" w:rsidR="007003E0" w:rsidRDefault="002C66DF">
      <w:pPr>
        <w:spacing w:after="240"/>
        <w:jc w:val="both"/>
        <w:rPr>
          <w:rFonts w:ascii="Calibri" w:eastAsia="Calibri" w:hAnsi="Calibri" w:cs="Calibri"/>
          <w:sz w:val="24"/>
          <w:szCs w:val="24"/>
        </w:rPr>
      </w:pPr>
      <w:r>
        <w:rPr>
          <w:rFonts w:ascii="Calibri" w:eastAsia="Calibri" w:hAnsi="Calibri" w:cs="Calibri"/>
          <w:sz w:val="24"/>
          <w:szCs w:val="24"/>
        </w:rPr>
        <w:t>While amendments to the fiduciary duty target high-level corporate governance, enhanced due diligence requirements can foster alignment with the UNGPs in a wider range of investment decisions</w:t>
      </w:r>
      <w:r w:rsidRPr="00C00A16">
        <w:rPr>
          <w:rStyle w:val="FootnoteReference"/>
        </w:rPr>
        <w:footnoteReference w:id="18"/>
      </w:r>
      <w:r>
        <w:rPr>
          <w:rFonts w:ascii="Calibri" w:eastAsia="Calibri" w:hAnsi="Calibri" w:cs="Calibri"/>
          <w:sz w:val="24"/>
          <w:szCs w:val="24"/>
        </w:rPr>
        <w:t>. HRDD provides guidance to businesses in fulfilling their responsibility to prevent human rights abuses</w:t>
      </w:r>
      <w:r w:rsidR="00D70BA1">
        <w:rPr>
          <w:rFonts w:ascii="Calibri" w:eastAsia="Calibri" w:hAnsi="Calibri" w:cs="Calibri"/>
          <w:sz w:val="24"/>
          <w:szCs w:val="24"/>
        </w:rPr>
        <w:t>.</w:t>
      </w:r>
      <w:r w:rsidRPr="00C00A16">
        <w:rPr>
          <w:rStyle w:val="FootnoteReference"/>
        </w:rPr>
        <w:footnoteReference w:id="19"/>
      </w:r>
      <w:r>
        <w:rPr>
          <w:rFonts w:ascii="Calibri" w:eastAsia="Calibri" w:hAnsi="Calibri" w:cs="Calibri"/>
          <w:sz w:val="24"/>
          <w:szCs w:val="24"/>
        </w:rPr>
        <w:t xml:space="preserve"> Authors and case law suggest that HRDD helps to address environmental and governance concerns in addition to social factors</w:t>
      </w:r>
      <w:r w:rsidR="00D70BA1">
        <w:rPr>
          <w:rFonts w:ascii="Calibri" w:eastAsia="Calibri" w:hAnsi="Calibri" w:cs="Calibri"/>
          <w:sz w:val="24"/>
          <w:szCs w:val="24"/>
        </w:rPr>
        <w:t>.</w:t>
      </w:r>
      <w:r w:rsidRPr="00C00A16">
        <w:rPr>
          <w:rStyle w:val="FootnoteReference"/>
        </w:rPr>
        <w:footnoteReference w:id="20"/>
      </w:r>
      <w:r>
        <w:rPr>
          <w:rFonts w:ascii="Calibri" w:eastAsia="Calibri" w:hAnsi="Calibri" w:cs="Calibri"/>
          <w:sz w:val="24"/>
          <w:szCs w:val="24"/>
        </w:rPr>
        <w:t xml:space="preserve"> Effective directives can achieve these goals through the inclusion of stakeholder perspectives, performance monitoring, and public disclosures</w:t>
      </w:r>
      <w:r w:rsidR="00D70BA1">
        <w:rPr>
          <w:rFonts w:ascii="Calibri" w:eastAsia="Calibri" w:hAnsi="Calibri" w:cs="Calibri"/>
          <w:sz w:val="24"/>
          <w:szCs w:val="24"/>
        </w:rPr>
        <w:t>.</w:t>
      </w:r>
      <w:r w:rsidRPr="00C00A16">
        <w:rPr>
          <w:rStyle w:val="FootnoteReference"/>
        </w:rPr>
        <w:footnoteReference w:id="21"/>
      </w:r>
      <w:r>
        <w:rPr>
          <w:rFonts w:ascii="Calibri" w:eastAsia="Calibri" w:hAnsi="Calibri" w:cs="Calibri"/>
          <w:sz w:val="24"/>
          <w:szCs w:val="24"/>
        </w:rPr>
        <w:t xml:space="preserve"> As in the climate context, regulatory and public disclosure requirements lead to increased accountability and informed investment decisions</w:t>
      </w:r>
      <w:r w:rsidR="00D70BA1">
        <w:rPr>
          <w:rFonts w:ascii="Calibri" w:eastAsia="Calibri" w:hAnsi="Calibri" w:cs="Calibri"/>
          <w:sz w:val="24"/>
          <w:szCs w:val="24"/>
        </w:rPr>
        <w:t>.</w:t>
      </w:r>
      <w:r w:rsidRPr="00C00A16">
        <w:rPr>
          <w:rStyle w:val="FootnoteReference"/>
        </w:rPr>
        <w:footnoteReference w:id="22"/>
      </w:r>
      <w:r>
        <w:rPr>
          <w:rFonts w:ascii="Calibri" w:eastAsia="Calibri" w:hAnsi="Calibri" w:cs="Calibri"/>
          <w:sz w:val="24"/>
          <w:szCs w:val="24"/>
        </w:rPr>
        <w:t xml:space="preserve"> As </w:t>
      </w:r>
      <w:r w:rsidR="00D70BA1">
        <w:rPr>
          <w:rFonts w:ascii="Calibri" w:eastAsia="Calibri" w:hAnsi="Calibri" w:cs="Calibri"/>
          <w:sz w:val="24"/>
          <w:szCs w:val="24"/>
        </w:rPr>
        <w:t>States</w:t>
      </w:r>
      <w:r>
        <w:rPr>
          <w:rFonts w:ascii="Calibri" w:eastAsia="Calibri" w:hAnsi="Calibri" w:cs="Calibri"/>
          <w:sz w:val="24"/>
          <w:szCs w:val="24"/>
        </w:rPr>
        <w:t xml:space="preserve"> implement HRDD regulations, </w:t>
      </w:r>
      <w:r w:rsidR="00D70BA1">
        <w:rPr>
          <w:rFonts w:ascii="Calibri" w:eastAsia="Calibri" w:hAnsi="Calibri" w:cs="Calibri"/>
          <w:sz w:val="24"/>
          <w:szCs w:val="24"/>
        </w:rPr>
        <w:t>they</w:t>
      </w:r>
      <w:r>
        <w:rPr>
          <w:rFonts w:ascii="Calibri" w:eastAsia="Calibri" w:hAnsi="Calibri" w:cs="Calibri"/>
          <w:sz w:val="24"/>
          <w:szCs w:val="24"/>
        </w:rPr>
        <w:t xml:space="preserve"> thus have an opportunity to encourage or mandate transparency by corporate actors, as prescribed by the UNGPs</w:t>
      </w:r>
      <w:r w:rsidRPr="00C00A16">
        <w:rPr>
          <w:rStyle w:val="FootnoteReference"/>
        </w:rPr>
        <w:footnoteReference w:id="23"/>
      </w:r>
      <w:r>
        <w:rPr>
          <w:rFonts w:ascii="Calibri" w:eastAsia="Calibri" w:hAnsi="Calibri" w:cs="Calibri"/>
          <w:sz w:val="24"/>
          <w:szCs w:val="24"/>
        </w:rPr>
        <w:t>.</w:t>
      </w:r>
    </w:p>
    <w:p w14:paraId="00000016" w14:textId="30A7D16A" w:rsidR="007003E0" w:rsidRDefault="002C66DF">
      <w:pPr>
        <w:spacing w:after="240"/>
        <w:jc w:val="both"/>
        <w:rPr>
          <w:rFonts w:ascii="Calibri" w:eastAsia="Calibri" w:hAnsi="Calibri" w:cs="Calibri"/>
          <w:sz w:val="24"/>
          <w:szCs w:val="24"/>
        </w:rPr>
      </w:pPr>
      <w:r>
        <w:rPr>
          <w:rFonts w:ascii="Calibri" w:eastAsia="Calibri" w:hAnsi="Calibri" w:cs="Calibri"/>
          <w:sz w:val="24"/>
          <w:szCs w:val="24"/>
        </w:rPr>
        <w:t>Importantly, HRDD are just one of several tools to address business-related adverse human rights impacts. They complement and reinforce, but are no substitute for, structural corporate governance reforms and fiduciary duty initiatives</w:t>
      </w:r>
      <w:r w:rsidRPr="00C00A16">
        <w:rPr>
          <w:rStyle w:val="FootnoteReference"/>
        </w:rPr>
        <w:footnoteReference w:id="24"/>
      </w:r>
      <w:r>
        <w:rPr>
          <w:rFonts w:ascii="Calibri" w:eastAsia="Calibri" w:hAnsi="Calibri" w:cs="Calibri"/>
          <w:sz w:val="24"/>
          <w:szCs w:val="24"/>
        </w:rPr>
        <w:t>.</w:t>
      </w:r>
    </w:p>
    <w:p w14:paraId="00000017" w14:textId="77777777" w:rsidR="007003E0" w:rsidRDefault="002C66DF">
      <w:pPr>
        <w:pStyle w:val="Heading1"/>
        <w:jc w:val="both"/>
        <w:rPr>
          <w:rFonts w:ascii="Calibri" w:eastAsia="Calibri" w:hAnsi="Calibri" w:cs="Calibri"/>
          <w:sz w:val="28"/>
          <w:szCs w:val="28"/>
        </w:rPr>
      </w:pPr>
      <w:r>
        <w:rPr>
          <w:rFonts w:ascii="Calibri" w:eastAsia="Calibri" w:hAnsi="Calibri" w:cs="Calibri"/>
          <w:sz w:val="28"/>
          <w:szCs w:val="28"/>
        </w:rPr>
        <w:t>Safe Harbour Provisions</w:t>
      </w:r>
    </w:p>
    <w:p w14:paraId="00000019" w14:textId="410B0C10" w:rsidR="007003E0" w:rsidRDefault="002C66DF">
      <w:pPr>
        <w:jc w:val="both"/>
        <w:rPr>
          <w:rFonts w:ascii="Calibri" w:eastAsia="Calibri" w:hAnsi="Calibri" w:cs="Calibri"/>
          <w:sz w:val="24"/>
          <w:szCs w:val="24"/>
        </w:rPr>
      </w:pP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ensure that businesses effectively implement new legal mandates, States may supplement them with appropriate protections. In the environmental context, “safe harbour” rules can reassure investors that disclosure of and divestment from carbon-intensive assets do not breach the fiduciary duty</w:t>
      </w:r>
      <w:r w:rsidR="00D70BA1">
        <w:rPr>
          <w:rFonts w:ascii="Calibri" w:eastAsia="Calibri" w:hAnsi="Calibri" w:cs="Calibri"/>
          <w:sz w:val="24"/>
          <w:szCs w:val="24"/>
        </w:rPr>
        <w:t>.</w:t>
      </w:r>
      <w:r w:rsidRPr="00C00A16">
        <w:rPr>
          <w:rStyle w:val="FootnoteReference"/>
        </w:rPr>
        <w:footnoteReference w:id="25"/>
      </w:r>
      <w:r>
        <w:rPr>
          <w:rFonts w:ascii="Calibri" w:eastAsia="Calibri" w:hAnsi="Calibri" w:cs="Calibri"/>
          <w:sz w:val="24"/>
          <w:szCs w:val="24"/>
        </w:rPr>
        <w:t xml:space="preserve"> Additional protection against potential shareholder lawsuits can thus further incentivize institutional investors to transition their portfolios to greener assets</w:t>
      </w:r>
      <w:r w:rsidR="00D70BA1">
        <w:rPr>
          <w:rFonts w:ascii="Calibri" w:eastAsia="Calibri" w:hAnsi="Calibri" w:cs="Calibri"/>
          <w:sz w:val="24"/>
          <w:szCs w:val="24"/>
        </w:rPr>
        <w:t>.</w:t>
      </w:r>
      <w:r w:rsidRPr="00C00A16">
        <w:rPr>
          <w:rStyle w:val="FootnoteReference"/>
        </w:rPr>
        <w:footnoteReference w:id="26"/>
      </w:r>
      <w:r>
        <w:rPr>
          <w:rFonts w:ascii="Calibri" w:eastAsia="Calibri" w:hAnsi="Calibri" w:cs="Calibri"/>
          <w:sz w:val="24"/>
          <w:szCs w:val="24"/>
        </w:rPr>
        <w:t xml:space="preserve"> However, States should avoid using safe harbour protections to immunize corporations against legal claims of involvement in human rights abuses. While adherence to HRDD requirements may form part of an investor’s defence against such claims, safe harbour immunity risks providing a perverse incentive for adherence to the letter rather than the spirit of human rights protections</w:t>
      </w:r>
      <w:r w:rsidR="00D70BA1">
        <w:rPr>
          <w:rFonts w:ascii="Calibri" w:eastAsia="Calibri" w:hAnsi="Calibri" w:cs="Calibri"/>
          <w:sz w:val="24"/>
          <w:szCs w:val="24"/>
        </w:rPr>
        <w:t>.</w:t>
      </w:r>
      <w:r w:rsidRPr="00C00A16">
        <w:rPr>
          <w:rStyle w:val="FootnoteReference"/>
        </w:rPr>
        <w:footnoteReference w:id="27"/>
      </w:r>
    </w:p>
    <w:p w14:paraId="0000001A" w14:textId="77777777" w:rsidR="007003E0" w:rsidRDefault="002C66DF">
      <w:pPr>
        <w:pStyle w:val="Heading1"/>
        <w:jc w:val="both"/>
        <w:rPr>
          <w:rFonts w:ascii="Calibri" w:eastAsia="Calibri" w:hAnsi="Calibri" w:cs="Calibri"/>
          <w:sz w:val="28"/>
          <w:szCs w:val="28"/>
        </w:rPr>
      </w:pPr>
      <w:r>
        <w:rPr>
          <w:rFonts w:ascii="Calibri" w:eastAsia="Calibri" w:hAnsi="Calibri" w:cs="Calibri"/>
          <w:sz w:val="28"/>
          <w:szCs w:val="28"/>
        </w:rPr>
        <w:lastRenderedPageBreak/>
        <w:t>Tax Incentives</w:t>
      </w:r>
    </w:p>
    <w:p w14:paraId="35495845" w14:textId="5F9AF276" w:rsidR="0032077E" w:rsidRDefault="002C66DF">
      <w:pPr>
        <w:jc w:val="both"/>
        <w:rPr>
          <w:rFonts w:ascii="Calibri" w:eastAsia="Calibri" w:hAnsi="Calibri" w:cs="Calibri"/>
          <w:sz w:val="24"/>
          <w:szCs w:val="24"/>
        </w:rPr>
      </w:pPr>
      <w:r>
        <w:rPr>
          <w:rFonts w:ascii="Calibri" w:eastAsia="Calibri" w:hAnsi="Calibri" w:cs="Calibri"/>
          <w:sz w:val="24"/>
          <w:szCs w:val="24"/>
        </w:rPr>
        <w:t>States can also facilitate divestment from assets that carry risks of human rights abuses through targeted tax incentives. While such measures are often associated with the promotion of green investments</w:t>
      </w:r>
      <w:r w:rsidR="00D70BA1">
        <w:rPr>
          <w:rFonts w:ascii="Calibri" w:eastAsia="Calibri" w:hAnsi="Calibri" w:cs="Calibri"/>
          <w:sz w:val="24"/>
          <w:szCs w:val="24"/>
        </w:rPr>
        <w:t>,</w:t>
      </w:r>
      <w:r w:rsidRPr="00C00A16">
        <w:rPr>
          <w:rStyle w:val="FootnoteReference"/>
        </w:rPr>
        <w:footnoteReference w:id="28"/>
      </w:r>
      <w:r>
        <w:rPr>
          <w:rFonts w:ascii="Calibri" w:eastAsia="Calibri" w:hAnsi="Calibri" w:cs="Calibri"/>
          <w:sz w:val="24"/>
          <w:szCs w:val="24"/>
        </w:rPr>
        <w:t xml:space="preserve"> they could also further compliance with the UNGPs. Tax credits, deductions, and exemptions can mitigate financial risks associated with the transition away from potentially harmful investments.</w:t>
      </w:r>
    </w:p>
    <w:p w14:paraId="598BFA6F" w14:textId="705E3927" w:rsidR="0032077E" w:rsidRDefault="0032077E" w:rsidP="0032077E">
      <w:pPr>
        <w:pStyle w:val="Heading1"/>
        <w:jc w:val="both"/>
        <w:rPr>
          <w:rFonts w:ascii="Calibri" w:eastAsia="Calibri" w:hAnsi="Calibri" w:cs="Calibri"/>
          <w:sz w:val="28"/>
          <w:szCs w:val="28"/>
        </w:rPr>
      </w:pPr>
      <w:r>
        <w:rPr>
          <w:rFonts w:ascii="Calibri" w:eastAsia="Calibri" w:hAnsi="Calibri" w:cs="Calibri"/>
          <w:sz w:val="28"/>
          <w:szCs w:val="28"/>
        </w:rPr>
        <w:t>The Role of Investors</w:t>
      </w:r>
    </w:p>
    <w:p w14:paraId="18B2FA2D" w14:textId="053438AA" w:rsidR="000C6BD2" w:rsidRDefault="0032077E" w:rsidP="0032077E">
      <w:pPr>
        <w:jc w:val="both"/>
        <w:rPr>
          <w:rFonts w:ascii="Calibri" w:eastAsia="Calibri" w:hAnsi="Calibri" w:cs="Calibri"/>
          <w:sz w:val="24"/>
          <w:szCs w:val="24"/>
        </w:rPr>
      </w:pPr>
      <w:r w:rsidRPr="0032077E">
        <w:rPr>
          <w:rFonts w:ascii="Calibri" w:hAnsi="Calibri" w:cs="Calibri"/>
          <w:sz w:val="24"/>
          <w:szCs w:val="24"/>
        </w:rPr>
        <w:t>Finally,</w:t>
      </w:r>
      <w:r>
        <w:rPr>
          <w:rFonts w:ascii="Calibri" w:eastAsia="Calibri" w:hAnsi="Calibri" w:cs="Calibri"/>
          <w:sz w:val="24"/>
          <w:szCs w:val="24"/>
        </w:rPr>
        <w:t xml:space="preserve"> while this submission has emphasized recommendations directed toward States, investors need not wait for </w:t>
      </w:r>
      <w:r w:rsidR="00762664">
        <w:rPr>
          <w:rFonts w:ascii="Calibri" w:eastAsia="Calibri" w:hAnsi="Calibri" w:cs="Calibri"/>
          <w:sz w:val="24"/>
          <w:szCs w:val="24"/>
        </w:rPr>
        <w:t>these legislative</w:t>
      </w:r>
      <w:r w:rsidR="006F044D">
        <w:rPr>
          <w:rFonts w:ascii="Calibri" w:eastAsia="Calibri" w:hAnsi="Calibri" w:cs="Calibri"/>
          <w:sz w:val="24"/>
          <w:szCs w:val="24"/>
        </w:rPr>
        <w:t xml:space="preserve"> or </w:t>
      </w:r>
      <w:r>
        <w:rPr>
          <w:rFonts w:ascii="Calibri" w:eastAsia="Calibri" w:hAnsi="Calibri" w:cs="Calibri"/>
          <w:sz w:val="24"/>
          <w:szCs w:val="24"/>
        </w:rPr>
        <w:t xml:space="preserve">regulatory changes to happen. </w:t>
      </w:r>
      <w:r w:rsidR="00FD4238">
        <w:rPr>
          <w:rFonts w:ascii="Calibri" w:eastAsia="Calibri" w:hAnsi="Calibri" w:cs="Calibri"/>
          <w:sz w:val="24"/>
          <w:szCs w:val="24"/>
        </w:rPr>
        <w:t xml:space="preserve">Under the UNGPs, the </w:t>
      </w:r>
      <w:r>
        <w:rPr>
          <w:rFonts w:ascii="Calibri" w:eastAsia="Calibri" w:hAnsi="Calibri" w:cs="Calibri"/>
          <w:sz w:val="24"/>
          <w:szCs w:val="24"/>
        </w:rPr>
        <w:t>three pillars</w:t>
      </w:r>
      <w:r w:rsidR="006F044D">
        <w:rPr>
          <w:rFonts w:ascii="Calibri" w:eastAsia="Calibri" w:hAnsi="Calibri" w:cs="Calibri"/>
          <w:sz w:val="24"/>
          <w:szCs w:val="24"/>
        </w:rPr>
        <w:t xml:space="preserve"> from the </w:t>
      </w:r>
      <w:r w:rsidR="00FD4238">
        <w:rPr>
          <w:rFonts w:ascii="Calibri" w:eastAsia="Calibri" w:hAnsi="Calibri" w:cs="Calibri"/>
          <w:sz w:val="24"/>
          <w:szCs w:val="24"/>
        </w:rPr>
        <w:t>“protect, respect, and remedy” framework are mutually independent and complementary</w:t>
      </w:r>
      <w:r w:rsidR="00D70BA1">
        <w:rPr>
          <w:rFonts w:ascii="Calibri" w:eastAsia="Calibri" w:hAnsi="Calibri" w:cs="Calibri"/>
          <w:sz w:val="24"/>
          <w:szCs w:val="24"/>
        </w:rPr>
        <w:t>.</w:t>
      </w:r>
      <w:r w:rsidR="00EB5914" w:rsidRPr="00C00A16">
        <w:rPr>
          <w:rStyle w:val="FootnoteReference"/>
        </w:rPr>
        <w:footnoteReference w:id="29"/>
      </w:r>
      <w:r w:rsidR="00FD4238">
        <w:rPr>
          <w:rFonts w:ascii="Calibri" w:eastAsia="Calibri" w:hAnsi="Calibri" w:cs="Calibri"/>
          <w:sz w:val="24"/>
          <w:szCs w:val="24"/>
        </w:rPr>
        <w:t xml:space="preserve"> </w:t>
      </w:r>
      <w:r w:rsidR="00EB5914">
        <w:rPr>
          <w:rFonts w:ascii="Calibri" w:eastAsia="Calibri" w:hAnsi="Calibri" w:cs="Calibri"/>
          <w:sz w:val="24"/>
          <w:szCs w:val="24"/>
        </w:rPr>
        <w:t>The fact that States have</w:t>
      </w:r>
      <w:r w:rsidR="00FD4238">
        <w:rPr>
          <w:rFonts w:ascii="Calibri" w:eastAsia="Calibri" w:hAnsi="Calibri" w:cs="Calibri"/>
          <w:sz w:val="24"/>
          <w:szCs w:val="24"/>
        </w:rPr>
        <w:t xml:space="preserve"> </w:t>
      </w:r>
      <w:r w:rsidR="00EB5914">
        <w:rPr>
          <w:rFonts w:ascii="Calibri" w:eastAsia="Calibri" w:hAnsi="Calibri" w:cs="Calibri"/>
          <w:sz w:val="24"/>
          <w:szCs w:val="24"/>
        </w:rPr>
        <w:t xml:space="preserve">a legally binding duty to protect against human rights abuses does </w:t>
      </w:r>
      <w:r w:rsidR="00B222C7">
        <w:rPr>
          <w:rFonts w:ascii="Calibri" w:eastAsia="Calibri" w:hAnsi="Calibri" w:cs="Calibri"/>
          <w:sz w:val="24"/>
          <w:szCs w:val="24"/>
        </w:rPr>
        <w:t xml:space="preserve">therefore </w:t>
      </w:r>
      <w:r w:rsidR="00EB5914">
        <w:rPr>
          <w:rFonts w:ascii="Calibri" w:eastAsia="Calibri" w:hAnsi="Calibri" w:cs="Calibri"/>
          <w:sz w:val="24"/>
          <w:szCs w:val="24"/>
        </w:rPr>
        <w:t>not</w:t>
      </w:r>
      <w:r w:rsidR="00B222C7">
        <w:rPr>
          <w:rFonts w:ascii="Calibri" w:eastAsia="Calibri" w:hAnsi="Calibri" w:cs="Calibri"/>
          <w:sz w:val="24"/>
          <w:szCs w:val="24"/>
        </w:rPr>
        <w:t xml:space="preserve"> </w:t>
      </w:r>
      <w:r w:rsidR="00EB5914">
        <w:rPr>
          <w:rFonts w:ascii="Calibri" w:eastAsia="Calibri" w:hAnsi="Calibri" w:cs="Calibri"/>
          <w:sz w:val="24"/>
          <w:szCs w:val="24"/>
        </w:rPr>
        <w:t xml:space="preserve">relieve businesses from their </w:t>
      </w:r>
      <w:r w:rsidR="00EB5914">
        <w:rPr>
          <w:rFonts w:ascii="Calibri" w:eastAsia="Calibri" w:hAnsi="Calibri" w:cs="Calibri"/>
          <w:i/>
          <w:iCs/>
          <w:sz w:val="24"/>
          <w:szCs w:val="24"/>
        </w:rPr>
        <w:t xml:space="preserve">independent </w:t>
      </w:r>
      <w:r w:rsidR="00EB5914">
        <w:rPr>
          <w:rFonts w:ascii="Calibri" w:eastAsia="Calibri" w:hAnsi="Calibri" w:cs="Calibri"/>
          <w:sz w:val="24"/>
          <w:szCs w:val="24"/>
        </w:rPr>
        <w:t>responsibility to respect human rights</w:t>
      </w:r>
      <w:r w:rsidR="009F4622">
        <w:rPr>
          <w:rFonts w:ascii="Calibri" w:eastAsia="Calibri" w:hAnsi="Calibri" w:cs="Calibri"/>
          <w:sz w:val="24"/>
          <w:szCs w:val="24"/>
        </w:rPr>
        <w:t>, i.e.</w:t>
      </w:r>
      <w:r w:rsidR="00EB5914">
        <w:rPr>
          <w:rFonts w:ascii="Calibri" w:eastAsia="Calibri" w:hAnsi="Calibri" w:cs="Calibri"/>
          <w:sz w:val="24"/>
          <w:szCs w:val="24"/>
        </w:rPr>
        <w:t xml:space="preserve"> they should act with due diligence </w:t>
      </w:r>
      <w:r w:rsidR="002A1E11">
        <w:rPr>
          <w:rFonts w:ascii="Calibri" w:eastAsia="Calibri" w:hAnsi="Calibri" w:cs="Calibri"/>
          <w:sz w:val="24"/>
          <w:szCs w:val="24"/>
        </w:rPr>
        <w:t>to avoid infringing on the rights of others and address adverse impacts with which they are involved</w:t>
      </w:r>
      <w:r w:rsidR="00D70BA1">
        <w:rPr>
          <w:rFonts w:ascii="Calibri" w:eastAsia="Calibri" w:hAnsi="Calibri" w:cs="Calibri"/>
          <w:sz w:val="24"/>
          <w:szCs w:val="24"/>
        </w:rPr>
        <w:t>.</w:t>
      </w:r>
      <w:r w:rsidR="002A1E11" w:rsidRPr="00C00A16">
        <w:rPr>
          <w:rStyle w:val="FootnoteReference"/>
        </w:rPr>
        <w:footnoteReference w:id="30"/>
      </w:r>
    </w:p>
    <w:p w14:paraId="642B8404" w14:textId="77777777" w:rsidR="000C6BD2" w:rsidRDefault="000C6BD2" w:rsidP="0032077E">
      <w:pPr>
        <w:jc w:val="both"/>
        <w:rPr>
          <w:rFonts w:ascii="Calibri" w:eastAsia="Calibri" w:hAnsi="Calibri" w:cs="Calibri"/>
          <w:sz w:val="24"/>
          <w:szCs w:val="24"/>
        </w:rPr>
      </w:pPr>
    </w:p>
    <w:p w14:paraId="434A7943" w14:textId="2E76AEF4" w:rsidR="00C64F39" w:rsidRDefault="00655EED" w:rsidP="0032077E">
      <w:pPr>
        <w:jc w:val="both"/>
        <w:rPr>
          <w:rFonts w:ascii="Calibri" w:eastAsia="Calibri" w:hAnsi="Calibri" w:cs="Calibri"/>
          <w:sz w:val="24"/>
          <w:szCs w:val="24"/>
        </w:rPr>
      </w:pPr>
      <w:r>
        <w:rPr>
          <w:rFonts w:ascii="Calibri" w:eastAsia="Calibri" w:hAnsi="Calibri" w:cs="Calibri"/>
          <w:sz w:val="24"/>
          <w:szCs w:val="24"/>
        </w:rPr>
        <w:t>U</w:t>
      </w:r>
      <w:r w:rsidR="00E34013">
        <w:rPr>
          <w:rFonts w:ascii="Calibri" w:eastAsia="Calibri" w:hAnsi="Calibri" w:cs="Calibri"/>
          <w:sz w:val="24"/>
          <w:szCs w:val="24"/>
        </w:rPr>
        <w:t>ntil mandatory due diligence laws and other recommended regulatory changes take effective shape,</w:t>
      </w:r>
      <w:r>
        <w:rPr>
          <w:rFonts w:ascii="Calibri" w:eastAsia="Calibri" w:hAnsi="Calibri" w:cs="Calibri"/>
          <w:sz w:val="24"/>
          <w:szCs w:val="24"/>
        </w:rPr>
        <w:t xml:space="preserve"> </w:t>
      </w:r>
      <w:r w:rsidR="009F4622">
        <w:rPr>
          <w:rFonts w:ascii="Calibri" w:eastAsia="Calibri" w:hAnsi="Calibri" w:cs="Calibri"/>
          <w:sz w:val="24"/>
          <w:szCs w:val="24"/>
        </w:rPr>
        <w:t>this</w:t>
      </w:r>
      <w:r w:rsidR="00E34013">
        <w:rPr>
          <w:rFonts w:ascii="Calibri" w:eastAsia="Calibri" w:hAnsi="Calibri" w:cs="Calibri"/>
          <w:sz w:val="24"/>
          <w:szCs w:val="24"/>
        </w:rPr>
        <w:t xml:space="preserve"> responsibility to respect human rights will continue to play out</w:t>
      </w:r>
      <w:r w:rsidR="00A04B1C">
        <w:rPr>
          <w:rFonts w:ascii="Calibri" w:eastAsia="Calibri" w:hAnsi="Calibri" w:cs="Calibri"/>
          <w:sz w:val="24"/>
          <w:szCs w:val="24"/>
        </w:rPr>
        <w:t xml:space="preserve"> </w:t>
      </w:r>
      <w:r w:rsidR="00E34013">
        <w:rPr>
          <w:rFonts w:ascii="Calibri" w:eastAsia="Calibri" w:hAnsi="Calibri" w:cs="Calibri"/>
          <w:sz w:val="24"/>
          <w:szCs w:val="24"/>
        </w:rPr>
        <w:t>in a context of “institutionalized voluntarism</w:t>
      </w:r>
      <w:r w:rsidR="00D70BA1">
        <w:rPr>
          <w:rFonts w:ascii="Calibri" w:eastAsia="Calibri" w:hAnsi="Calibri" w:cs="Calibri"/>
          <w:sz w:val="24"/>
          <w:szCs w:val="24"/>
        </w:rPr>
        <w:t>.</w:t>
      </w:r>
      <w:r w:rsidR="00E34013">
        <w:rPr>
          <w:rFonts w:ascii="Calibri" w:eastAsia="Calibri" w:hAnsi="Calibri" w:cs="Calibri"/>
          <w:sz w:val="24"/>
          <w:szCs w:val="24"/>
        </w:rPr>
        <w:t>”</w:t>
      </w:r>
      <w:r w:rsidR="00E34013" w:rsidRPr="00C00A16">
        <w:rPr>
          <w:rStyle w:val="FootnoteReference"/>
        </w:rPr>
        <w:footnoteReference w:id="31"/>
      </w:r>
      <w:r w:rsidR="006F53DF">
        <w:rPr>
          <w:rFonts w:ascii="Calibri" w:eastAsia="Calibri" w:hAnsi="Calibri" w:cs="Calibri"/>
          <w:sz w:val="24"/>
          <w:szCs w:val="24"/>
        </w:rPr>
        <w:t xml:space="preserve"> </w:t>
      </w:r>
      <w:r w:rsidR="00E86BAD">
        <w:rPr>
          <w:rFonts w:ascii="Calibri" w:eastAsia="Calibri" w:hAnsi="Calibri" w:cs="Calibri"/>
          <w:sz w:val="24"/>
          <w:szCs w:val="24"/>
        </w:rPr>
        <w:t>While c</w:t>
      </w:r>
      <w:r w:rsidR="009F4622">
        <w:rPr>
          <w:rFonts w:ascii="Calibri" w:eastAsia="Calibri" w:hAnsi="Calibri" w:cs="Calibri"/>
          <w:sz w:val="24"/>
          <w:szCs w:val="24"/>
        </w:rPr>
        <w:t>ourts</w:t>
      </w:r>
      <w:r w:rsidR="00DA4252">
        <w:rPr>
          <w:rFonts w:ascii="Calibri" w:eastAsia="Calibri" w:hAnsi="Calibri" w:cs="Calibri"/>
          <w:sz w:val="24"/>
          <w:szCs w:val="24"/>
        </w:rPr>
        <w:t>, in a move beyond voluntarism,</w:t>
      </w:r>
      <w:r w:rsidR="009F4622">
        <w:rPr>
          <w:rFonts w:ascii="Calibri" w:eastAsia="Calibri" w:hAnsi="Calibri" w:cs="Calibri"/>
          <w:sz w:val="24"/>
          <w:szCs w:val="24"/>
        </w:rPr>
        <w:t xml:space="preserve"> have found </w:t>
      </w:r>
      <w:r w:rsidR="00DA4252">
        <w:rPr>
          <w:rFonts w:ascii="Calibri" w:eastAsia="Calibri" w:hAnsi="Calibri" w:cs="Calibri"/>
          <w:sz w:val="24"/>
          <w:szCs w:val="24"/>
        </w:rPr>
        <w:t xml:space="preserve">that </w:t>
      </w:r>
      <w:r w:rsidR="009F4622">
        <w:rPr>
          <w:rFonts w:ascii="Calibri" w:eastAsia="Calibri" w:hAnsi="Calibri" w:cs="Calibri"/>
          <w:sz w:val="24"/>
          <w:szCs w:val="24"/>
        </w:rPr>
        <w:t xml:space="preserve">corporations </w:t>
      </w:r>
      <w:r w:rsidR="00DA4252">
        <w:rPr>
          <w:rFonts w:ascii="Calibri" w:eastAsia="Calibri" w:hAnsi="Calibri" w:cs="Calibri"/>
          <w:sz w:val="24"/>
          <w:szCs w:val="24"/>
        </w:rPr>
        <w:t>can</w:t>
      </w:r>
      <w:r w:rsidR="009F4622">
        <w:rPr>
          <w:rFonts w:ascii="Calibri" w:eastAsia="Calibri" w:hAnsi="Calibri" w:cs="Calibri"/>
          <w:sz w:val="24"/>
          <w:szCs w:val="24"/>
        </w:rPr>
        <w:t xml:space="preserve"> be </w:t>
      </w:r>
      <w:r w:rsidR="00DA4252">
        <w:rPr>
          <w:rFonts w:ascii="Calibri" w:eastAsia="Calibri" w:hAnsi="Calibri" w:cs="Calibri"/>
          <w:sz w:val="24"/>
          <w:szCs w:val="24"/>
        </w:rPr>
        <w:t xml:space="preserve">held </w:t>
      </w:r>
      <w:r w:rsidR="009F4622">
        <w:rPr>
          <w:rFonts w:ascii="Calibri" w:eastAsia="Calibri" w:hAnsi="Calibri" w:cs="Calibri"/>
          <w:sz w:val="24"/>
          <w:szCs w:val="24"/>
        </w:rPr>
        <w:t>liable for adverse human rights impacts</w:t>
      </w:r>
      <w:r w:rsidR="00E86BAD">
        <w:rPr>
          <w:rFonts w:ascii="Calibri" w:eastAsia="Calibri" w:hAnsi="Calibri" w:cs="Calibri"/>
          <w:sz w:val="24"/>
          <w:szCs w:val="24"/>
        </w:rPr>
        <w:t>, these decisions remain the exception to the rule</w:t>
      </w:r>
      <w:r w:rsidR="00D70BA1">
        <w:rPr>
          <w:rFonts w:ascii="Calibri" w:eastAsia="Calibri" w:hAnsi="Calibri" w:cs="Calibri"/>
          <w:sz w:val="24"/>
          <w:szCs w:val="24"/>
        </w:rPr>
        <w:t>.</w:t>
      </w:r>
      <w:r w:rsidR="009F4622" w:rsidRPr="00C00A16">
        <w:rPr>
          <w:rStyle w:val="FootnoteReference"/>
        </w:rPr>
        <w:footnoteReference w:id="32"/>
      </w:r>
      <w:r w:rsidR="00901BAD">
        <w:rPr>
          <w:rFonts w:ascii="Calibri" w:eastAsia="Calibri" w:hAnsi="Calibri" w:cs="Calibri"/>
          <w:sz w:val="24"/>
          <w:szCs w:val="24"/>
        </w:rPr>
        <w:t xml:space="preserve"> </w:t>
      </w:r>
      <w:r w:rsidR="00A04B1C">
        <w:rPr>
          <w:rFonts w:ascii="Calibri" w:eastAsia="Calibri" w:hAnsi="Calibri" w:cs="Calibri"/>
          <w:sz w:val="24"/>
          <w:szCs w:val="24"/>
        </w:rPr>
        <w:t xml:space="preserve">There is, of course, much room for improvement. </w:t>
      </w:r>
      <w:r w:rsidR="00901BAD">
        <w:rPr>
          <w:rFonts w:ascii="Calibri" w:eastAsia="Calibri" w:hAnsi="Calibri" w:cs="Calibri"/>
          <w:sz w:val="24"/>
          <w:szCs w:val="24"/>
        </w:rPr>
        <w:t xml:space="preserve">Nonetheless, progress is </w:t>
      </w:r>
      <w:r w:rsidR="00A04B1C">
        <w:rPr>
          <w:rFonts w:ascii="Calibri" w:eastAsia="Calibri" w:hAnsi="Calibri" w:cs="Calibri"/>
          <w:sz w:val="24"/>
          <w:szCs w:val="24"/>
        </w:rPr>
        <w:t xml:space="preserve">being </w:t>
      </w:r>
      <w:r w:rsidR="00901BAD">
        <w:rPr>
          <w:rFonts w:ascii="Calibri" w:eastAsia="Calibri" w:hAnsi="Calibri" w:cs="Calibri"/>
          <w:sz w:val="24"/>
          <w:szCs w:val="24"/>
        </w:rPr>
        <w:t xml:space="preserve">made, and the voluntary practice of businesses and investors can prove to </w:t>
      </w:r>
      <w:r w:rsidR="00A04B1C">
        <w:rPr>
          <w:rFonts w:ascii="Calibri" w:eastAsia="Calibri" w:hAnsi="Calibri" w:cs="Calibri"/>
          <w:sz w:val="24"/>
          <w:szCs w:val="24"/>
        </w:rPr>
        <w:t>be a</w:t>
      </w:r>
      <w:r w:rsidR="00901BAD">
        <w:rPr>
          <w:rFonts w:ascii="Calibri" w:eastAsia="Calibri" w:hAnsi="Calibri" w:cs="Calibri"/>
          <w:sz w:val="24"/>
          <w:szCs w:val="24"/>
        </w:rPr>
        <w:t xml:space="preserve"> drive</w:t>
      </w:r>
      <w:r w:rsidR="00A04B1C">
        <w:rPr>
          <w:rFonts w:ascii="Calibri" w:eastAsia="Calibri" w:hAnsi="Calibri" w:cs="Calibri"/>
          <w:sz w:val="24"/>
          <w:szCs w:val="24"/>
        </w:rPr>
        <w:t>r of faster</w:t>
      </w:r>
      <w:r w:rsidR="00901BAD">
        <w:rPr>
          <w:rFonts w:ascii="Calibri" w:eastAsia="Calibri" w:hAnsi="Calibri" w:cs="Calibri"/>
          <w:sz w:val="24"/>
          <w:szCs w:val="24"/>
        </w:rPr>
        <w:t xml:space="preserve"> change</w:t>
      </w:r>
      <w:r w:rsidR="00A04B1C">
        <w:rPr>
          <w:rFonts w:ascii="Calibri" w:eastAsia="Calibri" w:hAnsi="Calibri" w:cs="Calibri"/>
          <w:sz w:val="24"/>
          <w:szCs w:val="24"/>
        </w:rPr>
        <w:t>.</w:t>
      </w:r>
    </w:p>
    <w:p w14:paraId="69E11A76" w14:textId="7BC1190D" w:rsidR="00655EED" w:rsidRDefault="00655EED" w:rsidP="0032077E">
      <w:pPr>
        <w:jc w:val="both"/>
        <w:rPr>
          <w:rFonts w:ascii="Calibri" w:eastAsia="Calibri" w:hAnsi="Calibri" w:cs="Calibri"/>
          <w:sz w:val="24"/>
          <w:szCs w:val="24"/>
        </w:rPr>
      </w:pPr>
    </w:p>
    <w:p w14:paraId="620E5AC4" w14:textId="79DA61EA" w:rsidR="002B5254" w:rsidRDefault="00655EED" w:rsidP="0032077E">
      <w:pPr>
        <w:jc w:val="both"/>
        <w:rPr>
          <w:rFonts w:ascii="Calibri" w:eastAsia="Calibri" w:hAnsi="Calibri" w:cs="Calibri"/>
          <w:sz w:val="24"/>
          <w:szCs w:val="24"/>
        </w:rPr>
      </w:pPr>
      <w:r>
        <w:rPr>
          <w:rFonts w:ascii="Calibri" w:eastAsia="Calibri" w:hAnsi="Calibri" w:cs="Calibri"/>
          <w:sz w:val="24"/>
          <w:szCs w:val="24"/>
        </w:rPr>
        <w:t>Institutional investors especially possess unique characteristics which can influence compl</w:t>
      </w:r>
      <w:r w:rsidR="00BC740E">
        <w:rPr>
          <w:rFonts w:ascii="Calibri" w:eastAsia="Calibri" w:hAnsi="Calibri" w:cs="Calibri"/>
          <w:sz w:val="24"/>
          <w:szCs w:val="24"/>
        </w:rPr>
        <w:t>iance</w:t>
      </w:r>
      <w:r>
        <w:rPr>
          <w:rFonts w:ascii="Calibri" w:eastAsia="Calibri" w:hAnsi="Calibri" w:cs="Calibri"/>
          <w:sz w:val="24"/>
          <w:szCs w:val="24"/>
        </w:rPr>
        <w:t xml:space="preserve"> with the UNGPs</w:t>
      </w:r>
      <w:r w:rsidR="00D70BA1">
        <w:rPr>
          <w:rFonts w:ascii="Calibri" w:eastAsia="Calibri" w:hAnsi="Calibri" w:cs="Calibri"/>
          <w:sz w:val="24"/>
          <w:szCs w:val="24"/>
        </w:rPr>
        <w:t>.</w:t>
      </w:r>
      <w:r w:rsidR="00526D98" w:rsidRPr="00C00A16">
        <w:rPr>
          <w:rStyle w:val="FootnoteReference"/>
        </w:rPr>
        <w:footnoteReference w:id="33"/>
      </w:r>
      <w:r w:rsidR="00866746">
        <w:rPr>
          <w:rFonts w:ascii="Calibri" w:eastAsia="Calibri" w:hAnsi="Calibri" w:cs="Calibri"/>
          <w:sz w:val="24"/>
          <w:szCs w:val="24"/>
        </w:rPr>
        <w:t xml:space="preserve"> </w:t>
      </w:r>
      <w:r w:rsidR="00325CD2">
        <w:rPr>
          <w:rFonts w:ascii="Calibri" w:eastAsia="Calibri" w:hAnsi="Calibri" w:cs="Calibri"/>
          <w:sz w:val="24"/>
          <w:szCs w:val="24"/>
        </w:rPr>
        <w:t xml:space="preserve">Existing initiatives such as the Investor Alliance for Human Rights and the Principles for Responsible Investment (PRI) are encouraging developments and </w:t>
      </w:r>
      <w:r w:rsidR="00325CD2">
        <w:rPr>
          <w:rFonts w:ascii="Calibri" w:eastAsia="Calibri" w:hAnsi="Calibri" w:cs="Calibri"/>
          <w:sz w:val="24"/>
          <w:szCs w:val="24"/>
        </w:rPr>
        <w:lastRenderedPageBreak/>
        <w:t>helpful pointers toward what constitutes good practice</w:t>
      </w:r>
      <w:r w:rsidR="00D70BA1">
        <w:rPr>
          <w:rFonts w:ascii="Calibri" w:eastAsia="Calibri" w:hAnsi="Calibri" w:cs="Calibri"/>
          <w:sz w:val="24"/>
          <w:szCs w:val="24"/>
        </w:rPr>
        <w:t>.</w:t>
      </w:r>
      <w:r w:rsidR="00325CD2" w:rsidRPr="00C00A16">
        <w:rPr>
          <w:rStyle w:val="FootnoteReference"/>
        </w:rPr>
        <w:footnoteReference w:id="34"/>
      </w:r>
      <w:r w:rsidR="00791152">
        <w:rPr>
          <w:rFonts w:ascii="Calibri" w:eastAsia="Calibri" w:hAnsi="Calibri" w:cs="Calibri"/>
          <w:sz w:val="24"/>
          <w:szCs w:val="24"/>
        </w:rPr>
        <w:t xml:space="preserve"> </w:t>
      </w:r>
      <w:r w:rsidR="00890DA5">
        <w:rPr>
          <w:rFonts w:ascii="Calibri" w:eastAsia="Calibri" w:hAnsi="Calibri" w:cs="Calibri"/>
          <w:sz w:val="24"/>
          <w:szCs w:val="24"/>
        </w:rPr>
        <w:t xml:space="preserve">To continue </w:t>
      </w:r>
      <w:r w:rsidR="00376D88">
        <w:rPr>
          <w:rFonts w:ascii="Calibri" w:eastAsia="Calibri" w:hAnsi="Calibri" w:cs="Calibri"/>
          <w:sz w:val="24"/>
          <w:szCs w:val="24"/>
        </w:rPr>
        <w:t>these trends</w:t>
      </w:r>
      <w:r w:rsidR="00890DA5">
        <w:rPr>
          <w:rFonts w:ascii="Calibri" w:eastAsia="Calibri" w:hAnsi="Calibri" w:cs="Calibri"/>
          <w:sz w:val="24"/>
          <w:szCs w:val="24"/>
        </w:rPr>
        <w:t>, and to incentivize other</w:t>
      </w:r>
      <w:r w:rsidR="00376D88">
        <w:rPr>
          <w:rFonts w:ascii="Calibri" w:eastAsia="Calibri" w:hAnsi="Calibri" w:cs="Calibri"/>
          <w:sz w:val="24"/>
          <w:szCs w:val="24"/>
        </w:rPr>
        <w:t xml:space="preserve"> businesses (including investors)</w:t>
      </w:r>
      <w:r w:rsidR="00143E04">
        <w:rPr>
          <w:rFonts w:ascii="Calibri" w:eastAsia="Calibri" w:hAnsi="Calibri" w:cs="Calibri"/>
          <w:sz w:val="24"/>
          <w:szCs w:val="24"/>
        </w:rPr>
        <w:t xml:space="preserve"> to comply with the UNGPs</w:t>
      </w:r>
      <w:r w:rsidR="00890DA5">
        <w:rPr>
          <w:rFonts w:ascii="Calibri" w:eastAsia="Calibri" w:hAnsi="Calibri" w:cs="Calibri"/>
          <w:sz w:val="24"/>
          <w:szCs w:val="24"/>
        </w:rPr>
        <w:t xml:space="preserve">, </w:t>
      </w:r>
      <w:r w:rsidR="00376D88">
        <w:rPr>
          <w:rFonts w:ascii="Calibri" w:eastAsia="Calibri" w:hAnsi="Calibri" w:cs="Calibri"/>
          <w:sz w:val="24"/>
          <w:szCs w:val="24"/>
        </w:rPr>
        <w:t xml:space="preserve">institutional </w:t>
      </w:r>
      <w:r w:rsidR="00890DA5">
        <w:rPr>
          <w:rFonts w:ascii="Calibri" w:eastAsia="Calibri" w:hAnsi="Calibri" w:cs="Calibri"/>
          <w:sz w:val="24"/>
          <w:szCs w:val="24"/>
        </w:rPr>
        <w:t>i</w:t>
      </w:r>
      <w:r w:rsidR="00791152">
        <w:rPr>
          <w:rFonts w:ascii="Calibri" w:eastAsia="Calibri" w:hAnsi="Calibri" w:cs="Calibri"/>
          <w:sz w:val="24"/>
          <w:szCs w:val="24"/>
        </w:rPr>
        <w:t>nvestors should</w:t>
      </w:r>
      <w:r w:rsidR="00890DA5">
        <w:rPr>
          <w:rFonts w:ascii="Calibri" w:eastAsia="Calibri" w:hAnsi="Calibri" w:cs="Calibri"/>
          <w:sz w:val="24"/>
          <w:szCs w:val="24"/>
        </w:rPr>
        <w:t>: (1)</w:t>
      </w:r>
      <w:r w:rsidR="00791152">
        <w:rPr>
          <w:rFonts w:ascii="Calibri" w:eastAsia="Calibri" w:hAnsi="Calibri" w:cs="Calibri"/>
          <w:sz w:val="24"/>
          <w:szCs w:val="24"/>
        </w:rPr>
        <w:t xml:space="preserve"> </w:t>
      </w:r>
      <w:r w:rsidR="00890DA5">
        <w:rPr>
          <w:rFonts w:ascii="Calibri" w:eastAsia="Calibri" w:hAnsi="Calibri" w:cs="Calibri"/>
          <w:sz w:val="24"/>
          <w:szCs w:val="24"/>
        </w:rPr>
        <w:t xml:space="preserve">adopt a policy commitment to respect human rights and embed this commitment </w:t>
      </w:r>
      <w:r w:rsidR="00A17C64">
        <w:rPr>
          <w:rFonts w:ascii="Calibri" w:eastAsia="Calibri" w:hAnsi="Calibri" w:cs="Calibri"/>
          <w:sz w:val="24"/>
          <w:szCs w:val="24"/>
        </w:rPr>
        <w:t>in their</w:t>
      </w:r>
      <w:r w:rsidR="00890DA5">
        <w:rPr>
          <w:rFonts w:ascii="Calibri" w:eastAsia="Calibri" w:hAnsi="Calibri" w:cs="Calibri"/>
          <w:sz w:val="24"/>
          <w:szCs w:val="24"/>
        </w:rPr>
        <w:t xml:space="preserve"> governance </w:t>
      </w:r>
      <w:r w:rsidR="00A17C64">
        <w:rPr>
          <w:rFonts w:ascii="Calibri" w:eastAsia="Calibri" w:hAnsi="Calibri" w:cs="Calibri"/>
          <w:sz w:val="24"/>
          <w:szCs w:val="24"/>
        </w:rPr>
        <w:t xml:space="preserve">framework, management systems, </w:t>
      </w:r>
      <w:r w:rsidR="00890DA5">
        <w:rPr>
          <w:rFonts w:ascii="Calibri" w:eastAsia="Calibri" w:hAnsi="Calibri" w:cs="Calibri"/>
          <w:sz w:val="24"/>
          <w:szCs w:val="24"/>
        </w:rPr>
        <w:t>and investment activities; (2) implement due diligence</w:t>
      </w:r>
      <w:r w:rsidR="00A17C64">
        <w:rPr>
          <w:rFonts w:ascii="Calibri" w:eastAsia="Calibri" w:hAnsi="Calibri" w:cs="Calibri"/>
          <w:sz w:val="24"/>
          <w:szCs w:val="24"/>
        </w:rPr>
        <w:t xml:space="preserve"> </w:t>
      </w:r>
      <w:r w:rsidR="00347935">
        <w:rPr>
          <w:rFonts w:ascii="Calibri" w:eastAsia="Calibri" w:hAnsi="Calibri" w:cs="Calibri"/>
          <w:sz w:val="24"/>
          <w:szCs w:val="24"/>
        </w:rPr>
        <w:t xml:space="preserve">and responsible investment practices </w:t>
      </w:r>
      <w:r w:rsidR="00A17C64">
        <w:rPr>
          <w:rFonts w:ascii="Calibri" w:eastAsia="Calibri" w:hAnsi="Calibri" w:cs="Calibri"/>
          <w:sz w:val="24"/>
          <w:szCs w:val="24"/>
        </w:rPr>
        <w:t xml:space="preserve">by identifying actual and potential adverse human rights impacts and </w:t>
      </w:r>
      <w:r w:rsidR="00376D88">
        <w:rPr>
          <w:rFonts w:ascii="Calibri" w:eastAsia="Calibri" w:hAnsi="Calibri" w:cs="Calibri"/>
          <w:sz w:val="24"/>
          <w:szCs w:val="24"/>
        </w:rPr>
        <w:t>prevent</w:t>
      </w:r>
      <w:r w:rsidR="00935A4A">
        <w:rPr>
          <w:rFonts w:ascii="Calibri" w:eastAsia="Calibri" w:hAnsi="Calibri" w:cs="Calibri"/>
          <w:sz w:val="24"/>
          <w:szCs w:val="24"/>
        </w:rPr>
        <w:t>ing</w:t>
      </w:r>
      <w:r w:rsidR="00A17C64">
        <w:rPr>
          <w:rFonts w:ascii="Calibri" w:eastAsia="Calibri" w:hAnsi="Calibri" w:cs="Calibri"/>
          <w:sz w:val="24"/>
          <w:szCs w:val="24"/>
        </w:rPr>
        <w:t xml:space="preserve"> or </w:t>
      </w:r>
      <w:r w:rsidR="00376D88">
        <w:rPr>
          <w:rFonts w:ascii="Calibri" w:eastAsia="Calibri" w:hAnsi="Calibri" w:cs="Calibri"/>
          <w:sz w:val="24"/>
          <w:szCs w:val="24"/>
        </w:rPr>
        <w:t>mitigat</w:t>
      </w:r>
      <w:r w:rsidR="00935A4A">
        <w:rPr>
          <w:rFonts w:ascii="Calibri" w:eastAsia="Calibri" w:hAnsi="Calibri" w:cs="Calibri"/>
          <w:sz w:val="24"/>
          <w:szCs w:val="24"/>
        </w:rPr>
        <w:t>ing</w:t>
      </w:r>
      <w:r w:rsidR="00A17C64">
        <w:rPr>
          <w:rFonts w:ascii="Calibri" w:eastAsia="Calibri" w:hAnsi="Calibri" w:cs="Calibri"/>
          <w:sz w:val="24"/>
          <w:szCs w:val="24"/>
        </w:rPr>
        <w:t xml:space="preserve"> th</w:t>
      </w:r>
      <w:r w:rsidR="00376D88">
        <w:rPr>
          <w:rFonts w:ascii="Calibri" w:eastAsia="Calibri" w:hAnsi="Calibri" w:cs="Calibri"/>
          <w:sz w:val="24"/>
          <w:szCs w:val="24"/>
        </w:rPr>
        <w:t>ese</w:t>
      </w:r>
      <w:r w:rsidR="00A17C64">
        <w:rPr>
          <w:rFonts w:ascii="Calibri" w:eastAsia="Calibri" w:hAnsi="Calibri" w:cs="Calibri"/>
          <w:sz w:val="24"/>
          <w:szCs w:val="24"/>
        </w:rPr>
        <w:t xml:space="preserve"> identified impacts</w:t>
      </w:r>
      <w:r w:rsidR="00890DA5">
        <w:rPr>
          <w:rFonts w:ascii="Calibri" w:eastAsia="Calibri" w:hAnsi="Calibri" w:cs="Calibri"/>
          <w:sz w:val="24"/>
          <w:szCs w:val="24"/>
        </w:rPr>
        <w:t>; and (3) provide or enable access to remedy.</w:t>
      </w:r>
    </w:p>
    <w:p w14:paraId="4B0CAF5D" w14:textId="40B0585B" w:rsidR="00376D88" w:rsidRDefault="00376D88" w:rsidP="0032077E">
      <w:pPr>
        <w:jc w:val="both"/>
        <w:rPr>
          <w:rFonts w:ascii="Calibri" w:eastAsia="Calibri" w:hAnsi="Calibri" w:cs="Calibri"/>
          <w:sz w:val="24"/>
          <w:szCs w:val="24"/>
        </w:rPr>
      </w:pPr>
    </w:p>
    <w:p w14:paraId="483A5F2B" w14:textId="2872D8EB" w:rsidR="00376D88" w:rsidRDefault="00376D88" w:rsidP="0032077E">
      <w:pPr>
        <w:jc w:val="both"/>
        <w:rPr>
          <w:rFonts w:ascii="Calibri" w:eastAsia="Calibri" w:hAnsi="Calibri" w:cs="Calibri"/>
          <w:sz w:val="24"/>
          <w:szCs w:val="24"/>
        </w:rPr>
      </w:pPr>
      <w:r>
        <w:rPr>
          <w:rFonts w:ascii="Calibri" w:eastAsia="Calibri" w:hAnsi="Calibri" w:cs="Calibri"/>
          <w:sz w:val="24"/>
          <w:szCs w:val="24"/>
        </w:rPr>
        <w:t xml:space="preserve">Within these steps, there are several recommendations that seem crucial to us. First, </w:t>
      </w:r>
      <w:r w:rsidR="00787D10">
        <w:rPr>
          <w:rFonts w:ascii="Calibri" w:eastAsia="Calibri" w:hAnsi="Calibri" w:cs="Calibri"/>
          <w:sz w:val="24"/>
          <w:szCs w:val="24"/>
        </w:rPr>
        <w:t xml:space="preserve">investors should exercise and build “leverage” </w:t>
      </w:r>
      <w:r w:rsidR="00516BBD">
        <w:rPr>
          <w:rFonts w:ascii="Calibri" w:eastAsia="Calibri" w:hAnsi="Calibri" w:cs="Calibri"/>
          <w:sz w:val="24"/>
          <w:szCs w:val="24"/>
        </w:rPr>
        <w:t>through</w:t>
      </w:r>
      <w:r w:rsidR="00787D10">
        <w:rPr>
          <w:rFonts w:ascii="Calibri" w:eastAsia="Calibri" w:hAnsi="Calibri" w:cs="Calibri"/>
          <w:sz w:val="24"/>
          <w:szCs w:val="24"/>
        </w:rPr>
        <w:t xml:space="preserve"> their own investment decisions, their stewardship of investees</w:t>
      </w:r>
      <w:r w:rsidR="00516BBD">
        <w:rPr>
          <w:rFonts w:ascii="Calibri" w:eastAsia="Calibri" w:hAnsi="Calibri" w:cs="Calibri"/>
          <w:sz w:val="24"/>
          <w:szCs w:val="24"/>
        </w:rPr>
        <w:t>’ due diligence</w:t>
      </w:r>
      <w:r w:rsidR="00787D10">
        <w:rPr>
          <w:rFonts w:ascii="Calibri" w:eastAsia="Calibri" w:hAnsi="Calibri" w:cs="Calibri"/>
          <w:sz w:val="24"/>
          <w:szCs w:val="24"/>
        </w:rPr>
        <w:t xml:space="preserve">, and their dialogues with </w:t>
      </w:r>
      <w:r w:rsidR="00784ED9">
        <w:rPr>
          <w:rFonts w:ascii="Calibri" w:eastAsia="Calibri" w:hAnsi="Calibri" w:cs="Calibri"/>
          <w:sz w:val="24"/>
          <w:szCs w:val="24"/>
        </w:rPr>
        <w:t xml:space="preserve">stakeholders and </w:t>
      </w:r>
      <w:r w:rsidR="00787D10">
        <w:rPr>
          <w:rFonts w:ascii="Calibri" w:eastAsia="Calibri" w:hAnsi="Calibri" w:cs="Calibri"/>
          <w:sz w:val="24"/>
          <w:szCs w:val="24"/>
        </w:rPr>
        <w:t>policymakers</w:t>
      </w:r>
      <w:r w:rsidR="00D70BA1">
        <w:rPr>
          <w:rFonts w:ascii="Calibri" w:eastAsia="Calibri" w:hAnsi="Calibri" w:cs="Calibri"/>
          <w:sz w:val="24"/>
          <w:szCs w:val="24"/>
        </w:rPr>
        <w:t>.</w:t>
      </w:r>
      <w:r w:rsidR="00787D10" w:rsidRPr="00C00A16">
        <w:rPr>
          <w:rStyle w:val="FootnoteReference"/>
        </w:rPr>
        <w:footnoteReference w:id="35"/>
      </w:r>
      <w:r w:rsidR="00516BBD">
        <w:rPr>
          <w:rFonts w:ascii="Calibri" w:eastAsia="Calibri" w:hAnsi="Calibri" w:cs="Calibri"/>
          <w:sz w:val="24"/>
          <w:szCs w:val="24"/>
        </w:rPr>
        <w:t xml:space="preserve"> For example, investors could promote compliance with the UNGPs through direct communication, proxy voting, and/or participation in stakeholder platforms and litigations. Second, if investors are unable to exercise their leverage and there is no prospect for improvement, they should consider </w:t>
      </w:r>
      <w:r w:rsidR="00784ED9">
        <w:rPr>
          <w:rFonts w:ascii="Calibri" w:eastAsia="Calibri" w:hAnsi="Calibri" w:cs="Calibri"/>
          <w:sz w:val="24"/>
          <w:szCs w:val="24"/>
        </w:rPr>
        <w:t>responsible divestment</w:t>
      </w:r>
      <w:r w:rsidR="00516BBD">
        <w:rPr>
          <w:rFonts w:ascii="Calibri" w:eastAsia="Calibri" w:hAnsi="Calibri" w:cs="Calibri"/>
          <w:sz w:val="24"/>
          <w:szCs w:val="24"/>
        </w:rPr>
        <w:t xml:space="preserve">. Investors should prioritize </w:t>
      </w:r>
      <w:r w:rsidR="00784ED9">
        <w:rPr>
          <w:rFonts w:ascii="Calibri" w:eastAsia="Calibri" w:hAnsi="Calibri" w:cs="Calibri"/>
          <w:sz w:val="24"/>
          <w:szCs w:val="24"/>
        </w:rPr>
        <w:t>divesting</w:t>
      </w:r>
      <w:r w:rsidR="00516BBD">
        <w:rPr>
          <w:rFonts w:ascii="Calibri" w:eastAsia="Calibri" w:hAnsi="Calibri" w:cs="Calibri"/>
          <w:sz w:val="24"/>
          <w:szCs w:val="24"/>
        </w:rPr>
        <w:t xml:space="preserve"> from carbon-intensive projects and reallocate those resources toward green projects</w:t>
      </w:r>
      <w:r w:rsidR="00D70BA1">
        <w:rPr>
          <w:rFonts w:ascii="Calibri" w:eastAsia="Calibri" w:hAnsi="Calibri" w:cs="Calibri"/>
          <w:sz w:val="24"/>
          <w:szCs w:val="24"/>
        </w:rPr>
        <w:t>.</w:t>
      </w:r>
      <w:r w:rsidR="00516BBD" w:rsidRPr="00C00A16">
        <w:rPr>
          <w:rStyle w:val="FootnoteReference"/>
        </w:rPr>
        <w:footnoteReference w:id="36"/>
      </w:r>
      <w:r w:rsidR="00516BBD">
        <w:rPr>
          <w:rFonts w:ascii="Calibri" w:eastAsia="Calibri" w:hAnsi="Calibri" w:cs="Calibri"/>
          <w:sz w:val="24"/>
          <w:szCs w:val="24"/>
        </w:rPr>
        <w:t xml:space="preserve"> Alternatively, investors</w:t>
      </w:r>
      <w:r w:rsidR="00BF434A">
        <w:rPr>
          <w:rFonts w:ascii="Calibri" w:eastAsia="Calibri" w:hAnsi="Calibri" w:cs="Calibri"/>
          <w:sz w:val="24"/>
          <w:szCs w:val="24"/>
        </w:rPr>
        <w:t xml:space="preserve"> could consider a “tilting” strategy where they </w:t>
      </w:r>
      <w:r w:rsidR="00784ED9">
        <w:rPr>
          <w:rFonts w:ascii="Calibri" w:eastAsia="Calibri" w:hAnsi="Calibri" w:cs="Calibri"/>
          <w:sz w:val="24"/>
          <w:szCs w:val="24"/>
        </w:rPr>
        <w:t>move</w:t>
      </w:r>
      <w:r w:rsidR="00BF434A">
        <w:rPr>
          <w:rFonts w:ascii="Calibri" w:eastAsia="Calibri" w:hAnsi="Calibri" w:cs="Calibri"/>
          <w:sz w:val="24"/>
          <w:szCs w:val="24"/>
        </w:rPr>
        <w:t xml:space="preserve"> away from “brown” industries while holding shares in </w:t>
      </w:r>
      <w:r w:rsidR="00E3792D">
        <w:rPr>
          <w:rFonts w:ascii="Calibri" w:eastAsia="Calibri" w:hAnsi="Calibri" w:cs="Calibri"/>
          <w:sz w:val="24"/>
          <w:szCs w:val="24"/>
        </w:rPr>
        <w:t xml:space="preserve">selected lead-firms that take </w:t>
      </w:r>
      <w:r w:rsidR="00784ED9">
        <w:rPr>
          <w:rFonts w:ascii="Calibri" w:eastAsia="Calibri" w:hAnsi="Calibri" w:cs="Calibri"/>
          <w:sz w:val="24"/>
          <w:szCs w:val="24"/>
        </w:rPr>
        <w:t>appropriate ESG action</w:t>
      </w:r>
      <w:r w:rsidR="00E3792D">
        <w:rPr>
          <w:rFonts w:ascii="Calibri" w:eastAsia="Calibri" w:hAnsi="Calibri" w:cs="Calibri"/>
          <w:sz w:val="24"/>
          <w:szCs w:val="24"/>
        </w:rPr>
        <w:t xml:space="preserve"> and attract other firms to follow. Finally, investors should </w:t>
      </w:r>
      <w:r w:rsidR="006741F8">
        <w:rPr>
          <w:rFonts w:ascii="Calibri" w:eastAsia="Calibri" w:hAnsi="Calibri" w:cs="Calibri"/>
          <w:sz w:val="24"/>
          <w:szCs w:val="24"/>
        </w:rPr>
        <w:t xml:space="preserve">formally and publicly </w:t>
      </w:r>
      <w:r w:rsidR="00E3792D">
        <w:rPr>
          <w:rFonts w:ascii="Calibri" w:eastAsia="Calibri" w:hAnsi="Calibri" w:cs="Calibri"/>
          <w:sz w:val="24"/>
          <w:szCs w:val="24"/>
        </w:rPr>
        <w:t>disclose how they manage their investments and due diligence efforts</w:t>
      </w:r>
      <w:r w:rsidR="00D70BA1">
        <w:rPr>
          <w:rFonts w:ascii="Calibri" w:eastAsia="Calibri" w:hAnsi="Calibri" w:cs="Calibri"/>
          <w:sz w:val="24"/>
          <w:szCs w:val="24"/>
        </w:rPr>
        <w:t>.</w:t>
      </w:r>
      <w:r w:rsidR="00E3792D" w:rsidRPr="00C00A16">
        <w:rPr>
          <w:rStyle w:val="FootnoteReference"/>
        </w:rPr>
        <w:footnoteReference w:id="37"/>
      </w:r>
      <w:r w:rsidR="00E3792D">
        <w:rPr>
          <w:rFonts w:ascii="Calibri" w:eastAsia="Calibri" w:hAnsi="Calibri" w:cs="Calibri"/>
          <w:sz w:val="24"/>
          <w:szCs w:val="24"/>
        </w:rPr>
        <w:t xml:space="preserve"> This creates a framework of </w:t>
      </w:r>
      <w:r w:rsidR="003727E7">
        <w:rPr>
          <w:rFonts w:ascii="Calibri" w:eastAsia="Calibri" w:hAnsi="Calibri" w:cs="Calibri"/>
          <w:sz w:val="24"/>
          <w:szCs w:val="24"/>
        </w:rPr>
        <w:t xml:space="preserve">transparency which is crucial for stakeholders and policymakers to assess the progress of sustainable finance portfolios and to hold investors to account when not complying with the UNGPs. </w:t>
      </w:r>
      <w:r w:rsidR="006741F8">
        <w:rPr>
          <w:rFonts w:ascii="Calibri" w:eastAsia="Calibri" w:hAnsi="Calibri" w:cs="Calibri"/>
          <w:sz w:val="24"/>
          <w:szCs w:val="24"/>
        </w:rPr>
        <w:t>Moreover, d</w:t>
      </w:r>
      <w:r w:rsidR="003727E7">
        <w:rPr>
          <w:rFonts w:ascii="Calibri" w:eastAsia="Calibri" w:hAnsi="Calibri" w:cs="Calibri"/>
          <w:sz w:val="24"/>
          <w:szCs w:val="24"/>
        </w:rPr>
        <w:t>isclosure and transparency incentivize investees to properly measure their own actions</w:t>
      </w:r>
      <w:r w:rsidR="006741F8">
        <w:rPr>
          <w:rFonts w:ascii="Calibri" w:eastAsia="Calibri" w:hAnsi="Calibri" w:cs="Calibri"/>
          <w:sz w:val="24"/>
          <w:szCs w:val="24"/>
        </w:rPr>
        <w:t xml:space="preserve"> and </w:t>
      </w:r>
      <w:r w:rsidR="003727E7">
        <w:rPr>
          <w:rFonts w:ascii="Calibri" w:eastAsia="Calibri" w:hAnsi="Calibri" w:cs="Calibri"/>
          <w:sz w:val="24"/>
          <w:szCs w:val="24"/>
        </w:rPr>
        <w:t xml:space="preserve">helps investors to fulfil their fiduciary </w:t>
      </w:r>
      <w:r w:rsidR="00CF5011">
        <w:rPr>
          <w:rFonts w:ascii="Calibri" w:eastAsia="Calibri" w:hAnsi="Calibri" w:cs="Calibri"/>
          <w:sz w:val="24"/>
          <w:szCs w:val="24"/>
        </w:rPr>
        <w:t>dut</w:t>
      </w:r>
      <w:r w:rsidR="006741F8">
        <w:rPr>
          <w:rFonts w:ascii="Calibri" w:eastAsia="Calibri" w:hAnsi="Calibri" w:cs="Calibri"/>
          <w:sz w:val="24"/>
          <w:szCs w:val="24"/>
        </w:rPr>
        <w:t xml:space="preserve">ies by </w:t>
      </w:r>
      <w:r w:rsidR="00CF5011">
        <w:rPr>
          <w:rFonts w:ascii="Calibri" w:eastAsia="Calibri" w:hAnsi="Calibri" w:cs="Calibri"/>
          <w:sz w:val="24"/>
          <w:szCs w:val="24"/>
        </w:rPr>
        <w:t>providing beneficiaries with accurate information</w:t>
      </w:r>
      <w:r w:rsidR="006741F8">
        <w:rPr>
          <w:rFonts w:ascii="Calibri" w:eastAsia="Calibri" w:hAnsi="Calibri" w:cs="Calibri"/>
          <w:sz w:val="24"/>
          <w:szCs w:val="24"/>
        </w:rPr>
        <w:t>.</w:t>
      </w:r>
      <w:r w:rsidR="00CF5011">
        <w:rPr>
          <w:rFonts w:ascii="Calibri" w:eastAsia="Calibri" w:hAnsi="Calibri" w:cs="Calibri"/>
          <w:sz w:val="24"/>
          <w:szCs w:val="24"/>
        </w:rPr>
        <w:t xml:space="preserve"> </w:t>
      </w:r>
    </w:p>
    <w:p w14:paraId="0000001C" w14:textId="231B416F" w:rsidR="007003E0" w:rsidRDefault="007003E0">
      <w:pPr>
        <w:jc w:val="both"/>
        <w:rPr>
          <w:rFonts w:ascii="Calibri" w:eastAsia="Calibri" w:hAnsi="Calibri" w:cs="Calibri"/>
          <w:sz w:val="24"/>
          <w:szCs w:val="24"/>
        </w:rPr>
      </w:pPr>
    </w:p>
    <w:p w14:paraId="7EA1A617" w14:textId="77777777" w:rsidR="005B5209" w:rsidRDefault="005B5209">
      <w:pPr>
        <w:rPr>
          <w:sz w:val="28"/>
          <w:szCs w:val="28"/>
        </w:rPr>
      </w:pPr>
      <w:r>
        <w:rPr>
          <w:sz w:val="28"/>
          <w:szCs w:val="28"/>
        </w:rPr>
        <w:br w:type="page"/>
      </w:r>
    </w:p>
    <w:p w14:paraId="0000001D" w14:textId="6BD8FE53" w:rsidR="007003E0" w:rsidRDefault="002C66DF" w:rsidP="005A72B3">
      <w:pPr>
        <w:pStyle w:val="Heading1"/>
        <w:spacing w:before="240" w:after="0"/>
        <w:rPr>
          <w:sz w:val="28"/>
          <w:szCs w:val="28"/>
        </w:rPr>
      </w:pPr>
      <w:r>
        <w:rPr>
          <w:sz w:val="28"/>
          <w:szCs w:val="28"/>
        </w:rPr>
        <w:lastRenderedPageBreak/>
        <w:t>Bibliography</w:t>
      </w:r>
    </w:p>
    <w:p w14:paraId="0000001E" w14:textId="77777777" w:rsidR="007003E0" w:rsidRDefault="002C66DF" w:rsidP="005A72B3">
      <w:pPr>
        <w:keepNext/>
        <w:spacing w:before="240" w:after="120" w:line="259" w:lineRule="auto"/>
        <w:jc w:val="both"/>
        <w:rPr>
          <w:rFonts w:ascii="Calibri" w:eastAsia="Calibri" w:hAnsi="Calibri" w:cs="Calibri"/>
          <w:b/>
          <w:sz w:val="24"/>
          <w:szCs w:val="24"/>
        </w:rPr>
      </w:pPr>
      <w:r>
        <w:rPr>
          <w:rFonts w:ascii="Calibri" w:eastAsia="Calibri" w:hAnsi="Calibri" w:cs="Calibri"/>
          <w:b/>
          <w:sz w:val="24"/>
          <w:szCs w:val="24"/>
        </w:rPr>
        <w:t>Legislation</w:t>
      </w:r>
    </w:p>
    <w:p w14:paraId="00000020" w14:textId="0A2D8B63" w:rsidR="007003E0" w:rsidRDefault="002C66DF">
      <w:pPr>
        <w:spacing w:after="120" w:line="259" w:lineRule="auto"/>
        <w:jc w:val="both"/>
        <w:rPr>
          <w:rFonts w:ascii="Calibri" w:eastAsia="Calibri" w:hAnsi="Calibri" w:cs="Calibri"/>
          <w:sz w:val="24"/>
          <w:szCs w:val="24"/>
        </w:rPr>
      </w:pPr>
      <w:r>
        <w:rPr>
          <w:rFonts w:ascii="Calibri" w:eastAsia="Calibri" w:hAnsi="Calibri" w:cs="Calibri"/>
          <w:i/>
          <w:sz w:val="24"/>
          <w:szCs w:val="24"/>
        </w:rPr>
        <w:t xml:space="preserve">Canadian Business Corporations Act, </w:t>
      </w:r>
      <w:r>
        <w:rPr>
          <w:rFonts w:ascii="Calibri" w:eastAsia="Calibri" w:hAnsi="Calibri" w:cs="Calibri"/>
          <w:sz w:val="24"/>
          <w:szCs w:val="24"/>
        </w:rPr>
        <w:t>RSC 1985, c C-44.</w:t>
      </w:r>
    </w:p>
    <w:p w14:paraId="5112B584" w14:textId="1E14FE74" w:rsidR="00194BF0" w:rsidRPr="00347935" w:rsidRDefault="00194BF0" w:rsidP="005A72B3">
      <w:pPr>
        <w:keepNext/>
        <w:spacing w:before="240" w:after="120" w:line="259" w:lineRule="auto"/>
        <w:jc w:val="both"/>
        <w:rPr>
          <w:rFonts w:ascii="Calibri" w:eastAsia="Calibri" w:hAnsi="Calibri" w:cs="Calibri"/>
          <w:b/>
          <w:sz w:val="24"/>
          <w:szCs w:val="24"/>
        </w:rPr>
      </w:pPr>
      <w:r w:rsidRPr="00347935">
        <w:rPr>
          <w:rFonts w:ascii="Calibri" w:eastAsia="Calibri" w:hAnsi="Calibri" w:cs="Calibri"/>
          <w:b/>
          <w:sz w:val="24"/>
          <w:szCs w:val="24"/>
        </w:rPr>
        <w:t>Case Law</w:t>
      </w:r>
    </w:p>
    <w:p w14:paraId="2672747F" w14:textId="037CA11F" w:rsidR="00194BF0" w:rsidRPr="00194BF0" w:rsidRDefault="00194BF0" w:rsidP="005A72B3">
      <w:pPr>
        <w:keepNext/>
        <w:spacing w:before="240" w:after="120" w:line="259" w:lineRule="auto"/>
        <w:jc w:val="both"/>
        <w:rPr>
          <w:rFonts w:ascii="Calibri" w:eastAsia="Calibri" w:hAnsi="Calibri" w:cs="Calibri"/>
          <w:bCs/>
          <w:sz w:val="24"/>
          <w:szCs w:val="24"/>
        </w:rPr>
      </w:pPr>
      <w:proofErr w:type="spellStart"/>
      <w:r w:rsidRPr="00194BF0">
        <w:rPr>
          <w:rFonts w:ascii="Calibri" w:eastAsia="Calibri" w:hAnsi="Calibri" w:cs="Calibri"/>
          <w:bCs/>
          <w:i/>
          <w:iCs/>
          <w:sz w:val="24"/>
          <w:szCs w:val="24"/>
        </w:rPr>
        <w:t>Nevsun</w:t>
      </w:r>
      <w:proofErr w:type="spellEnd"/>
      <w:r w:rsidRPr="00194BF0">
        <w:rPr>
          <w:rFonts w:ascii="Calibri" w:eastAsia="Calibri" w:hAnsi="Calibri" w:cs="Calibri"/>
          <w:bCs/>
          <w:i/>
          <w:iCs/>
          <w:sz w:val="24"/>
          <w:szCs w:val="24"/>
        </w:rPr>
        <w:t xml:space="preserve"> Resources Ltd v Aray</w:t>
      </w:r>
      <w:r>
        <w:rPr>
          <w:rFonts w:ascii="Calibri" w:eastAsia="Calibri" w:hAnsi="Calibri" w:cs="Calibri"/>
          <w:bCs/>
          <w:i/>
          <w:iCs/>
          <w:sz w:val="24"/>
          <w:szCs w:val="24"/>
        </w:rPr>
        <w:t>a</w:t>
      </w:r>
      <w:r>
        <w:rPr>
          <w:rFonts w:ascii="Calibri" w:eastAsia="Calibri" w:hAnsi="Calibri" w:cs="Calibri"/>
          <w:bCs/>
          <w:sz w:val="24"/>
          <w:szCs w:val="24"/>
        </w:rPr>
        <w:t>, 2020 SCC 5.</w:t>
      </w:r>
    </w:p>
    <w:p w14:paraId="52B53AF7" w14:textId="0DC721F5" w:rsidR="00194BF0" w:rsidRPr="003E39D3" w:rsidRDefault="003E39D3" w:rsidP="005A72B3">
      <w:pPr>
        <w:keepNext/>
        <w:spacing w:before="240" w:after="120" w:line="259" w:lineRule="auto"/>
        <w:jc w:val="both"/>
        <w:rPr>
          <w:rFonts w:ascii="Calibri" w:eastAsia="Calibri" w:hAnsi="Calibri" w:cs="Calibri"/>
          <w:b/>
          <w:sz w:val="28"/>
          <w:szCs w:val="28"/>
        </w:rPr>
      </w:pPr>
      <w:proofErr w:type="spellStart"/>
      <w:r w:rsidRPr="003E39D3">
        <w:rPr>
          <w:rFonts w:ascii="Calibri" w:hAnsi="Calibri" w:cs="Calibri"/>
          <w:i/>
          <w:iCs/>
          <w:sz w:val="24"/>
          <w:szCs w:val="24"/>
        </w:rPr>
        <w:t>Vereniging</w:t>
      </w:r>
      <w:proofErr w:type="spellEnd"/>
      <w:r w:rsidRPr="003E39D3">
        <w:rPr>
          <w:rFonts w:ascii="Calibri" w:hAnsi="Calibri" w:cs="Calibri"/>
          <w:i/>
          <w:iCs/>
          <w:sz w:val="24"/>
          <w:szCs w:val="24"/>
        </w:rPr>
        <w:t xml:space="preserve"> </w:t>
      </w:r>
      <w:proofErr w:type="spellStart"/>
      <w:r w:rsidRPr="003E39D3">
        <w:rPr>
          <w:rFonts w:ascii="Calibri" w:hAnsi="Calibri" w:cs="Calibri"/>
          <w:i/>
          <w:iCs/>
          <w:sz w:val="24"/>
          <w:szCs w:val="24"/>
        </w:rPr>
        <w:t>Milieudefensie</w:t>
      </w:r>
      <w:proofErr w:type="spellEnd"/>
      <w:r w:rsidRPr="003E39D3">
        <w:rPr>
          <w:rFonts w:ascii="Calibri" w:hAnsi="Calibri" w:cs="Calibri"/>
          <w:i/>
          <w:iCs/>
          <w:sz w:val="24"/>
          <w:szCs w:val="24"/>
        </w:rPr>
        <w:t xml:space="preserve"> and others v Royal Dutch Shell PLC</w:t>
      </w:r>
      <w:r w:rsidRPr="003E39D3">
        <w:rPr>
          <w:rFonts w:ascii="Calibri" w:hAnsi="Calibri" w:cs="Calibri"/>
          <w:sz w:val="24"/>
          <w:szCs w:val="24"/>
        </w:rPr>
        <w:t>, District Court of the Hague, Judgment of 26 May 2021, C/09/571932 / HA ZA 19-379</w:t>
      </w:r>
      <w:r>
        <w:rPr>
          <w:rFonts w:ascii="Calibri" w:hAnsi="Calibri" w:cs="Calibri"/>
          <w:sz w:val="24"/>
          <w:szCs w:val="24"/>
        </w:rPr>
        <w:t>.</w:t>
      </w:r>
    </w:p>
    <w:p w14:paraId="00000021" w14:textId="55CA7346" w:rsidR="007003E0" w:rsidRPr="00347935" w:rsidRDefault="002C66DF" w:rsidP="005A72B3">
      <w:pPr>
        <w:keepNext/>
        <w:spacing w:before="240" w:after="120" w:line="259" w:lineRule="auto"/>
        <w:jc w:val="both"/>
        <w:rPr>
          <w:rFonts w:ascii="Calibri" w:eastAsia="Calibri" w:hAnsi="Calibri" w:cs="Calibri"/>
          <w:b/>
          <w:sz w:val="24"/>
          <w:szCs w:val="24"/>
        </w:rPr>
      </w:pPr>
      <w:r w:rsidRPr="00347935">
        <w:rPr>
          <w:rFonts w:ascii="Calibri" w:eastAsia="Calibri" w:hAnsi="Calibri" w:cs="Calibri"/>
          <w:b/>
          <w:sz w:val="24"/>
          <w:szCs w:val="24"/>
        </w:rPr>
        <w:t>International Documents</w:t>
      </w:r>
    </w:p>
    <w:p w14:paraId="12441096" w14:textId="1A6DCECC" w:rsidR="005C35FB" w:rsidRPr="005B5209" w:rsidRDefault="005C35FB">
      <w:pPr>
        <w:spacing w:after="120" w:line="259" w:lineRule="auto"/>
        <w:jc w:val="both"/>
        <w:rPr>
          <w:rFonts w:ascii="Calibri" w:hAnsi="Calibri" w:cs="Calibri"/>
          <w:sz w:val="24"/>
          <w:szCs w:val="24"/>
        </w:rPr>
      </w:pPr>
      <w:r w:rsidRPr="005C35FB">
        <w:rPr>
          <w:rFonts w:ascii="Calibri" w:hAnsi="Calibri" w:cs="Calibri"/>
          <w:sz w:val="24"/>
          <w:szCs w:val="24"/>
        </w:rPr>
        <w:t>Investor Alliance for Human Rights, “Investor Toolkit on Human Rights” (19 May 2020), online: &lt;</w:t>
      </w:r>
      <w:hyperlink r:id="rId8" w:history="1">
        <w:r w:rsidRPr="005C35FB">
          <w:rPr>
            <w:rStyle w:val="Hyperlink"/>
            <w:rFonts w:ascii="Calibri" w:hAnsi="Calibri" w:cs="Calibri"/>
            <w:sz w:val="24"/>
            <w:szCs w:val="24"/>
          </w:rPr>
          <w:t>https://investorsforhumanrights.org/investor-toolkit-human-rights</w:t>
        </w:r>
      </w:hyperlink>
      <w:r w:rsidRPr="005C35FB">
        <w:rPr>
          <w:rFonts w:ascii="Calibri" w:hAnsi="Calibri" w:cs="Calibri"/>
          <w:sz w:val="24"/>
          <w:szCs w:val="24"/>
        </w:rPr>
        <w:t>&gt;.</w:t>
      </w:r>
    </w:p>
    <w:p w14:paraId="4E342581" w14:textId="78AC47C4" w:rsidR="00FE2558" w:rsidRPr="00FE2558" w:rsidRDefault="00FE2558">
      <w:pPr>
        <w:spacing w:after="120" w:line="259" w:lineRule="auto"/>
        <w:jc w:val="both"/>
        <w:rPr>
          <w:rFonts w:ascii="Calibri" w:eastAsia="Calibri" w:hAnsi="Calibri" w:cs="Calibri"/>
          <w:sz w:val="28"/>
          <w:szCs w:val="28"/>
        </w:rPr>
      </w:pPr>
      <w:r w:rsidRPr="00FE2558">
        <w:rPr>
          <w:rFonts w:ascii="Calibri" w:hAnsi="Calibri" w:cs="Calibri"/>
          <w:sz w:val="24"/>
          <w:szCs w:val="24"/>
        </w:rPr>
        <w:t xml:space="preserve">OECD, </w:t>
      </w:r>
      <w:r w:rsidRPr="00FE2558">
        <w:rPr>
          <w:rFonts w:ascii="Calibri" w:hAnsi="Calibri" w:cs="Calibri"/>
          <w:i/>
          <w:iCs/>
          <w:sz w:val="24"/>
          <w:szCs w:val="24"/>
        </w:rPr>
        <w:t xml:space="preserve">Responsible Business Conduct for Institutional Investors: Key Considerations for Due Diligence under the OECD Guidelines for Multinational Enterprises </w:t>
      </w:r>
      <w:r w:rsidRPr="00FE2558">
        <w:rPr>
          <w:rFonts w:ascii="Calibri" w:hAnsi="Calibri" w:cs="Calibri"/>
          <w:sz w:val="24"/>
          <w:szCs w:val="24"/>
        </w:rPr>
        <w:t>(2017), online: &lt;</w:t>
      </w:r>
      <w:hyperlink r:id="rId9" w:history="1">
        <w:r w:rsidRPr="00FE2558">
          <w:rPr>
            <w:rStyle w:val="Hyperlink"/>
            <w:rFonts w:ascii="Calibri" w:hAnsi="Calibri" w:cs="Calibri"/>
            <w:sz w:val="24"/>
            <w:szCs w:val="24"/>
          </w:rPr>
          <w:t>https://mneguidelines.oecd.org/RBC-for-Institutional-Investors.pdf</w:t>
        </w:r>
      </w:hyperlink>
      <w:r w:rsidRPr="00FE2558">
        <w:rPr>
          <w:rFonts w:ascii="Calibri" w:hAnsi="Calibri" w:cs="Calibri"/>
          <w:sz w:val="24"/>
          <w:szCs w:val="24"/>
        </w:rPr>
        <w:t xml:space="preserve">&gt; </w:t>
      </w:r>
    </w:p>
    <w:p w14:paraId="2A452899" w14:textId="6330E35B" w:rsidR="005C35FB" w:rsidRPr="005C35FB" w:rsidRDefault="005C35FB">
      <w:pPr>
        <w:spacing w:after="120" w:line="259" w:lineRule="auto"/>
        <w:jc w:val="both"/>
        <w:rPr>
          <w:rFonts w:ascii="Calibri" w:eastAsia="Calibri" w:hAnsi="Calibri" w:cs="Calibri"/>
          <w:sz w:val="28"/>
          <w:szCs w:val="28"/>
        </w:rPr>
      </w:pPr>
      <w:r w:rsidRPr="005C35FB">
        <w:rPr>
          <w:rFonts w:ascii="Calibri" w:hAnsi="Calibri" w:cs="Calibri"/>
          <w:sz w:val="24"/>
          <w:szCs w:val="24"/>
        </w:rPr>
        <w:t>P</w:t>
      </w:r>
      <w:r>
        <w:rPr>
          <w:rFonts w:ascii="Calibri" w:hAnsi="Calibri" w:cs="Calibri"/>
          <w:sz w:val="24"/>
          <w:szCs w:val="24"/>
        </w:rPr>
        <w:t xml:space="preserve">rinciples for </w:t>
      </w:r>
      <w:r w:rsidRPr="005C35FB">
        <w:rPr>
          <w:rFonts w:ascii="Calibri" w:hAnsi="Calibri" w:cs="Calibri"/>
          <w:sz w:val="24"/>
          <w:szCs w:val="24"/>
        </w:rPr>
        <w:t>R</w:t>
      </w:r>
      <w:r>
        <w:rPr>
          <w:rFonts w:ascii="Calibri" w:hAnsi="Calibri" w:cs="Calibri"/>
          <w:sz w:val="24"/>
          <w:szCs w:val="24"/>
        </w:rPr>
        <w:t xml:space="preserve">esponsible </w:t>
      </w:r>
      <w:proofErr w:type="spellStart"/>
      <w:r w:rsidRPr="005C35FB">
        <w:rPr>
          <w:rFonts w:ascii="Calibri" w:hAnsi="Calibri" w:cs="Calibri"/>
          <w:sz w:val="24"/>
          <w:szCs w:val="24"/>
        </w:rPr>
        <w:t>I</w:t>
      </w:r>
      <w:r>
        <w:rPr>
          <w:rFonts w:ascii="Calibri" w:hAnsi="Calibri" w:cs="Calibri"/>
          <w:sz w:val="24"/>
          <w:szCs w:val="24"/>
        </w:rPr>
        <w:t>nvestent</w:t>
      </w:r>
      <w:proofErr w:type="spellEnd"/>
      <w:r w:rsidRPr="005C35FB">
        <w:rPr>
          <w:rFonts w:ascii="Calibri" w:hAnsi="Calibri" w:cs="Calibri"/>
          <w:sz w:val="24"/>
          <w:szCs w:val="24"/>
        </w:rPr>
        <w:t>, “Why and How Investors Should Act on Human Rights” (2020), online: &lt;</w:t>
      </w:r>
      <w:hyperlink r:id="rId10" w:history="1">
        <w:r w:rsidRPr="005C35FB">
          <w:rPr>
            <w:rStyle w:val="Hyperlink"/>
            <w:rFonts w:ascii="Calibri" w:hAnsi="Calibri" w:cs="Calibri"/>
            <w:sz w:val="24"/>
            <w:szCs w:val="24"/>
          </w:rPr>
          <w:t>https://www.unpri.org/download?ac=11953</w:t>
        </w:r>
      </w:hyperlink>
      <w:r w:rsidRPr="005C35FB">
        <w:rPr>
          <w:rFonts w:ascii="Calibri" w:hAnsi="Calibri" w:cs="Calibri"/>
          <w:sz w:val="24"/>
          <w:szCs w:val="24"/>
        </w:rPr>
        <w:t>&gt;.</w:t>
      </w:r>
    </w:p>
    <w:p w14:paraId="00000022" w14:textId="24108EDB" w:rsidR="007003E0" w:rsidRDefault="002C66DF">
      <w:pPr>
        <w:spacing w:after="120" w:line="259" w:lineRule="auto"/>
        <w:jc w:val="both"/>
        <w:rPr>
          <w:rFonts w:ascii="Calibri" w:eastAsia="Calibri" w:hAnsi="Calibri" w:cs="Calibri"/>
          <w:sz w:val="24"/>
          <w:szCs w:val="24"/>
        </w:rPr>
      </w:pPr>
      <w:r>
        <w:rPr>
          <w:rFonts w:ascii="Calibri" w:eastAsia="Calibri" w:hAnsi="Calibri" w:cs="Calibri"/>
          <w:sz w:val="24"/>
          <w:szCs w:val="24"/>
        </w:rPr>
        <w:t xml:space="preserve">United Nations, </w:t>
      </w:r>
      <w:r>
        <w:rPr>
          <w:rFonts w:ascii="Calibri" w:eastAsia="Calibri" w:hAnsi="Calibri" w:cs="Calibri"/>
          <w:i/>
          <w:sz w:val="24"/>
          <w:szCs w:val="24"/>
        </w:rPr>
        <w:t xml:space="preserve">Transforming Our World: The 2030 Agenda for Sustainable Development, </w:t>
      </w:r>
      <w:r>
        <w:rPr>
          <w:rFonts w:ascii="Calibri" w:eastAsia="Calibri" w:hAnsi="Calibri" w:cs="Calibri"/>
          <w:sz w:val="24"/>
          <w:szCs w:val="24"/>
        </w:rPr>
        <w:t>2022, UN Doc A/70/1 GA Res 2022.</w:t>
      </w:r>
    </w:p>
    <w:p w14:paraId="2766EC10" w14:textId="30BC425F" w:rsidR="00EE4CF0" w:rsidRPr="00EE4CF0" w:rsidRDefault="00EE4CF0">
      <w:pPr>
        <w:spacing w:after="120" w:line="259" w:lineRule="auto"/>
        <w:jc w:val="both"/>
        <w:rPr>
          <w:rFonts w:ascii="Calibri" w:eastAsia="Calibri" w:hAnsi="Calibri" w:cs="Calibri"/>
          <w:sz w:val="28"/>
          <w:szCs w:val="28"/>
        </w:rPr>
      </w:pPr>
      <w:r w:rsidRPr="00EE4CF0">
        <w:rPr>
          <w:rFonts w:ascii="Calibri" w:hAnsi="Calibri" w:cs="Calibri"/>
          <w:sz w:val="24"/>
          <w:szCs w:val="24"/>
        </w:rPr>
        <w:t>United Nations, “The report of the Working Group on the issue of human rights and transnational corporations and other business enterprises” (16 July 2018) UN Doc A/73/163.</w:t>
      </w:r>
    </w:p>
    <w:p w14:paraId="612E264D" w14:textId="77777777" w:rsidR="00FE2558" w:rsidRPr="00460EFC" w:rsidRDefault="00FE2558" w:rsidP="00FE2558">
      <w:pPr>
        <w:spacing w:after="120" w:line="259" w:lineRule="auto"/>
        <w:jc w:val="both"/>
        <w:rPr>
          <w:rFonts w:ascii="Calibri" w:eastAsia="Calibri" w:hAnsi="Calibri" w:cs="Calibri"/>
          <w:sz w:val="28"/>
          <w:szCs w:val="28"/>
        </w:rPr>
      </w:pPr>
      <w:r w:rsidRPr="00460EFC">
        <w:rPr>
          <w:rFonts w:ascii="Calibri" w:hAnsi="Calibri" w:cs="Calibri"/>
          <w:sz w:val="24"/>
          <w:szCs w:val="24"/>
        </w:rPr>
        <w:t xml:space="preserve">United Nations Human Rights Council, “Protect, Respect and Remedy: A Framework for Business and Human Rights” </w:t>
      </w:r>
      <w:r w:rsidRPr="00460EFC">
        <w:rPr>
          <w:rFonts w:ascii="Calibri" w:hAnsi="Calibri" w:cs="Calibri"/>
          <w:i/>
          <w:iCs/>
          <w:sz w:val="24"/>
          <w:szCs w:val="24"/>
        </w:rPr>
        <w:t xml:space="preserve">Report of the Special Representative of the Secretary-General on the Issue of Human Rights and Transnational Corporations and other Business Enterprises, John </w:t>
      </w:r>
      <w:proofErr w:type="spellStart"/>
      <w:r w:rsidRPr="00460EFC">
        <w:rPr>
          <w:rFonts w:ascii="Calibri" w:hAnsi="Calibri" w:cs="Calibri"/>
          <w:i/>
          <w:iCs/>
          <w:sz w:val="24"/>
          <w:szCs w:val="24"/>
        </w:rPr>
        <w:t>Ruggie</w:t>
      </w:r>
      <w:proofErr w:type="spellEnd"/>
      <w:r w:rsidRPr="00460EFC">
        <w:rPr>
          <w:rFonts w:ascii="Calibri" w:hAnsi="Calibri" w:cs="Calibri"/>
          <w:sz w:val="24"/>
          <w:szCs w:val="24"/>
        </w:rPr>
        <w:t xml:space="preserve"> (7 April 2008) UN Doc A/HRC/8/5</w:t>
      </w:r>
      <w:r>
        <w:rPr>
          <w:rFonts w:ascii="Calibri" w:hAnsi="Calibri" w:cs="Calibri"/>
          <w:sz w:val="24"/>
          <w:szCs w:val="24"/>
        </w:rPr>
        <w:t>.</w:t>
      </w:r>
    </w:p>
    <w:p w14:paraId="00000024" w14:textId="3A9078BE" w:rsidR="007003E0" w:rsidRDefault="002C66DF">
      <w:pPr>
        <w:spacing w:after="120" w:line="259" w:lineRule="auto"/>
        <w:jc w:val="both"/>
        <w:rPr>
          <w:rFonts w:ascii="Calibri" w:eastAsia="Calibri" w:hAnsi="Calibri" w:cs="Calibri"/>
          <w:sz w:val="24"/>
          <w:szCs w:val="24"/>
        </w:rPr>
      </w:pPr>
      <w:r>
        <w:rPr>
          <w:rFonts w:ascii="Calibri" w:eastAsia="Calibri" w:hAnsi="Calibri" w:cs="Calibri"/>
          <w:sz w:val="24"/>
          <w:szCs w:val="24"/>
        </w:rPr>
        <w:t xml:space="preserve">United Nations Office of the High Commissioner for Human Rights, </w:t>
      </w:r>
      <w:r>
        <w:rPr>
          <w:rFonts w:ascii="Calibri" w:eastAsia="Calibri" w:hAnsi="Calibri" w:cs="Calibri"/>
          <w:i/>
          <w:sz w:val="24"/>
          <w:szCs w:val="24"/>
        </w:rPr>
        <w:t>Guiding Principles on Business and Human Rights: Implementing the United Nations “Protect, Respect and Remedy” Framework</w:t>
      </w:r>
      <w:r>
        <w:rPr>
          <w:rFonts w:ascii="Calibri" w:eastAsia="Calibri" w:hAnsi="Calibri" w:cs="Calibri"/>
          <w:sz w:val="24"/>
          <w:szCs w:val="24"/>
        </w:rPr>
        <w:t xml:space="preserve"> (New York/Geneva: UN, 2011).</w:t>
      </w:r>
    </w:p>
    <w:p w14:paraId="00000025" w14:textId="77777777" w:rsidR="007003E0" w:rsidRDefault="002C66DF" w:rsidP="005A72B3">
      <w:pPr>
        <w:keepNext/>
        <w:spacing w:before="240" w:after="120" w:line="259" w:lineRule="auto"/>
        <w:jc w:val="both"/>
        <w:rPr>
          <w:rFonts w:ascii="Calibri" w:eastAsia="Calibri" w:hAnsi="Calibri" w:cs="Calibri"/>
          <w:b/>
          <w:sz w:val="24"/>
          <w:szCs w:val="24"/>
        </w:rPr>
      </w:pPr>
      <w:r>
        <w:rPr>
          <w:rFonts w:ascii="Calibri" w:eastAsia="Calibri" w:hAnsi="Calibri" w:cs="Calibri"/>
          <w:b/>
          <w:sz w:val="24"/>
          <w:szCs w:val="24"/>
        </w:rPr>
        <w:t>Secondary Sources</w:t>
      </w:r>
    </w:p>
    <w:p w14:paraId="00000026" w14:textId="77777777" w:rsidR="007003E0" w:rsidRDefault="002C66DF">
      <w:pPr>
        <w:spacing w:after="120" w:line="259" w:lineRule="auto"/>
        <w:jc w:val="both"/>
        <w:rPr>
          <w:rFonts w:ascii="Calibri" w:eastAsia="Calibri" w:hAnsi="Calibri" w:cs="Calibri"/>
          <w:sz w:val="24"/>
          <w:szCs w:val="24"/>
        </w:rPr>
      </w:pPr>
      <w:r>
        <w:rPr>
          <w:rFonts w:ascii="Calibri" w:eastAsia="Calibri" w:hAnsi="Calibri" w:cs="Calibri"/>
          <w:sz w:val="24"/>
          <w:szCs w:val="24"/>
        </w:rPr>
        <w:t xml:space="preserve">Akintunde, Iseoluwa &amp; Richard Janda, </w:t>
      </w:r>
      <w:r>
        <w:rPr>
          <w:rFonts w:ascii="Calibri" w:eastAsia="Calibri" w:hAnsi="Calibri" w:cs="Calibri"/>
          <w:i/>
          <w:sz w:val="24"/>
          <w:szCs w:val="24"/>
        </w:rPr>
        <w:t>Bringing Corporate Purpose into the Mainstream: Directions for Canadian Law</w:t>
      </w:r>
      <w:r>
        <w:rPr>
          <w:rFonts w:ascii="Calibri" w:eastAsia="Calibri" w:hAnsi="Calibri" w:cs="Calibri"/>
          <w:sz w:val="24"/>
          <w:szCs w:val="24"/>
        </w:rPr>
        <w:t xml:space="preserve"> (Montreal: David Suzuki Foundation, 2023).</w:t>
      </w:r>
    </w:p>
    <w:p w14:paraId="00000027" w14:textId="77777777" w:rsidR="007003E0" w:rsidRDefault="002C66DF">
      <w:pPr>
        <w:spacing w:after="120" w:line="259" w:lineRule="auto"/>
        <w:jc w:val="both"/>
        <w:rPr>
          <w:rFonts w:ascii="Calibri" w:eastAsia="Calibri" w:hAnsi="Calibri" w:cs="Calibri"/>
          <w:sz w:val="24"/>
          <w:szCs w:val="24"/>
        </w:rPr>
      </w:pPr>
      <w:r>
        <w:rPr>
          <w:rFonts w:ascii="Calibri" w:eastAsia="Calibri" w:hAnsi="Calibri" w:cs="Calibri"/>
          <w:sz w:val="24"/>
          <w:szCs w:val="24"/>
        </w:rPr>
        <w:t xml:space="preserve">Alexander, Frederick et al, </w:t>
      </w:r>
      <w:r>
        <w:rPr>
          <w:rFonts w:ascii="Calibri" w:eastAsia="Calibri" w:hAnsi="Calibri" w:cs="Calibri"/>
          <w:i/>
          <w:sz w:val="24"/>
          <w:szCs w:val="24"/>
        </w:rPr>
        <w:t>From Shareholder Primacy to Stakeholder Capitalism: A Policy Agenda for Systems Change</w:t>
      </w:r>
      <w:r>
        <w:rPr>
          <w:rFonts w:ascii="Calibri" w:eastAsia="Calibri" w:hAnsi="Calibri" w:cs="Calibri"/>
          <w:sz w:val="24"/>
          <w:szCs w:val="24"/>
        </w:rPr>
        <w:t xml:space="preserve"> (Philadelphia: B Lab &amp; The Shareholder Commons, 2020).</w:t>
      </w:r>
    </w:p>
    <w:p w14:paraId="00000028" w14:textId="77777777" w:rsidR="007003E0" w:rsidRDefault="002C66DF">
      <w:pPr>
        <w:spacing w:after="120" w:line="259" w:lineRule="auto"/>
        <w:jc w:val="both"/>
        <w:rPr>
          <w:rFonts w:ascii="Calibri" w:eastAsia="Calibri" w:hAnsi="Calibri" w:cs="Calibri"/>
          <w:sz w:val="24"/>
          <w:szCs w:val="24"/>
        </w:rPr>
      </w:pPr>
      <w:r>
        <w:rPr>
          <w:rFonts w:ascii="Calibri" w:eastAsia="Calibri" w:hAnsi="Calibri" w:cs="Calibri"/>
          <w:sz w:val="24"/>
          <w:szCs w:val="24"/>
        </w:rPr>
        <w:t>Choudhury, Barnali,  “Corporate Law’s Threat to Human Rights: Why Human Rights Due Diligence Might Not Be Enough” (2023) 8:2 Bus &amp; Human Rights J 180.</w:t>
      </w:r>
    </w:p>
    <w:p w14:paraId="68EF0062" w14:textId="40CC71A9" w:rsidR="00924D3D" w:rsidRPr="00924D3D" w:rsidRDefault="00924D3D">
      <w:pPr>
        <w:spacing w:after="120" w:line="259" w:lineRule="auto"/>
        <w:jc w:val="both"/>
        <w:rPr>
          <w:rFonts w:ascii="Calibri" w:eastAsia="Calibri" w:hAnsi="Calibri" w:cs="Calibri"/>
          <w:sz w:val="28"/>
          <w:szCs w:val="28"/>
        </w:rPr>
      </w:pPr>
      <w:r w:rsidRPr="00924D3D">
        <w:rPr>
          <w:rFonts w:ascii="Calibri" w:hAnsi="Calibri" w:cs="Calibri"/>
          <w:sz w:val="24"/>
          <w:szCs w:val="24"/>
        </w:rPr>
        <w:lastRenderedPageBreak/>
        <w:t>Clapham,</w:t>
      </w:r>
      <w:r>
        <w:rPr>
          <w:rFonts w:ascii="Calibri" w:hAnsi="Calibri" w:cs="Calibri"/>
          <w:sz w:val="24"/>
          <w:szCs w:val="24"/>
        </w:rPr>
        <w:t xml:space="preserve"> Andrew,</w:t>
      </w:r>
      <w:r w:rsidRPr="00924D3D">
        <w:rPr>
          <w:rFonts w:ascii="Calibri" w:hAnsi="Calibri" w:cs="Calibri"/>
          <w:sz w:val="24"/>
          <w:szCs w:val="24"/>
        </w:rPr>
        <w:t xml:space="preserve"> </w:t>
      </w:r>
      <w:r>
        <w:rPr>
          <w:rFonts w:ascii="Calibri" w:hAnsi="Calibri" w:cs="Calibri"/>
          <w:sz w:val="24"/>
          <w:szCs w:val="24"/>
        </w:rPr>
        <w:t>“</w:t>
      </w:r>
      <w:r w:rsidRPr="00924D3D">
        <w:rPr>
          <w:rFonts w:ascii="Calibri" w:hAnsi="Calibri" w:cs="Calibri"/>
          <w:sz w:val="24"/>
          <w:szCs w:val="24"/>
        </w:rPr>
        <w:t>Non-State Actors</w:t>
      </w:r>
      <w:r>
        <w:rPr>
          <w:rFonts w:ascii="Calibri" w:hAnsi="Calibri" w:cs="Calibri"/>
          <w:sz w:val="24"/>
          <w:szCs w:val="24"/>
        </w:rPr>
        <w:t>”</w:t>
      </w:r>
      <w:r w:rsidRPr="00924D3D">
        <w:rPr>
          <w:rFonts w:ascii="Calibri" w:hAnsi="Calibri" w:cs="Calibri"/>
          <w:sz w:val="24"/>
          <w:szCs w:val="24"/>
        </w:rPr>
        <w:t xml:space="preserve"> in </w:t>
      </w:r>
      <w:proofErr w:type="spellStart"/>
      <w:r w:rsidRPr="00924D3D">
        <w:rPr>
          <w:rFonts w:ascii="Calibri" w:hAnsi="Calibri" w:cs="Calibri"/>
          <w:sz w:val="24"/>
          <w:szCs w:val="24"/>
        </w:rPr>
        <w:t>Moeckli</w:t>
      </w:r>
      <w:proofErr w:type="spellEnd"/>
      <w:r w:rsidRPr="00924D3D">
        <w:rPr>
          <w:rFonts w:ascii="Calibri" w:hAnsi="Calibri" w:cs="Calibri"/>
          <w:sz w:val="24"/>
          <w:szCs w:val="24"/>
        </w:rPr>
        <w:t>,</w:t>
      </w:r>
      <w:r>
        <w:rPr>
          <w:rFonts w:ascii="Calibri" w:hAnsi="Calibri" w:cs="Calibri"/>
          <w:sz w:val="24"/>
          <w:szCs w:val="24"/>
        </w:rPr>
        <w:t xml:space="preserve"> Daniel,</w:t>
      </w:r>
      <w:r w:rsidRPr="00924D3D">
        <w:rPr>
          <w:rFonts w:ascii="Calibri" w:hAnsi="Calibri" w:cs="Calibri"/>
          <w:sz w:val="24"/>
          <w:szCs w:val="24"/>
        </w:rPr>
        <w:t xml:space="preserve"> Shah</w:t>
      </w:r>
      <w:r>
        <w:rPr>
          <w:rFonts w:ascii="Calibri" w:hAnsi="Calibri" w:cs="Calibri"/>
          <w:sz w:val="24"/>
          <w:szCs w:val="24"/>
        </w:rPr>
        <w:t>, Sangeetha</w:t>
      </w:r>
      <w:r w:rsidRPr="00924D3D">
        <w:rPr>
          <w:rFonts w:ascii="Calibri" w:hAnsi="Calibri" w:cs="Calibri"/>
          <w:sz w:val="24"/>
          <w:szCs w:val="24"/>
        </w:rPr>
        <w:t xml:space="preserve"> </w:t>
      </w:r>
      <w:r>
        <w:rPr>
          <w:rFonts w:ascii="Calibri" w:hAnsi="Calibri" w:cs="Calibri"/>
          <w:sz w:val="24"/>
          <w:szCs w:val="24"/>
        </w:rPr>
        <w:t>&amp;</w:t>
      </w:r>
      <w:r w:rsidRPr="00924D3D">
        <w:rPr>
          <w:rFonts w:ascii="Calibri" w:hAnsi="Calibri" w:cs="Calibri"/>
          <w:sz w:val="24"/>
          <w:szCs w:val="24"/>
        </w:rPr>
        <w:t xml:space="preserve"> Sivakumaran,</w:t>
      </w:r>
      <w:r>
        <w:rPr>
          <w:rFonts w:ascii="Calibri" w:hAnsi="Calibri" w:cs="Calibri"/>
          <w:sz w:val="24"/>
          <w:szCs w:val="24"/>
        </w:rPr>
        <w:t xml:space="preserve"> Sandesh, eds,</w:t>
      </w:r>
      <w:r w:rsidRPr="00924D3D">
        <w:rPr>
          <w:rFonts w:ascii="Calibri" w:hAnsi="Calibri" w:cs="Calibri"/>
          <w:sz w:val="24"/>
          <w:szCs w:val="24"/>
        </w:rPr>
        <w:t xml:space="preserve"> </w:t>
      </w:r>
      <w:r w:rsidRPr="00924D3D">
        <w:rPr>
          <w:rFonts w:ascii="Calibri" w:hAnsi="Calibri" w:cs="Calibri"/>
          <w:i/>
          <w:iCs/>
          <w:sz w:val="24"/>
          <w:szCs w:val="24"/>
        </w:rPr>
        <w:t>International Human Rights Law</w:t>
      </w:r>
      <w:r w:rsidRPr="00924D3D">
        <w:rPr>
          <w:rFonts w:ascii="Calibri" w:hAnsi="Calibri" w:cs="Calibri"/>
          <w:sz w:val="24"/>
          <w:szCs w:val="24"/>
        </w:rPr>
        <w:t xml:space="preserve"> (3rd </w:t>
      </w:r>
      <w:proofErr w:type="spellStart"/>
      <w:r w:rsidRPr="00924D3D">
        <w:rPr>
          <w:rFonts w:ascii="Calibri" w:hAnsi="Calibri" w:cs="Calibri"/>
          <w:sz w:val="24"/>
          <w:szCs w:val="24"/>
        </w:rPr>
        <w:t>edn</w:t>
      </w:r>
      <w:proofErr w:type="spellEnd"/>
      <w:r w:rsidRPr="00924D3D">
        <w:rPr>
          <w:rFonts w:ascii="Calibri" w:hAnsi="Calibri" w:cs="Calibri"/>
          <w:sz w:val="24"/>
          <w:szCs w:val="24"/>
        </w:rPr>
        <w:t xml:space="preserve">, </w:t>
      </w:r>
      <w:r>
        <w:rPr>
          <w:rFonts w:ascii="Calibri" w:hAnsi="Calibri" w:cs="Calibri"/>
          <w:sz w:val="24"/>
          <w:szCs w:val="24"/>
        </w:rPr>
        <w:t xml:space="preserve">Oxford: </w:t>
      </w:r>
      <w:r w:rsidRPr="00924D3D">
        <w:rPr>
          <w:rFonts w:ascii="Calibri" w:hAnsi="Calibri" w:cs="Calibri"/>
          <w:sz w:val="24"/>
          <w:szCs w:val="24"/>
        </w:rPr>
        <w:t>O</w:t>
      </w:r>
      <w:r>
        <w:rPr>
          <w:rFonts w:ascii="Calibri" w:hAnsi="Calibri" w:cs="Calibri"/>
          <w:sz w:val="24"/>
          <w:szCs w:val="24"/>
        </w:rPr>
        <w:t>U</w:t>
      </w:r>
      <w:r w:rsidRPr="00924D3D">
        <w:rPr>
          <w:rFonts w:ascii="Calibri" w:hAnsi="Calibri" w:cs="Calibri"/>
          <w:sz w:val="24"/>
          <w:szCs w:val="24"/>
        </w:rPr>
        <w:t>P</w:t>
      </w:r>
      <w:r>
        <w:rPr>
          <w:rFonts w:ascii="Calibri" w:hAnsi="Calibri" w:cs="Calibri"/>
          <w:sz w:val="24"/>
          <w:szCs w:val="24"/>
        </w:rPr>
        <w:t>,</w:t>
      </w:r>
      <w:r w:rsidRPr="00924D3D">
        <w:rPr>
          <w:rFonts w:ascii="Calibri" w:hAnsi="Calibri" w:cs="Calibri"/>
          <w:sz w:val="24"/>
          <w:szCs w:val="24"/>
        </w:rPr>
        <w:t xml:space="preserve"> 2018) 568.</w:t>
      </w:r>
    </w:p>
    <w:p w14:paraId="00000029" w14:textId="5FE82C0E" w:rsidR="007003E0" w:rsidRDefault="002C66DF">
      <w:pPr>
        <w:spacing w:after="120" w:line="259" w:lineRule="auto"/>
        <w:jc w:val="both"/>
        <w:rPr>
          <w:rFonts w:ascii="Calibri" w:eastAsia="Calibri" w:hAnsi="Calibri" w:cs="Calibri"/>
          <w:sz w:val="24"/>
          <w:szCs w:val="24"/>
        </w:rPr>
      </w:pPr>
      <w:r>
        <w:rPr>
          <w:rFonts w:ascii="Calibri" w:eastAsia="Calibri" w:hAnsi="Calibri" w:cs="Calibri"/>
          <w:sz w:val="24"/>
          <w:szCs w:val="24"/>
        </w:rPr>
        <w:t xml:space="preserve">Fairfax, Lisa M, “Empowering Diversity Ambition: Brummer and </w:t>
      </w:r>
      <w:proofErr w:type="spellStart"/>
      <w:r>
        <w:rPr>
          <w:rFonts w:ascii="Calibri" w:eastAsia="Calibri" w:hAnsi="Calibri" w:cs="Calibri"/>
          <w:sz w:val="24"/>
          <w:szCs w:val="24"/>
        </w:rPr>
        <w:t>Strine’s</w:t>
      </w:r>
      <w:proofErr w:type="spellEnd"/>
      <w:r>
        <w:rPr>
          <w:rFonts w:ascii="Calibri" w:eastAsia="Calibri" w:hAnsi="Calibri" w:cs="Calibri"/>
          <w:sz w:val="24"/>
          <w:szCs w:val="24"/>
        </w:rPr>
        <w:t xml:space="preserve"> </w:t>
      </w:r>
      <w:r>
        <w:rPr>
          <w:rFonts w:ascii="Calibri" w:eastAsia="Calibri" w:hAnsi="Calibri" w:cs="Calibri"/>
          <w:i/>
          <w:sz w:val="24"/>
          <w:szCs w:val="24"/>
        </w:rPr>
        <w:t>Duty and Diversity</w:t>
      </w:r>
      <w:r>
        <w:rPr>
          <w:rFonts w:ascii="Calibri" w:eastAsia="Calibri" w:hAnsi="Calibri" w:cs="Calibri"/>
          <w:sz w:val="24"/>
          <w:szCs w:val="24"/>
        </w:rPr>
        <w:t xml:space="preserve"> Makes the Legal and Business Case for Doing More, Doing Good, and Doing Well” (2022) 75 Vand L Rev 131.</w:t>
      </w:r>
    </w:p>
    <w:p w14:paraId="284A0B1A" w14:textId="299FF51B" w:rsidR="006E5C0C" w:rsidRPr="006E5C0C" w:rsidRDefault="006E5C0C">
      <w:pPr>
        <w:spacing w:after="120" w:line="259" w:lineRule="auto"/>
        <w:jc w:val="both"/>
        <w:rPr>
          <w:rFonts w:ascii="Calibri" w:eastAsia="Calibri" w:hAnsi="Calibri" w:cs="Calibri"/>
          <w:sz w:val="28"/>
          <w:szCs w:val="28"/>
        </w:rPr>
      </w:pPr>
      <w:proofErr w:type="spellStart"/>
      <w:r w:rsidRPr="006E5C0C">
        <w:rPr>
          <w:rFonts w:ascii="Calibri" w:hAnsi="Calibri" w:cs="Calibri"/>
          <w:sz w:val="24"/>
          <w:szCs w:val="24"/>
        </w:rPr>
        <w:t>Muchlinski</w:t>
      </w:r>
      <w:proofErr w:type="spellEnd"/>
      <w:r w:rsidRPr="006E5C0C">
        <w:rPr>
          <w:rFonts w:ascii="Calibri" w:hAnsi="Calibri" w:cs="Calibri"/>
          <w:sz w:val="24"/>
          <w:szCs w:val="24"/>
        </w:rPr>
        <w:t>,</w:t>
      </w:r>
      <w:r>
        <w:rPr>
          <w:rFonts w:ascii="Calibri" w:hAnsi="Calibri" w:cs="Calibri"/>
          <w:sz w:val="24"/>
          <w:szCs w:val="24"/>
        </w:rPr>
        <w:t xml:space="preserve"> Peter,</w:t>
      </w:r>
      <w:r w:rsidRPr="006E5C0C">
        <w:rPr>
          <w:rFonts w:ascii="Calibri" w:hAnsi="Calibri" w:cs="Calibri"/>
          <w:sz w:val="24"/>
          <w:szCs w:val="24"/>
        </w:rPr>
        <w:t xml:space="preserve"> “The Impact of the UN Guiding Principles on Business Attitudes to Observing Human Rights” (2021) 6:2 Business and Human Rights J 212</w:t>
      </w:r>
      <w:r>
        <w:rPr>
          <w:rFonts w:ascii="Calibri" w:hAnsi="Calibri" w:cs="Calibri"/>
          <w:sz w:val="24"/>
          <w:szCs w:val="24"/>
        </w:rPr>
        <w:t>.</w:t>
      </w:r>
    </w:p>
    <w:p w14:paraId="0000002A" w14:textId="10FF2C10" w:rsidR="007003E0" w:rsidRDefault="002C66DF">
      <w:pPr>
        <w:spacing w:after="120" w:line="259" w:lineRule="auto"/>
        <w:jc w:val="both"/>
        <w:rPr>
          <w:rFonts w:ascii="Calibri" w:eastAsia="Calibri" w:hAnsi="Calibri" w:cs="Calibri"/>
          <w:sz w:val="24"/>
          <w:szCs w:val="24"/>
        </w:rPr>
      </w:pPr>
      <w:r>
        <w:rPr>
          <w:rFonts w:ascii="Calibri" w:eastAsia="Calibri" w:hAnsi="Calibri" w:cs="Calibri"/>
          <w:sz w:val="24"/>
          <w:szCs w:val="24"/>
        </w:rPr>
        <w:t xml:space="preserve">Sherman III, John F, </w:t>
      </w:r>
      <w:r>
        <w:rPr>
          <w:rFonts w:ascii="Calibri" w:eastAsia="Calibri" w:hAnsi="Calibri" w:cs="Calibri"/>
          <w:i/>
          <w:sz w:val="24"/>
          <w:szCs w:val="24"/>
        </w:rPr>
        <w:t>Human Rights Due Diligence and Corporate Governance</w:t>
      </w:r>
      <w:r>
        <w:rPr>
          <w:rFonts w:ascii="Calibri" w:eastAsia="Calibri" w:hAnsi="Calibri" w:cs="Calibri"/>
          <w:sz w:val="24"/>
          <w:szCs w:val="24"/>
        </w:rPr>
        <w:t xml:space="preserve"> (Cambridge, MA: Harvard Kennedy School, 2021).</w:t>
      </w:r>
    </w:p>
    <w:p w14:paraId="0000002B" w14:textId="77777777" w:rsidR="007003E0" w:rsidRDefault="002C66DF">
      <w:pPr>
        <w:spacing w:after="120" w:line="259" w:lineRule="auto"/>
        <w:jc w:val="both"/>
        <w:rPr>
          <w:rFonts w:ascii="Calibri" w:eastAsia="Calibri" w:hAnsi="Calibri" w:cs="Calibri"/>
          <w:sz w:val="24"/>
          <w:szCs w:val="24"/>
        </w:rPr>
      </w:pPr>
      <w:r>
        <w:rPr>
          <w:rFonts w:ascii="Calibri" w:eastAsia="Calibri" w:hAnsi="Calibri" w:cs="Calibri"/>
          <w:sz w:val="24"/>
          <w:szCs w:val="24"/>
        </w:rPr>
        <w:t>United Nations Office of the High Commissioner for Human Rights, “Mandatory Human Rights Due Diligence (</w:t>
      </w:r>
      <w:proofErr w:type="spellStart"/>
      <w:r>
        <w:rPr>
          <w:rFonts w:ascii="Calibri" w:eastAsia="Calibri" w:hAnsi="Calibri" w:cs="Calibri"/>
          <w:sz w:val="24"/>
          <w:szCs w:val="24"/>
        </w:rPr>
        <w:t>mHRDD</w:t>
      </w:r>
      <w:proofErr w:type="spellEnd"/>
      <w:r>
        <w:rPr>
          <w:rFonts w:ascii="Calibri" w:eastAsia="Calibri" w:hAnsi="Calibri" w:cs="Calibri"/>
          <w:sz w:val="24"/>
          <w:szCs w:val="24"/>
        </w:rPr>
        <w:t>)”, (September 2022), online: &lt;www.ohchr.org/en/business-and-human-rights/mandatory-human-rights-due-diligence-mhrdd&gt;.</w:t>
      </w:r>
    </w:p>
    <w:p w14:paraId="0000002D" w14:textId="5BFB328D" w:rsidR="007003E0" w:rsidRDefault="002C66DF">
      <w:pPr>
        <w:spacing w:after="120" w:line="259" w:lineRule="auto"/>
        <w:jc w:val="both"/>
        <w:rPr>
          <w:rFonts w:ascii="Calibri" w:eastAsia="Calibri" w:hAnsi="Calibri" w:cs="Calibri"/>
          <w:sz w:val="24"/>
          <w:szCs w:val="24"/>
        </w:rPr>
      </w:pPr>
      <w:proofErr w:type="spellStart"/>
      <w:r>
        <w:rPr>
          <w:rFonts w:ascii="Calibri" w:eastAsia="Calibri" w:hAnsi="Calibri" w:cs="Calibri"/>
          <w:sz w:val="24"/>
          <w:szCs w:val="24"/>
        </w:rPr>
        <w:t>Zumbansen</w:t>
      </w:r>
      <w:proofErr w:type="spellEnd"/>
      <w:r>
        <w:rPr>
          <w:rFonts w:ascii="Calibri" w:eastAsia="Calibri" w:hAnsi="Calibri" w:cs="Calibri"/>
          <w:sz w:val="24"/>
          <w:szCs w:val="24"/>
        </w:rPr>
        <w:t xml:space="preserve">, Peer, ed, </w:t>
      </w:r>
      <w:r>
        <w:rPr>
          <w:rFonts w:ascii="Calibri" w:eastAsia="Calibri" w:hAnsi="Calibri" w:cs="Calibri"/>
          <w:i/>
          <w:sz w:val="24"/>
          <w:szCs w:val="24"/>
        </w:rPr>
        <w:t>Sustainable Transformation of Business and Finance: A Democratic Challenge in An Age of Climate Change and Artificial Intelligence</w:t>
      </w:r>
      <w:r>
        <w:rPr>
          <w:rFonts w:ascii="Calibri" w:eastAsia="Calibri" w:hAnsi="Calibri" w:cs="Calibri"/>
          <w:sz w:val="24"/>
          <w:szCs w:val="24"/>
        </w:rPr>
        <w:t xml:space="preserve"> (Montreal: McGill University, 2023).</w:t>
      </w:r>
    </w:p>
    <w:p w14:paraId="0000002E" w14:textId="77777777" w:rsidR="007003E0" w:rsidRDefault="002C66DF" w:rsidP="005A72B3">
      <w:pPr>
        <w:keepNext/>
        <w:spacing w:before="240" w:after="120" w:line="259" w:lineRule="auto"/>
        <w:jc w:val="both"/>
        <w:rPr>
          <w:rFonts w:ascii="Calibri" w:eastAsia="Calibri" w:hAnsi="Calibri" w:cs="Calibri"/>
          <w:b/>
          <w:sz w:val="24"/>
          <w:szCs w:val="24"/>
        </w:rPr>
      </w:pPr>
      <w:r>
        <w:rPr>
          <w:rFonts w:ascii="Calibri" w:eastAsia="Calibri" w:hAnsi="Calibri" w:cs="Calibri"/>
          <w:b/>
          <w:sz w:val="24"/>
          <w:szCs w:val="24"/>
        </w:rPr>
        <w:t>Foreign sources</w:t>
      </w:r>
    </w:p>
    <w:p w14:paraId="0000002F" w14:textId="77777777" w:rsidR="007003E0" w:rsidRPr="005A72B3" w:rsidRDefault="002C66DF" w:rsidP="005A72B3">
      <w:pPr>
        <w:spacing w:after="120" w:line="259" w:lineRule="auto"/>
        <w:jc w:val="both"/>
        <w:rPr>
          <w:rFonts w:asciiTheme="majorHAnsi" w:eastAsia="Calibri" w:hAnsiTheme="majorHAnsi" w:cstheme="majorHAnsi"/>
          <w:sz w:val="24"/>
          <w:szCs w:val="24"/>
        </w:rPr>
      </w:pPr>
      <w:r w:rsidRPr="005A72B3">
        <w:rPr>
          <w:rFonts w:asciiTheme="majorHAnsi" w:eastAsia="Calibri" w:hAnsiTheme="majorHAnsi" w:cstheme="majorHAnsi"/>
          <w:sz w:val="24"/>
          <w:szCs w:val="24"/>
        </w:rPr>
        <w:t xml:space="preserve">EC, </w:t>
      </w:r>
      <w:r w:rsidRPr="005A72B3">
        <w:rPr>
          <w:rFonts w:asciiTheme="majorHAnsi" w:eastAsia="Calibri" w:hAnsiTheme="majorHAnsi" w:cstheme="majorHAnsi"/>
          <w:i/>
          <w:sz w:val="24"/>
          <w:szCs w:val="24"/>
        </w:rPr>
        <w:t>Proposal for a Directive 2019/1937 of the European Parliament and of the Council on Corporate Sustainability Due Diligence and amending Directive</w:t>
      </w:r>
      <w:r w:rsidRPr="005A72B3">
        <w:rPr>
          <w:rFonts w:asciiTheme="majorHAnsi" w:eastAsia="Calibri" w:hAnsiTheme="majorHAnsi" w:cstheme="majorHAnsi"/>
          <w:sz w:val="24"/>
          <w:szCs w:val="24"/>
        </w:rPr>
        <w:t>, COM/2022/71.</w:t>
      </w:r>
    </w:p>
    <w:p w14:paraId="00000031" w14:textId="7E5F7F69" w:rsidR="007003E0" w:rsidRPr="005A72B3" w:rsidRDefault="002C66DF" w:rsidP="005A72B3">
      <w:pPr>
        <w:spacing w:after="120" w:line="259" w:lineRule="auto"/>
        <w:jc w:val="both"/>
        <w:rPr>
          <w:rFonts w:asciiTheme="majorHAnsi" w:eastAsia="Calibri" w:hAnsiTheme="majorHAnsi" w:cstheme="majorHAnsi"/>
          <w:sz w:val="24"/>
          <w:szCs w:val="24"/>
        </w:rPr>
      </w:pPr>
      <w:r w:rsidRPr="005A72B3">
        <w:rPr>
          <w:rFonts w:asciiTheme="majorHAnsi" w:hAnsiTheme="majorHAnsi" w:cstheme="majorHAnsi"/>
          <w:sz w:val="24"/>
          <w:szCs w:val="24"/>
        </w:rPr>
        <w:t xml:space="preserve">Securities and Exchange Commission, </w:t>
      </w:r>
      <w:r w:rsidRPr="005A72B3">
        <w:rPr>
          <w:rFonts w:asciiTheme="majorHAnsi" w:hAnsiTheme="majorHAnsi" w:cstheme="majorHAnsi"/>
          <w:i/>
          <w:sz w:val="24"/>
          <w:szCs w:val="24"/>
        </w:rPr>
        <w:t>The Enhancement and Standardization of Climate-Related Disclosures for Investors</w:t>
      </w:r>
      <w:r w:rsidRPr="005A72B3">
        <w:rPr>
          <w:rFonts w:asciiTheme="majorHAnsi" w:hAnsiTheme="majorHAnsi" w:cstheme="majorHAnsi"/>
          <w:sz w:val="24"/>
          <w:szCs w:val="24"/>
        </w:rPr>
        <w:t>, 17 CFR § 210, 229, 232, 239, and 249 (proposed rules: 21 March 2022).</w:t>
      </w:r>
    </w:p>
    <w:sectPr w:rsidR="007003E0" w:rsidRPr="005A72B3">
      <w:footerReference w:type="even"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B59B1" w14:textId="77777777" w:rsidR="00DD3D24" w:rsidRDefault="00DD3D24">
      <w:pPr>
        <w:spacing w:line="240" w:lineRule="auto"/>
      </w:pPr>
      <w:r>
        <w:separator/>
      </w:r>
    </w:p>
  </w:endnote>
  <w:endnote w:type="continuationSeparator" w:id="0">
    <w:p w14:paraId="09E67828" w14:textId="77777777" w:rsidR="00DD3D24" w:rsidRDefault="00DD3D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7003E0" w:rsidRDefault="002C66DF">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52" w14:textId="77777777" w:rsidR="007003E0" w:rsidRDefault="007003E0">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02D26E94" w:rsidR="007003E0" w:rsidRDefault="002C66DF">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5A72B3">
      <w:rPr>
        <w:noProof/>
        <w:color w:val="000000"/>
      </w:rPr>
      <w:t>1</w:t>
    </w:r>
    <w:r>
      <w:rPr>
        <w:color w:val="000000"/>
      </w:rPr>
      <w:fldChar w:fldCharType="end"/>
    </w:r>
  </w:p>
  <w:p w14:paraId="00000050" w14:textId="77777777" w:rsidR="007003E0" w:rsidRDefault="007003E0">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6405" w14:textId="77777777" w:rsidR="00DD3D24" w:rsidRDefault="00DD3D24">
      <w:pPr>
        <w:spacing w:line="240" w:lineRule="auto"/>
      </w:pPr>
      <w:r>
        <w:separator/>
      </w:r>
    </w:p>
  </w:footnote>
  <w:footnote w:type="continuationSeparator" w:id="0">
    <w:p w14:paraId="69CEF15D" w14:textId="77777777" w:rsidR="00DD3D24" w:rsidRDefault="00DD3D24">
      <w:pPr>
        <w:spacing w:line="240" w:lineRule="auto"/>
      </w:pPr>
      <w:r>
        <w:continuationSeparator/>
      </w:r>
    </w:p>
  </w:footnote>
  <w:footnote w:id="1">
    <w:p w14:paraId="00000032" w14:textId="77777777"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United Nations Office of the High Commissioner for Human Rights, </w:t>
      </w:r>
      <w:r>
        <w:rPr>
          <w:rFonts w:ascii="Calibri" w:eastAsia="Calibri" w:hAnsi="Calibri" w:cs="Calibri"/>
          <w:i/>
          <w:sz w:val="20"/>
          <w:szCs w:val="20"/>
        </w:rPr>
        <w:t>Guiding Principles on Business and Human Rights: Implementing the United Nations “Protect, Respect and Remedy” Framework</w:t>
      </w:r>
      <w:r>
        <w:rPr>
          <w:rFonts w:ascii="Calibri" w:eastAsia="Calibri" w:hAnsi="Calibri" w:cs="Calibri"/>
          <w:sz w:val="20"/>
          <w:szCs w:val="20"/>
        </w:rPr>
        <w:t xml:space="preserve"> (New York/Geneva: UN, 2011), at 3 (Principle 1) [OHCHR, </w:t>
      </w:r>
      <w:r>
        <w:rPr>
          <w:rFonts w:ascii="Calibri" w:eastAsia="Calibri" w:hAnsi="Calibri" w:cs="Calibri"/>
          <w:i/>
          <w:sz w:val="20"/>
          <w:szCs w:val="20"/>
        </w:rPr>
        <w:t>Guiding Principles</w:t>
      </w:r>
      <w:r>
        <w:rPr>
          <w:rFonts w:ascii="Calibri" w:eastAsia="Calibri" w:hAnsi="Calibri" w:cs="Calibri"/>
          <w:sz w:val="20"/>
          <w:szCs w:val="20"/>
        </w:rPr>
        <w:t>].</w:t>
      </w:r>
    </w:p>
  </w:footnote>
  <w:footnote w:id="2">
    <w:p w14:paraId="00000033" w14:textId="77777777"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w:t>
      </w:r>
      <w:r>
        <w:rPr>
          <w:rFonts w:ascii="Calibri" w:eastAsia="Calibri" w:hAnsi="Calibri" w:cs="Calibri"/>
          <w:i/>
          <w:sz w:val="20"/>
          <w:szCs w:val="20"/>
        </w:rPr>
        <w:t xml:space="preserve">Ibid </w:t>
      </w:r>
      <w:r>
        <w:rPr>
          <w:rFonts w:ascii="Calibri" w:eastAsia="Calibri" w:hAnsi="Calibri" w:cs="Calibri"/>
          <w:sz w:val="20"/>
          <w:szCs w:val="20"/>
        </w:rPr>
        <w:t>at 4 (Principle 3(b)).</w:t>
      </w:r>
    </w:p>
  </w:footnote>
  <w:footnote w:id="3">
    <w:p w14:paraId="00000034" w14:textId="77777777"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Barnali Choudhuryi, “Corporate Law’s Threat to Human Rights: Why Human Rights Due Diligence Might Not Be Enough” (2023) 8:2 Bus &amp; Human Rights J 180 at 192; Peer Zumbansen, ed, </w:t>
      </w:r>
      <w:r>
        <w:rPr>
          <w:rFonts w:ascii="Calibri" w:eastAsia="Calibri" w:hAnsi="Calibri" w:cs="Calibri"/>
          <w:i/>
          <w:sz w:val="20"/>
          <w:szCs w:val="20"/>
        </w:rPr>
        <w:t>Sustainable Transformation of Business and Finance: A Democratic Challenge in An Age of Climate Change and Artificial Intelligence</w:t>
      </w:r>
      <w:r>
        <w:rPr>
          <w:rFonts w:ascii="Calibri" w:eastAsia="Calibri" w:hAnsi="Calibri" w:cs="Calibri"/>
          <w:sz w:val="20"/>
          <w:szCs w:val="20"/>
        </w:rPr>
        <w:t xml:space="preserve"> (Montreal: McGill University, 2023), at 38.</w:t>
      </w:r>
    </w:p>
  </w:footnote>
  <w:footnote w:id="4">
    <w:p w14:paraId="00000035" w14:textId="77777777"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Iseoluwa Akintunde &amp; Richard Janda, </w:t>
      </w:r>
      <w:r>
        <w:rPr>
          <w:rFonts w:ascii="Calibri" w:eastAsia="Calibri" w:hAnsi="Calibri" w:cs="Calibri"/>
          <w:i/>
          <w:sz w:val="20"/>
          <w:szCs w:val="20"/>
        </w:rPr>
        <w:t>Bringing Corporate Purpose into the Mainstream: Directions for Canadian Law</w:t>
      </w:r>
      <w:r>
        <w:rPr>
          <w:rFonts w:ascii="Calibri" w:eastAsia="Calibri" w:hAnsi="Calibri" w:cs="Calibri"/>
          <w:sz w:val="20"/>
          <w:szCs w:val="20"/>
        </w:rPr>
        <w:t xml:space="preserve"> (Montreal: David Suzuki Foundation, 2023), at 25–26.</w:t>
      </w:r>
    </w:p>
  </w:footnote>
  <w:footnote w:id="5">
    <w:p w14:paraId="00000036" w14:textId="54B20700"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w:t>
      </w:r>
      <w:r>
        <w:rPr>
          <w:rFonts w:ascii="Calibri" w:eastAsia="Calibri" w:hAnsi="Calibri" w:cs="Calibri"/>
          <w:i/>
          <w:sz w:val="20"/>
          <w:szCs w:val="20"/>
        </w:rPr>
        <w:t xml:space="preserve">Ibid </w:t>
      </w:r>
      <w:r>
        <w:rPr>
          <w:rFonts w:ascii="Calibri" w:eastAsia="Calibri" w:hAnsi="Calibri" w:cs="Calibri"/>
          <w:sz w:val="20"/>
          <w:szCs w:val="20"/>
        </w:rPr>
        <w:t xml:space="preserve">at 22–23; </w:t>
      </w:r>
      <w:proofErr w:type="spellStart"/>
      <w:r>
        <w:rPr>
          <w:rFonts w:ascii="Calibri" w:eastAsia="Calibri" w:hAnsi="Calibri" w:cs="Calibri"/>
          <w:sz w:val="20"/>
          <w:szCs w:val="20"/>
        </w:rPr>
        <w:t>Zumbansen</w:t>
      </w:r>
      <w:proofErr w:type="spellEnd"/>
      <w:r>
        <w:rPr>
          <w:rFonts w:ascii="Calibri" w:eastAsia="Calibri" w:hAnsi="Calibri" w:cs="Calibri"/>
          <w:sz w:val="20"/>
          <w:szCs w:val="20"/>
        </w:rPr>
        <w:t xml:space="preserve">, </w:t>
      </w:r>
      <w:r>
        <w:rPr>
          <w:rFonts w:ascii="Calibri" w:eastAsia="Calibri" w:hAnsi="Calibri" w:cs="Calibri"/>
          <w:i/>
          <w:sz w:val="20"/>
          <w:szCs w:val="20"/>
        </w:rPr>
        <w:t xml:space="preserve">supra </w:t>
      </w:r>
      <w:r>
        <w:rPr>
          <w:rFonts w:ascii="Calibri" w:eastAsia="Calibri" w:hAnsi="Calibri" w:cs="Calibri"/>
          <w:sz w:val="20"/>
          <w:szCs w:val="20"/>
        </w:rPr>
        <w:t xml:space="preserve">note </w:t>
      </w:r>
      <w:r w:rsidR="00C00A16">
        <w:rPr>
          <w:rFonts w:ascii="Calibri" w:eastAsia="Calibri" w:hAnsi="Calibri" w:cs="Calibri"/>
          <w:sz w:val="20"/>
          <w:szCs w:val="20"/>
        </w:rPr>
        <w:t>3</w:t>
      </w:r>
      <w:r>
        <w:rPr>
          <w:rFonts w:ascii="Calibri" w:eastAsia="Calibri" w:hAnsi="Calibri" w:cs="Calibri"/>
          <w:sz w:val="20"/>
          <w:szCs w:val="20"/>
        </w:rPr>
        <w:t xml:space="preserve"> at 11; John F Sherman III, </w:t>
      </w:r>
      <w:r>
        <w:rPr>
          <w:rFonts w:ascii="Calibri" w:eastAsia="Calibri" w:hAnsi="Calibri" w:cs="Calibri"/>
          <w:i/>
          <w:sz w:val="20"/>
          <w:szCs w:val="20"/>
        </w:rPr>
        <w:t>Human Rights Due Diligence and Corporate Governance</w:t>
      </w:r>
      <w:r>
        <w:rPr>
          <w:rFonts w:ascii="Calibri" w:eastAsia="Calibri" w:hAnsi="Calibri" w:cs="Calibri"/>
          <w:sz w:val="20"/>
          <w:szCs w:val="20"/>
        </w:rPr>
        <w:t xml:space="preserve"> (Cambridge, MA: Harvard Kennedy School, 2021), at 18–19; Lisa M. Fairfax, “Empowering Diversity Ambition: Brummer and Strine’s Duty and Diversity Makes the Legal and Business Case for Doing More, Doing Good, and Doing Well”, 75 Vanderbilt Law Review 131-155 (2022). Fairfax, Lisa M, “Empowering Diversity Ambition: Brummer and Strine’s </w:t>
      </w:r>
      <w:r>
        <w:rPr>
          <w:rFonts w:ascii="Calibri" w:eastAsia="Calibri" w:hAnsi="Calibri" w:cs="Calibri"/>
          <w:i/>
          <w:sz w:val="20"/>
          <w:szCs w:val="20"/>
        </w:rPr>
        <w:t>Duty and Diversity</w:t>
      </w:r>
      <w:r>
        <w:rPr>
          <w:rFonts w:ascii="Calibri" w:eastAsia="Calibri" w:hAnsi="Calibri" w:cs="Calibri"/>
          <w:sz w:val="20"/>
          <w:szCs w:val="20"/>
        </w:rPr>
        <w:t xml:space="preserve"> Makes the Legal and Business Case for Doing More, Doing Good, and Doing Well” (2022) 75 Vand L Rev 131.</w:t>
      </w:r>
    </w:p>
  </w:footnote>
  <w:footnote w:id="6">
    <w:p w14:paraId="00000037" w14:textId="2F90E000"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w:t>
      </w:r>
      <w:proofErr w:type="spellStart"/>
      <w:r>
        <w:rPr>
          <w:rFonts w:ascii="Calibri" w:eastAsia="Calibri" w:hAnsi="Calibri" w:cs="Calibri"/>
          <w:sz w:val="20"/>
          <w:szCs w:val="20"/>
        </w:rPr>
        <w:t>Zumbansen</w:t>
      </w:r>
      <w:proofErr w:type="spellEnd"/>
      <w:r>
        <w:rPr>
          <w:rFonts w:ascii="Calibri" w:eastAsia="Calibri" w:hAnsi="Calibri" w:cs="Calibri"/>
          <w:sz w:val="20"/>
          <w:szCs w:val="20"/>
        </w:rPr>
        <w:t xml:space="preserve">, </w:t>
      </w:r>
      <w:r>
        <w:rPr>
          <w:rFonts w:ascii="Calibri" w:eastAsia="Calibri" w:hAnsi="Calibri" w:cs="Calibri"/>
          <w:i/>
          <w:sz w:val="20"/>
          <w:szCs w:val="20"/>
        </w:rPr>
        <w:t xml:space="preserve">supra </w:t>
      </w:r>
      <w:r>
        <w:rPr>
          <w:rFonts w:ascii="Calibri" w:eastAsia="Calibri" w:hAnsi="Calibri" w:cs="Calibri"/>
          <w:sz w:val="20"/>
          <w:szCs w:val="20"/>
        </w:rPr>
        <w:t xml:space="preserve">note </w:t>
      </w:r>
      <w:r w:rsidR="00C00A16">
        <w:rPr>
          <w:rFonts w:ascii="Calibri" w:eastAsia="Calibri" w:hAnsi="Calibri" w:cs="Calibri"/>
          <w:sz w:val="20"/>
          <w:szCs w:val="20"/>
        </w:rPr>
        <w:t>3</w:t>
      </w:r>
      <w:r>
        <w:rPr>
          <w:rFonts w:ascii="Calibri" w:eastAsia="Calibri" w:hAnsi="Calibri" w:cs="Calibri"/>
          <w:sz w:val="20"/>
          <w:szCs w:val="20"/>
        </w:rPr>
        <w:t xml:space="preserve"> at 37.</w:t>
      </w:r>
    </w:p>
  </w:footnote>
  <w:footnote w:id="7">
    <w:p w14:paraId="00000038" w14:textId="59278C3A"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United Nations, </w:t>
      </w:r>
      <w:r>
        <w:rPr>
          <w:rFonts w:ascii="Calibri" w:eastAsia="Calibri" w:hAnsi="Calibri" w:cs="Calibri"/>
          <w:i/>
          <w:sz w:val="20"/>
          <w:szCs w:val="20"/>
        </w:rPr>
        <w:t xml:space="preserve">Transforming Our World: The 2030 Agenda for Sustainable Development, </w:t>
      </w:r>
      <w:r>
        <w:rPr>
          <w:rFonts w:ascii="Calibri" w:eastAsia="Calibri" w:hAnsi="Calibri" w:cs="Calibri"/>
          <w:sz w:val="20"/>
          <w:szCs w:val="20"/>
        </w:rPr>
        <w:t xml:space="preserve">2022, UN Doc A/70/1 GA Res 2022 at paras 39, 60. See also Akintunde &amp; </w:t>
      </w:r>
      <w:proofErr w:type="spellStart"/>
      <w:r>
        <w:rPr>
          <w:rFonts w:ascii="Calibri" w:eastAsia="Calibri" w:hAnsi="Calibri" w:cs="Calibri"/>
          <w:sz w:val="20"/>
          <w:szCs w:val="20"/>
        </w:rPr>
        <w:t>Janda</w:t>
      </w:r>
      <w:proofErr w:type="spellEnd"/>
      <w:r>
        <w:rPr>
          <w:rFonts w:ascii="Calibri" w:eastAsia="Calibri" w:hAnsi="Calibri" w:cs="Calibri"/>
          <w:sz w:val="20"/>
          <w:szCs w:val="20"/>
        </w:rPr>
        <w:t xml:space="preserve">, </w:t>
      </w:r>
      <w:r>
        <w:rPr>
          <w:rFonts w:ascii="Calibri" w:eastAsia="Calibri" w:hAnsi="Calibri" w:cs="Calibri"/>
          <w:i/>
          <w:sz w:val="20"/>
          <w:szCs w:val="20"/>
        </w:rPr>
        <w:t xml:space="preserve">supra </w:t>
      </w:r>
      <w:r>
        <w:rPr>
          <w:rFonts w:ascii="Calibri" w:eastAsia="Calibri" w:hAnsi="Calibri" w:cs="Calibri"/>
          <w:sz w:val="20"/>
          <w:szCs w:val="20"/>
        </w:rPr>
        <w:t xml:space="preserve">note </w:t>
      </w:r>
      <w:r w:rsidR="00C00A16">
        <w:rPr>
          <w:rFonts w:ascii="Calibri" w:eastAsia="Calibri" w:hAnsi="Calibri" w:cs="Calibri"/>
          <w:sz w:val="20"/>
          <w:szCs w:val="20"/>
        </w:rPr>
        <w:t>4</w:t>
      </w:r>
      <w:r>
        <w:rPr>
          <w:rFonts w:ascii="Calibri" w:eastAsia="Calibri" w:hAnsi="Calibri" w:cs="Calibri"/>
          <w:sz w:val="20"/>
          <w:szCs w:val="20"/>
        </w:rPr>
        <w:t xml:space="preserve"> at 15.</w:t>
      </w:r>
    </w:p>
  </w:footnote>
  <w:footnote w:id="8">
    <w:p w14:paraId="00000039" w14:textId="5D3B7D3D"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Choudhury, </w:t>
      </w:r>
      <w:r>
        <w:rPr>
          <w:rFonts w:ascii="Calibri" w:eastAsia="Calibri" w:hAnsi="Calibri" w:cs="Calibri"/>
          <w:i/>
          <w:sz w:val="20"/>
          <w:szCs w:val="20"/>
        </w:rPr>
        <w:t xml:space="preserve">supra </w:t>
      </w:r>
      <w:r>
        <w:rPr>
          <w:rFonts w:ascii="Calibri" w:eastAsia="Calibri" w:hAnsi="Calibri" w:cs="Calibri"/>
          <w:sz w:val="20"/>
          <w:szCs w:val="20"/>
        </w:rPr>
        <w:t xml:space="preserve">note </w:t>
      </w:r>
      <w:r w:rsidR="00C00A16">
        <w:rPr>
          <w:rFonts w:ascii="Calibri" w:eastAsia="Calibri" w:hAnsi="Calibri" w:cs="Calibri"/>
          <w:sz w:val="20"/>
          <w:szCs w:val="20"/>
        </w:rPr>
        <w:t>3</w:t>
      </w:r>
      <w:r>
        <w:rPr>
          <w:rFonts w:ascii="Calibri" w:eastAsia="Calibri" w:hAnsi="Calibri" w:cs="Calibri"/>
          <w:sz w:val="20"/>
          <w:szCs w:val="20"/>
        </w:rPr>
        <w:t xml:space="preserve"> at 191.</w:t>
      </w:r>
    </w:p>
  </w:footnote>
  <w:footnote w:id="9">
    <w:p w14:paraId="0000003A" w14:textId="0A296609" w:rsidR="007003E0" w:rsidRDefault="002C66DF" w:rsidP="00C00A16">
      <w:pPr>
        <w:spacing w:after="120" w:line="240" w:lineRule="auto"/>
        <w:jc w:val="both"/>
        <w:rPr>
          <w:rFonts w:ascii="Calibri" w:eastAsia="Calibri" w:hAnsi="Calibri" w:cs="Calibri"/>
          <w:sz w:val="20"/>
          <w:szCs w:val="20"/>
        </w:rPr>
      </w:pPr>
      <w:r w:rsidRPr="00C00A16">
        <w:rPr>
          <w:rStyle w:val="FootnoteReference"/>
          <w:sz w:val="20"/>
          <w:szCs w:val="20"/>
        </w:rPr>
        <w:footnoteRef/>
      </w:r>
      <w:r w:rsidRPr="00C00A16">
        <w:rPr>
          <w:rFonts w:ascii="Calibri" w:eastAsia="Calibri" w:hAnsi="Calibri" w:cs="Calibri"/>
          <w:sz w:val="20"/>
          <w:szCs w:val="20"/>
        </w:rPr>
        <w:t xml:space="preserve"> </w:t>
      </w:r>
      <w:r w:rsidR="00C00A16" w:rsidRPr="00C00A16">
        <w:rPr>
          <w:rFonts w:ascii="Calibri" w:eastAsia="Calibri" w:hAnsi="Calibri" w:cs="Calibri"/>
          <w:sz w:val="20"/>
          <w:szCs w:val="20"/>
        </w:rPr>
        <w:t xml:space="preserve">Frederick Alexander et al, </w:t>
      </w:r>
      <w:r w:rsidR="00C00A16" w:rsidRPr="00C00A16">
        <w:rPr>
          <w:rFonts w:ascii="Calibri" w:eastAsia="Calibri" w:hAnsi="Calibri" w:cs="Calibri"/>
          <w:i/>
          <w:sz w:val="20"/>
          <w:szCs w:val="20"/>
        </w:rPr>
        <w:t>From Shareholder Primacy to Stakeholder Capitalism: A Policy Agenda for Systems Change</w:t>
      </w:r>
      <w:r w:rsidR="00C00A16" w:rsidRPr="00C00A16">
        <w:rPr>
          <w:rFonts w:ascii="Calibri" w:eastAsia="Calibri" w:hAnsi="Calibri" w:cs="Calibri"/>
          <w:sz w:val="20"/>
          <w:szCs w:val="20"/>
        </w:rPr>
        <w:t xml:space="preserve"> (Philadelphia: B Lab &amp; The Shareholder Commons, 2020)</w:t>
      </w:r>
      <w:r w:rsidR="00935A4A">
        <w:rPr>
          <w:rFonts w:ascii="Calibri" w:eastAsia="Calibri" w:hAnsi="Calibri" w:cs="Calibri"/>
          <w:sz w:val="20"/>
          <w:szCs w:val="20"/>
        </w:rPr>
        <w:t xml:space="preserve"> </w:t>
      </w:r>
      <w:r w:rsidR="00C00A16" w:rsidRPr="00C00A16">
        <w:rPr>
          <w:rFonts w:ascii="Calibri" w:eastAsia="Calibri" w:hAnsi="Calibri" w:cs="Calibri"/>
          <w:sz w:val="20"/>
          <w:szCs w:val="20"/>
        </w:rPr>
        <w:t>at 10</w:t>
      </w:r>
      <w:r w:rsidR="00C00A16" w:rsidRPr="00C00A16">
        <w:rPr>
          <w:rFonts w:ascii="Calibri" w:eastAsia="Calibri" w:hAnsi="Calibri" w:cs="Calibri"/>
          <w:sz w:val="20"/>
          <w:szCs w:val="20"/>
        </w:rPr>
        <w:t>.</w:t>
      </w:r>
    </w:p>
  </w:footnote>
  <w:footnote w:id="10">
    <w:p w14:paraId="0000003B" w14:textId="73721306"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Choudhury, </w:t>
      </w:r>
      <w:r>
        <w:rPr>
          <w:rFonts w:ascii="Calibri" w:eastAsia="Calibri" w:hAnsi="Calibri" w:cs="Calibri"/>
          <w:i/>
          <w:sz w:val="20"/>
          <w:szCs w:val="20"/>
        </w:rPr>
        <w:t xml:space="preserve">supra </w:t>
      </w:r>
      <w:r>
        <w:rPr>
          <w:rFonts w:ascii="Calibri" w:eastAsia="Calibri" w:hAnsi="Calibri" w:cs="Calibri"/>
          <w:sz w:val="20"/>
          <w:szCs w:val="20"/>
        </w:rPr>
        <w:t xml:space="preserve">note </w:t>
      </w:r>
      <w:r w:rsidR="00C00A16">
        <w:rPr>
          <w:rFonts w:ascii="Calibri" w:eastAsia="Calibri" w:hAnsi="Calibri" w:cs="Calibri"/>
          <w:sz w:val="20"/>
          <w:szCs w:val="20"/>
        </w:rPr>
        <w:t>3</w:t>
      </w:r>
      <w:r>
        <w:rPr>
          <w:rFonts w:ascii="Calibri" w:eastAsia="Calibri" w:hAnsi="Calibri" w:cs="Calibri"/>
          <w:sz w:val="20"/>
          <w:szCs w:val="20"/>
        </w:rPr>
        <w:t xml:space="preserve"> at </w:t>
      </w:r>
      <w:proofErr w:type="gramStart"/>
      <w:r>
        <w:rPr>
          <w:rFonts w:ascii="Calibri" w:eastAsia="Calibri" w:hAnsi="Calibri" w:cs="Calibri"/>
          <w:sz w:val="20"/>
          <w:szCs w:val="20"/>
        </w:rPr>
        <w:t>193</w:t>
      </w:r>
      <w:proofErr w:type="gramEnd"/>
    </w:p>
  </w:footnote>
  <w:footnote w:id="11">
    <w:p w14:paraId="0000003C" w14:textId="77777777"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w:t>
      </w:r>
      <w:r>
        <w:rPr>
          <w:rFonts w:ascii="Calibri" w:eastAsia="Calibri" w:hAnsi="Calibri" w:cs="Calibri"/>
          <w:i/>
          <w:sz w:val="20"/>
          <w:szCs w:val="20"/>
        </w:rPr>
        <w:t>Ibid</w:t>
      </w:r>
      <w:r>
        <w:rPr>
          <w:rFonts w:ascii="Calibri" w:eastAsia="Calibri" w:hAnsi="Calibri" w:cs="Calibri"/>
          <w:sz w:val="20"/>
          <w:szCs w:val="20"/>
        </w:rPr>
        <w:t xml:space="preserve"> at 192.</w:t>
      </w:r>
    </w:p>
  </w:footnote>
  <w:footnote w:id="12">
    <w:p w14:paraId="0000003D" w14:textId="7A50D09A"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w:t>
      </w:r>
      <w:r>
        <w:rPr>
          <w:rFonts w:ascii="Calibri" w:eastAsia="Calibri" w:hAnsi="Calibri" w:cs="Calibri"/>
          <w:i/>
          <w:sz w:val="20"/>
          <w:szCs w:val="20"/>
        </w:rPr>
        <w:t>Canadian Business Corporations Act</w:t>
      </w:r>
      <w:r>
        <w:rPr>
          <w:rFonts w:ascii="Calibri" w:eastAsia="Calibri" w:hAnsi="Calibri" w:cs="Calibri"/>
          <w:sz w:val="20"/>
          <w:szCs w:val="20"/>
        </w:rPr>
        <w:t xml:space="preserve">, RSC 1985, c C-44, ss 122(1.1). See also </w:t>
      </w:r>
      <w:proofErr w:type="spellStart"/>
      <w:r>
        <w:rPr>
          <w:rFonts w:ascii="Calibri" w:eastAsia="Calibri" w:hAnsi="Calibri" w:cs="Calibri"/>
          <w:sz w:val="20"/>
          <w:szCs w:val="20"/>
        </w:rPr>
        <w:t>Zumbansen</w:t>
      </w:r>
      <w:proofErr w:type="spellEnd"/>
      <w:r>
        <w:rPr>
          <w:rFonts w:ascii="Calibri" w:eastAsia="Calibri" w:hAnsi="Calibri" w:cs="Calibri"/>
          <w:sz w:val="20"/>
          <w:szCs w:val="20"/>
        </w:rPr>
        <w:t xml:space="preserve">, </w:t>
      </w:r>
      <w:r>
        <w:rPr>
          <w:rFonts w:ascii="Calibri" w:eastAsia="Calibri" w:hAnsi="Calibri" w:cs="Calibri"/>
          <w:i/>
          <w:sz w:val="20"/>
          <w:szCs w:val="20"/>
        </w:rPr>
        <w:t xml:space="preserve">supra </w:t>
      </w:r>
      <w:r>
        <w:rPr>
          <w:rFonts w:ascii="Calibri" w:eastAsia="Calibri" w:hAnsi="Calibri" w:cs="Calibri"/>
          <w:sz w:val="20"/>
          <w:szCs w:val="20"/>
        </w:rPr>
        <w:t xml:space="preserve">note </w:t>
      </w:r>
      <w:r w:rsidR="00C00A16">
        <w:rPr>
          <w:rFonts w:ascii="Calibri" w:eastAsia="Calibri" w:hAnsi="Calibri" w:cs="Calibri"/>
          <w:sz w:val="20"/>
          <w:szCs w:val="20"/>
        </w:rPr>
        <w:t>3</w:t>
      </w:r>
      <w:r>
        <w:rPr>
          <w:rFonts w:ascii="Calibri" w:eastAsia="Calibri" w:hAnsi="Calibri" w:cs="Calibri"/>
          <w:sz w:val="20"/>
          <w:szCs w:val="20"/>
        </w:rPr>
        <w:t xml:space="preserve"> at 38; Akintunde &amp; </w:t>
      </w:r>
      <w:proofErr w:type="spellStart"/>
      <w:r>
        <w:rPr>
          <w:rFonts w:ascii="Calibri" w:eastAsia="Calibri" w:hAnsi="Calibri" w:cs="Calibri"/>
          <w:sz w:val="20"/>
          <w:szCs w:val="20"/>
        </w:rPr>
        <w:t>Janda</w:t>
      </w:r>
      <w:proofErr w:type="spellEnd"/>
      <w:r>
        <w:rPr>
          <w:rFonts w:ascii="Calibri" w:eastAsia="Calibri" w:hAnsi="Calibri" w:cs="Calibri"/>
          <w:sz w:val="20"/>
          <w:szCs w:val="20"/>
        </w:rPr>
        <w:t xml:space="preserve">, </w:t>
      </w:r>
      <w:r>
        <w:rPr>
          <w:rFonts w:ascii="Calibri" w:eastAsia="Calibri" w:hAnsi="Calibri" w:cs="Calibri"/>
          <w:i/>
          <w:sz w:val="20"/>
          <w:szCs w:val="20"/>
        </w:rPr>
        <w:t xml:space="preserve">supra </w:t>
      </w:r>
      <w:r>
        <w:rPr>
          <w:rFonts w:ascii="Calibri" w:eastAsia="Calibri" w:hAnsi="Calibri" w:cs="Calibri"/>
          <w:sz w:val="20"/>
          <w:szCs w:val="20"/>
        </w:rPr>
        <w:t xml:space="preserve">note </w:t>
      </w:r>
      <w:r w:rsidR="00C00A16">
        <w:rPr>
          <w:rFonts w:ascii="Calibri" w:eastAsia="Calibri" w:hAnsi="Calibri" w:cs="Calibri"/>
          <w:sz w:val="20"/>
          <w:szCs w:val="20"/>
        </w:rPr>
        <w:t>4</w:t>
      </w:r>
      <w:r>
        <w:rPr>
          <w:rFonts w:ascii="Calibri" w:eastAsia="Calibri" w:hAnsi="Calibri" w:cs="Calibri"/>
          <w:sz w:val="20"/>
          <w:szCs w:val="20"/>
        </w:rPr>
        <w:t xml:space="preserve"> at 26-27.</w:t>
      </w:r>
    </w:p>
  </w:footnote>
  <w:footnote w:id="13">
    <w:p w14:paraId="0000003E" w14:textId="095F94B7"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w:t>
      </w:r>
      <w:r>
        <w:rPr>
          <w:rFonts w:ascii="Calibri" w:eastAsia="Calibri" w:hAnsi="Calibri" w:cs="Calibri"/>
          <w:i/>
          <w:sz w:val="20"/>
          <w:szCs w:val="20"/>
        </w:rPr>
        <w:t>Ibid</w:t>
      </w:r>
      <w:r>
        <w:rPr>
          <w:rFonts w:ascii="Calibri" w:eastAsia="Calibri" w:hAnsi="Calibri" w:cs="Calibri"/>
          <w:sz w:val="20"/>
          <w:szCs w:val="20"/>
        </w:rPr>
        <w:t xml:space="preserve"> at 193; Alexander et al, </w:t>
      </w:r>
      <w:r>
        <w:rPr>
          <w:rFonts w:ascii="Calibri" w:eastAsia="Calibri" w:hAnsi="Calibri" w:cs="Calibri"/>
          <w:i/>
          <w:sz w:val="20"/>
          <w:szCs w:val="20"/>
        </w:rPr>
        <w:t xml:space="preserve">supra </w:t>
      </w:r>
      <w:r>
        <w:rPr>
          <w:rFonts w:ascii="Calibri" w:eastAsia="Calibri" w:hAnsi="Calibri" w:cs="Calibri"/>
          <w:sz w:val="20"/>
          <w:szCs w:val="20"/>
        </w:rPr>
        <w:t xml:space="preserve">note </w:t>
      </w:r>
      <w:r w:rsidR="00C00A16">
        <w:rPr>
          <w:rFonts w:ascii="Calibri" w:eastAsia="Calibri" w:hAnsi="Calibri" w:cs="Calibri"/>
          <w:sz w:val="20"/>
          <w:szCs w:val="20"/>
        </w:rPr>
        <w:t>9</w:t>
      </w:r>
      <w:r>
        <w:rPr>
          <w:rFonts w:ascii="Calibri" w:eastAsia="Calibri" w:hAnsi="Calibri" w:cs="Calibri"/>
          <w:sz w:val="20"/>
          <w:szCs w:val="20"/>
        </w:rPr>
        <w:t xml:space="preserve"> at 10.</w:t>
      </w:r>
    </w:p>
  </w:footnote>
  <w:footnote w:id="14">
    <w:p w14:paraId="00000041" w14:textId="32D8F232"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Akintunde &amp; </w:t>
      </w:r>
      <w:proofErr w:type="spellStart"/>
      <w:r>
        <w:rPr>
          <w:rFonts w:ascii="Calibri" w:eastAsia="Calibri" w:hAnsi="Calibri" w:cs="Calibri"/>
          <w:sz w:val="20"/>
          <w:szCs w:val="20"/>
        </w:rPr>
        <w:t>Janda</w:t>
      </w:r>
      <w:proofErr w:type="spellEnd"/>
      <w:r>
        <w:rPr>
          <w:rFonts w:ascii="Calibri" w:eastAsia="Calibri" w:hAnsi="Calibri" w:cs="Calibri"/>
          <w:sz w:val="20"/>
          <w:szCs w:val="20"/>
        </w:rPr>
        <w:t xml:space="preserve">, </w:t>
      </w:r>
      <w:r>
        <w:rPr>
          <w:rFonts w:ascii="Calibri" w:eastAsia="Calibri" w:hAnsi="Calibri" w:cs="Calibri"/>
          <w:i/>
          <w:sz w:val="20"/>
          <w:szCs w:val="20"/>
        </w:rPr>
        <w:t xml:space="preserve">supra </w:t>
      </w:r>
      <w:r>
        <w:rPr>
          <w:rFonts w:ascii="Calibri" w:eastAsia="Calibri" w:hAnsi="Calibri" w:cs="Calibri"/>
          <w:sz w:val="20"/>
          <w:szCs w:val="20"/>
        </w:rPr>
        <w:t xml:space="preserve">note </w:t>
      </w:r>
      <w:r w:rsidR="00C00A16">
        <w:rPr>
          <w:rFonts w:ascii="Calibri" w:eastAsia="Calibri" w:hAnsi="Calibri" w:cs="Calibri"/>
          <w:sz w:val="20"/>
          <w:szCs w:val="20"/>
        </w:rPr>
        <w:t>4</w:t>
      </w:r>
      <w:r>
        <w:rPr>
          <w:rFonts w:ascii="Calibri" w:eastAsia="Calibri" w:hAnsi="Calibri" w:cs="Calibri"/>
          <w:sz w:val="20"/>
          <w:szCs w:val="20"/>
        </w:rPr>
        <w:t xml:space="preserve"> at 26–27.</w:t>
      </w:r>
    </w:p>
  </w:footnote>
  <w:footnote w:id="15">
    <w:p w14:paraId="00000042" w14:textId="17790077"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Sherman, </w:t>
      </w:r>
      <w:r>
        <w:rPr>
          <w:rFonts w:ascii="Calibri" w:eastAsia="Calibri" w:hAnsi="Calibri" w:cs="Calibri"/>
          <w:i/>
          <w:sz w:val="20"/>
          <w:szCs w:val="20"/>
        </w:rPr>
        <w:t xml:space="preserve">supra </w:t>
      </w:r>
      <w:r>
        <w:rPr>
          <w:rFonts w:ascii="Calibri" w:eastAsia="Calibri" w:hAnsi="Calibri" w:cs="Calibri"/>
          <w:sz w:val="20"/>
          <w:szCs w:val="20"/>
        </w:rPr>
        <w:t xml:space="preserve">note </w:t>
      </w:r>
      <w:r w:rsidR="00C00A16">
        <w:rPr>
          <w:rFonts w:ascii="Calibri" w:eastAsia="Calibri" w:hAnsi="Calibri" w:cs="Calibri"/>
          <w:sz w:val="20"/>
          <w:szCs w:val="20"/>
        </w:rPr>
        <w:t>5</w:t>
      </w:r>
      <w:r>
        <w:rPr>
          <w:rFonts w:ascii="Calibri" w:eastAsia="Calibri" w:hAnsi="Calibri" w:cs="Calibri"/>
          <w:sz w:val="20"/>
          <w:szCs w:val="20"/>
        </w:rPr>
        <w:t xml:space="preserve"> at 23; Alexander et al, </w:t>
      </w:r>
      <w:r>
        <w:rPr>
          <w:rFonts w:ascii="Calibri" w:eastAsia="Calibri" w:hAnsi="Calibri" w:cs="Calibri"/>
          <w:i/>
          <w:sz w:val="20"/>
          <w:szCs w:val="20"/>
        </w:rPr>
        <w:t xml:space="preserve">supra </w:t>
      </w:r>
      <w:r>
        <w:rPr>
          <w:rFonts w:ascii="Calibri" w:eastAsia="Calibri" w:hAnsi="Calibri" w:cs="Calibri"/>
          <w:sz w:val="20"/>
          <w:szCs w:val="20"/>
        </w:rPr>
        <w:t xml:space="preserve">note </w:t>
      </w:r>
      <w:r w:rsidR="00C00A16">
        <w:rPr>
          <w:rFonts w:ascii="Calibri" w:eastAsia="Calibri" w:hAnsi="Calibri" w:cs="Calibri"/>
          <w:sz w:val="20"/>
          <w:szCs w:val="20"/>
        </w:rPr>
        <w:t>9</w:t>
      </w:r>
      <w:r>
        <w:rPr>
          <w:rFonts w:ascii="Calibri" w:eastAsia="Calibri" w:hAnsi="Calibri" w:cs="Calibri"/>
          <w:sz w:val="20"/>
          <w:szCs w:val="20"/>
        </w:rPr>
        <w:t xml:space="preserve"> at 25.</w:t>
      </w:r>
    </w:p>
  </w:footnote>
  <w:footnote w:id="16">
    <w:p w14:paraId="00000043" w14:textId="439DD4D4"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EC, </w:t>
      </w:r>
      <w:r>
        <w:rPr>
          <w:rFonts w:ascii="Calibri" w:eastAsia="Calibri" w:hAnsi="Calibri" w:cs="Calibri"/>
          <w:i/>
          <w:sz w:val="20"/>
          <w:szCs w:val="20"/>
        </w:rPr>
        <w:t>Proposal for a Directive 2019/1937 of the European Parliament and of the Council on Corporate Sustainability Due Diligence and amending Directive</w:t>
      </w:r>
      <w:r>
        <w:rPr>
          <w:rFonts w:ascii="Calibri" w:eastAsia="Calibri" w:hAnsi="Calibri" w:cs="Calibri"/>
          <w:sz w:val="20"/>
          <w:szCs w:val="20"/>
        </w:rPr>
        <w:t xml:space="preserve">, COM/2022/71. See also Choudhury, </w:t>
      </w:r>
      <w:r>
        <w:rPr>
          <w:rFonts w:ascii="Calibri" w:eastAsia="Calibri" w:hAnsi="Calibri" w:cs="Calibri"/>
          <w:i/>
          <w:sz w:val="20"/>
          <w:szCs w:val="20"/>
        </w:rPr>
        <w:t xml:space="preserve">supra </w:t>
      </w:r>
      <w:r>
        <w:rPr>
          <w:rFonts w:ascii="Calibri" w:eastAsia="Calibri" w:hAnsi="Calibri" w:cs="Calibri"/>
          <w:sz w:val="20"/>
          <w:szCs w:val="20"/>
        </w:rPr>
        <w:t xml:space="preserve">note </w:t>
      </w:r>
      <w:r w:rsidR="00C00A16">
        <w:rPr>
          <w:rFonts w:ascii="Calibri" w:eastAsia="Calibri" w:hAnsi="Calibri" w:cs="Calibri"/>
          <w:sz w:val="20"/>
          <w:szCs w:val="20"/>
        </w:rPr>
        <w:t>3</w:t>
      </w:r>
      <w:r>
        <w:rPr>
          <w:rFonts w:ascii="Calibri" w:eastAsia="Calibri" w:hAnsi="Calibri" w:cs="Calibri"/>
          <w:sz w:val="20"/>
          <w:szCs w:val="20"/>
        </w:rPr>
        <w:t xml:space="preserve"> at 193; Sherman, </w:t>
      </w:r>
      <w:r>
        <w:rPr>
          <w:rFonts w:ascii="Calibri" w:eastAsia="Calibri" w:hAnsi="Calibri" w:cs="Calibri"/>
          <w:i/>
          <w:sz w:val="20"/>
          <w:szCs w:val="20"/>
        </w:rPr>
        <w:t xml:space="preserve">supra </w:t>
      </w:r>
      <w:r>
        <w:rPr>
          <w:rFonts w:ascii="Calibri" w:eastAsia="Calibri" w:hAnsi="Calibri" w:cs="Calibri"/>
          <w:sz w:val="20"/>
          <w:szCs w:val="20"/>
        </w:rPr>
        <w:t xml:space="preserve">note </w:t>
      </w:r>
      <w:r w:rsidR="00C00A16">
        <w:rPr>
          <w:rFonts w:ascii="Calibri" w:eastAsia="Calibri" w:hAnsi="Calibri" w:cs="Calibri"/>
          <w:sz w:val="20"/>
          <w:szCs w:val="20"/>
        </w:rPr>
        <w:t>5</w:t>
      </w:r>
      <w:r>
        <w:rPr>
          <w:rFonts w:ascii="Calibri" w:eastAsia="Calibri" w:hAnsi="Calibri" w:cs="Calibri"/>
          <w:sz w:val="20"/>
          <w:szCs w:val="20"/>
        </w:rPr>
        <w:t xml:space="preserve"> at 23.</w:t>
      </w:r>
    </w:p>
  </w:footnote>
  <w:footnote w:id="17">
    <w:p w14:paraId="00000044" w14:textId="5FE7F884"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Sherman, </w:t>
      </w:r>
      <w:r>
        <w:rPr>
          <w:rFonts w:ascii="Calibri" w:eastAsia="Calibri" w:hAnsi="Calibri" w:cs="Calibri"/>
          <w:i/>
          <w:sz w:val="20"/>
          <w:szCs w:val="20"/>
        </w:rPr>
        <w:t xml:space="preserve">supra </w:t>
      </w:r>
      <w:r>
        <w:rPr>
          <w:rFonts w:ascii="Calibri" w:eastAsia="Calibri" w:hAnsi="Calibri" w:cs="Calibri"/>
          <w:sz w:val="20"/>
          <w:szCs w:val="20"/>
        </w:rPr>
        <w:t xml:space="preserve">note </w:t>
      </w:r>
      <w:r w:rsidR="00C00A16">
        <w:rPr>
          <w:rFonts w:ascii="Calibri" w:eastAsia="Calibri" w:hAnsi="Calibri" w:cs="Calibri"/>
          <w:sz w:val="20"/>
          <w:szCs w:val="20"/>
        </w:rPr>
        <w:t>5</w:t>
      </w:r>
      <w:r>
        <w:rPr>
          <w:rFonts w:ascii="Calibri" w:eastAsia="Calibri" w:hAnsi="Calibri" w:cs="Calibri"/>
          <w:sz w:val="20"/>
          <w:szCs w:val="20"/>
        </w:rPr>
        <w:t xml:space="preserve"> at 23; Choudhury, </w:t>
      </w:r>
      <w:r>
        <w:rPr>
          <w:rFonts w:ascii="Calibri" w:eastAsia="Calibri" w:hAnsi="Calibri" w:cs="Calibri"/>
          <w:i/>
          <w:sz w:val="20"/>
          <w:szCs w:val="20"/>
        </w:rPr>
        <w:t xml:space="preserve">supra </w:t>
      </w:r>
      <w:r>
        <w:rPr>
          <w:rFonts w:ascii="Calibri" w:eastAsia="Calibri" w:hAnsi="Calibri" w:cs="Calibri"/>
          <w:sz w:val="20"/>
          <w:szCs w:val="20"/>
        </w:rPr>
        <w:t xml:space="preserve">note </w:t>
      </w:r>
      <w:r w:rsidR="00C00A16">
        <w:rPr>
          <w:rFonts w:ascii="Calibri" w:eastAsia="Calibri" w:hAnsi="Calibri" w:cs="Calibri"/>
          <w:sz w:val="20"/>
          <w:szCs w:val="20"/>
        </w:rPr>
        <w:t>3</w:t>
      </w:r>
      <w:r>
        <w:rPr>
          <w:rFonts w:ascii="Calibri" w:eastAsia="Calibri" w:hAnsi="Calibri" w:cs="Calibri"/>
          <w:sz w:val="20"/>
          <w:szCs w:val="20"/>
        </w:rPr>
        <w:t xml:space="preserve"> at 194.</w:t>
      </w:r>
    </w:p>
  </w:footnote>
  <w:footnote w:id="18">
    <w:p w14:paraId="00000045" w14:textId="77777777"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As provided for in the UNGPs, see OHCHR, </w:t>
      </w:r>
      <w:r>
        <w:rPr>
          <w:rFonts w:ascii="Calibri" w:eastAsia="Calibri" w:hAnsi="Calibri" w:cs="Calibri"/>
          <w:i/>
          <w:sz w:val="20"/>
          <w:szCs w:val="20"/>
        </w:rPr>
        <w:t>Guiding Principles</w:t>
      </w:r>
      <w:r>
        <w:rPr>
          <w:rFonts w:ascii="Calibri" w:eastAsia="Calibri" w:hAnsi="Calibri" w:cs="Calibri"/>
          <w:sz w:val="20"/>
          <w:szCs w:val="20"/>
        </w:rPr>
        <w:t xml:space="preserve"> at 17–24 (Principles 17–21).</w:t>
      </w:r>
    </w:p>
  </w:footnote>
  <w:footnote w:id="19">
    <w:p w14:paraId="00000046" w14:textId="77777777"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United Nations Office of the High Commissioner for Human Rights, “Mandatory Human Rights Due Diligence (mHRDD)”, (September 2022), online: &lt;www.ohchr.org/en/business-and-human-rights/mandatory-human-rights-due-diligence-mhrdd&gt;. </w:t>
      </w:r>
    </w:p>
  </w:footnote>
  <w:footnote w:id="20">
    <w:p w14:paraId="00000047" w14:textId="6135D2E4"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Sherman, </w:t>
      </w:r>
      <w:r>
        <w:rPr>
          <w:rFonts w:ascii="Calibri" w:eastAsia="Calibri" w:hAnsi="Calibri" w:cs="Calibri"/>
          <w:i/>
          <w:sz w:val="20"/>
          <w:szCs w:val="20"/>
        </w:rPr>
        <w:t xml:space="preserve">supra </w:t>
      </w:r>
      <w:r>
        <w:rPr>
          <w:rFonts w:ascii="Calibri" w:eastAsia="Calibri" w:hAnsi="Calibri" w:cs="Calibri"/>
          <w:sz w:val="20"/>
          <w:szCs w:val="20"/>
        </w:rPr>
        <w:t xml:space="preserve">note </w:t>
      </w:r>
      <w:r w:rsidR="00C00A16">
        <w:rPr>
          <w:rFonts w:ascii="Calibri" w:eastAsia="Calibri" w:hAnsi="Calibri" w:cs="Calibri"/>
          <w:sz w:val="20"/>
          <w:szCs w:val="20"/>
        </w:rPr>
        <w:t>5</w:t>
      </w:r>
      <w:r>
        <w:rPr>
          <w:rFonts w:ascii="Calibri" w:eastAsia="Calibri" w:hAnsi="Calibri" w:cs="Calibri"/>
          <w:sz w:val="20"/>
          <w:szCs w:val="20"/>
        </w:rPr>
        <w:t xml:space="preserve"> at 11, 16.</w:t>
      </w:r>
    </w:p>
  </w:footnote>
  <w:footnote w:id="21">
    <w:p w14:paraId="00000048" w14:textId="68E86717"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Sherman, </w:t>
      </w:r>
      <w:r>
        <w:rPr>
          <w:rFonts w:ascii="Calibri" w:eastAsia="Calibri" w:hAnsi="Calibri" w:cs="Calibri"/>
          <w:i/>
          <w:sz w:val="20"/>
          <w:szCs w:val="20"/>
        </w:rPr>
        <w:t xml:space="preserve">supra </w:t>
      </w:r>
      <w:r>
        <w:rPr>
          <w:rFonts w:ascii="Calibri" w:eastAsia="Calibri" w:hAnsi="Calibri" w:cs="Calibri"/>
          <w:sz w:val="20"/>
          <w:szCs w:val="20"/>
        </w:rPr>
        <w:t xml:space="preserve">note </w:t>
      </w:r>
      <w:r w:rsidR="00C00A16">
        <w:rPr>
          <w:rFonts w:ascii="Calibri" w:eastAsia="Calibri" w:hAnsi="Calibri" w:cs="Calibri"/>
          <w:sz w:val="20"/>
          <w:szCs w:val="20"/>
        </w:rPr>
        <w:t>5</w:t>
      </w:r>
      <w:r>
        <w:rPr>
          <w:rFonts w:ascii="Calibri" w:eastAsia="Calibri" w:hAnsi="Calibri" w:cs="Calibri"/>
          <w:sz w:val="20"/>
          <w:szCs w:val="20"/>
        </w:rPr>
        <w:t xml:space="preserve"> at 3–4.</w:t>
      </w:r>
    </w:p>
  </w:footnote>
  <w:footnote w:id="22">
    <w:p w14:paraId="00000049" w14:textId="5DC24A89"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w:t>
      </w:r>
      <w:proofErr w:type="spellStart"/>
      <w:r>
        <w:rPr>
          <w:rFonts w:ascii="Calibri" w:eastAsia="Calibri" w:hAnsi="Calibri" w:cs="Calibri"/>
          <w:sz w:val="20"/>
          <w:szCs w:val="20"/>
        </w:rPr>
        <w:t>Zumbansen</w:t>
      </w:r>
      <w:proofErr w:type="spellEnd"/>
      <w:r>
        <w:rPr>
          <w:rFonts w:ascii="Calibri" w:eastAsia="Calibri" w:hAnsi="Calibri" w:cs="Calibri"/>
          <w:sz w:val="20"/>
          <w:szCs w:val="20"/>
        </w:rPr>
        <w:t xml:space="preserve">, </w:t>
      </w:r>
      <w:r>
        <w:rPr>
          <w:rFonts w:ascii="Calibri" w:eastAsia="Calibri" w:hAnsi="Calibri" w:cs="Calibri"/>
          <w:i/>
          <w:sz w:val="20"/>
          <w:szCs w:val="20"/>
        </w:rPr>
        <w:t xml:space="preserve">supra </w:t>
      </w:r>
      <w:r>
        <w:rPr>
          <w:rFonts w:ascii="Calibri" w:eastAsia="Calibri" w:hAnsi="Calibri" w:cs="Calibri"/>
          <w:sz w:val="20"/>
          <w:szCs w:val="20"/>
        </w:rPr>
        <w:t xml:space="preserve">note </w:t>
      </w:r>
      <w:r w:rsidR="00C00A16">
        <w:rPr>
          <w:rFonts w:ascii="Calibri" w:eastAsia="Calibri" w:hAnsi="Calibri" w:cs="Calibri"/>
          <w:sz w:val="20"/>
          <w:szCs w:val="20"/>
        </w:rPr>
        <w:t>3</w:t>
      </w:r>
      <w:r>
        <w:rPr>
          <w:rFonts w:ascii="Calibri" w:eastAsia="Calibri" w:hAnsi="Calibri" w:cs="Calibri"/>
          <w:sz w:val="20"/>
          <w:szCs w:val="20"/>
        </w:rPr>
        <w:t xml:space="preserve"> at 39–41.</w:t>
      </w:r>
    </w:p>
  </w:footnote>
  <w:footnote w:id="23">
    <w:p w14:paraId="0000004A" w14:textId="77777777"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OHCHR, </w:t>
      </w:r>
      <w:r>
        <w:rPr>
          <w:rFonts w:ascii="Calibri" w:eastAsia="Calibri" w:hAnsi="Calibri" w:cs="Calibri"/>
          <w:i/>
          <w:sz w:val="20"/>
          <w:szCs w:val="20"/>
        </w:rPr>
        <w:t xml:space="preserve">Guiding Principles </w:t>
      </w:r>
      <w:r>
        <w:rPr>
          <w:rFonts w:ascii="Calibri" w:eastAsia="Calibri" w:hAnsi="Calibri" w:cs="Calibri"/>
          <w:sz w:val="20"/>
          <w:szCs w:val="20"/>
        </w:rPr>
        <w:t>at 4 (Principle 3(d)), 23–24 (Principle 21).</w:t>
      </w:r>
    </w:p>
  </w:footnote>
  <w:footnote w:id="24">
    <w:p w14:paraId="0000004B" w14:textId="36C7DDA2"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Choudhury, </w:t>
      </w:r>
      <w:r>
        <w:rPr>
          <w:rFonts w:ascii="Calibri" w:eastAsia="Calibri" w:hAnsi="Calibri" w:cs="Calibri"/>
          <w:i/>
          <w:sz w:val="20"/>
          <w:szCs w:val="20"/>
        </w:rPr>
        <w:t xml:space="preserve">supra </w:t>
      </w:r>
      <w:r>
        <w:rPr>
          <w:rFonts w:ascii="Calibri" w:eastAsia="Calibri" w:hAnsi="Calibri" w:cs="Calibri"/>
          <w:sz w:val="20"/>
          <w:szCs w:val="20"/>
        </w:rPr>
        <w:t xml:space="preserve">note </w:t>
      </w:r>
      <w:r w:rsidR="00C00A16">
        <w:rPr>
          <w:rFonts w:ascii="Calibri" w:eastAsia="Calibri" w:hAnsi="Calibri" w:cs="Calibri"/>
          <w:sz w:val="20"/>
          <w:szCs w:val="20"/>
        </w:rPr>
        <w:t>3</w:t>
      </w:r>
      <w:r>
        <w:rPr>
          <w:rFonts w:ascii="Calibri" w:eastAsia="Calibri" w:hAnsi="Calibri" w:cs="Calibri"/>
          <w:sz w:val="20"/>
          <w:szCs w:val="20"/>
        </w:rPr>
        <w:t xml:space="preserve"> at 180.</w:t>
      </w:r>
    </w:p>
  </w:footnote>
  <w:footnote w:id="25">
    <w:p w14:paraId="00000053" w14:textId="77777777"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See e.g. the recently proposed rules by the United States Securities and Exchange Commission, </w:t>
      </w:r>
      <w:r>
        <w:rPr>
          <w:rFonts w:ascii="Calibri" w:eastAsia="Calibri" w:hAnsi="Calibri" w:cs="Calibri"/>
          <w:i/>
          <w:sz w:val="20"/>
          <w:szCs w:val="20"/>
        </w:rPr>
        <w:t>The Enhancement and Standardization of Climate-Related Disclosures for Investors</w:t>
      </w:r>
      <w:r>
        <w:rPr>
          <w:rFonts w:ascii="Calibri" w:eastAsia="Calibri" w:hAnsi="Calibri" w:cs="Calibri"/>
          <w:sz w:val="20"/>
          <w:szCs w:val="20"/>
        </w:rPr>
        <w:t>, 17 CFR § 210, 229, 232, 239, and 249 (21 March 2022).</w:t>
      </w:r>
    </w:p>
  </w:footnote>
  <w:footnote w:id="26">
    <w:p w14:paraId="0000004C" w14:textId="727BF857"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w:t>
      </w:r>
      <w:proofErr w:type="spellStart"/>
      <w:r>
        <w:rPr>
          <w:rFonts w:ascii="Calibri" w:eastAsia="Calibri" w:hAnsi="Calibri" w:cs="Calibri"/>
          <w:sz w:val="20"/>
          <w:szCs w:val="20"/>
        </w:rPr>
        <w:t>Zumbansen</w:t>
      </w:r>
      <w:proofErr w:type="spellEnd"/>
      <w:r>
        <w:rPr>
          <w:rFonts w:ascii="Calibri" w:eastAsia="Calibri" w:hAnsi="Calibri" w:cs="Calibri"/>
          <w:sz w:val="20"/>
          <w:szCs w:val="20"/>
        </w:rPr>
        <w:t xml:space="preserve">, </w:t>
      </w:r>
      <w:r>
        <w:rPr>
          <w:rFonts w:ascii="Calibri" w:eastAsia="Calibri" w:hAnsi="Calibri" w:cs="Calibri"/>
          <w:i/>
          <w:sz w:val="20"/>
          <w:szCs w:val="20"/>
        </w:rPr>
        <w:t xml:space="preserve">supra </w:t>
      </w:r>
      <w:r>
        <w:rPr>
          <w:rFonts w:ascii="Calibri" w:eastAsia="Calibri" w:hAnsi="Calibri" w:cs="Calibri"/>
          <w:sz w:val="20"/>
          <w:szCs w:val="20"/>
        </w:rPr>
        <w:t xml:space="preserve">note </w:t>
      </w:r>
      <w:r w:rsidR="00C00A16">
        <w:rPr>
          <w:rFonts w:ascii="Calibri" w:eastAsia="Calibri" w:hAnsi="Calibri" w:cs="Calibri"/>
          <w:sz w:val="20"/>
          <w:szCs w:val="20"/>
        </w:rPr>
        <w:t>3</w:t>
      </w:r>
      <w:r>
        <w:rPr>
          <w:rFonts w:ascii="Calibri" w:eastAsia="Calibri" w:hAnsi="Calibri" w:cs="Calibri"/>
          <w:sz w:val="20"/>
          <w:szCs w:val="20"/>
        </w:rPr>
        <w:t xml:space="preserve"> at 39.</w:t>
      </w:r>
    </w:p>
  </w:footnote>
  <w:footnote w:id="27">
    <w:p w14:paraId="0000004D" w14:textId="2C8E687E" w:rsidR="007003E0" w:rsidRDefault="002C66DF">
      <w:pPr>
        <w:spacing w:line="240" w:lineRule="auto"/>
        <w:jc w:val="both"/>
        <w:rPr>
          <w:rFonts w:ascii="Calibri" w:eastAsia="Calibri" w:hAnsi="Calibri" w:cs="Calibri"/>
          <w:sz w:val="20"/>
          <w:szCs w:val="20"/>
        </w:rPr>
      </w:pPr>
      <w:r w:rsidRPr="00C00A16">
        <w:rPr>
          <w:rStyle w:val="FootnoteReference"/>
        </w:rPr>
        <w:footnoteRef/>
      </w:r>
      <w:r>
        <w:rPr>
          <w:rFonts w:ascii="Calibri" w:eastAsia="Calibri" w:hAnsi="Calibri" w:cs="Calibri"/>
          <w:sz w:val="20"/>
          <w:szCs w:val="20"/>
        </w:rPr>
        <w:t xml:space="preserve"> Sherman, </w:t>
      </w:r>
      <w:r>
        <w:rPr>
          <w:rFonts w:ascii="Calibri" w:eastAsia="Calibri" w:hAnsi="Calibri" w:cs="Calibri"/>
          <w:i/>
          <w:sz w:val="20"/>
          <w:szCs w:val="20"/>
        </w:rPr>
        <w:t xml:space="preserve">supra </w:t>
      </w:r>
      <w:r>
        <w:rPr>
          <w:rFonts w:ascii="Calibri" w:eastAsia="Calibri" w:hAnsi="Calibri" w:cs="Calibri"/>
          <w:sz w:val="20"/>
          <w:szCs w:val="20"/>
        </w:rPr>
        <w:t xml:space="preserve">note </w:t>
      </w:r>
      <w:r w:rsidR="00C00A16">
        <w:rPr>
          <w:rFonts w:ascii="Calibri" w:eastAsia="Calibri" w:hAnsi="Calibri" w:cs="Calibri"/>
          <w:sz w:val="20"/>
          <w:szCs w:val="20"/>
        </w:rPr>
        <w:t>5</w:t>
      </w:r>
      <w:r>
        <w:rPr>
          <w:rFonts w:ascii="Calibri" w:eastAsia="Calibri" w:hAnsi="Calibri" w:cs="Calibri"/>
          <w:sz w:val="20"/>
          <w:szCs w:val="20"/>
        </w:rPr>
        <w:t xml:space="preserve"> at 23–24.</w:t>
      </w:r>
    </w:p>
  </w:footnote>
  <w:footnote w:id="28">
    <w:p w14:paraId="0000004E" w14:textId="5B01C696" w:rsidR="007003E0" w:rsidRDefault="002C66DF">
      <w:pPr>
        <w:spacing w:line="240" w:lineRule="auto"/>
        <w:jc w:val="both"/>
        <w:rPr>
          <w:sz w:val="20"/>
          <w:szCs w:val="20"/>
        </w:rPr>
      </w:pPr>
      <w:r w:rsidRPr="00C00A16">
        <w:rPr>
          <w:rStyle w:val="FootnoteReference"/>
        </w:rPr>
        <w:footnoteRef/>
      </w:r>
      <w:r>
        <w:rPr>
          <w:rFonts w:ascii="Calibri" w:eastAsia="Calibri" w:hAnsi="Calibri" w:cs="Calibri"/>
          <w:sz w:val="20"/>
          <w:szCs w:val="20"/>
        </w:rPr>
        <w:t xml:space="preserve"> </w:t>
      </w:r>
      <w:proofErr w:type="spellStart"/>
      <w:r>
        <w:rPr>
          <w:rFonts w:ascii="Calibri" w:eastAsia="Calibri" w:hAnsi="Calibri" w:cs="Calibri"/>
          <w:sz w:val="20"/>
          <w:szCs w:val="20"/>
        </w:rPr>
        <w:t>Zumbansen</w:t>
      </w:r>
      <w:proofErr w:type="spellEnd"/>
      <w:r>
        <w:rPr>
          <w:rFonts w:ascii="Calibri" w:eastAsia="Calibri" w:hAnsi="Calibri" w:cs="Calibri"/>
          <w:sz w:val="20"/>
          <w:szCs w:val="20"/>
        </w:rPr>
        <w:t xml:space="preserve">, </w:t>
      </w:r>
      <w:r>
        <w:rPr>
          <w:rFonts w:ascii="Calibri" w:eastAsia="Calibri" w:hAnsi="Calibri" w:cs="Calibri"/>
          <w:i/>
          <w:sz w:val="20"/>
          <w:szCs w:val="20"/>
        </w:rPr>
        <w:t xml:space="preserve">supra </w:t>
      </w:r>
      <w:r>
        <w:rPr>
          <w:rFonts w:ascii="Calibri" w:eastAsia="Calibri" w:hAnsi="Calibri" w:cs="Calibri"/>
          <w:sz w:val="20"/>
          <w:szCs w:val="20"/>
        </w:rPr>
        <w:t xml:space="preserve">note </w:t>
      </w:r>
      <w:r w:rsidR="00C00A16">
        <w:rPr>
          <w:rFonts w:ascii="Calibri" w:eastAsia="Calibri" w:hAnsi="Calibri" w:cs="Calibri"/>
          <w:sz w:val="20"/>
          <w:szCs w:val="20"/>
        </w:rPr>
        <w:t>3</w:t>
      </w:r>
      <w:r>
        <w:rPr>
          <w:rFonts w:ascii="Calibri" w:eastAsia="Calibri" w:hAnsi="Calibri" w:cs="Calibri"/>
          <w:sz w:val="20"/>
          <w:szCs w:val="20"/>
        </w:rPr>
        <w:t xml:space="preserve"> at 41.</w:t>
      </w:r>
    </w:p>
  </w:footnote>
  <w:footnote w:id="29">
    <w:p w14:paraId="64C9321A" w14:textId="1F6E88C9" w:rsidR="00EB5914" w:rsidRPr="000C6BD2" w:rsidRDefault="00EB5914" w:rsidP="004655D6">
      <w:pPr>
        <w:pStyle w:val="FootnoteText"/>
        <w:jc w:val="both"/>
      </w:pPr>
      <w:r w:rsidRPr="00C00A16">
        <w:rPr>
          <w:rStyle w:val="FootnoteReference"/>
        </w:rPr>
        <w:footnoteRef/>
      </w:r>
      <w:r w:rsidRPr="004655D6">
        <w:rPr>
          <w:sz w:val="22"/>
          <w:szCs w:val="22"/>
        </w:rPr>
        <w:t xml:space="preserve"> </w:t>
      </w:r>
      <w:r w:rsidR="00460EFC">
        <w:rPr>
          <w:rFonts w:ascii="Calibri" w:hAnsi="Calibri" w:cs="Calibri"/>
        </w:rPr>
        <w:t>UN H</w:t>
      </w:r>
      <w:r w:rsidR="000C6BD2" w:rsidRPr="004655D6">
        <w:rPr>
          <w:rFonts w:ascii="Calibri" w:hAnsi="Calibri" w:cs="Calibri"/>
        </w:rPr>
        <w:t xml:space="preserve">RC, </w:t>
      </w:r>
      <w:r w:rsidR="00460EFC">
        <w:rPr>
          <w:rFonts w:ascii="Calibri" w:hAnsi="Calibri" w:cs="Calibri"/>
        </w:rPr>
        <w:t>“</w:t>
      </w:r>
      <w:r w:rsidR="000C6BD2" w:rsidRPr="004655D6">
        <w:rPr>
          <w:rFonts w:ascii="Calibri" w:hAnsi="Calibri" w:cs="Calibri"/>
        </w:rPr>
        <w:t>Protect, Respect and Remedy: A Framework for Business and Human Rights</w:t>
      </w:r>
      <w:r w:rsidR="00460EFC">
        <w:rPr>
          <w:rFonts w:ascii="Calibri" w:hAnsi="Calibri" w:cs="Calibri"/>
        </w:rPr>
        <w:t>”</w:t>
      </w:r>
      <w:r w:rsidR="000C6BD2" w:rsidRPr="004655D6">
        <w:rPr>
          <w:rFonts w:ascii="Calibri" w:hAnsi="Calibri" w:cs="Calibri"/>
        </w:rPr>
        <w:t xml:space="preserve"> </w:t>
      </w:r>
      <w:r w:rsidR="000C6BD2" w:rsidRPr="00460EFC">
        <w:rPr>
          <w:rFonts w:ascii="Calibri" w:hAnsi="Calibri" w:cs="Calibri"/>
          <w:i/>
          <w:iCs/>
        </w:rPr>
        <w:t xml:space="preserve">Report of the Special Representative of the Secretary-General on the Issue of Human Rights and Transnational Corporations and other Business Enterprises, John </w:t>
      </w:r>
      <w:proofErr w:type="spellStart"/>
      <w:r w:rsidR="000C6BD2" w:rsidRPr="00460EFC">
        <w:rPr>
          <w:rFonts w:ascii="Calibri" w:hAnsi="Calibri" w:cs="Calibri"/>
          <w:i/>
          <w:iCs/>
        </w:rPr>
        <w:t>Ruggie</w:t>
      </w:r>
      <w:proofErr w:type="spellEnd"/>
      <w:r w:rsidR="000C6BD2" w:rsidRPr="004655D6">
        <w:rPr>
          <w:rFonts w:ascii="Calibri" w:hAnsi="Calibri" w:cs="Calibri"/>
        </w:rPr>
        <w:t xml:space="preserve"> (7 April 2008) UN Doc A/HRC/8/5, para 9</w:t>
      </w:r>
      <w:r w:rsidR="00460EFC">
        <w:rPr>
          <w:rFonts w:ascii="Calibri" w:hAnsi="Calibri" w:cs="Calibri"/>
        </w:rPr>
        <w:t>.</w:t>
      </w:r>
    </w:p>
  </w:footnote>
  <w:footnote w:id="30">
    <w:p w14:paraId="43761FF2" w14:textId="36EC112E" w:rsidR="002A1E11" w:rsidRPr="000C6BD2" w:rsidRDefault="002A1E11" w:rsidP="006C4504">
      <w:pPr>
        <w:pStyle w:val="FootnoteText"/>
        <w:jc w:val="both"/>
      </w:pPr>
      <w:r w:rsidRPr="00C00A16">
        <w:rPr>
          <w:rStyle w:val="FootnoteReference"/>
        </w:rPr>
        <w:footnoteRef/>
      </w:r>
      <w:r w:rsidRPr="004655D6">
        <w:rPr>
          <w:sz w:val="22"/>
          <w:szCs w:val="22"/>
        </w:rPr>
        <w:t xml:space="preserve"> </w:t>
      </w:r>
      <w:r w:rsidR="000C6BD2" w:rsidRPr="006C4504">
        <w:rPr>
          <w:rFonts w:ascii="Calibri" w:hAnsi="Calibri" w:cs="Calibri"/>
        </w:rPr>
        <w:t xml:space="preserve">Andrew Clapham, ‘Non-State Actors’ in Daniel </w:t>
      </w:r>
      <w:proofErr w:type="spellStart"/>
      <w:r w:rsidR="000C6BD2" w:rsidRPr="006C4504">
        <w:rPr>
          <w:rFonts w:ascii="Calibri" w:hAnsi="Calibri" w:cs="Calibri"/>
        </w:rPr>
        <w:t>Moeckli</w:t>
      </w:r>
      <w:proofErr w:type="spellEnd"/>
      <w:r w:rsidR="000C6BD2" w:rsidRPr="006C4504">
        <w:rPr>
          <w:rFonts w:ascii="Calibri" w:hAnsi="Calibri" w:cs="Calibri"/>
        </w:rPr>
        <w:t xml:space="preserve">, Sangeeta Shah and Sandesh Sivakumaran, </w:t>
      </w:r>
      <w:r w:rsidR="000C6BD2" w:rsidRPr="006C4504">
        <w:rPr>
          <w:rFonts w:ascii="Calibri" w:hAnsi="Calibri" w:cs="Calibri"/>
          <w:i/>
          <w:iCs/>
        </w:rPr>
        <w:t>International Human Rights Law</w:t>
      </w:r>
      <w:r w:rsidR="000C6BD2" w:rsidRPr="006C4504">
        <w:rPr>
          <w:rFonts w:ascii="Calibri" w:hAnsi="Calibri" w:cs="Calibri"/>
        </w:rPr>
        <w:t xml:space="preserve"> (3rd </w:t>
      </w:r>
      <w:proofErr w:type="spellStart"/>
      <w:r w:rsidR="000C6BD2" w:rsidRPr="006C4504">
        <w:rPr>
          <w:rFonts w:ascii="Calibri" w:hAnsi="Calibri" w:cs="Calibri"/>
        </w:rPr>
        <w:t>edn</w:t>
      </w:r>
      <w:proofErr w:type="spellEnd"/>
      <w:r w:rsidR="000C6BD2" w:rsidRPr="006C4504">
        <w:rPr>
          <w:rFonts w:ascii="Calibri" w:hAnsi="Calibri" w:cs="Calibri"/>
        </w:rPr>
        <w:t>, OUP 2018) 568.</w:t>
      </w:r>
    </w:p>
  </w:footnote>
  <w:footnote w:id="31">
    <w:p w14:paraId="033A74E8" w14:textId="451CE69A" w:rsidR="00E34013" w:rsidRPr="00194BF0" w:rsidRDefault="00E34013">
      <w:pPr>
        <w:pStyle w:val="FootnoteText"/>
      </w:pPr>
      <w:r w:rsidRPr="00C00A16">
        <w:rPr>
          <w:rStyle w:val="FootnoteReference"/>
        </w:rPr>
        <w:footnoteRef/>
      </w:r>
      <w:r w:rsidRPr="004655D6">
        <w:rPr>
          <w:sz w:val="22"/>
          <w:szCs w:val="22"/>
        </w:rPr>
        <w:t xml:space="preserve"> </w:t>
      </w:r>
      <w:r w:rsidR="00DA4252" w:rsidRPr="00DA4252">
        <w:rPr>
          <w:rFonts w:ascii="Calibri" w:hAnsi="Calibri" w:cs="Calibri"/>
        </w:rPr>
        <w:t xml:space="preserve">Peter </w:t>
      </w:r>
      <w:proofErr w:type="spellStart"/>
      <w:r w:rsidR="00DA4252" w:rsidRPr="00DA4252">
        <w:rPr>
          <w:rFonts w:ascii="Calibri" w:hAnsi="Calibri" w:cs="Calibri"/>
        </w:rPr>
        <w:t>Muchlinski</w:t>
      </w:r>
      <w:proofErr w:type="spellEnd"/>
      <w:r w:rsidR="00DA4252">
        <w:rPr>
          <w:rFonts w:ascii="Calibri" w:hAnsi="Calibri" w:cs="Calibri"/>
        </w:rPr>
        <w:t>, “The Impact of the UN Guiding Principles on Business Attitudes to Observing Human Rights” (2021) 6:2 Business and Human Rights J 212</w:t>
      </w:r>
      <w:r w:rsidR="006E5C0C">
        <w:rPr>
          <w:rFonts w:ascii="Calibri" w:hAnsi="Calibri" w:cs="Calibri"/>
        </w:rPr>
        <w:t xml:space="preserve"> at 219-222.</w:t>
      </w:r>
    </w:p>
  </w:footnote>
  <w:footnote w:id="32">
    <w:p w14:paraId="1A3DF1A4" w14:textId="2C8AC1B6" w:rsidR="009F4622" w:rsidRPr="00194BF0" w:rsidRDefault="009F4622" w:rsidP="004655D6">
      <w:pPr>
        <w:pStyle w:val="FootnoteText"/>
        <w:jc w:val="both"/>
      </w:pPr>
      <w:r w:rsidRPr="00C00A16">
        <w:rPr>
          <w:rStyle w:val="FootnoteReference"/>
        </w:rPr>
        <w:footnoteRef/>
      </w:r>
      <w:r w:rsidRPr="004655D6">
        <w:rPr>
          <w:sz w:val="22"/>
          <w:szCs w:val="22"/>
        </w:rPr>
        <w:t xml:space="preserve"> </w:t>
      </w:r>
      <w:r w:rsidR="00194BF0" w:rsidRPr="004655D6">
        <w:rPr>
          <w:rFonts w:ascii="Calibri" w:hAnsi="Calibri" w:cs="Calibri"/>
        </w:rPr>
        <w:t xml:space="preserve">See </w:t>
      </w:r>
      <w:proofErr w:type="gramStart"/>
      <w:r w:rsidR="00194BF0" w:rsidRPr="004655D6">
        <w:rPr>
          <w:rFonts w:ascii="Calibri" w:hAnsi="Calibri" w:cs="Calibri"/>
        </w:rPr>
        <w:t>e.g.</w:t>
      </w:r>
      <w:proofErr w:type="gramEnd"/>
      <w:r w:rsidR="00194BF0" w:rsidRPr="004655D6">
        <w:rPr>
          <w:rFonts w:ascii="Calibri" w:hAnsi="Calibri" w:cs="Calibri"/>
        </w:rPr>
        <w:t xml:space="preserve"> </w:t>
      </w:r>
      <w:proofErr w:type="spellStart"/>
      <w:r w:rsidRPr="004655D6">
        <w:rPr>
          <w:rFonts w:ascii="Calibri" w:hAnsi="Calibri" w:cs="Calibri"/>
          <w:i/>
          <w:iCs/>
        </w:rPr>
        <w:t>Nevsun</w:t>
      </w:r>
      <w:proofErr w:type="spellEnd"/>
      <w:r w:rsidR="00194BF0" w:rsidRPr="004655D6">
        <w:rPr>
          <w:rFonts w:ascii="Calibri" w:hAnsi="Calibri" w:cs="Calibri"/>
        </w:rPr>
        <w:t xml:space="preserve"> </w:t>
      </w:r>
      <w:r w:rsidR="00194BF0" w:rsidRPr="004655D6">
        <w:rPr>
          <w:rFonts w:ascii="Calibri" w:hAnsi="Calibri" w:cs="Calibri"/>
          <w:i/>
          <w:iCs/>
        </w:rPr>
        <w:t>Resources Ltd v Araya</w:t>
      </w:r>
      <w:r w:rsidR="00194BF0" w:rsidRPr="004655D6">
        <w:rPr>
          <w:rFonts w:ascii="Calibri" w:hAnsi="Calibri" w:cs="Calibri"/>
        </w:rPr>
        <w:t xml:space="preserve">, 2020 SCC 15 paras </w:t>
      </w:r>
      <w:r w:rsidR="004655D6" w:rsidRPr="004655D6">
        <w:rPr>
          <w:rFonts w:ascii="Calibri" w:hAnsi="Calibri" w:cs="Calibri"/>
        </w:rPr>
        <w:t>112-114</w:t>
      </w:r>
      <w:r w:rsidR="004655D6">
        <w:rPr>
          <w:rFonts w:ascii="Calibri" w:hAnsi="Calibri" w:cs="Calibri"/>
        </w:rPr>
        <w:t>;</w:t>
      </w:r>
      <w:r w:rsidRPr="004655D6">
        <w:rPr>
          <w:rFonts w:ascii="Calibri" w:hAnsi="Calibri" w:cs="Calibri"/>
        </w:rPr>
        <w:t xml:space="preserve"> </w:t>
      </w:r>
      <w:proofErr w:type="spellStart"/>
      <w:r w:rsidR="004655D6" w:rsidRPr="004655D6">
        <w:rPr>
          <w:rFonts w:ascii="Calibri" w:hAnsi="Calibri" w:cs="Calibri"/>
          <w:i/>
          <w:iCs/>
        </w:rPr>
        <w:t>Vereniging</w:t>
      </w:r>
      <w:proofErr w:type="spellEnd"/>
      <w:r w:rsidR="004655D6" w:rsidRPr="004655D6">
        <w:rPr>
          <w:rFonts w:ascii="Calibri" w:hAnsi="Calibri" w:cs="Calibri"/>
          <w:i/>
          <w:iCs/>
        </w:rPr>
        <w:t xml:space="preserve"> </w:t>
      </w:r>
      <w:proofErr w:type="spellStart"/>
      <w:r w:rsidR="004655D6" w:rsidRPr="004655D6">
        <w:rPr>
          <w:rFonts w:ascii="Calibri" w:hAnsi="Calibri" w:cs="Calibri"/>
          <w:i/>
          <w:iCs/>
        </w:rPr>
        <w:t>Milieudefensie</w:t>
      </w:r>
      <w:proofErr w:type="spellEnd"/>
      <w:r w:rsidR="004655D6" w:rsidRPr="004655D6">
        <w:rPr>
          <w:rFonts w:ascii="Calibri" w:hAnsi="Calibri" w:cs="Calibri"/>
          <w:i/>
          <w:iCs/>
        </w:rPr>
        <w:t xml:space="preserve"> and others v Royal Dutch Shell PLC</w:t>
      </w:r>
      <w:r w:rsidR="004655D6" w:rsidRPr="004655D6">
        <w:rPr>
          <w:rFonts w:ascii="Calibri" w:hAnsi="Calibri" w:cs="Calibri"/>
        </w:rPr>
        <w:t>, District Court of the Hague, 26 May 2021, C/09/571932 / HA ZA 19-379, para 4.4.13</w:t>
      </w:r>
      <w:r w:rsidR="009F3FBA">
        <w:rPr>
          <w:rFonts w:ascii="Calibri" w:hAnsi="Calibri" w:cs="Calibri"/>
        </w:rPr>
        <w:t>.</w:t>
      </w:r>
    </w:p>
  </w:footnote>
  <w:footnote w:id="33">
    <w:p w14:paraId="31AD26A3" w14:textId="476563FE" w:rsidR="00526D98" w:rsidRPr="00FE2558" w:rsidRDefault="00526D98" w:rsidP="00D348D4">
      <w:pPr>
        <w:pStyle w:val="FootnoteText"/>
        <w:jc w:val="both"/>
      </w:pPr>
      <w:r w:rsidRPr="00C00A16">
        <w:rPr>
          <w:rStyle w:val="FootnoteReference"/>
        </w:rPr>
        <w:footnoteRef/>
      </w:r>
      <w:r w:rsidRPr="00FE2558">
        <w:rPr>
          <w:sz w:val="22"/>
          <w:szCs w:val="22"/>
        </w:rPr>
        <w:t xml:space="preserve"> </w:t>
      </w:r>
      <w:r w:rsidR="00FE2558" w:rsidRPr="00FE2558">
        <w:rPr>
          <w:rFonts w:ascii="Calibri" w:hAnsi="Calibri" w:cs="Calibri"/>
        </w:rPr>
        <w:t>See O</w:t>
      </w:r>
      <w:r w:rsidRPr="00FE2558">
        <w:rPr>
          <w:rFonts w:ascii="Calibri" w:hAnsi="Calibri" w:cs="Calibri"/>
        </w:rPr>
        <w:t>ECD</w:t>
      </w:r>
      <w:r w:rsidR="00FE2558" w:rsidRPr="00FE2558">
        <w:rPr>
          <w:rFonts w:ascii="Calibri" w:hAnsi="Calibri" w:cs="Calibri"/>
        </w:rPr>
        <w:t xml:space="preserve">, </w:t>
      </w:r>
      <w:r w:rsidR="00FE2558" w:rsidRPr="00FE2558">
        <w:rPr>
          <w:rFonts w:ascii="Calibri" w:hAnsi="Calibri" w:cs="Calibri"/>
          <w:i/>
          <w:iCs/>
        </w:rPr>
        <w:t xml:space="preserve">Responsible Business Conduct </w:t>
      </w:r>
      <w:r w:rsidR="00FE2558">
        <w:rPr>
          <w:rFonts w:ascii="Calibri" w:hAnsi="Calibri" w:cs="Calibri"/>
          <w:i/>
          <w:iCs/>
        </w:rPr>
        <w:t xml:space="preserve">for Institutional Investors: Key Considerations for Due Diligence under the OECD Guidelines for Multinational Enterprises </w:t>
      </w:r>
      <w:r w:rsidR="00FE2558">
        <w:rPr>
          <w:rFonts w:ascii="Calibri" w:hAnsi="Calibri" w:cs="Calibri"/>
        </w:rPr>
        <w:t>(2017) at 49</w:t>
      </w:r>
      <w:r w:rsidRPr="00FE2558">
        <w:rPr>
          <w:rFonts w:ascii="Calibri" w:hAnsi="Calibri" w:cs="Calibri"/>
        </w:rPr>
        <w:t>; U</w:t>
      </w:r>
      <w:r w:rsidR="00EE4CF0">
        <w:rPr>
          <w:rFonts w:ascii="Calibri" w:hAnsi="Calibri" w:cs="Calibri"/>
        </w:rPr>
        <w:t xml:space="preserve">nited </w:t>
      </w:r>
      <w:r w:rsidRPr="00FE2558">
        <w:rPr>
          <w:rFonts w:ascii="Calibri" w:hAnsi="Calibri" w:cs="Calibri"/>
        </w:rPr>
        <w:t>N</w:t>
      </w:r>
      <w:r w:rsidR="00EE4CF0">
        <w:rPr>
          <w:rFonts w:ascii="Calibri" w:hAnsi="Calibri" w:cs="Calibri"/>
        </w:rPr>
        <w:t>ations, “</w:t>
      </w:r>
      <w:r w:rsidR="00EE4CF0" w:rsidRPr="00EE4CF0">
        <w:rPr>
          <w:rFonts w:ascii="Calibri" w:hAnsi="Calibri" w:cs="Calibri"/>
        </w:rPr>
        <w:t>The report of the Working Group on the issue of human rights and transnational corporations and other business enterprises</w:t>
      </w:r>
      <w:r w:rsidR="00EE4CF0">
        <w:rPr>
          <w:rFonts w:ascii="Calibri" w:hAnsi="Calibri" w:cs="Calibri"/>
        </w:rPr>
        <w:t>” (16 July 2018) UN Doc</w:t>
      </w:r>
      <w:r w:rsidRPr="00FE2558">
        <w:rPr>
          <w:rFonts w:ascii="Calibri" w:hAnsi="Calibri" w:cs="Calibri"/>
        </w:rPr>
        <w:t xml:space="preserve"> A/73/163.</w:t>
      </w:r>
    </w:p>
  </w:footnote>
  <w:footnote w:id="34">
    <w:p w14:paraId="448706FB" w14:textId="742E177D" w:rsidR="00325CD2" w:rsidRPr="00EE4CF0" w:rsidRDefault="00325CD2" w:rsidP="00EE4CF0">
      <w:pPr>
        <w:pStyle w:val="FootnoteText"/>
        <w:jc w:val="both"/>
      </w:pPr>
      <w:r w:rsidRPr="00C00A16">
        <w:rPr>
          <w:rStyle w:val="FootnoteReference"/>
        </w:rPr>
        <w:footnoteRef/>
      </w:r>
      <w:r w:rsidRPr="00EE4CF0">
        <w:rPr>
          <w:sz w:val="22"/>
          <w:szCs w:val="22"/>
        </w:rPr>
        <w:t xml:space="preserve"> </w:t>
      </w:r>
      <w:r w:rsidR="00EE4CF0" w:rsidRPr="00EE4CF0">
        <w:rPr>
          <w:rFonts w:ascii="Calibri" w:hAnsi="Calibri" w:cs="Calibri"/>
        </w:rPr>
        <w:t>Investor Alliance for Human Rights, “Investor Toolkit on Human Rights” (19 May 2020), online: &lt;</w:t>
      </w:r>
      <w:hyperlink r:id="rId1" w:history="1">
        <w:r w:rsidR="00EE4CF0" w:rsidRPr="00EE4CF0">
          <w:rPr>
            <w:rStyle w:val="Hyperlink"/>
            <w:rFonts w:ascii="Calibri" w:hAnsi="Calibri" w:cs="Calibri"/>
          </w:rPr>
          <w:t>https://investorsforhumanrights.org/investor-toolkit-human-rights</w:t>
        </w:r>
      </w:hyperlink>
      <w:r w:rsidR="00EE4CF0" w:rsidRPr="00EE4CF0">
        <w:rPr>
          <w:rFonts w:ascii="Calibri" w:hAnsi="Calibri" w:cs="Calibri"/>
        </w:rPr>
        <w:t xml:space="preserve">&gt;; </w:t>
      </w:r>
      <w:r w:rsidR="00EE4CF0">
        <w:rPr>
          <w:rFonts w:ascii="Calibri" w:hAnsi="Calibri" w:cs="Calibri"/>
        </w:rPr>
        <w:t>PRI, “Why and How Investors Should Act on Human Rights” (2020), online: &lt;</w:t>
      </w:r>
      <w:hyperlink r:id="rId2" w:history="1">
        <w:r w:rsidR="005C35FB" w:rsidRPr="00BC6DF7">
          <w:rPr>
            <w:rStyle w:val="Hyperlink"/>
            <w:rFonts w:ascii="Calibri" w:hAnsi="Calibri" w:cs="Calibri"/>
          </w:rPr>
          <w:t>https://www.unpri.org/download?ac=11953</w:t>
        </w:r>
      </w:hyperlink>
      <w:r w:rsidR="00EE4CF0">
        <w:rPr>
          <w:rFonts w:ascii="Calibri" w:hAnsi="Calibri" w:cs="Calibri"/>
        </w:rPr>
        <w:t>&gt;</w:t>
      </w:r>
      <w:r w:rsidR="005C35FB">
        <w:rPr>
          <w:rFonts w:ascii="Calibri" w:hAnsi="Calibri" w:cs="Calibri"/>
        </w:rPr>
        <w:t>.</w:t>
      </w:r>
      <w:r w:rsidR="00EE4CF0">
        <w:rPr>
          <w:rFonts w:ascii="Calibri" w:hAnsi="Calibri" w:cs="Calibri"/>
        </w:rPr>
        <w:t xml:space="preserve"> </w:t>
      </w:r>
    </w:p>
  </w:footnote>
  <w:footnote w:id="35">
    <w:p w14:paraId="42001E70" w14:textId="4CCDB61A" w:rsidR="00787D10" w:rsidRPr="00347935" w:rsidRDefault="00787D10" w:rsidP="00D348D4">
      <w:pPr>
        <w:pStyle w:val="FootnoteText"/>
        <w:jc w:val="both"/>
      </w:pPr>
      <w:r w:rsidRPr="00C00A16">
        <w:rPr>
          <w:rStyle w:val="FootnoteReference"/>
        </w:rPr>
        <w:footnoteRef/>
      </w:r>
      <w:r w:rsidRPr="00347935">
        <w:t xml:space="preserve"> </w:t>
      </w:r>
      <w:r w:rsidRPr="00347935">
        <w:rPr>
          <w:rFonts w:ascii="Calibri" w:hAnsi="Calibri" w:cs="Calibri"/>
        </w:rPr>
        <w:t>UN</w:t>
      </w:r>
      <w:r w:rsidR="00A166A8" w:rsidRPr="00347935">
        <w:rPr>
          <w:rFonts w:ascii="Calibri" w:hAnsi="Calibri" w:cs="Calibri"/>
        </w:rPr>
        <w:t xml:space="preserve"> Doc A/73/163, </w:t>
      </w:r>
      <w:r w:rsidR="00A166A8" w:rsidRPr="00347935">
        <w:rPr>
          <w:rFonts w:ascii="Calibri" w:hAnsi="Calibri" w:cs="Calibri"/>
          <w:i/>
          <w:iCs/>
        </w:rPr>
        <w:t xml:space="preserve">supra </w:t>
      </w:r>
      <w:r w:rsidR="00A166A8" w:rsidRPr="00347935">
        <w:rPr>
          <w:rFonts w:ascii="Calibri" w:hAnsi="Calibri" w:cs="Calibri"/>
        </w:rPr>
        <w:t>note X, paras 85-91</w:t>
      </w:r>
      <w:r w:rsidRPr="00347935">
        <w:rPr>
          <w:rFonts w:ascii="Calibri" w:hAnsi="Calibri" w:cs="Calibri"/>
        </w:rPr>
        <w:t>.</w:t>
      </w:r>
    </w:p>
  </w:footnote>
  <w:footnote w:id="36">
    <w:p w14:paraId="00D6553C" w14:textId="7361D369" w:rsidR="00516BBD" w:rsidRPr="00D348D4" w:rsidRDefault="00516BBD" w:rsidP="00D348D4">
      <w:pPr>
        <w:pStyle w:val="FootnoteText"/>
        <w:jc w:val="both"/>
      </w:pPr>
      <w:r w:rsidRPr="00C00A16">
        <w:rPr>
          <w:rStyle w:val="FootnoteReference"/>
        </w:rPr>
        <w:footnoteRef/>
      </w:r>
      <w:r>
        <w:t xml:space="preserve"> </w:t>
      </w:r>
      <w:proofErr w:type="spellStart"/>
      <w:r w:rsidRPr="009A40BE">
        <w:rPr>
          <w:rFonts w:ascii="Calibri" w:hAnsi="Calibri" w:cs="Calibri"/>
        </w:rPr>
        <w:t>Zumbansen</w:t>
      </w:r>
      <w:proofErr w:type="spellEnd"/>
      <w:r w:rsidR="00D348D4" w:rsidRPr="009A40BE">
        <w:rPr>
          <w:rFonts w:ascii="Calibri" w:hAnsi="Calibri" w:cs="Calibri"/>
        </w:rPr>
        <w:t xml:space="preserve">, </w:t>
      </w:r>
      <w:r w:rsidR="00D348D4" w:rsidRPr="009A40BE">
        <w:rPr>
          <w:rFonts w:ascii="Calibri" w:hAnsi="Calibri" w:cs="Calibri"/>
          <w:i/>
          <w:iCs/>
        </w:rPr>
        <w:t xml:space="preserve">supra </w:t>
      </w:r>
      <w:r w:rsidR="00D348D4" w:rsidRPr="009A40BE">
        <w:rPr>
          <w:rFonts w:ascii="Calibri" w:hAnsi="Calibri" w:cs="Calibri"/>
        </w:rPr>
        <w:t xml:space="preserve">note </w:t>
      </w:r>
      <w:r w:rsidR="00C00A16">
        <w:rPr>
          <w:rFonts w:ascii="Calibri" w:hAnsi="Calibri" w:cs="Calibri"/>
        </w:rPr>
        <w:t>3</w:t>
      </w:r>
      <w:r w:rsidR="00D348D4" w:rsidRPr="009A40BE">
        <w:rPr>
          <w:rFonts w:ascii="Calibri" w:hAnsi="Calibri" w:cs="Calibri"/>
        </w:rPr>
        <w:t xml:space="preserve">, at </w:t>
      </w:r>
      <w:r w:rsidR="009A40BE" w:rsidRPr="009A40BE">
        <w:rPr>
          <w:rFonts w:ascii="Calibri" w:hAnsi="Calibri" w:cs="Calibri"/>
        </w:rPr>
        <w:t>40.</w:t>
      </w:r>
    </w:p>
  </w:footnote>
  <w:footnote w:id="37">
    <w:p w14:paraId="76FAE375" w14:textId="29D15ABF" w:rsidR="00E3792D" w:rsidRPr="00D348D4" w:rsidRDefault="00E3792D" w:rsidP="00D348D4">
      <w:pPr>
        <w:pStyle w:val="FootnoteText"/>
        <w:jc w:val="both"/>
      </w:pPr>
      <w:r w:rsidRPr="00C00A16">
        <w:rPr>
          <w:rStyle w:val="FootnoteReference"/>
        </w:rPr>
        <w:footnoteRef/>
      </w:r>
      <w:r w:rsidRPr="004655D6">
        <w:rPr>
          <w:sz w:val="22"/>
          <w:szCs w:val="22"/>
        </w:rPr>
        <w:t xml:space="preserve"> </w:t>
      </w:r>
      <w:proofErr w:type="spellStart"/>
      <w:r w:rsidR="00D348D4" w:rsidRPr="00D348D4">
        <w:rPr>
          <w:rFonts w:ascii="Calibri" w:hAnsi="Calibri" w:cs="Calibri"/>
        </w:rPr>
        <w:t>Zumbansen</w:t>
      </w:r>
      <w:proofErr w:type="spellEnd"/>
      <w:r w:rsidR="00D348D4" w:rsidRPr="00D348D4">
        <w:rPr>
          <w:rFonts w:ascii="Calibri" w:hAnsi="Calibri" w:cs="Calibri"/>
        </w:rPr>
        <w:t xml:space="preserve">, </w:t>
      </w:r>
      <w:r w:rsidR="00D348D4" w:rsidRPr="00D348D4">
        <w:rPr>
          <w:rFonts w:ascii="Calibri" w:hAnsi="Calibri" w:cs="Calibri"/>
          <w:i/>
          <w:iCs/>
        </w:rPr>
        <w:t xml:space="preserve">supra </w:t>
      </w:r>
      <w:r w:rsidR="00D348D4" w:rsidRPr="00D348D4">
        <w:rPr>
          <w:rFonts w:ascii="Calibri" w:hAnsi="Calibri" w:cs="Calibri"/>
        </w:rPr>
        <w:t xml:space="preserve">note </w:t>
      </w:r>
      <w:r w:rsidR="00C00A16">
        <w:rPr>
          <w:rFonts w:ascii="Calibri" w:hAnsi="Calibri" w:cs="Calibri"/>
        </w:rPr>
        <w:t>3</w:t>
      </w:r>
      <w:r w:rsidR="00D348D4" w:rsidRPr="00D348D4">
        <w:rPr>
          <w:rFonts w:ascii="Calibri" w:hAnsi="Calibri" w:cs="Calibri"/>
        </w:rPr>
        <w:t>, at</w:t>
      </w:r>
      <w:r w:rsidR="009A40BE">
        <w:rPr>
          <w:rFonts w:ascii="Calibri" w:hAnsi="Calibri" w:cs="Calibri"/>
        </w:rPr>
        <w:t xml:space="preserve"> 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E0"/>
    <w:rsid w:val="000C6BD2"/>
    <w:rsid w:val="00143E04"/>
    <w:rsid w:val="001557F8"/>
    <w:rsid w:val="00194BF0"/>
    <w:rsid w:val="00212449"/>
    <w:rsid w:val="00236182"/>
    <w:rsid w:val="00262148"/>
    <w:rsid w:val="002A1E11"/>
    <w:rsid w:val="002B5254"/>
    <w:rsid w:val="002C66DF"/>
    <w:rsid w:val="0032077E"/>
    <w:rsid w:val="00325CD2"/>
    <w:rsid w:val="00347935"/>
    <w:rsid w:val="003727E7"/>
    <w:rsid w:val="00376D88"/>
    <w:rsid w:val="003B07A4"/>
    <w:rsid w:val="003E39D3"/>
    <w:rsid w:val="003F437A"/>
    <w:rsid w:val="00460EFC"/>
    <w:rsid w:val="004655D6"/>
    <w:rsid w:val="00510300"/>
    <w:rsid w:val="00516BBD"/>
    <w:rsid w:val="00526D98"/>
    <w:rsid w:val="00585262"/>
    <w:rsid w:val="005A72B3"/>
    <w:rsid w:val="005B5209"/>
    <w:rsid w:val="005C35FB"/>
    <w:rsid w:val="00655EED"/>
    <w:rsid w:val="006741F8"/>
    <w:rsid w:val="006C4504"/>
    <w:rsid w:val="006E5C0C"/>
    <w:rsid w:val="006F044D"/>
    <w:rsid w:val="006F53DF"/>
    <w:rsid w:val="007003E0"/>
    <w:rsid w:val="00762664"/>
    <w:rsid w:val="007711B4"/>
    <w:rsid w:val="00784ED9"/>
    <w:rsid w:val="00787D10"/>
    <w:rsid w:val="00791152"/>
    <w:rsid w:val="007B23A3"/>
    <w:rsid w:val="00832FC6"/>
    <w:rsid w:val="00866746"/>
    <w:rsid w:val="00890DA5"/>
    <w:rsid w:val="00901BAD"/>
    <w:rsid w:val="00924D3D"/>
    <w:rsid w:val="00935A4A"/>
    <w:rsid w:val="00963D41"/>
    <w:rsid w:val="009A40BE"/>
    <w:rsid w:val="009F3FBA"/>
    <w:rsid w:val="009F4622"/>
    <w:rsid w:val="00A04B1C"/>
    <w:rsid w:val="00A166A8"/>
    <w:rsid w:val="00A17C64"/>
    <w:rsid w:val="00A31B4F"/>
    <w:rsid w:val="00B222C7"/>
    <w:rsid w:val="00B85A4D"/>
    <w:rsid w:val="00BC740E"/>
    <w:rsid w:val="00BE637F"/>
    <w:rsid w:val="00BF434A"/>
    <w:rsid w:val="00C00A16"/>
    <w:rsid w:val="00C02B76"/>
    <w:rsid w:val="00C44CF5"/>
    <w:rsid w:val="00C64F39"/>
    <w:rsid w:val="00CC243B"/>
    <w:rsid w:val="00CF5011"/>
    <w:rsid w:val="00D348D4"/>
    <w:rsid w:val="00D70BA1"/>
    <w:rsid w:val="00DA4252"/>
    <w:rsid w:val="00DB747D"/>
    <w:rsid w:val="00DD3D24"/>
    <w:rsid w:val="00DD5FEA"/>
    <w:rsid w:val="00E23326"/>
    <w:rsid w:val="00E34013"/>
    <w:rsid w:val="00E3792D"/>
    <w:rsid w:val="00E86BAD"/>
    <w:rsid w:val="00EB5914"/>
    <w:rsid w:val="00EE3380"/>
    <w:rsid w:val="00EE4CF0"/>
    <w:rsid w:val="00F6416A"/>
    <w:rsid w:val="00F93A2A"/>
    <w:rsid w:val="00F93CD1"/>
    <w:rsid w:val="00FD4238"/>
    <w:rsid w:val="00FE25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E15F7"/>
  <w15:docId w15:val="{3823A026-970E-43B2-9879-8DE38235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4F5239"/>
    <w:pPr>
      <w:spacing w:line="240" w:lineRule="auto"/>
    </w:pPr>
    <w:rPr>
      <w:sz w:val="20"/>
      <w:szCs w:val="20"/>
    </w:rPr>
  </w:style>
  <w:style w:type="character" w:customStyle="1" w:styleId="EndnoteTextChar">
    <w:name w:val="Endnote Text Char"/>
    <w:basedOn w:val="DefaultParagraphFont"/>
    <w:link w:val="EndnoteText"/>
    <w:uiPriority w:val="99"/>
    <w:semiHidden/>
    <w:rsid w:val="004F5239"/>
    <w:rPr>
      <w:sz w:val="20"/>
      <w:szCs w:val="20"/>
    </w:rPr>
  </w:style>
  <w:style w:type="paragraph" w:styleId="FootnoteText">
    <w:name w:val="footnote text"/>
    <w:basedOn w:val="Normal"/>
    <w:link w:val="FootnoteTextChar"/>
    <w:uiPriority w:val="99"/>
    <w:semiHidden/>
    <w:unhideWhenUsed/>
    <w:rsid w:val="004F5239"/>
    <w:pPr>
      <w:spacing w:line="240" w:lineRule="auto"/>
    </w:pPr>
    <w:rPr>
      <w:sz w:val="20"/>
      <w:szCs w:val="20"/>
    </w:rPr>
  </w:style>
  <w:style w:type="character" w:customStyle="1" w:styleId="FootnoteTextChar">
    <w:name w:val="Footnote Text Char"/>
    <w:basedOn w:val="DefaultParagraphFont"/>
    <w:link w:val="FootnoteText"/>
    <w:uiPriority w:val="99"/>
    <w:semiHidden/>
    <w:rsid w:val="004F5239"/>
    <w:rPr>
      <w:sz w:val="20"/>
      <w:szCs w:val="20"/>
    </w:rPr>
  </w:style>
  <w:style w:type="character" w:styleId="EndnoteReference">
    <w:name w:val="endnote reference"/>
    <w:basedOn w:val="DefaultParagraphFont"/>
    <w:uiPriority w:val="99"/>
    <w:semiHidden/>
    <w:unhideWhenUsed/>
    <w:rsid w:val="004F5239"/>
    <w:rPr>
      <w:vertAlign w:val="superscript"/>
    </w:rPr>
  </w:style>
  <w:style w:type="character" w:styleId="FootnoteReference">
    <w:name w:val="footnote reference"/>
    <w:basedOn w:val="DefaultParagraphFont"/>
    <w:uiPriority w:val="99"/>
    <w:semiHidden/>
    <w:unhideWhenUsed/>
    <w:rsid w:val="004F5239"/>
    <w:rPr>
      <w:vertAlign w:val="superscript"/>
    </w:rPr>
  </w:style>
  <w:style w:type="paragraph" w:styleId="Revision">
    <w:name w:val="Revision"/>
    <w:hidden/>
    <w:uiPriority w:val="99"/>
    <w:semiHidden/>
    <w:rsid w:val="003A45A7"/>
    <w:pPr>
      <w:spacing w:line="240" w:lineRule="auto"/>
    </w:pPr>
  </w:style>
  <w:style w:type="character" w:styleId="CommentReference">
    <w:name w:val="annotation reference"/>
    <w:basedOn w:val="DefaultParagraphFont"/>
    <w:uiPriority w:val="99"/>
    <w:semiHidden/>
    <w:unhideWhenUsed/>
    <w:rsid w:val="003A45A7"/>
    <w:rPr>
      <w:sz w:val="16"/>
      <w:szCs w:val="16"/>
    </w:rPr>
  </w:style>
  <w:style w:type="paragraph" w:styleId="CommentText">
    <w:name w:val="annotation text"/>
    <w:basedOn w:val="Normal"/>
    <w:link w:val="CommentTextChar"/>
    <w:uiPriority w:val="99"/>
    <w:semiHidden/>
    <w:unhideWhenUsed/>
    <w:rsid w:val="003A45A7"/>
    <w:pPr>
      <w:spacing w:line="240" w:lineRule="auto"/>
    </w:pPr>
    <w:rPr>
      <w:sz w:val="20"/>
      <w:szCs w:val="20"/>
    </w:rPr>
  </w:style>
  <w:style w:type="character" w:customStyle="1" w:styleId="CommentTextChar">
    <w:name w:val="Comment Text Char"/>
    <w:basedOn w:val="DefaultParagraphFont"/>
    <w:link w:val="CommentText"/>
    <w:uiPriority w:val="99"/>
    <w:semiHidden/>
    <w:rsid w:val="003A45A7"/>
    <w:rPr>
      <w:sz w:val="20"/>
      <w:szCs w:val="20"/>
    </w:rPr>
  </w:style>
  <w:style w:type="paragraph" w:styleId="CommentSubject">
    <w:name w:val="annotation subject"/>
    <w:basedOn w:val="CommentText"/>
    <w:next w:val="CommentText"/>
    <w:link w:val="CommentSubjectChar"/>
    <w:uiPriority w:val="99"/>
    <w:semiHidden/>
    <w:unhideWhenUsed/>
    <w:rsid w:val="003A45A7"/>
    <w:rPr>
      <w:b/>
      <w:bCs/>
    </w:rPr>
  </w:style>
  <w:style w:type="character" w:customStyle="1" w:styleId="CommentSubjectChar">
    <w:name w:val="Comment Subject Char"/>
    <w:basedOn w:val="CommentTextChar"/>
    <w:link w:val="CommentSubject"/>
    <w:uiPriority w:val="99"/>
    <w:semiHidden/>
    <w:rsid w:val="003A45A7"/>
    <w:rPr>
      <w:b/>
      <w:bCs/>
      <w:sz w:val="20"/>
      <w:szCs w:val="20"/>
    </w:rPr>
  </w:style>
  <w:style w:type="paragraph" w:styleId="Footer">
    <w:name w:val="footer"/>
    <w:basedOn w:val="Normal"/>
    <w:link w:val="FooterChar"/>
    <w:uiPriority w:val="99"/>
    <w:unhideWhenUsed/>
    <w:rsid w:val="003510AB"/>
    <w:pPr>
      <w:tabs>
        <w:tab w:val="center" w:pos="4680"/>
        <w:tab w:val="right" w:pos="9360"/>
      </w:tabs>
      <w:spacing w:line="240" w:lineRule="auto"/>
    </w:pPr>
  </w:style>
  <w:style w:type="character" w:customStyle="1" w:styleId="FooterChar">
    <w:name w:val="Footer Char"/>
    <w:basedOn w:val="DefaultParagraphFont"/>
    <w:link w:val="Footer"/>
    <w:uiPriority w:val="99"/>
    <w:rsid w:val="003510AB"/>
  </w:style>
  <w:style w:type="character" w:styleId="PageNumber">
    <w:name w:val="page number"/>
    <w:basedOn w:val="DefaultParagraphFont"/>
    <w:uiPriority w:val="99"/>
    <w:semiHidden/>
    <w:unhideWhenUsed/>
    <w:rsid w:val="003510AB"/>
  </w:style>
  <w:style w:type="character" w:styleId="Hyperlink">
    <w:name w:val="Hyperlink"/>
    <w:basedOn w:val="DefaultParagraphFont"/>
    <w:uiPriority w:val="99"/>
    <w:unhideWhenUsed/>
    <w:rsid w:val="00FE2558"/>
    <w:rPr>
      <w:color w:val="0000FF" w:themeColor="hyperlink"/>
      <w:u w:val="single"/>
    </w:rPr>
  </w:style>
  <w:style w:type="character" w:styleId="UnresolvedMention">
    <w:name w:val="Unresolved Mention"/>
    <w:basedOn w:val="DefaultParagraphFont"/>
    <w:uiPriority w:val="99"/>
    <w:semiHidden/>
    <w:unhideWhenUsed/>
    <w:rsid w:val="00FE2558"/>
    <w:rPr>
      <w:color w:val="605E5C"/>
      <w:shd w:val="clear" w:color="auto" w:fill="E1DFDD"/>
    </w:rPr>
  </w:style>
  <w:style w:type="character" w:styleId="FollowedHyperlink">
    <w:name w:val="FollowedHyperlink"/>
    <w:basedOn w:val="DefaultParagraphFont"/>
    <w:uiPriority w:val="99"/>
    <w:semiHidden/>
    <w:unhideWhenUsed/>
    <w:rsid w:val="00FE25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71480">
      <w:bodyDiv w:val="1"/>
      <w:marLeft w:val="0"/>
      <w:marRight w:val="0"/>
      <w:marTop w:val="0"/>
      <w:marBottom w:val="0"/>
      <w:divBdr>
        <w:top w:val="none" w:sz="0" w:space="0" w:color="auto"/>
        <w:left w:val="none" w:sz="0" w:space="0" w:color="auto"/>
        <w:bottom w:val="none" w:sz="0" w:space="0" w:color="auto"/>
        <w:right w:val="none" w:sz="0" w:space="0" w:color="auto"/>
      </w:divBdr>
      <w:divsChild>
        <w:div w:id="100729087">
          <w:marLeft w:val="0"/>
          <w:marRight w:val="0"/>
          <w:marTop w:val="0"/>
          <w:marBottom w:val="0"/>
          <w:divBdr>
            <w:top w:val="none" w:sz="0" w:space="0" w:color="auto"/>
            <w:left w:val="none" w:sz="0" w:space="0" w:color="auto"/>
            <w:bottom w:val="none" w:sz="0" w:space="0" w:color="auto"/>
            <w:right w:val="none" w:sz="0" w:space="0" w:color="auto"/>
          </w:divBdr>
          <w:divsChild>
            <w:div w:id="1078015100">
              <w:marLeft w:val="0"/>
              <w:marRight w:val="0"/>
              <w:marTop w:val="0"/>
              <w:marBottom w:val="0"/>
              <w:divBdr>
                <w:top w:val="none" w:sz="0" w:space="0" w:color="auto"/>
                <w:left w:val="none" w:sz="0" w:space="0" w:color="auto"/>
                <w:bottom w:val="none" w:sz="0" w:space="0" w:color="auto"/>
                <w:right w:val="none" w:sz="0" w:space="0" w:color="auto"/>
              </w:divBdr>
              <w:divsChild>
                <w:div w:id="2133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vestorsforhumanrights.org/investor-toolkit-human-righ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unpri.org/download?ac=11953" TargetMode="External"/><Relationship Id="rId4" Type="http://schemas.openxmlformats.org/officeDocument/2006/relationships/settings" Target="settings.xml"/><Relationship Id="rId9" Type="http://schemas.openxmlformats.org/officeDocument/2006/relationships/hyperlink" Target="https://mneguidelines.oecd.org/RBC-for-Institutional-Investors.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npri.org/download?ac=11953" TargetMode="External"/><Relationship Id="rId1" Type="http://schemas.openxmlformats.org/officeDocument/2006/relationships/hyperlink" Target="https://investorsforhumanrights.org/investor-toolkit-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Yoc2YnhtLFzfbkVHNip9LSefeA==">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</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B3F6A325-0DE7-5E42-BB76-7FE1375385A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5DA535D-AD65-4732-9E31-AA87F6428C54}"/>
</file>

<file path=customXml/itemProps4.xml><?xml version="1.0" encoding="utf-8"?>
<ds:datastoreItem xmlns:ds="http://schemas.openxmlformats.org/officeDocument/2006/customXml" ds:itemID="{13F94AE9-6EC4-4808-B3F1-2E357219614E}"/>
</file>

<file path=customXml/itemProps5.xml><?xml version="1.0" encoding="utf-8"?>
<ds:datastoreItem xmlns:ds="http://schemas.openxmlformats.org/officeDocument/2006/customXml" ds:itemID="{F7E5BF67-3AE2-482D-8B07-CBF81CC37A9D}"/>
</file>

<file path=docProps/app.xml><?xml version="1.0" encoding="utf-8"?>
<Properties xmlns="http://schemas.openxmlformats.org/officeDocument/2006/extended-properties" xmlns:vt="http://schemas.openxmlformats.org/officeDocument/2006/docPropsVTypes">
  <Template>Normal.dotm</Template>
  <TotalTime>1</TotalTime>
  <Pages>8</Pages>
  <Words>2230</Words>
  <Characters>13876</Characters>
  <Application>Microsoft Office Word</Application>
  <DocSecurity>0</DocSecurity>
  <Lines>213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Leanna Katz</cp:lastModifiedBy>
  <cp:revision>2</cp:revision>
  <dcterms:created xsi:type="dcterms:W3CDTF">2023-10-12T14:44:00Z</dcterms:created>
  <dcterms:modified xsi:type="dcterms:W3CDTF">2023-10-12T14:44:00Z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