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7273" w14:textId="4F397939" w:rsidR="00F81D19" w:rsidRPr="00472C4D" w:rsidRDefault="00F81D19" w:rsidP="00F81D19">
      <w:pPr>
        <w:keepNext/>
        <w:keepLines/>
        <w:spacing w:before="240"/>
        <w:jc w:val="center"/>
        <w:outlineLvl w:val="0"/>
        <w:rPr>
          <w:rFonts w:asciiTheme="majorHAnsi" w:eastAsiaTheme="majorEastAsia" w:hAnsiTheme="majorHAnsi" w:cstheme="majorBidi"/>
          <w:b/>
          <w:sz w:val="28"/>
          <w:szCs w:val="28"/>
        </w:rPr>
      </w:pPr>
      <w:r w:rsidRPr="00472C4D">
        <w:rPr>
          <w:rFonts w:asciiTheme="majorHAnsi" w:eastAsiaTheme="majorEastAsia" w:hAnsiTheme="majorHAnsi" w:cstheme="majorBidi"/>
          <w:b/>
          <w:sz w:val="28"/>
          <w:szCs w:val="28"/>
        </w:rPr>
        <w:t xml:space="preserve">Save the Children submission to the </w:t>
      </w:r>
      <w:r w:rsidR="00546B74" w:rsidRPr="00472C4D">
        <w:rPr>
          <w:rFonts w:asciiTheme="majorHAnsi" w:eastAsiaTheme="majorEastAsia" w:hAnsiTheme="majorHAnsi" w:cstheme="majorBidi"/>
          <w:b/>
          <w:sz w:val="28"/>
          <w:szCs w:val="28"/>
        </w:rPr>
        <w:t xml:space="preserve">UN Working Group on Business and Human Rights </w:t>
      </w:r>
      <w:r w:rsidRPr="00472C4D">
        <w:rPr>
          <w:rFonts w:asciiTheme="majorHAnsi" w:eastAsiaTheme="majorEastAsia" w:hAnsiTheme="majorHAnsi" w:cstheme="majorBidi"/>
          <w:b/>
          <w:sz w:val="28"/>
          <w:szCs w:val="28"/>
        </w:rPr>
        <w:t xml:space="preserve">call for inputs </w:t>
      </w:r>
      <w:r w:rsidR="002258D4" w:rsidRPr="00472C4D">
        <w:rPr>
          <w:rFonts w:asciiTheme="majorHAnsi" w:eastAsiaTheme="majorEastAsia" w:hAnsiTheme="majorHAnsi" w:cstheme="majorBidi"/>
          <w:b/>
          <w:sz w:val="28"/>
          <w:szCs w:val="28"/>
        </w:rPr>
        <w:t>for its report on</w:t>
      </w:r>
      <w:r w:rsidRPr="00472C4D">
        <w:rPr>
          <w:rFonts w:asciiTheme="majorHAnsi" w:eastAsiaTheme="majorEastAsia" w:hAnsiTheme="majorHAnsi" w:cstheme="majorBidi"/>
          <w:b/>
          <w:sz w:val="28"/>
          <w:szCs w:val="28"/>
        </w:rPr>
        <w:t xml:space="preserve"> </w:t>
      </w:r>
      <w:r w:rsidR="002C091E" w:rsidRPr="00472C4D">
        <w:rPr>
          <w:rFonts w:asciiTheme="majorHAnsi" w:eastAsiaTheme="majorEastAsia" w:hAnsiTheme="majorHAnsi" w:cstheme="majorBidi"/>
          <w:b/>
          <w:sz w:val="28"/>
          <w:szCs w:val="28"/>
        </w:rPr>
        <w:t>“</w:t>
      </w:r>
      <w:r w:rsidR="00546B74" w:rsidRPr="00472C4D">
        <w:rPr>
          <w:rFonts w:asciiTheme="majorHAnsi" w:eastAsiaTheme="majorEastAsia" w:hAnsiTheme="majorHAnsi" w:cstheme="majorBidi"/>
          <w:b/>
          <w:sz w:val="28"/>
          <w:szCs w:val="28"/>
        </w:rPr>
        <w:t>ESG, Investors and Human Rights</w:t>
      </w:r>
      <w:r w:rsidR="002C091E" w:rsidRPr="00472C4D">
        <w:rPr>
          <w:rFonts w:asciiTheme="majorHAnsi" w:eastAsiaTheme="majorEastAsia" w:hAnsiTheme="majorHAnsi" w:cstheme="majorBidi"/>
          <w:b/>
          <w:sz w:val="28"/>
          <w:szCs w:val="28"/>
        </w:rPr>
        <w:t>"</w:t>
      </w:r>
      <w:r w:rsidR="002258D4" w:rsidRPr="00472C4D">
        <w:rPr>
          <w:rFonts w:asciiTheme="majorHAnsi" w:eastAsiaTheme="majorEastAsia" w:hAnsiTheme="majorHAnsi" w:cstheme="majorBidi"/>
          <w:b/>
          <w:sz w:val="28"/>
          <w:szCs w:val="28"/>
        </w:rPr>
        <w:t xml:space="preserve"> </w:t>
      </w:r>
      <w:r w:rsidR="002258D4" w:rsidRPr="00472C4D">
        <w:rPr>
          <w:rFonts w:asciiTheme="majorHAnsi" w:hAnsiTheme="majorHAnsi"/>
          <w:b/>
          <w:spacing w:val="4"/>
          <w:sz w:val="28"/>
          <w:szCs w:val="28"/>
        </w:rPr>
        <w:t xml:space="preserve">to be presented </w:t>
      </w:r>
      <w:r w:rsidR="00830AB2" w:rsidRPr="00472C4D">
        <w:rPr>
          <w:rFonts w:asciiTheme="majorHAnsi" w:hAnsiTheme="majorHAnsi"/>
          <w:b/>
          <w:spacing w:val="4"/>
          <w:sz w:val="28"/>
          <w:szCs w:val="28"/>
        </w:rPr>
        <w:t xml:space="preserve">at </w:t>
      </w:r>
      <w:r w:rsidR="002258D4" w:rsidRPr="00472C4D">
        <w:rPr>
          <w:rFonts w:asciiTheme="majorHAnsi" w:hAnsiTheme="majorHAnsi"/>
          <w:b/>
          <w:spacing w:val="4"/>
          <w:sz w:val="28"/>
          <w:szCs w:val="28"/>
        </w:rPr>
        <w:t>the 56th session of the Human Rights Council</w:t>
      </w:r>
      <w:r w:rsidR="002258D4" w:rsidRPr="00472C4D">
        <w:rPr>
          <w:rFonts w:ascii="Roboto" w:hAnsi="Roboto"/>
          <w:b/>
          <w:spacing w:val="4"/>
          <w:sz w:val="27"/>
          <w:szCs w:val="27"/>
        </w:rPr>
        <w:t xml:space="preserve"> </w:t>
      </w:r>
    </w:p>
    <w:p w14:paraId="223735E0" w14:textId="1C6B893C" w:rsidR="00546B74" w:rsidRPr="00512C88" w:rsidRDefault="00F81D19" w:rsidP="00F81D19">
      <w:pPr>
        <w:keepNext/>
        <w:keepLines/>
        <w:spacing w:before="240"/>
        <w:jc w:val="center"/>
        <w:outlineLvl w:val="0"/>
        <w:rPr>
          <w:rFonts w:asciiTheme="majorHAnsi" w:eastAsiaTheme="majorEastAsia" w:hAnsiTheme="majorHAnsi" w:cstheme="majorBidi"/>
          <w:b/>
          <w:sz w:val="28"/>
          <w:szCs w:val="28"/>
          <w:lang w:val="fr-CH"/>
        </w:rPr>
      </w:pPr>
      <w:proofErr w:type="spellStart"/>
      <w:r w:rsidRPr="00512C88">
        <w:rPr>
          <w:rFonts w:asciiTheme="majorHAnsi" w:eastAsiaTheme="majorEastAsia" w:hAnsiTheme="majorHAnsi" w:cstheme="majorBidi"/>
          <w:b/>
          <w:sz w:val="28"/>
          <w:szCs w:val="28"/>
          <w:lang w:val="fr-CH"/>
        </w:rPr>
        <w:t>September</w:t>
      </w:r>
      <w:proofErr w:type="spellEnd"/>
      <w:r w:rsidRPr="00512C88">
        <w:rPr>
          <w:rFonts w:asciiTheme="majorHAnsi" w:eastAsiaTheme="majorEastAsia" w:hAnsiTheme="majorHAnsi" w:cstheme="majorBidi"/>
          <w:b/>
          <w:sz w:val="28"/>
          <w:szCs w:val="28"/>
          <w:lang w:val="fr-CH"/>
        </w:rPr>
        <w:t xml:space="preserve"> 2023</w:t>
      </w:r>
    </w:p>
    <w:p w14:paraId="2BFF8650" w14:textId="6F1AC120" w:rsidR="002C091E" w:rsidRPr="00512C88" w:rsidRDefault="002C091E" w:rsidP="00546B74">
      <w:pPr>
        <w:rPr>
          <w:bCs/>
          <w:lang w:val="fr-CH"/>
        </w:rPr>
      </w:pPr>
    </w:p>
    <w:p w14:paraId="08DD70B3" w14:textId="77777777" w:rsidR="00546B74" w:rsidRPr="00512C88" w:rsidRDefault="00546B74" w:rsidP="00546B74">
      <w:pPr>
        <w:keepNext/>
        <w:keepLines/>
        <w:spacing w:before="40"/>
        <w:outlineLvl w:val="1"/>
        <w:rPr>
          <w:rFonts w:eastAsiaTheme="majorEastAsia" w:cstheme="majorBidi"/>
          <w:b/>
          <w:color w:val="E1251B" w:themeColor="accent1"/>
          <w:sz w:val="26"/>
          <w:szCs w:val="26"/>
          <w:lang w:val="fr-CH"/>
        </w:rPr>
      </w:pPr>
    </w:p>
    <w:p w14:paraId="04E1933C" w14:textId="7FA0E018" w:rsidR="00546B74" w:rsidRPr="00512C88" w:rsidRDefault="00A5514E" w:rsidP="00546B74">
      <w:pPr>
        <w:keepNext/>
        <w:keepLines/>
        <w:spacing w:before="40"/>
        <w:outlineLvl w:val="1"/>
        <w:rPr>
          <w:rFonts w:eastAsiaTheme="majorEastAsia" w:cstheme="majorBidi"/>
          <w:b/>
          <w:i/>
          <w:iCs/>
          <w:color w:val="E1251B" w:themeColor="accent1"/>
          <w:szCs w:val="22"/>
          <w:lang w:val="fr-CH"/>
        </w:rPr>
      </w:pPr>
      <w:proofErr w:type="spellStart"/>
      <w:r w:rsidRPr="00512C88">
        <w:rPr>
          <w:rFonts w:eastAsiaTheme="majorEastAsia" w:cstheme="majorBidi"/>
          <w:b/>
          <w:i/>
          <w:iCs/>
          <w:color w:val="E1251B" w:themeColor="accent1"/>
          <w:szCs w:val="22"/>
          <w:lang w:val="fr-CH"/>
        </w:rPr>
        <w:t>Responses</w:t>
      </w:r>
      <w:proofErr w:type="spellEnd"/>
      <w:r w:rsidRPr="00512C88">
        <w:rPr>
          <w:rFonts w:eastAsiaTheme="majorEastAsia" w:cstheme="majorBidi"/>
          <w:b/>
          <w:i/>
          <w:iCs/>
          <w:color w:val="E1251B" w:themeColor="accent1"/>
          <w:szCs w:val="22"/>
          <w:lang w:val="fr-CH"/>
        </w:rPr>
        <w:t xml:space="preserve"> to </w:t>
      </w:r>
      <w:r w:rsidR="003163F3" w:rsidRPr="00512C88">
        <w:rPr>
          <w:rFonts w:eastAsiaTheme="majorEastAsia" w:cstheme="majorBidi"/>
          <w:b/>
          <w:i/>
          <w:iCs/>
          <w:color w:val="E1251B" w:themeColor="accent1"/>
          <w:szCs w:val="22"/>
          <w:lang w:val="fr-CH"/>
        </w:rPr>
        <w:t>questionnaire :</w:t>
      </w:r>
    </w:p>
    <w:p w14:paraId="5CDA18CC" w14:textId="77777777" w:rsidR="00546B74" w:rsidRPr="00512C88" w:rsidRDefault="00546B74" w:rsidP="00546B74">
      <w:pPr>
        <w:rPr>
          <w:szCs w:val="22"/>
          <w:lang w:val="fr-CH"/>
        </w:rPr>
      </w:pPr>
    </w:p>
    <w:p w14:paraId="35F62632" w14:textId="77777777" w:rsidR="00546B74" w:rsidRPr="00512C88" w:rsidRDefault="00546B74" w:rsidP="00546B74">
      <w:pPr>
        <w:keepNext/>
        <w:keepLines/>
        <w:spacing w:before="40"/>
        <w:outlineLvl w:val="1"/>
        <w:rPr>
          <w:rFonts w:eastAsiaTheme="minorEastAsia" w:cstheme="majorBidi"/>
          <w:bCs/>
          <w:color w:val="E1251B" w:themeColor="accent1"/>
          <w:szCs w:val="22"/>
          <w:lang w:val="fr-CH"/>
        </w:rPr>
      </w:pPr>
      <w:r w:rsidRPr="00512C88">
        <w:rPr>
          <w:rFonts w:eastAsiaTheme="majorEastAsia" w:cstheme="majorBidi"/>
          <w:b/>
          <w:color w:val="E1251B" w:themeColor="accent1"/>
          <w:szCs w:val="22"/>
          <w:u w:val="single"/>
          <w:lang w:val="fr-CH"/>
        </w:rPr>
        <w:t>General</w:t>
      </w:r>
      <w:r w:rsidRPr="00512C88">
        <w:rPr>
          <w:rFonts w:eastAsiaTheme="minorEastAsia" w:cstheme="majorBidi"/>
          <w:b/>
          <w:color w:val="E1251B" w:themeColor="accent1"/>
          <w:szCs w:val="22"/>
          <w:u w:val="single"/>
          <w:lang w:val="fr-CH"/>
        </w:rPr>
        <w:t xml:space="preserve"> questions</w:t>
      </w:r>
      <w:r w:rsidRPr="00512C88">
        <w:rPr>
          <w:rFonts w:eastAsiaTheme="minorEastAsia" w:cstheme="majorBidi"/>
          <w:bCs/>
          <w:color w:val="E1251B" w:themeColor="accent1"/>
          <w:szCs w:val="22"/>
          <w:lang w:val="fr-CH"/>
        </w:rPr>
        <w:t>:</w:t>
      </w:r>
    </w:p>
    <w:p w14:paraId="3F242F12" w14:textId="77777777" w:rsidR="00546B74" w:rsidRPr="00512C88" w:rsidRDefault="00546B74" w:rsidP="00546B74">
      <w:pPr>
        <w:rPr>
          <w:rFonts w:eastAsiaTheme="minorEastAsia"/>
          <w:szCs w:val="22"/>
          <w:lang w:val="fr-CH"/>
        </w:rPr>
      </w:pPr>
    </w:p>
    <w:p w14:paraId="6A2E9662" w14:textId="77777777" w:rsidR="00546B74" w:rsidRPr="00F42CFC" w:rsidRDefault="00546B74" w:rsidP="00546B74">
      <w:pPr>
        <w:numPr>
          <w:ilvl w:val="0"/>
          <w:numId w:val="17"/>
        </w:numPr>
        <w:spacing w:line="259" w:lineRule="auto"/>
        <w:contextualSpacing/>
        <w:rPr>
          <w:rFonts w:eastAsiaTheme="minorEastAsia" w:cstheme="minorBidi"/>
          <w:b/>
          <w:bCs/>
          <w:szCs w:val="22"/>
        </w:rPr>
      </w:pPr>
      <w:r w:rsidRPr="00F42CFC">
        <w:rPr>
          <w:rFonts w:eastAsiaTheme="minorEastAsia" w:cstheme="minorBidi"/>
          <w:b/>
          <w:bCs/>
          <w:szCs w:val="22"/>
        </w:rPr>
        <w:t>What do you understand Environmental, Social, and Governance (ESG) in finance to mean? How are human rights standards and frameworks considered by investors, if at all, in ESG?</w:t>
      </w:r>
    </w:p>
    <w:p w14:paraId="4DD19D12" w14:textId="77777777" w:rsidR="007B4A9A" w:rsidRPr="00F42CFC" w:rsidRDefault="007B4A9A" w:rsidP="007B4A9A">
      <w:pPr>
        <w:spacing w:line="259" w:lineRule="auto"/>
        <w:ind w:left="720"/>
        <w:contextualSpacing/>
        <w:rPr>
          <w:rFonts w:eastAsiaTheme="minorEastAsia" w:cstheme="minorBidi"/>
          <w:b/>
          <w:bCs/>
          <w:szCs w:val="22"/>
        </w:rPr>
      </w:pPr>
    </w:p>
    <w:p w14:paraId="3D77AA28" w14:textId="3C15A5F3" w:rsidR="00546B74" w:rsidRPr="00F42CFC" w:rsidRDefault="00546B74" w:rsidP="00546B74">
      <w:pPr>
        <w:spacing w:line="259" w:lineRule="auto"/>
        <w:ind w:left="720"/>
        <w:contextualSpacing/>
        <w:rPr>
          <w:szCs w:val="22"/>
        </w:rPr>
      </w:pPr>
      <w:r w:rsidRPr="00EB571F">
        <w:rPr>
          <w:szCs w:val="22"/>
        </w:rPr>
        <w:t xml:space="preserve">Environmental, Social and Governance (ESG) </w:t>
      </w:r>
      <w:r w:rsidR="00512C88">
        <w:rPr>
          <w:szCs w:val="22"/>
        </w:rPr>
        <w:t xml:space="preserve">in finance </w:t>
      </w:r>
      <w:r w:rsidRPr="00EB571F">
        <w:rPr>
          <w:szCs w:val="22"/>
        </w:rPr>
        <w:t xml:space="preserve">relates to the integration of </w:t>
      </w:r>
      <w:r w:rsidR="00512C88">
        <w:rPr>
          <w:szCs w:val="22"/>
        </w:rPr>
        <w:t>ESG</w:t>
      </w:r>
      <w:r w:rsidRPr="00EB571F">
        <w:rPr>
          <w:szCs w:val="22"/>
        </w:rPr>
        <w:t xml:space="preserve"> factors into the measurement and management of company performance.</w:t>
      </w:r>
      <w:r w:rsidRPr="00F42CFC">
        <w:rPr>
          <w:szCs w:val="22"/>
        </w:rPr>
        <w:t xml:space="preserve"> ESG frameworks demand responsible and sustainable conduct with respect to </w:t>
      </w:r>
      <w:r w:rsidR="00512C88">
        <w:rPr>
          <w:szCs w:val="22"/>
        </w:rPr>
        <w:t xml:space="preserve">ESG </w:t>
      </w:r>
      <w:r w:rsidR="00D6170E">
        <w:rPr>
          <w:szCs w:val="22"/>
        </w:rPr>
        <w:t>factors,</w:t>
      </w:r>
      <w:r w:rsidR="00512C88">
        <w:rPr>
          <w:szCs w:val="22"/>
        </w:rPr>
        <w:t xml:space="preserve"> including engagement with</w:t>
      </w:r>
      <w:r w:rsidR="00512C88" w:rsidRPr="00F42CFC">
        <w:rPr>
          <w:szCs w:val="22"/>
        </w:rPr>
        <w:t xml:space="preserve"> </w:t>
      </w:r>
      <w:r w:rsidRPr="00F42CFC">
        <w:rPr>
          <w:szCs w:val="22"/>
        </w:rPr>
        <w:t>organizational stakeholders, including but not limited to employees, suppliers, customers</w:t>
      </w:r>
      <w:r w:rsidR="00042F82">
        <w:rPr>
          <w:szCs w:val="22"/>
        </w:rPr>
        <w:t>,</w:t>
      </w:r>
      <w:r w:rsidRPr="00F42CFC">
        <w:rPr>
          <w:szCs w:val="22"/>
        </w:rPr>
        <w:t xml:space="preserve"> and communities, in addition to shareholders. ESG is used both by companies to identify, assess and manage their performance and by </w:t>
      </w:r>
      <w:r w:rsidR="009136E1">
        <w:rPr>
          <w:szCs w:val="22"/>
        </w:rPr>
        <w:t xml:space="preserve">responsible </w:t>
      </w:r>
      <w:r w:rsidRPr="00F42CFC">
        <w:rPr>
          <w:szCs w:val="22"/>
        </w:rPr>
        <w:t>investors to inform, measure and manage holistic sustainable investment</w:t>
      </w:r>
      <w:r w:rsidR="0099382B" w:rsidRPr="00F42CFC">
        <w:rPr>
          <w:szCs w:val="22"/>
        </w:rPr>
        <w:t>.</w:t>
      </w:r>
      <w:r w:rsidR="00264A30" w:rsidRPr="00F42CFC">
        <w:rPr>
          <w:rStyle w:val="Fotnotsreferens"/>
          <w:szCs w:val="22"/>
        </w:rPr>
        <w:footnoteReference w:id="1"/>
      </w:r>
    </w:p>
    <w:p w14:paraId="32C7882A" w14:textId="77777777" w:rsidR="00546B74" w:rsidRPr="00F42CFC" w:rsidRDefault="00546B74" w:rsidP="00546B74">
      <w:pPr>
        <w:spacing w:line="259" w:lineRule="auto"/>
        <w:ind w:left="720"/>
        <w:contextualSpacing/>
        <w:rPr>
          <w:szCs w:val="22"/>
        </w:rPr>
      </w:pPr>
    </w:p>
    <w:p w14:paraId="02EBCD59" w14:textId="3EE55065" w:rsidR="001D3B00" w:rsidRDefault="2CF4326D" w:rsidP="009B4860">
      <w:pPr>
        <w:spacing w:line="259" w:lineRule="auto"/>
        <w:ind w:left="720"/>
        <w:contextualSpacing/>
      </w:pPr>
      <w:r w:rsidRPr="0A96F5A2">
        <w:t>Human rights are a key dimension of the path to a genuinely sustainable world.</w:t>
      </w:r>
      <w:r w:rsidR="00E9589B" w:rsidRPr="0A96F5A2">
        <w:rPr>
          <w:rStyle w:val="Fotnotsreferens"/>
        </w:rPr>
        <w:footnoteReference w:id="2"/>
      </w:r>
      <w:r w:rsidR="020314C8" w:rsidRPr="00C14FC8">
        <w:rPr>
          <w:szCs w:val="22"/>
        </w:rPr>
        <w:t xml:space="preserve"> </w:t>
      </w:r>
      <w:r w:rsidRPr="0A96F5A2">
        <w:t xml:space="preserve">The </w:t>
      </w:r>
      <w:r w:rsidR="33AA0013" w:rsidRPr="0A96F5A2">
        <w:t>UN Guiding Principles on Business and Human Rights (</w:t>
      </w:r>
      <w:r w:rsidRPr="0A96F5A2">
        <w:t>UNGPs</w:t>
      </w:r>
      <w:r w:rsidR="33AA0013" w:rsidRPr="00C14FC8">
        <w:rPr>
          <w:szCs w:val="22"/>
        </w:rPr>
        <w:t>)</w:t>
      </w:r>
      <w:r w:rsidR="00FB050C" w:rsidRPr="0A96F5A2">
        <w:rPr>
          <w:rStyle w:val="Fotnotsreferens"/>
        </w:rPr>
        <w:footnoteReference w:id="3"/>
      </w:r>
      <w:r w:rsidRPr="0A96F5A2">
        <w:t xml:space="preserve"> have grown in influence since their launch in 2011, providing the authoritative framework and a key tool for governments and businesses to prioritize respect for people and the environment. Human rights due diligence is a core feature of the UNGPs, with due diligence being increasingly incorporated in</w:t>
      </w:r>
      <w:r w:rsidR="00512C88">
        <w:t>to</w:t>
      </w:r>
      <w:r w:rsidRPr="0A96F5A2">
        <w:t xml:space="preserve"> legislation at national and regional levels. </w:t>
      </w:r>
      <w:r w:rsidR="001D3B00">
        <w:t>The UNGPs are complemented by the OECD</w:t>
      </w:r>
      <w:r w:rsidR="00512C88">
        <w:t xml:space="preserve"> </w:t>
      </w:r>
      <w:r w:rsidR="001D3B00">
        <w:t xml:space="preserve">Guidelines </w:t>
      </w:r>
      <w:r w:rsidR="00512C88">
        <w:t xml:space="preserve">for Multinational Enterprises </w:t>
      </w:r>
      <w:r w:rsidR="001D3B00">
        <w:t>and its Due Diligence Guidance for Responsible Business Conduct.</w:t>
      </w:r>
      <w:r w:rsidR="00DF2460">
        <w:rPr>
          <w:rStyle w:val="Fotnotsreferens"/>
        </w:rPr>
        <w:footnoteReference w:id="4"/>
      </w:r>
      <w:r w:rsidR="001D3B00">
        <w:t xml:space="preserve"> </w:t>
      </w:r>
    </w:p>
    <w:p w14:paraId="7D5E078A" w14:textId="77777777" w:rsidR="001D3B00" w:rsidRDefault="001D3B00" w:rsidP="009B4860">
      <w:pPr>
        <w:spacing w:line="259" w:lineRule="auto"/>
        <w:ind w:left="720"/>
        <w:contextualSpacing/>
      </w:pPr>
    </w:p>
    <w:p w14:paraId="538A562F" w14:textId="76DB9116" w:rsidR="00546B74" w:rsidRPr="00F42CFC" w:rsidRDefault="001D3B00" w:rsidP="009B4860">
      <w:pPr>
        <w:spacing w:line="259" w:lineRule="auto"/>
        <w:ind w:left="720"/>
        <w:contextualSpacing/>
      </w:pPr>
      <w:r>
        <w:t xml:space="preserve">Furthermore, </w:t>
      </w:r>
      <w:r w:rsidR="00C30B86">
        <w:t>t</w:t>
      </w:r>
      <w:r w:rsidR="020314C8" w:rsidRPr="0A96F5A2">
        <w:t xml:space="preserve">he </w:t>
      </w:r>
      <w:r w:rsidR="020314C8" w:rsidRPr="0A96F5A2">
        <w:rPr>
          <w:b/>
          <w:bCs/>
        </w:rPr>
        <w:t>Children´s Rights and Business Principles (CRBPs)</w:t>
      </w:r>
      <w:r w:rsidR="020314C8" w:rsidRPr="0A96F5A2">
        <w:t xml:space="preserve"> jointly developed by UNICEF, UN Global Compact</w:t>
      </w:r>
      <w:r w:rsidR="00243A05">
        <w:t>,</w:t>
      </w:r>
      <w:r w:rsidR="020314C8" w:rsidRPr="0A96F5A2">
        <w:t xml:space="preserve"> and Save the Children in 2012, </w:t>
      </w:r>
      <w:r w:rsidR="00243A05" w:rsidRPr="0A96F5A2">
        <w:t>in collaboration with children, businesses and other stakeholders</w:t>
      </w:r>
      <w:r w:rsidR="00243A05">
        <w:t xml:space="preserve">, </w:t>
      </w:r>
      <w:r w:rsidR="020314C8" w:rsidRPr="0A96F5A2">
        <w:t>build on the UNGPs</w:t>
      </w:r>
      <w:r w:rsidR="00243A05">
        <w:t xml:space="preserve">. </w:t>
      </w:r>
      <w:r w:rsidR="0C36E56A" w:rsidRPr="0A96F5A2">
        <w:t xml:space="preserve">They </w:t>
      </w:r>
      <w:r w:rsidR="0092204E">
        <w:t>are</w:t>
      </w:r>
      <w:r w:rsidR="0C36E56A" w:rsidRPr="0A96F5A2">
        <w:t xml:space="preserve"> </w:t>
      </w:r>
      <w:r w:rsidR="0C36E56A" w:rsidRPr="0A96F5A2">
        <w:rPr>
          <w:rFonts w:cs="Arial"/>
        </w:rPr>
        <w:t>a practical guide for businesses, investors</w:t>
      </w:r>
      <w:r w:rsidR="7C39547F" w:rsidRPr="0A96F5A2">
        <w:rPr>
          <w:rFonts w:cs="Arial"/>
        </w:rPr>
        <w:t xml:space="preserve">, </w:t>
      </w:r>
      <w:r w:rsidR="0C36E56A" w:rsidRPr="0A96F5A2">
        <w:rPr>
          <w:rFonts w:cs="Arial"/>
        </w:rPr>
        <w:t>and governments</w:t>
      </w:r>
      <w:r w:rsidR="7C39547F" w:rsidRPr="0A96F5A2">
        <w:rPr>
          <w:rFonts w:cs="Arial"/>
        </w:rPr>
        <w:t xml:space="preserve"> </w:t>
      </w:r>
      <w:r w:rsidR="7C39547F" w:rsidRPr="00C14FC8">
        <w:t xml:space="preserve">to help them further understand the impacts of business activities on child rights in the workplace, the marketplace, the community, and the </w:t>
      </w:r>
      <w:r w:rsidR="7C39547F" w:rsidRPr="00C14FC8">
        <w:lastRenderedPageBreak/>
        <w:t>environment.</w:t>
      </w:r>
      <w:r w:rsidR="009F738B">
        <w:rPr>
          <w:rStyle w:val="Fotnotsreferens"/>
        </w:rPr>
        <w:footnoteReference w:id="5"/>
      </w:r>
      <w:r w:rsidR="43384ACC">
        <w:rPr>
          <w:szCs w:val="22"/>
        </w:rPr>
        <w:t xml:space="preserve"> </w:t>
      </w:r>
      <w:r w:rsidR="2CF4326D" w:rsidRPr="0A96F5A2">
        <w:t>In addition, the CRC General Comment</w:t>
      </w:r>
      <w:r w:rsidR="33AA0013" w:rsidRPr="0A96F5A2">
        <w:t>s</w:t>
      </w:r>
      <w:r w:rsidR="2CF4326D" w:rsidRPr="0A96F5A2">
        <w:t xml:space="preserve"> 16</w:t>
      </w:r>
      <w:r w:rsidR="00183716" w:rsidRPr="0A96F5A2">
        <w:rPr>
          <w:rStyle w:val="Fotnotsreferens"/>
        </w:rPr>
        <w:footnoteReference w:id="6"/>
      </w:r>
      <w:r w:rsidR="2CF4326D" w:rsidRPr="00F42CFC">
        <w:rPr>
          <w:szCs w:val="22"/>
        </w:rPr>
        <w:t xml:space="preserve"> </w:t>
      </w:r>
      <w:r w:rsidR="55FF4041" w:rsidRPr="0A96F5A2">
        <w:t xml:space="preserve">and </w:t>
      </w:r>
      <w:r w:rsidR="1ABC5A09" w:rsidRPr="0A96F5A2">
        <w:t>26</w:t>
      </w:r>
      <w:r w:rsidR="00D712E7" w:rsidRPr="0A96F5A2">
        <w:rPr>
          <w:rStyle w:val="Fotnotsreferens"/>
        </w:rPr>
        <w:footnoteReference w:id="7"/>
      </w:r>
      <w:r w:rsidR="33AA0013">
        <w:rPr>
          <w:szCs w:val="22"/>
        </w:rPr>
        <w:t xml:space="preserve"> </w:t>
      </w:r>
      <w:r w:rsidR="2CF4326D" w:rsidRPr="0A96F5A2">
        <w:t xml:space="preserve">provide </w:t>
      </w:r>
      <w:r w:rsidR="43384ACC" w:rsidRPr="0A96F5A2">
        <w:t xml:space="preserve">guidance for State parties to the </w:t>
      </w:r>
      <w:hyperlink r:id="rId12" w:history="1">
        <w:r w:rsidR="43384ACC" w:rsidRPr="00B31A23">
          <w:rPr>
            <w:rStyle w:val="Hyperlnk"/>
          </w:rPr>
          <w:t>UN Convention on the Rights of the Child</w:t>
        </w:r>
      </w:hyperlink>
      <w:r w:rsidR="59676E7C" w:rsidRPr="0A96F5A2">
        <w:t xml:space="preserve"> in framing </w:t>
      </w:r>
      <w:r w:rsidR="5316753E" w:rsidRPr="0A96F5A2">
        <w:t>business responsibilities</w:t>
      </w:r>
      <w:r w:rsidR="255D6A64" w:rsidRPr="0A96F5A2">
        <w:t xml:space="preserve">, including </w:t>
      </w:r>
      <w:r w:rsidR="2CF4326D" w:rsidRPr="0A96F5A2">
        <w:t>on</w:t>
      </w:r>
      <w:r w:rsidR="33FC0D49" w:rsidRPr="0A96F5A2">
        <w:t xml:space="preserve"> children’s rights,</w:t>
      </w:r>
      <w:r w:rsidR="2CF4326D" w:rsidRPr="0A96F5A2">
        <w:t xml:space="preserve"> the environment and climate</w:t>
      </w:r>
      <w:r w:rsidR="00243A05">
        <w:t xml:space="preserve"> change</w:t>
      </w:r>
      <w:r w:rsidR="2CF4326D" w:rsidRPr="0A96F5A2">
        <w:t xml:space="preserve">. </w:t>
      </w:r>
    </w:p>
    <w:p w14:paraId="7D1920A9" w14:textId="77777777" w:rsidR="00546B74" w:rsidRPr="00F42CFC" w:rsidRDefault="00546B74" w:rsidP="00546B74">
      <w:pPr>
        <w:spacing w:line="259" w:lineRule="auto"/>
        <w:ind w:left="720"/>
        <w:contextualSpacing/>
        <w:rPr>
          <w:szCs w:val="22"/>
        </w:rPr>
      </w:pPr>
    </w:p>
    <w:p w14:paraId="4807008F" w14:textId="605A027C" w:rsidR="00546B74" w:rsidRPr="00F42CFC" w:rsidRDefault="00546B74" w:rsidP="00546B74">
      <w:pPr>
        <w:spacing w:line="259" w:lineRule="auto"/>
        <w:ind w:left="720"/>
        <w:contextualSpacing/>
        <w:rPr>
          <w:szCs w:val="22"/>
        </w:rPr>
      </w:pPr>
      <w:r w:rsidRPr="00F42CFC">
        <w:rPr>
          <w:szCs w:val="22"/>
        </w:rPr>
        <w:t xml:space="preserve">The increasing use of </w:t>
      </w:r>
      <w:r w:rsidR="0018257C">
        <w:rPr>
          <w:szCs w:val="22"/>
        </w:rPr>
        <w:t>ESG</w:t>
      </w:r>
      <w:r w:rsidRPr="00F42CFC">
        <w:rPr>
          <w:szCs w:val="22"/>
        </w:rPr>
        <w:t xml:space="preserve"> frameworks by investors and the use of stewardship activities to improve the environmental and human rights performance of investee companies are reflecting and supporting the trend towards responsible business conduct. This also supports investment strategies that recognize the interests of communities, workers, suppliers, customers</w:t>
      </w:r>
      <w:r w:rsidR="0018257C">
        <w:rPr>
          <w:szCs w:val="22"/>
        </w:rPr>
        <w:t>,</w:t>
      </w:r>
      <w:r w:rsidRPr="00F42CFC">
        <w:rPr>
          <w:szCs w:val="22"/>
        </w:rPr>
        <w:t xml:space="preserve"> and environment</w:t>
      </w:r>
      <w:r w:rsidR="00243A05">
        <w:rPr>
          <w:szCs w:val="22"/>
        </w:rPr>
        <w:t>al</w:t>
      </w:r>
      <w:r w:rsidRPr="00F42CFC">
        <w:rPr>
          <w:szCs w:val="22"/>
        </w:rPr>
        <w:t xml:space="preserve"> </w:t>
      </w:r>
      <w:r w:rsidR="00243A05">
        <w:rPr>
          <w:szCs w:val="22"/>
        </w:rPr>
        <w:t xml:space="preserve">concerns, </w:t>
      </w:r>
      <w:r w:rsidRPr="00F42CFC">
        <w:rPr>
          <w:szCs w:val="22"/>
        </w:rPr>
        <w:t xml:space="preserve">alongside shareholders. </w:t>
      </w:r>
    </w:p>
    <w:p w14:paraId="4FAD4FE1" w14:textId="77777777" w:rsidR="00546B74" w:rsidRPr="00F42CFC" w:rsidRDefault="00546B74" w:rsidP="00546B74">
      <w:pPr>
        <w:spacing w:line="259" w:lineRule="auto"/>
        <w:ind w:left="720"/>
        <w:contextualSpacing/>
        <w:rPr>
          <w:szCs w:val="22"/>
        </w:rPr>
      </w:pPr>
    </w:p>
    <w:p w14:paraId="140EFBF0" w14:textId="781E34DF" w:rsidR="00773F8C" w:rsidRDefault="00CE76D8" w:rsidP="00773F8C">
      <w:pPr>
        <w:pStyle w:val="Liststycke"/>
        <w:rPr>
          <w:lang w:val="en-US"/>
        </w:rPr>
      </w:pPr>
      <w:r>
        <w:rPr>
          <w:lang w:val="en-US"/>
        </w:rPr>
        <w:t>Still, t</w:t>
      </w:r>
      <w:r w:rsidR="00773F8C" w:rsidRPr="00246F8D">
        <w:rPr>
          <w:lang w:val="en-US"/>
        </w:rPr>
        <w:t xml:space="preserve">here is significant scope for expansion </w:t>
      </w:r>
      <w:r w:rsidR="00243A05">
        <w:rPr>
          <w:lang w:val="en-US"/>
        </w:rPr>
        <w:t xml:space="preserve">of ESG strategies </w:t>
      </w:r>
      <w:r w:rsidR="00773F8C" w:rsidRPr="00246F8D">
        <w:rPr>
          <w:lang w:val="en-US"/>
        </w:rPr>
        <w:t>by investors</w:t>
      </w:r>
      <w:r w:rsidR="00243A05">
        <w:rPr>
          <w:lang w:val="en-US"/>
        </w:rPr>
        <w:t>, notably by</w:t>
      </w:r>
      <w:r w:rsidR="00773F8C" w:rsidRPr="00246F8D">
        <w:rPr>
          <w:lang w:val="en-US"/>
        </w:rPr>
        <w:t xml:space="preserve"> putting in</w:t>
      </w:r>
      <w:r w:rsidR="00243A05">
        <w:rPr>
          <w:lang w:val="en-US"/>
        </w:rPr>
        <w:t>to</w:t>
      </w:r>
      <w:r w:rsidR="00773F8C" w:rsidRPr="00246F8D">
        <w:rPr>
          <w:lang w:val="en-US"/>
        </w:rPr>
        <w:t xml:space="preserve"> place policies</w:t>
      </w:r>
      <w:r w:rsidR="00243A05">
        <w:rPr>
          <w:lang w:val="en-US"/>
        </w:rPr>
        <w:t>,</w:t>
      </w:r>
      <w:r w:rsidR="00773F8C" w:rsidRPr="00246F8D">
        <w:rPr>
          <w:lang w:val="en-US"/>
        </w:rPr>
        <w:t xml:space="preserve"> due diligence and grievance mechanisms aligned with the UNGPs and incorporating better visibility of children</w:t>
      </w:r>
      <w:r w:rsidR="00BA5250">
        <w:rPr>
          <w:lang w:val="en-US"/>
        </w:rPr>
        <w:t xml:space="preserve"> and their rights</w:t>
      </w:r>
      <w:r w:rsidR="00773F8C" w:rsidRPr="00246F8D">
        <w:rPr>
          <w:lang w:val="en-US"/>
        </w:rPr>
        <w:t>, both in their own operations and demanding them in the conduct of investees.</w:t>
      </w:r>
      <w:r w:rsidR="00773F8C">
        <w:rPr>
          <w:lang w:val="en-US"/>
        </w:rPr>
        <w:t xml:space="preserve"> </w:t>
      </w:r>
    </w:p>
    <w:p w14:paraId="5A4CB8AA" w14:textId="77777777" w:rsidR="00546B74" w:rsidRPr="00F42CFC" w:rsidRDefault="00546B74" w:rsidP="00546B74">
      <w:pPr>
        <w:pStyle w:val="Liststycke"/>
        <w:rPr>
          <w:lang w:val="en-GB"/>
        </w:rPr>
      </w:pPr>
    </w:p>
    <w:p w14:paraId="7EC90C76" w14:textId="076AD0B1" w:rsidR="00546B74" w:rsidRDefault="002A3FCC" w:rsidP="00546B74">
      <w:pPr>
        <w:pStyle w:val="Liststycke"/>
        <w:rPr>
          <w:b/>
          <w:bCs/>
          <w:lang w:val="en-GB"/>
        </w:rPr>
      </w:pPr>
      <w:r>
        <w:rPr>
          <w:b/>
          <w:bCs/>
          <w:lang w:val="en-GB"/>
        </w:rPr>
        <w:t>Recommendations:</w:t>
      </w:r>
    </w:p>
    <w:p w14:paraId="089AE092" w14:textId="77777777" w:rsidR="00B54FC0" w:rsidRDefault="00B54FC0" w:rsidP="00546B74">
      <w:pPr>
        <w:pStyle w:val="Liststycke"/>
        <w:rPr>
          <w:b/>
          <w:bCs/>
          <w:lang w:val="en-GB"/>
        </w:rPr>
      </w:pPr>
    </w:p>
    <w:p w14:paraId="22D78307" w14:textId="0E8186A2" w:rsidR="00817513" w:rsidRPr="0006482E" w:rsidRDefault="002B4918" w:rsidP="0006482E">
      <w:pPr>
        <w:pStyle w:val="Liststycke"/>
        <w:rPr>
          <w:lang w:val="en-US"/>
        </w:rPr>
      </w:pPr>
      <w:r>
        <w:rPr>
          <w:b/>
          <w:bCs/>
          <w:lang w:val="en-US"/>
        </w:rPr>
        <w:t>The</w:t>
      </w:r>
      <w:r w:rsidR="00C5582F">
        <w:rPr>
          <w:b/>
          <w:bCs/>
          <w:lang w:val="en-US"/>
        </w:rPr>
        <w:t>re</w:t>
      </w:r>
      <w:r>
        <w:rPr>
          <w:b/>
          <w:bCs/>
          <w:lang w:val="en-US"/>
        </w:rPr>
        <w:t xml:space="preserve"> is a need to </w:t>
      </w:r>
      <w:r w:rsidR="003F47D9">
        <w:rPr>
          <w:b/>
          <w:bCs/>
          <w:lang w:val="en-US"/>
        </w:rPr>
        <w:t xml:space="preserve">better define the social ´S´ elements of ESG and </w:t>
      </w:r>
      <w:r>
        <w:rPr>
          <w:b/>
          <w:bCs/>
          <w:lang w:val="en-US"/>
        </w:rPr>
        <w:t>d</w:t>
      </w:r>
      <w:r w:rsidR="00B54FC0" w:rsidRPr="00811077">
        <w:rPr>
          <w:b/>
          <w:bCs/>
          <w:lang w:val="en-US"/>
        </w:rPr>
        <w:t>evelop outcome-oriented ESG for children:</w:t>
      </w:r>
      <w:r w:rsidR="00817513">
        <w:rPr>
          <w:lang w:val="en-US"/>
        </w:rPr>
        <w:t xml:space="preserve"> </w:t>
      </w:r>
    </w:p>
    <w:p w14:paraId="78F256D4" w14:textId="77777777" w:rsidR="00B54FC0" w:rsidRPr="00B54FC0" w:rsidRDefault="00B54FC0" w:rsidP="00B54FC0">
      <w:pPr>
        <w:pStyle w:val="Liststycke"/>
        <w:rPr>
          <w:lang w:val="en-US"/>
        </w:rPr>
      </w:pPr>
    </w:p>
    <w:p w14:paraId="6B1492D4" w14:textId="43B406C4" w:rsidR="002A3FCC" w:rsidRPr="002A3FCC" w:rsidRDefault="002A3FCC" w:rsidP="002A3FCC">
      <w:pPr>
        <w:pStyle w:val="Liststycke"/>
        <w:numPr>
          <w:ilvl w:val="0"/>
          <w:numId w:val="30"/>
        </w:numPr>
        <w:rPr>
          <w:lang w:val="en-US"/>
        </w:rPr>
      </w:pPr>
      <w:r w:rsidRPr="002A3FCC">
        <w:rPr>
          <w:lang w:val="en-US"/>
        </w:rPr>
        <w:t xml:space="preserve">Children’s rights should be articulated as an explicit lens on human rights and ESG in sustainability reporting standards. </w:t>
      </w:r>
    </w:p>
    <w:p w14:paraId="4E3A23AD" w14:textId="3042A1E9" w:rsidR="002A3FCC" w:rsidRPr="002A3FCC" w:rsidRDefault="002A3FCC" w:rsidP="002A3FCC">
      <w:pPr>
        <w:pStyle w:val="Liststycke"/>
        <w:numPr>
          <w:ilvl w:val="0"/>
          <w:numId w:val="30"/>
        </w:numPr>
        <w:rPr>
          <w:lang w:val="en-US"/>
        </w:rPr>
      </w:pPr>
      <w:r w:rsidRPr="002A3FCC">
        <w:rPr>
          <w:lang w:val="en-US"/>
        </w:rPr>
        <w:t xml:space="preserve">Core indicators on children should be included in sustainability reporting and ESG assessment initiatives to define minimum common ESG standards on children’s rights. </w:t>
      </w:r>
    </w:p>
    <w:p w14:paraId="2AE99783" w14:textId="6DA90BEE" w:rsidR="002A3FCC" w:rsidRPr="002A3FCC" w:rsidRDefault="002A3FCC" w:rsidP="002A3FCC">
      <w:pPr>
        <w:pStyle w:val="Liststycke"/>
        <w:numPr>
          <w:ilvl w:val="0"/>
          <w:numId w:val="30"/>
        </w:numPr>
        <w:rPr>
          <w:b/>
          <w:bCs/>
          <w:lang w:val="en-GB"/>
        </w:rPr>
      </w:pPr>
      <w:r w:rsidRPr="002A3FCC">
        <w:rPr>
          <w:lang w:val="en-US"/>
        </w:rPr>
        <w:t xml:space="preserve">All social </w:t>
      </w:r>
      <w:r w:rsidR="00F7433E">
        <w:rPr>
          <w:lang w:val="en-US"/>
        </w:rPr>
        <w:t xml:space="preserve">“S” </w:t>
      </w:r>
      <w:r w:rsidRPr="002A3FCC">
        <w:rPr>
          <w:lang w:val="en-US"/>
        </w:rPr>
        <w:t>reporting standards should be disaggregated by age and gender. Standards providers should develop and provide guidance on disaggregation.</w:t>
      </w:r>
      <w:r w:rsidR="00D94DC7">
        <w:rPr>
          <w:rStyle w:val="Fotnotsreferens"/>
          <w:lang w:val="en-US"/>
        </w:rPr>
        <w:footnoteReference w:id="8"/>
      </w:r>
    </w:p>
    <w:p w14:paraId="0C5ACB14" w14:textId="77777777" w:rsidR="002A3FCC" w:rsidRPr="0006482E" w:rsidRDefault="002A3FCC" w:rsidP="0006482E">
      <w:pPr>
        <w:rPr>
          <w:b/>
          <w:bCs/>
        </w:rPr>
      </w:pPr>
    </w:p>
    <w:p w14:paraId="45F11A6A" w14:textId="4CF41960" w:rsidR="00546B74" w:rsidRPr="00F42CFC" w:rsidRDefault="00546B74" w:rsidP="00546B74">
      <w:pPr>
        <w:numPr>
          <w:ilvl w:val="0"/>
          <w:numId w:val="17"/>
        </w:numPr>
        <w:spacing w:line="259" w:lineRule="auto"/>
        <w:contextualSpacing/>
        <w:rPr>
          <w:rFonts w:eastAsiaTheme="minorEastAsia" w:cstheme="minorBidi"/>
          <w:b/>
          <w:bCs/>
          <w:szCs w:val="22"/>
        </w:rPr>
      </w:pPr>
      <w:r w:rsidRPr="00F42CFC">
        <w:rPr>
          <w:rFonts w:eastAsiaTheme="minorEastAsia" w:cstheme="minorBidi"/>
          <w:b/>
          <w:bCs/>
          <w:szCs w:val="22"/>
        </w:rPr>
        <w:t>Which are the main types of investors using ESG approaches, for example, in decision-making or engagements? On what basis are they making decisions on human rights, climate change and other related matters?</w:t>
      </w:r>
    </w:p>
    <w:p w14:paraId="4A509149" w14:textId="77777777" w:rsidR="007B4A9A" w:rsidRPr="00F42CFC" w:rsidRDefault="007B4A9A" w:rsidP="007B4A9A">
      <w:pPr>
        <w:spacing w:line="259" w:lineRule="auto"/>
        <w:ind w:left="720"/>
        <w:contextualSpacing/>
        <w:rPr>
          <w:rFonts w:eastAsiaTheme="minorEastAsia" w:cstheme="minorBidi"/>
          <w:b/>
          <w:bCs/>
          <w:szCs w:val="22"/>
        </w:rPr>
      </w:pPr>
    </w:p>
    <w:p w14:paraId="4D8F377D" w14:textId="4B28E045" w:rsidR="00546B74" w:rsidRPr="00F42CFC" w:rsidRDefault="00546B74" w:rsidP="00546B74">
      <w:pPr>
        <w:pStyle w:val="Liststycke"/>
        <w:rPr>
          <w:lang w:val="en-GB"/>
        </w:rPr>
      </w:pPr>
      <w:r w:rsidRPr="00CF4C80">
        <w:rPr>
          <w:lang w:val="en-GB"/>
        </w:rPr>
        <w:t>Institutional investors</w:t>
      </w:r>
      <w:r w:rsidRPr="00F42CFC">
        <w:rPr>
          <w:lang w:val="en-GB"/>
        </w:rPr>
        <w:t xml:space="preserve"> can be seen as key business influencers. </w:t>
      </w:r>
      <w:r w:rsidR="00825FDC">
        <w:rPr>
          <w:lang w:val="en-GB"/>
        </w:rPr>
        <w:t>T</w:t>
      </w:r>
      <w:r w:rsidRPr="00F42CFC">
        <w:rPr>
          <w:lang w:val="en-GB"/>
        </w:rPr>
        <w:t>hey have extraordinary potential to be leading agents of change by fulfilling the responsibility to respect human rights, including the rights of children, in their investment activities</w:t>
      </w:r>
      <w:r w:rsidR="00645E30">
        <w:rPr>
          <w:lang w:val="en-GB"/>
        </w:rPr>
        <w:t>.</w:t>
      </w:r>
      <w:r w:rsidR="00A455D5" w:rsidRPr="00F42CFC">
        <w:rPr>
          <w:rStyle w:val="Fotnotsreferens"/>
          <w:lang w:val="en-GB"/>
        </w:rPr>
        <w:footnoteReference w:id="9"/>
      </w:r>
      <w:r w:rsidR="00E046E0" w:rsidRPr="00F42CFC">
        <w:rPr>
          <w:lang w:val="en-GB"/>
        </w:rPr>
        <w:t xml:space="preserve"> </w:t>
      </w:r>
    </w:p>
    <w:p w14:paraId="0A508E3B" w14:textId="77777777" w:rsidR="00546B74" w:rsidRPr="00F42CFC" w:rsidRDefault="00546B74" w:rsidP="00546B74">
      <w:pPr>
        <w:pStyle w:val="Liststycke"/>
        <w:rPr>
          <w:lang w:val="en-GB"/>
        </w:rPr>
      </w:pPr>
    </w:p>
    <w:p w14:paraId="4F6D1C6A" w14:textId="06854D20" w:rsidR="00546B74" w:rsidRPr="00F42CFC" w:rsidRDefault="00546B74" w:rsidP="00546B74">
      <w:pPr>
        <w:pStyle w:val="Liststycke"/>
        <w:rPr>
          <w:lang w:val="en-GB"/>
        </w:rPr>
      </w:pPr>
      <w:r w:rsidRPr="00F42CFC">
        <w:rPr>
          <w:lang w:val="en-GB"/>
        </w:rPr>
        <w:t xml:space="preserve">When it comes to decisions relating to child rights, an important part of influencing the conditions of doing business is action by responsible investors and financial institutions to </w:t>
      </w:r>
      <w:r w:rsidRPr="00F42CFC">
        <w:rPr>
          <w:lang w:val="en-GB"/>
        </w:rPr>
        <w:lastRenderedPageBreak/>
        <w:t>include child rights in ESG assessments that inform investment decision-making – and to undertake stewardship activities to improve the child rights performance of</w:t>
      </w:r>
      <w:r w:rsidR="00FB0367" w:rsidRPr="00F42CFC">
        <w:rPr>
          <w:lang w:val="en-GB"/>
        </w:rPr>
        <w:t xml:space="preserve"> their</w:t>
      </w:r>
      <w:r w:rsidRPr="00F42CFC">
        <w:rPr>
          <w:lang w:val="en-GB"/>
        </w:rPr>
        <w:t xml:space="preserve"> investee companies.</w:t>
      </w:r>
    </w:p>
    <w:p w14:paraId="27E7E414" w14:textId="77777777" w:rsidR="00546B74" w:rsidRPr="00F42CFC" w:rsidRDefault="00546B74" w:rsidP="00546B74">
      <w:pPr>
        <w:pStyle w:val="Liststycke"/>
        <w:rPr>
          <w:lang w:val="en-GB"/>
        </w:rPr>
      </w:pPr>
    </w:p>
    <w:p w14:paraId="1A4C45A0" w14:textId="753384D5" w:rsidR="00EB4EBC" w:rsidRPr="00F42CFC" w:rsidRDefault="00546B74" w:rsidP="00546B74">
      <w:pPr>
        <w:pStyle w:val="Liststycke"/>
        <w:rPr>
          <w:lang w:val="en-GB"/>
        </w:rPr>
      </w:pPr>
      <w:r w:rsidRPr="00F42CFC">
        <w:rPr>
          <w:lang w:val="en-GB"/>
        </w:rPr>
        <w:t xml:space="preserve">A crucial precondition for effective investor action </w:t>
      </w:r>
      <w:r w:rsidR="006824E0" w:rsidRPr="00F42CFC">
        <w:rPr>
          <w:lang w:val="en-GB"/>
        </w:rPr>
        <w:t>regarding</w:t>
      </w:r>
      <w:r w:rsidRPr="00F42CFC">
        <w:rPr>
          <w:lang w:val="en-GB"/>
        </w:rPr>
        <w:t xml:space="preserve"> children is that they</w:t>
      </w:r>
      <w:r w:rsidR="00825FDC">
        <w:rPr>
          <w:lang w:val="en-GB"/>
        </w:rPr>
        <w:t xml:space="preserve"> </w:t>
      </w:r>
      <w:r w:rsidRPr="00F42CFC">
        <w:rPr>
          <w:lang w:val="en-GB"/>
        </w:rPr>
        <w:t xml:space="preserve">develop a </w:t>
      </w:r>
      <w:r w:rsidRPr="00F42CFC">
        <w:rPr>
          <w:b/>
          <w:bCs/>
          <w:lang w:val="en-GB"/>
        </w:rPr>
        <w:t>comprehensive view and understanding of children’s rights</w:t>
      </w:r>
      <w:r w:rsidRPr="00F42CFC">
        <w:rPr>
          <w:lang w:val="en-GB"/>
        </w:rPr>
        <w:t xml:space="preserve"> – including and beyond child labour – and that this guides their stewardship and other actions.  Alignment of standards within sustainability reporting, removing lack of coherence and ensuring data on company practices are available to drive child rights analysis by investors would be another significant contribution to the integration of children’s rights into ESG assessments. </w:t>
      </w:r>
    </w:p>
    <w:p w14:paraId="2D1937F5" w14:textId="77777777" w:rsidR="00E61CF4" w:rsidRPr="00F42CFC" w:rsidRDefault="00E61CF4" w:rsidP="00546B74">
      <w:pPr>
        <w:pStyle w:val="Liststycke"/>
        <w:rPr>
          <w:lang w:val="en-GB"/>
        </w:rPr>
      </w:pPr>
    </w:p>
    <w:p w14:paraId="4DF6B8AC" w14:textId="665D5E83" w:rsidR="00645E30" w:rsidRDefault="00546B74" w:rsidP="00645E30">
      <w:pPr>
        <w:pStyle w:val="Liststycke"/>
        <w:rPr>
          <w:lang w:val="en-GB"/>
        </w:rPr>
      </w:pPr>
      <w:r w:rsidRPr="00F42CFC">
        <w:rPr>
          <w:lang w:val="en-GB"/>
        </w:rPr>
        <w:t>An explicit focus on children’s rights should be incorporated into government and business efforts to improve ESG standards and reporting in the private sector, with the financial sector making systematic use of these in decision-making.</w:t>
      </w:r>
      <w:r w:rsidR="00552C4B" w:rsidRPr="00F42CFC">
        <w:rPr>
          <w:rStyle w:val="Fotnotsreferens"/>
          <w:lang w:val="en-GB"/>
        </w:rPr>
        <w:footnoteReference w:id="10"/>
      </w:r>
    </w:p>
    <w:p w14:paraId="3C7B559C" w14:textId="77777777" w:rsidR="00645E30" w:rsidRDefault="00645E30" w:rsidP="00645E30">
      <w:pPr>
        <w:pStyle w:val="Liststycke"/>
        <w:rPr>
          <w:lang w:val="en-GB"/>
        </w:rPr>
      </w:pPr>
    </w:p>
    <w:p w14:paraId="4D2BC5E2" w14:textId="51D7A481" w:rsidR="00645E30" w:rsidRPr="00811077" w:rsidRDefault="00645E30" w:rsidP="00645E30">
      <w:pPr>
        <w:pStyle w:val="Liststycke"/>
        <w:rPr>
          <w:b/>
          <w:bCs/>
          <w:lang w:val="en-GB"/>
        </w:rPr>
      </w:pPr>
      <w:r w:rsidRPr="00811077">
        <w:rPr>
          <w:b/>
          <w:bCs/>
          <w:lang w:val="en-GB"/>
        </w:rPr>
        <w:t xml:space="preserve">Recommendations: </w:t>
      </w:r>
    </w:p>
    <w:p w14:paraId="57C081B6" w14:textId="77777777" w:rsidR="00645E30" w:rsidRDefault="00645E30" w:rsidP="00546B74">
      <w:pPr>
        <w:pStyle w:val="Liststycke"/>
        <w:rPr>
          <w:b/>
          <w:bCs/>
          <w:lang w:val="en-GB"/>
        </w:rPr>
      </w:pPr>
    </w:p>
    <w:p w14:paraId="5FC87BF5" w14:textId="351E27A2" w:rsidR="0006482E" w:rsidRDefault="0006482E" w:rsidP="00546B74">
      <w:pPr>
        <w:pStyle w:val="Liststycke"/>
        <w:rPr>
          <w:lang w:val="en-US"/>
        </w:rPr>
      </w:pPr>
      <w:r w:rsidRPr="00811077">
        <w:rPr>
          <w:b/>
          <w:bCs/>
          <w:lang w:val="en-US"/>
        </w:rPr>
        <w:t>Investors should step up their leverage</w:t>
      </w:r>
      <w:r w:rsidR="00811077">
        <w:rPr>
          <w:b/>
          <w:bCs/>
          <w:lang w:val="en-US"/>
        </w:rPr>
        <w:t xml:space="preserve"> to advance child rights</w:t>
      </w:r>
      <w:r w:rsidR="00811077">
        <w:rPr>
          <w:lang w:val="en-US"/>
        </w:rPr>
        <w:t>:</w:t>
      </w:r>
    </w:p>
    <w:p w14:paraId="55C5BC1F" w14:textId="77777777" w:rsidR="0006482E" w:rsidRDefault="0006482E" w:rsidP="00546B74">
      <w:pPr>
        <w:pStyle w:val="Liststycke"/>
        <w:rPr>
          <w:lang w:val="en-US"/>
        </w:rPr>
      </w:pPr>
    </w:p>
    <w:p w14:paraId="47665FD5" w14:textId="77777777" w:rsidR="0006482E" w:rsidRDefault="0006482E" w:rsidP="0006482E">
      <w:pPr>
        <w:pStyle w:val="Liststycke"/>
        <w:numPr>
          <w:ilvl w:val="0"/>
          <w:numId w:val="31"/>
        </w:numPr>
        <w:rPr>
          <w:lang w:val="en-US"/>
        </w:rPr>
      </w:pPr>
      <w:r>
        <w:rPr>
          <w:lang w:val="en-US"/>
        </w:rPr>
        <w:t>I</w:t>
      </w:r>
      <w:r w:rsidRPr="0006482E">
        <w:rPr>
          <w:lang w:val="en-US"/>
        </w:rPr>
        <w:t xml:space="preserve">nvestors and other financial sector actors should respect human rights, including the rights of children, by knowing the risks to people connected to their investment activities and showing how they take action to manage those risks. </w:t>
      </w:r>
    </w:p>
    <w:p w14:paraId="7AA44665" w14:textId="77777777" w:rsidR="0006482E" w:rsidRDefault="0006482E" w:rsidP="0006482E">
      <w:pPr>
        <w:pStyle w:val="Liststycke"/>
        <w:numPr>
          <w:ilvl w:val="0"/>
          <w:numId w:val="31"/>
        </w:numPr>
        <w:rPr>
          <w:lang w:val="en-US"/>
        </w:rPr>
      </w:pPr>
      <w:r w:rsidRPr="0006482E">
        <w:rPr>
          <w:lang w:val="en-US"/>
        </w:rPr>
        <w:t xml:space="preserve">Respect for child rights should become a key part of engagement with stakeholders, including through stewardship activities. Children should be recognized as key stakeholders in investment through its influence on their rights and well-being. </w:t>
      </w:r>
    </w:p>
    <w:p w14:paraId="6080893C" w14:textId="1D3E0A2A" w:rsidR="0006482E" w:rsidRDefault="0006482E" w:rsidP="0006482E">
      <w:pPr>
        <w:pStyle w:val="Liststycke"/>
        <w:numPr>
          <w:ilvl w:val="0"/>
          <w:numId w:val="31"/>
        </w:numPr>
        <w:rPr>
          <w:lang w:val="en-US"/>
        </w:rPr>
      </w:pPr>
      <w:r w:rsidRPr="0006482E">
        <w:rPr>
          <w:lang w:val="en-US"/>
        </w:rPr>
        <w:t>Investors should enhance collaboration for collective stewardship on children’s rights.</w:t>
      </w:r>
      <w:r w:rsidR="00861EF0">
        <w:rPr>
          <w:rStyle w:val="Fotnotsreferens"/>
          <w:lang w:val="en-US"/>
        </w:rPr>
        <w:footnoteReference w:id="11"/>
      </w:r>
      <w:r w:rsidRPr="0006482E">
        <w:rPr>
          <w:lang w:val="en-US"/>
        </w:rPr>
        <w:t xml:space="preserve"> </w:t>
      </w:r>
    </w:p>
    <w:p w14:paraId="6E595ED6" w14:textId="77777777" w:rsidR="0006482E" w:rsidRPr="00F66421" w:rsidRDefault="0006482E" w:rsidP="00F66421">
      <w:pPr>
        <w:rPr>
          <w:b/>
          <w:bCs/>
          <w:lang w:val="en-US"/>
        </w:rPr>
      </w:pPr>
    </w:p>
    <w:p w14:paraId="6B2D1BFC" w14:textId="77777777" w:rsidR="00546B74" w:rsidRPr="00F42CFC" w:rsidRDefault="00546B74" w:rsidP="00546B74">
      <w:pPr>
        <w:pStyle w:val="Liststycke"/>
        <w:rPr>
          <w:lang w:val="en-GB"/>
        </w:rPr>
      </w:pPr>
    </w:p>
    <w:p w14:paraId="3C9771C8" w14:textId="77777777" w:rsidR="00546B74" w:rsidRPr="00F42CFC" w:rsidRDefault="00546B74" w:rsidP="00546B74">
      <w:pPr>
        <w:pStyle w:val="Liststycke"/>
        <w:numPr>
          <w:ilvl w:val="0"/>
          <w:numId w:val="19"/>
        </w:numPr>
        <w:rPr>
          <w:rFonts w:eastAsiaTheme="minorEastAsia"/>
          <w:b/>
          <w:bCs/>
          <w:lang w:val="en-GB"/>
        </w:rPr>
      </w:pPr>
      <w:r w:rsidRPr="00F42CFC">
        <w:rPr>
          <w:rFonts w:eastAsiaTheme="minorEastAsia"/>
          <w:b/>
          <w:bCs/>
          <w:lang w:val="en-GB"/>
        </w:rPr>
        <w:t>What responsibilities and capacity do ESG index and data providers have regarding the assessment of adverse human rights and environmental impacts, and how can ESG indexes and research products be improved to align with the approach of the Guiding Principles on Business and Human Rights (UNGPs)?</w:t>
      </w:r>
    </w:p>
    <w:p w14:paraId="18F4DA67" w14:textId="77777777" w:rsidR="00546B74" w:rsidRPr="00F42CFC" w:rsidRDefault="00546B74" w:rsidP="00546B74">
      <w:pPr>
        <w:pStyle w:val="Liststycke"/>
        <w:spacing w:after="0"/>
        <w:rPr>
          <w:rFonts w:eastAsiaTheme="minorEastAsia"/>
          <w:lang w:val="en-GB"/>
        </w:rPr>
      </w:pPr>
    </w:p>
    <w:p w14:paraId="046B659B" w14:textId="46116CC3" w:rsidR="00546B74" w:rsidRPr="00CF4C80" w:rsidRDefault="00C95F16" w:rsidP="00546B74">
      <w:pPr>
        <w:pStyle w:val="Liststycke"/>
        <w:rPr>
          <w:rFonts w:eastAsiaTheme="minorEastAsia"/>
          <w:lang w:val="en-GB"/>
        </w:rPr>
      </w:pPr>
      <w:r w:rsidRPr="00CF4C80">
        <w:rPr>
          <w:lang w:val="en-GB"/>
        </w:rPr>
        <w:t>E</w:t>
      </w:r>
      <w:r w:rsidR="00546B74" w:rsidRPr="00CF4C80">
        <w:rPr>
          <w:rFonts w:eastAsiaTheme="minorEastAsia"/>
          <w:lang w:val="en-GB"/>
        </w:rPr>
        <w:t xml:space="preserve">fforts should accelerate to improve coherence of the plethora of standards and taxonomies for ESG investing, to ensure common standards and reduce risks of ‘greenwashing’ with closure of loopholes that allow for continued support of fossil fuels. </w:t>
      </w:r>
      <w:r w:rsidR="005D13B8">
        <w:rPr>
          <w:rFonts w:eastAsiaTheme="minorEastAsia"/>
          <w:lang w:val="en-GB"/>
        </w:rPr>
        <w:t xml:space="preserve">Attention </w:t>
      </w:r>
      <w:r w:rsidR="00546B74" w:rsidRPr="00CF4C80">
        <w:rPr>
          <w:rFonts w:eastAsiaTheme="minorEastAsia"/>
          <w:lang w:val="en-GB"/>
        </w:rPr>
        <w:t xml:space="preserve">should be placed on clarifying standards for the </w:t>
      </w:r>
      <w:r w:rsidR="00281B47" w:rsidRPr="00CF4C80">
        <w:rPr>
          <w:rFonts w:eastAsiaTheme="minorEastAsia"/>
          <w:lang w:val="en-GB"/>
        </w:rPr>
        <w:t>“</w:t>
      </w:r>
      <w:r w:rsidR="00546B74" w:rsidRPr="00CF4C80">
        <w:rPr>
          <w:rFonts w:eastAsiaTheme="minorEastAsia"/>
          <w:lang w:val="en-GB"/>
        </w:rPr>
        <w:t>S</w:t>
      </w:r>
      <w:r w:rsidR="00281B47" w:rsidRPr="00CF4C80">
        <w:rPr>
          <w:rFonts w:eastAsiaTheme="minorEastAsia"/>
          <w:lang w:val="en-GB"/>
        </w:rPr>
        <w:t>”</w:t>
      </w:r>
      <w:r w:rsidR="00546B74" w:rsidRPr="00CF4C80">
        <w:rPr>
          <w:rFonts w:eastAsiaTheme="minorEastAsia"/>
          <w:lang w:val="en-GB"/>
        </w:rPr>
        <w:t xml:space="preserve"> in ESG, including </w:t>
      </w:r>
      <w:r w:rsidR="005D13B8">
        <w:rPr>
          <w:rFonts w:eastAsiaTheme="minorEastAsia"/>
          <w:lang w:val="en-GB"/>
        </w:rPr>
        <w:t xml:space="preserve">a focus on </w:t>
      </w:r>
      <w:r w:rsidR="00546B74" w:rsidRPr="00CF4C80">
        <w:rPr>
          <w:rFonts w:eastAsiaTheme="minorEastAsia"/>
          <w:lang w:val="en-GB"/>
        </w:rPr>
        <w:t>children’s rights.</w:t>
      </w:r>
      <w:r w:rsidR="00CC34A2" w:rsidRPr="00CF4C80">
        <w:rPr>
          <w:rStyle w:val="Fotnotsreferens"/>
          <w:rFonts w:eastAsiaTheme="minorEastAsia"/>
          <w:lang w:val="en-GB"/>
        </w:rPr>
        <w:footnoteReference w:id="12"/>
      </w:r>
    </w:p>
    <w:p w14:paraId="2725AA07" w14:textId="77777777" w:rsidR="00546B74" w:rsidRPr="00CF4C80" w:rsidRDefault="00546B74" w:rsidP="00546B74">
      <w:pPr>
        <w:pStyle w:val="Liststycke"/>
        <w:spacing w:after="0"/>
        <w:rPr>
          <w:lang w:val="en-GB"/>
        </w:rPr>
      </w:pPr>
    </w:p>
    <w:p w14:paraId="6AF8834A" w14:textId="50F73344" w:rsidR="00546B74" w:rsidRPr="00CF4C80" w:rsidRDefault="00546B74" w:rsidP="00546B74">
      <w:pPr>
        <w:pStyle w:val="Liststycke"/>
        <w:spacing w:after="0"/>
        <w:rPr>
          <w:lang w:val="en-GB"/>
        </w:rPr>
      </w:pPr>
      <w:r w:rsidRPr="00CF4C80">
        <w:rPr>
          <w:lang w:val="en-GB"/>
        </w:rPr>
        <w:t xml:space="preserve">Additionally, ESG benchmarking initiatives and rating agencies should be more explicit on using indicators that show company impact and performance to address harmful impact on children. It is essential that this be based on measuring outcomes for rights holders rather than the </w:t>
      </w:r>
      <w:r w:rsidRPr="00CF4C80">
        <w:rPr>
          <w:lang w:val="en-GB"/>
        </w:rPr>
        <w:lastRenderedPageBreak/>
        <w:t>presence or absence of policies made by businesses. All this needs to be underpinned by disclosure of information on children’s rights by the companies themselves, and sustainability reporting standards have an important role in ensuring that becomes commonplace.</w:t>
      </w:r>
      <w:r w:rsidR="00281B47" w:rsidRPr="00CF4C80">
        <w:rPr>
          <w:rStyle w:val="Fotnotsreferens"/>
          <w:lang w:val="en-GB"/>
        </w:rPr>
        <w:footnoteReference w:id="13"/>
      </w:r>
    </w:p>
    <w:p w14:paraId="0FE9F4C1" w14:textId="77777777" w:rsidR="00861EF0" w:rsidRDefault="00861EF0" w:rsidP="00546B74">
      <w:pPr>
        <w:pStyle w:val="Liststycke"/>
        <w:spacing w:after="0"/>
        <w:rPr>
          <w:lang w:val="en-GB"/>
        </w:rPr>
      </w:pPr>
    </w:p>
    <w:p w14:paraId="69915675" w14:textId="5C9F4B9A" w:rsidR="00861EF0" w:rsidRPr="00861EF0" w:rsidRDefault="00861EF0" w:rsidP="00546B74">
      <w:pPr>
        <w:pStyle w:val="Liststycke"/>
        <w:spacing w:after="0"/>
        <w:rPr>
          <w:b/>
          <w:bCs/>
          <w:lang w:val="en-GB"/>
        </w:rPr>
      </w:pPr>
      <w:r w:rsidRPr="00861EF0">
        <w:rPr>
          <w:b/>
          <w:bCs/>
          <w:lang w:val="en-GB"/>
        </w:rPr>
        <w:t>Recommendation:</w:t>
      </w:r>
    </w:p>
    <w:p w14:paraId="167207D6" w14:textId="77777777" w:rsidR="00861EF0" w:rsidRDefault="00861EF0" w:rsidP="00546B74">
      <w:pPr>
        <w:pStyle w:val="Liststycke"/>
        <w:spacing w:after="0"/>
        <w:rPr>
          <w:lang w:val="en-GB"/>
        </w:rPr>
      </w:pPr>
    </w:p>
    <w:p w14:paraId="739B1076" w14:textId="77777777" w:rsidR="00861EF0" w:rsidRPr="0006482E" w:rsidRDefault="00861EF0" w:rsidP="00861EF0">
      <w:pPr>
        <w:pStyle w:val="Liststycke"/>
        <w:numPr>
          <w:ilvl w:val="0"/>
          <w:numId w:val="31"/>
        </w:numPr>
        <w:rPr>
          <w:b/>
          <w:bCs/>
          <w:lang w:val="en-US"/>
        </w:rPr>
      </w:pPr>
      <w:r w:rsidRPr="0006482E">
        <w:rPr>
          <w:lang w:val="en-US"/>
        </w:rPr>
        <w:t>Investors should actively collaborate with companies, governments, standards bodies, regulators</w:t>
      </w:r>
      <w:r>
        <w:rPr>
          <w:lang w:val="en-US"/>
        </w:rPr>
        <w:t>,</w:t>
      </w:r>
      <w:r w:rsidRPr="0006482E">
        <w:rPr>
          <w:lang w:val="en-US"/>
        </w:rPr>
        <w:t xml:space="preserve"> and child rights bodies in the conversation on defining investment useful, relevant, and impactful child rights indicators for engagement</w:t>
      </w:r>
      <w:r>
        <w:rPr>
          <w:lang w:val="en-US"/>
        </w:rPr>
        <w:t>.</w:t>
      </w:r>
      <w:r>
        <w:rPr>
          <w:rStyle w:val="Fotnotsreferens"/>
          <w:lang w:val="en-US"/>
        </w:rPr>
        <w:footnoteReference w:id="14"/>
      </w:r>
    </w:p>
    <w:p w14:paraId="2B3A38A0" w14:textId="77777777" w:rsidR="00861EF0" w:rsidRPr="00F42CFC" w:rsidRDefault="00861EF0" w:rsidP="00546B74">
      <w:pPr>
        <w:pStyle w:val="Liststycke"/>
        <w:spacing w:after="0"/>
        <w:rPr>
          <w:lang w:val="en-GB"/>
        </w:rPr>
      </w:pPr>
    </w:p>
    <w:p w14:paraId="5AD1A94A" w14:textId="77777777" w:rsidR="00546B74" w:rsidRPr="00F42CFC" w:rsidRDefault="00546B74" w:rsidP="00546B74">
      <w:pPr>
        <w:rPr>
          <w:rFonts w:eastAsiaTheme="minorEastAsia"/>
          <w:b/>
          <w:bCs/>
          <w:szCs w:val="22"/>
        </w:rPr>
      </w:pPr>
    </w:p>
    <w:p w14:paraId="38585C04" w14:textId="77777777" w:rsidR="00546B74" w:rsidRPr="00F42CFC" w:rsidRDefault="00546B74" w:rsidP="00546B74">
      <w:pPr>
        <w:pStyle w:val="Rubrik2"/>
        <w:rPr>
          <w:rFonts w:eastAsiaTheme="minorEastAsia"/>
          <w:sz w:val="22"/>
          <w:szCs w:val="22"/>
          <w:u w:val="single"/>
        </w:rPr>
      </w:pPr>
      <w:r w:rsidRPr="00F42CFC">
        <w:rPr>
          <w:rFonts w:eastAsiaTheme="minorEastAsia"/>
          <w:sz w:val="22"/>
          <w:szCs w:val="22"/>
          <w:u w:val="single"/>
        </w:rPr>
        <w:t>State duty to protect human rights:</w:t>
      </w:r>
    </w:p>
    <w:p w14:paraId="30CEE104" w14:textId="77777777" w:rsidR="00546B74" w:rsidRPr="00F42CFC" w:rsidRDefault="00546B74" w:rsidP="00546B74">
      <w:pPr>
        <w:rPr>
          <w:rFonts w:eastAsiaTheme="minorEastAsia"/>
          <w:szCs w:val="22"/>
        </w:rPr>
      </w:pPr>
    </w:p>
    <w:p w14:paraId="0B9B2EF2" w14:textId="77777777" w:rsidR="00546B74" w:rsidRPr="00F42CFC" w:rsidRDefault="00546B74" w:rsidP="00546B74">
      <w:pPr>
        <w:pStyle w:val="Liststycke"/>
        <w:numPr>
          <w:ilvl w:val="0"/>
          <w:numId w:val="20"/>
        </w:numPr>
        <w:rPr>
          <w:rFonts w:eastAsiaTheme="minorEastAsia"/>
          <w:b/>
          <w:bCs/>
          <w:lang w:val="en-GB"/>
        </w:rPr>
      </w:pPr>
      <w:r w:rsidRPr="00F42CFC">
        <w:rPr>
          <w:rFonts w:eastAsiaTheme="minorEastAsia"/>
          <w:b/>
          <w:bCs/>
          <w:lang w:val="en-GB"/>
        </w:rPr>
        <w:t>To what extent do current regulations ensure adequate information and disclosure for investors adopting an ESG approach to understand human rights impacts of businesses?</w:t>
      </w:r>
    </w:p>
    <w:p w14:paraId="5B64C13F" w14:textId="77777777" w:rsidR="00546B74" w:rsidRPr="00F42CFC" w:rsidRDefault="00546B74" w:rsidP="00546B74">
      <w:pPr>
        <w:pStyle w:val="Liststycke"/>
        <w:rPr>
          <w:lang w:val="en-GB"/>
        </w:rPr>
      </w:pPr>
    </w:p>
    <w:p w14:paraId="6463216A" w14:textId="20924274" w:rsidR="00546B74" w:rsidRPr="00CF4C80" w:rsidRDefault="00546B74" w:rsidP="00A128A4">
      <w:pPr>
        <w:pStyle w:val="Liststycke"/>
        <w:rPr>
          <w:lang w:val="en-GB"/>
        </w:rPr>
      </w:pPr>
      <w:r w:rsidRPr="00CF4C80">
        <w:rPr>
          <w:lang w:val="en-GB"/>
        </w:rPr>
        <w:t>In many jurisdictions sustainability reporting measures are becoming more common</w:t>
      </w:r>
      <w:r w:rsidR="00EB4A1A">
        <w:rPr>
          <w:lang w:val="en-GB"/>
        </w:rPr>
        <w:t>. T</w:t>
      </w:r>
      <w:r w:rsidRPr="00CF4C80">
        <w:rPr>
          <w:lang w:val="en-GB"/>
        </w:rPr>
        <w:t>here is a steady trend towards mandatory measures</w:t>
      </w:r>
      <w:r w:rsidRPr="00F42CFC">
        <w:rPr>
          <w:lang w:val="en-GB"/>
        </w:rPr>
        <w:t xml:space="preserve"> </w:t>
      </w:r>
      <w:r w:rsidR="003A4F15" w:rsidRPr="00F42CFC">
        <w:rPr>
          <w:rStyle w:val="Fotnotsreferens"/>
          <w:lang w:val="en-GB"/>
        </w:rPr>
        <w:footnoteReference w:id="15"/>
      </w:r>
      <w:r w:rsidR="00A128A4">
        <w:rPr>
          <w:lang w:val="en-GB"/>
        </w:rPr>
        <w:t xml:space="preserve"> </w:t>
      </w:r>
      <w:r w:rsidR="00EB4A1A">
        <w:rPr>
          <w:lang w:val="en-GB"/>
        </w:rPr>
        <w:t xml:space="preserve">and </w:t>
      </w:r>
      <w:r w:rsidRPr="00F42CFC">
        <w:rPr>
          <w:lang w:val="en-GB"/>
        </w:rPr>
        <w:t xml:space="preserve">the move towards due diligence legislation </w:t>
      </w:r>
      <w:r w:rsidR="00142992" w:rsidRPr="00F42CFC">
        <w:rPr>
          <w:lang w:val="en-GB"/>
        </w:rPr>
        <w:t>is welcomed</w:t>
      </w:r>
      <w:r w:rsidRPr="00F42CFC">
        <w:rPr>
          <w:lang w:val="en-GB"/>
        </w:rPr>
        <w:t>. In this regard, the EU proposal for a Directive on Corporate Sustainability Due Diligence (CSDDD)</w:t>
      </w:r>
      <w:r w:rsidR="0018547A" w:rsidRPr="00F42CFC">
        <w:rPr>
          <w:rStyle w:val="Fotnotsreferens"/>
          <w:lang w:val="en-GB"/>
        </w:rPr>
        <w:footnoteReference w:id="16"/>
      </w:r>
      <w:r w:rsidRPr="00F42CFC">
        <w:rPr>
          <w:lang w:val="en-GB"/>
        </w:rPr>
        <w:t xml:space="preserve"> is an important contemporary opportunity to significantly improve responsible business conduct regionally and globally. </w:t>
      </w:r>
      <w:r w:rsidRPr="00A128A4">
        <w:rPr>
          <w:lang w:val="en-GB"/>
        </w:rPr>
        <w:t xml:space="preserve">Furthermore, </w:t>
      </w:r>
      <w:r w:rsidRPr="00CF4C80">
        <w:rPr>
          <w:lang w:val="en-GB"/>
        </w:rPr>
        <w:t xml:space="preserve">policy and legislation addressing corporate human rights conduct with transnational reach is in development or has been adopted </w:t>
      </w:r>
      <w:r w:rsidR="00EC7B08">
        <w:rPr>
          <w:lang w:val="en-GB"/>
        </w:rPr>
        <w:t>in</w:t>
      </w:r>
      <w:r w:rsidR="00844E15">
        <w:rPr>
          <w:lang w:val="en-GB"/>
        </w:rPr>
        <w:t>cluding in</w:t>
      </w:r>
      <w:r w:rsidR="00EC7B08">
        <w:rPr>
          <w:lang w:val="en-GB"/>
        </w:rPr>
        <w:t xml:space="preserve"> the </w:t>
      </w:r>
      <w:r w:rsidRPr="00CF4C80">
        <w:rPr>
          <w:lang w:val="en-GB"/>
        </w:rPr>
        <w:t>UK, Australia, France, Norway, Germany, Switzerland, Japan,</w:t>
      </w:r>
      <w:r w:rsidR="00421113">
        <w:rPr>
          <w:lang w:val="en-GB"/>
        </w:rPr>
        <w:t xml:space="preserve"> and</w:t>
      </w:r>
      <w:r w:rsidRPr="00CF4C80">
        <w:rPr>
          <w:lang w:val="en-GB"/>
        </w:rPr>
        <w:t xml:space="preserve"> the Netherlands.</w:t>
      </w:r>
      <w:r w:rsidR="006E0308" w:rsidRPr="00CF4C80">
        <w:rPr>
          <w:rStyle w:val="Fotnotsreferens"/>
          <w:lang w:val="en-GB"/>
        </w:rPr>
        <w:footnoteReference w:id="17"/>
      </w:r>
      <w:r w:rsidRPr="00CF4C80">
        <w:rPr>
          <w:lang w:val="en-GB"/>
        </w:rPr>
        <w:t xml:space="preserve"> </w:t>
      </w:r>
    </w:p>
    <w:p w14:paraId="4A05C449" w14:textId="77777777" w:rsidR="00546B74" w:rsidRPr="00F42CFC" w:rsidRDefault="00546B74" w:rsidP="00546B74">
      <w:pPr>
        <w:pStyle w:val="Liststycke"/>
        <w:rPr>
          <w:lang w:val="en-GB"/>
        </w:rPr>
      </w:pPr>
    </w:p>
    <w:p w14:paraId="5A480A1F" w14:textId="25864038" w:rsidR="00546B74" w:rsidRDefault="00546B74" w:rsidP="00546B74">
      <w:pPr>
        <w:pStyle w:val="Liststycke"/>
        <w:rPr>
          <w:lang w:val="en-GB"/>
        </w:rPr>
      </w:pPr>
      <w:r w:rsidRPr="00F42CFC">
        <w:rPr>
          <w:lang w:val="en-GB"/>
        </w:rPr>
        <w:t xml:space="preserve">Overall, there is a tendency for human rights to be conceptualized as one isolated component in a list of issues rather than </w:t>
      </w:r>
      <w:r w:rsidR="00835E0E">
        <w:rPr>
          <w:lang w:val="en-GB"/>
        </w:rPr>
        <w:t>an</w:t>
      </w:r>
      <w:r w:rsidRPr="00F42CFC">
        <w:rPr>
          <w:lang w:val="en-GB"/>
        </w:rPr>
        <w:t xml:space="preserve"> overarching framework for addressing business</w:t>
      </w:r>
      <w:r w:rsidR="002F26DB">
        <w:rPr>
          <w:lang w:val="en-GB"/>
        </w:rPr>
        <w:t>´</w:t>
      </w:r>
      <w:r w:rsidRPr="00F42CFC">
        <w:rPr>
          <w:lang w:val="en-GB"/>
        </w:rPr>
        <w:t xml:space="preserve"> social and environmental impact. </w:t>
      </w:r>
      <w:r w:rsidRPr="00F42CFC">
        <w:rPr>
          <w:b/>
          <w:bCs/>
          <w:lang w:val="en-GB"/>
        </w:rPr>
        <w:t>From a child</w:t>
      </w:r>
      <w:r w:rsidR="00AF3F91">
        <w:rPr>
          <w:b/>
          <w:bCs/>
          <w:lang w:val="en-GB"/>
        </w:rPr>
        <w:t xml:space="preserve"> right</w:t>
      </w:r>
      <w:r w:rsidRPr="00F42CFC">
        <w:rPr>
          <w:b/>
          <w:bCs/>
          <w:lang w:val="en-GB"/>
        </w:rPr>
        <w:t xml:space="preserve">’s perspective, due diligence </w:t>
      </w:r>
      <w:r w:rsidR="00BF796D">
        <w:rPr>
          <w:b/>
          <w:bCs/>
          <w:lang w:val="en-GB"/>
        </w:rPr>
        <w:t xml:space="preserve">and other relevant </w:t>
      </w:r>
      <w:r w:rsidR="00600139">
        <w:rPr>
          <w:b/>
          <w:bCs/>
          <w:lang w:val="en-GB"/>
        </w:rPr>
        <w:t xml:space="preserve">regulations, </w:t>
      </w:r>
      <w:r w:rsidRPr="00F42CFC">
        <w:rPr>
          <w:b/>
          <w:bCs/>
          <w:lang w:val="en-GB"/>
        </w:rPr>
        <w:t>need</w:t>
      </w:r>
      <w:r w:rsidR="00600139">
        <w:rPr>
          <w:b/>
          <w:bCs/>
          <w:lang w:val="en-GB"/>
        </w:rPr>
        <w:t xml:space="preserve"> </w:t>
      </w:r>
      <w:r w:rsidRPr="00F42CFC">
        <w:rPr>
          <w:b/>
          <w:bCs/>
          <w:lang w:val="en-GB"/>
        </w:rPr>
        <w:t>to be framed by a comprehensive understanding of child rights and of the potential and actual adverse impacts of business on children</w:t>
      </w:r>
      <w:r w:rsidRPr="00F42CFC">
        <w:rPr>
          <w:lang w:val="en-GB"/>
        </w:rPr>
        <w:t>.</w:t>
      </w:r>
    </w:p>
    <w:p w14:paraId="00D047AC" w14:textId="77777777" w:rsidR="001231A8" w:rsidRDefault="001231A8" w:rsidP="00546B74">
      <w:pPr>
        <w:pStyle w:val="Liststycke"/>
        <w:rPr>
          <w:lang w:val="en-GB"/>
        </w:rPr>
      </w:pPr>
    </w:p>
    <w:p w14:paraId="0C2BE48A" w14:textId="235D6932" w:rsidR="001231A8" w:rsidRPr="00CF4C80" w:rsidRDefault="001231A8" w:rsidP="00546B74">
      <w:pPr>
        <w:pStyle w:val="Liststycke"/>
        <w:rPr>
          <w:b/>
          <w:bCs/>
          <w:lang w:val="en-GB"/>
        </w:rPr>
      </w:pPr>
      <w:r w:rsidRPr="00CF4C80">
        <w:rPr>
          <w:b/>
          <w:bCs/>
          <w:lang w:val="en-GB"/>
        </w:rPr>
        <w:t xml:space="preserve">Recommendation: </w:t>
      </w:r>
    </w:p>
    <w:p w14:paraId="28465AE3" w14:textId="77777777" w:rsidR="002015D3" w:rsidRDefault="002015D3" w:rsidP="00546B74">
      <w:pPr>
        <w:pStyle w:val="Liststycke"/>
        <w:rPr>
          <w:lang w:val="en-GB"/>
        </w:rPr>
      </w:pPr>
    </w:p>
    <w:p w14:paraId="6E1EB0A8" w14:textId="7A9DFB25" w:rsidR="00CF4C80" w:rsidRPr="00CF4C80" w:rsidRDefault="00CF4C80" w:rsidP="00CF4C80">
      <w:pPr>
        <w:pStyle w:val="Liststycke"/>
        <w:numPr>
          <w:ilvl w:val="0"/>
          <w:numId w:val="31"/>
        </w:numPr>
        <w:rPr>
          <w:lang w:val="en-US"/>
        </w:rPr>
      </w:pPr>
      <w:r w:rsidRPr="00CF4C80">
        <w:rPr>
          <w:lang w:val="en-US"/>
        </w:rPr>
        <w:t>Governments should ensure that corporate regulatory frameworks on due diligence, non</w:t>
      </w:r>
      <w:r>
        <w:rPr>
          <w:lang w:val="en-US"/>
        </w:rPr>
        <w:t>-</w:t>
      </w:r>
      <w:r w:rsidRPr="00CF4C80">
        <w:rPr>
          <w:lang w:val="en-US"/>
        </w:rPr>
        <w:t>financial disclosures, transparency, remediation</w:t>
      </w:r>
      <w:r>
        <w:rPr>
          <w:lang w:val="en-US"/>
        </w:rPr>
        <w:t>,</w:t>
      </w:r>
      <w:r w:rsidRPr="00CF4C80">
        <w:rPr>
          <w:lang w:val="en-US"/>
        </w:rPr>
        <w:t xml:space="preserve"> and legal responsibility effectively </w:t>
      </w:r>
      <w:r w:rsidRPr="00CF4C80">
        <w:rPr>
          <w:lang w:val="en-US"/>
        </w:rPr>
        <w:lastRenderedPageBreak/>
        <w:t>integrate children’s rights, and are implemented in an accessible and child-friendly manner.</w:t>
      </w:r>
      <w:r>
        <w:rPr>
          <w:rStyle w:val="Fotnotsreferens"/>
          <w:lang w:val="en-US"/>
        </w:rPr>
        <w:footnoteReference w:id="18"/>
      </w:r>
    </w:p>
    <w:p w14:paraId="3E5AF5EA" w14:textId="77777777" w:rsidR="001231A8" w:rsidRPr="001231A8" w:rsidRDefault="001231A8" w:rsidP="001231A8">
      <w:pPr>
        <w:rPr>
          <w:rFonts w:eastAsiaTheme="minorEastAsia"/>
          <w:b/>
          <w:bCs/>
        </w:rPr>
      </w:pPr>
    </w:p>
    <w:p w14:paraId="652D9461" w14:textId="77777777" w:rsidR="00546B74" w:rsidRPr="00F42CFC" w:rsidRDefault="00546B74" w:rsidP="00546B74">
      <w:pPr>
        <w:keepNext/>
        <w:keepLines/>
        <w:spacing w:before="40"/>
        <w:outlineLvl w:val="1"/>
        <w:rPr>
          <w:rFonts w:eastAsiaTheme="minorEastAsia" w:cstheme="majorBidi"/>
          <w:b/>
          <w:color w:val="E1251B" w:themeColor="accent1"/>
          <w:szCs w:val="22"/>
          <w:u w:val="single"/>
        </w:rPr>
      </w:pPr>
      <w:r w:rsidRPr="00F42CFC">
        <w:rPr>
          <w:rFonts w:eastAsiaTheme="minorEastAsia" w:cstheme="majorBidi"/>
          <w:b/>
          <w:color w:val="E1251B" w:themeColor="accent1"/>
          <w:szCs w:val="22"/>
          <w:u w:val="single"/>
        </w:rPr>
        <w:t>Corporate responsibility to respect human rights</w:t>
      </w:r>
    </w:p>
    <w:p w14:paraId="20A22847" w14:textId="77777777" w:rsidR="00546B74" w:rsidRPr="00F42CFC" w:rsidRDefault="00546B74" w:rsidP="00546B74">
      <w:pPr>
        <w:ind w:left="720"/>
        <w:contextualSpacing/>
        <w:rPr>
          <w:rFonts w:eastAsiaTheme="minorHAnsi" w:cstheme="minorBidi"/>
          <w:szCs w:val="22"/>
        </w:rPr>
      </w:pPr>
    </w:p>
    <w:p w14:paraId="07EFF9DF" w14:textId="77777777" w:rsidR="00546B74" w:rsidRPr="00F42CFC" w:rsidRDefault="00546B74" w:rsidP="00546B74">
      <w:pPr>
        <w:pStyle w:val="Liststycke"/>
        <w:numPr>
          <w:ilvl w:val="0"/>
          <w:numId w:val="22"/>
        </w:numPr>
        <w:rPr>
          <w:rFonts w:eastAsiaTheme="minorEastAsia"/>
          <w:b/>
          <w:bCs/>
          <w:lang w:val="en-GB"/>
        </w:rPr>
      </w:pPr>
      <w:r w:rsidRPr="00F42CFC">
        <w:rPr>
          <w:rFonts w:eastAsiaTheme="minorEastAsia"/>
          <w:b/>
          <w:bCs/>
          <w:lang w:val="en-GB"/>
        </w:rPr>
        <w:t>How should investors take gender-responsive, disability-responsive, and intersectional-responsive approaches? How should investors take a heightened human rights due diligence approach in conflict affected areas?</w:t>
      </w:r>
    </w:p>
    <w:p w14:paraId="7C95D53F" w14:textId="77777777" w:rsidR="001239D4" w:rsidRDefault="00884987" w:rsidP="004A6CD0">
      <w:pPr>
        <w:ind w:left="720"/>
        <w:rPr>
          <w:szCs w:val="22"/>
        </w:rPr>
      </w:pPr>
      <w:r w:rsidRPr="00884987">
        <w:rPr>
          <w:szCs w:val="22"/>
        </w:rPr>
        <w:t xml:space="preserve">Investors must understand </w:t>
      </w:r>
      <w:r w:rsidR="00546B74" w:rsidRPr="00F42CFC">
        <w:rPr>
          <w:szCs w:val="22"/>
        </w:rPr>
        <w:t>that implementation mechanisms that are designed to</w:t>
      </w:r>
      <w:r w:rsidR="007B70A4">
        <w:rPr>
          <w:szCs w:val="22"/>
        </w:rPr>
        <w:t xml:space="preserve"> leave no one</w:t>
      </w:r>
      <w:r w:rsidR="004923C1">
        <w:rPr>
          <w:szCs w:val="22"/>
        </w:rPr>
        <w:t xml:space="preserve"> behind by placing those most impacted by inequality and </w:t>
      </w:r>
      <w:r w:rsidR="0040779C">
        <w:rPr>
          <w:szCs w:val="22"/>
        </w:rPr>
        <w:t>discrimination –</w:t>
      </w:r>
      <w:r w:rsidR="00546B74" w:rsidRPr="00F42CFC">
        <w:rPr>
          <w:szCs w:val="22"/>
        </w:rPr>
        <w:t xml:space="preserve"> including children – front and centre are mechanisms that work for all. </w:t>
      </w:r>
    </w:p>
    <w:p w14:paraId="07D4C79D" w14:textId="77777777" w:rsidR="002E1B01" w:rsidRDefault="002E1B01" w:rsidP="004A6CD0">
      <w:pPr>
        <w:ind w:left="720"/>
        <w:rPr>
          <w:szCs w:val="22"/>
        </w:rPr>
      </w:pPr>
    </w:p>
    <w:p w14:paraId="38FCB7EE" w14:textId="7357BC04" w:rsidR="00546B74" w:rsidRPr="00F42CFC" w:rsidRDefault="00A47CC4" w:rsidP="004A6CD0">
      <w:pPr>
        <w:ind w:left="720"/>
        <w:rPr>
          <w:rFonts w:eastAsiaTheme="minorEastAsia"/>
          <w:b/>
          <w:bCs/>
          <w:szCs w:val="22"/>
        </w:rPr>
      </w:pPr>
      <w:r w:rsidRPr="00A47CC4">
        <w:rPr>
          <w:szCs w:val="22"/>
        </w:rPr>
        <w:t xml:space="preserve">An intersectional-responsive approach does not treat power differentials such as gender or disability as </w:t>
      </w:r>
      <w:r w:rsidR="0040779C" w:rsidRPr="00A47CC4">
        <w:rPr>
          <w:szCs w:val="22"/>
        </w:rPr>
        <w:t>exceptions requiring</w:t>
      </w:r>
      <w:r>
        <w:rPr>
          <w:szCs w:val="22"/>
        </w:rPr>
        <w:t xml:space="preserve"> </w:t>
      </w:r>
      <w:r w:rsidR="00546B74" w:rsidRPr="00F42CFC">
        <w:rPr>
          <w:szCs w:val="22"/>
        </w:rPr>
        <w:t xml:space="preserve">special </w:t>
      </w:r>
      <w:r w:rsidR="009C1636" w:rsidRPr="00F42CFC">
        <w:rPr>
          <w:szCs w:val="22"/>
        </w:rPr>
        <w:t>provisions but</w:t>
      </w:r>
      <w:r w:rsidR="0036143A" w:rsidRPr="0036143A">
        <w:rPr>
          <w:szCs w:val="22"/>
        </w:rPr>
        <w:t xml:space="preserve"> understands that mechanisms designed to include those most at risk of inequality and discrimination are a standard operating model requirement. </w:t>
      </w:r>
      <w:r w:rsidR="008C47E4">
        <w:rPr>
          <w:szCs w:val="22"/>
        </w:rPr>
        <w:t>Such a model would then</w:t>
      </w:r>
      <w:r w:rsidR="00546B74" w:rsidRPr="00F42CFC">
        <w:rPr>
          <w:szCs w:val="22"/>
        </w:rPr>
        <w:t xml:space="preserve"> include children, women, persons with disabilities, indigenous peoples, national and ethnic minorities, religious and linguistic minorities, migrant workers and their families, and informal workers.</w:t>
      </w:r>
      <w:r w:rsidR="00357DE2">
        <w:rPr>
          <w:rStyle w:val="Fotnotsreferens"/>
          <w:szCs w:val="22"/>
        </w:rPr>
        <w:footnoteReference w:id="19"/>
      </w:r>
    </w:p>
    <w:p w14:paraId="52290106" w14:textId="77777777" w:rsidR="00546B74" w:rsidRPr="00F42CFC" w:rsidRDefault="00546B74" w:rsidP="00546B74">
      <w:pPr>
        <w:ind w:left="720"/>
        <w:contextualSpacing/>
        <w:rPr>
          <w:rFonts w:eastAsiaTheme="minorHAnsi" w:cstheme="minorBidi"/>
          <w:b/>
          <w:bCs/>
          <w:szCs w:val="22"/>
        </w:rPr>
      </w:pPr>
    </w:p>
    <w:p w14:paraId="0A1932AD" w14:textId="6F5A40D6" w:rsidR="00546B74" w:rsidRDefault="005244D6" w:rsidP="00546B74">
      <w:pPr>
        <w:ind w:left="720"/>
        <w:contextualSpacing/>
        <w:rPr>
          <w:rFonts w:eastAsiaTheme="minorHAnsi" w:cstheme="minorBidi"/>
          <w:szCs w:val="22"/>
        </w:rPr>
      </w:pPr>
      <w:r>
        <w:rPr>
          <w:rFonts w:eastAsiaTheme="minorHAnsi" w:cstheme="minorBidi"/>
          <w:szCs w:val="22"/>
        </w:rPr>
        <w:t>Universal</w:t>
      </w:r>
      <w:r w:rsidRPr="00F42CFC">
        <w:rPr>
          <w:rFonts w:eastAsiaTheme="minorHAnsi" w:cstheme="minorBidi"/>
          <w:szCs w:val="22"/>
        </w:rPr>
        <w:t xml:space="preserve"> </w:t>
      </w:r>
      <w:r w:rsidR="00546B74" w:rsidRPr="00F42CFC">
        <w:rPr>
          <w:rFonts w:eastAsiaTheme="minorHAnsi" w:cstheme="minorBidi"/>
          <w:szCs w:val="22"/>
        </w:rPr>
        <w:t xml:space="preserve">design measures should </w:t>
      </w:r>
      <w:r w:rsidR="00586721" w:rsidRPr="00586721">
        <w:rPr>
          <w:rFonts w:eastAsiaTheme="minorHAnsi" w:cstheme="minorBidi"/>
          <w:szCs w:val="22"/>
        </w:rPr>
        <w:t>be informed by intersectional, child-</w:t>
      </w:r>
      <w:r w:rsidR="0072713A" w:rsidRPr="00586721">
        <w:rPr>
          <w:rFonts w:eastAsiaTheme="minorHAnsi" w:cstheme="minorBidi"/>
          <w:szCs w:val="22"/>
        </w:rPr>
        <w:t>centred</w:t>
      </w:r>
      <w:r w:rsidR="0072713A">
        <w:rPr>
          <w:rFonts w:eastAsiaTheme="minorHAnsi" w:cstheme="minorBidi"/>
          <w:szCs w:val="22"/>
        </w:rPr>
        <w:t>,</w:t>
      </w:r>
      <w:r w:rsidR="00586721" w:rsidRPr="00586721">
        <w:rPr>
          <w:rFonts w:eastAsiaTheme="minorHAnsi" w:cstheme="minorBidi"/>
          <w:szCs w:val="22"/>
        </w:rPr>
        <w:t xml:space="preserve"> gender and power analysis and </w:t>
      </w:r>
      <w:r w:rsidR="00546B74" w:rsidRPr="00F42CFC">
        <w:rPr>
          <w:rFonts w:eastAsiaTheme="minorHAnsi" w:cstheme="minorBidi"/>
          <w:szCs w:val="22"/>
        </w:rPr>
        <w:t xml:space="preserve">include explicit reference to relevant </w:t>
      </w:r>
      <w:r w:rsidR="002A7BD1">
        <w:rPr>
          <w:rFonts w:eastAsiaTheme="minorHAnsi" w:cstheme="minorBidi"/>
          <w:szCs w:val="22"/>
        </w:rPr>
        <w:t>international human rights frameworks</w:t>
      </w:r>
      <w:r w:rsidR="00546B74" w:rsidRPr="00F42CFC">
        <w:rPr>
          <w:rFonts w:eastAsiaTheme="minorHAnsi" w:cstheme="minorBidi"/>
          <w:szCs w:val="22"/>
        </w:rPr>
        <w:t>, such as the</w:t>
      </w:r>
      <w:r w:rsidR="00C518EE">
        <w:rPr>
          <w:rFonts w:eastAsiaTheme="minorHAnsi" w:cstheme="minorBidi"/>
          <w:szCs w:val="22"/>
        </w:rPr>
        <w:t xml:space="preserve"> UN</w:t>
      </w:r>
      <w:r w:rsidR="00546B74" w:rsidRPr="00F42CFC">
        <w:rPr>
          <w:rFonts w:eastAsiaTheme="minorHAnsi" w:cstheme="minorBidi"/>
          <w:szCs w:val="22"/>
        </w:rPr>
        <w:t xml:space="preserve"> </w:t>
      </w:r>
      <w:hyperlink r:id="rId13" w:history="1">
        <w:r w:rsidR="00546B74" w:rsidRPr="00F42CFC">
          <w:rPr>
            <w:rStyle w:val="Hyperlnk"/>
            <w:rFonts w:eastAsiaTheme="minorHAnsi" w:cstheme="minorBidi"/>
            <w:szCs w:val="22"/>
          </w:rPr>
          <w:t>Convention on the Rights of the Child</w:t>
        </w:r>
      </w:hyperlink>
      <w:r w:rsidR="00247F02">
        <w:rPr>
          <w:rFonts w:eastAsiaTheme="minorHAnsi" w:cstheme="minorBidi"/>
          <w:szCs w:val="22"/>
        </w:rPr>
        <w:t xml:space="preserve">, </w:t>
      </w:r>
      <w:r w:rsidR="00C518EE">
        <w:rPr>
          <w:rFonts w:eastAsiaTheme="minorHAnsi" w:cstheme="minorBidi"/>
          <w:szCs w:val="22"/>
        </w:rPr>
        <w:t xml:space="preserve">UN </w:t>
      </w:r>
      <w:hyperlink r:id="rId14" w:history="1">
        <w:r w:rsidR="00247F02" w:rsidRPr="00FA7BF8">
          <w:rPr>
            <w:rStyle w:val="Hyperlnk"/>
            <w:rFonts w:eastAsiaTheme="minorHAnsi" w:cstheme="minorBidi"/>
            <w:szCs w:val="22"/>
          </w:rPr>
          <w:t>Convention on the Rights of Persons with Disabilities</w:t>
        </w:r>
      </w:hyperlink>
      <w:r w:rsidR="002A7BD1">
        <w:rPr>
          <w:rStyle w:val="Hyperlnk"/>
          <w:rFonts w:eastAsiaTheme="minorHAnsi" w:cstheme="minorBidi"/>
          <w:szCs w:val="22"/>
        </w:rPr>
        <w:t>,</w:t>
      </w:r>
      <w:r w:rsidR="00FA5160">
        <w:rPr>
          <w:rFonts w:eastAsiaTheme="minorHAnsi" w:cstheme="minorBidi"/>
          <w:szCs w:val="22"/>
        </w:rPr>
        <w:t xml:space="preserve"> </w:t>
      </w:r>
      <w:r w:rsidR="00FA5160" w:rsidRPr="00F42CFC">
        <w:rPr>
          <w:rFonts w:eastAsiaTheme="minorHAnsi" w:cstheme="minorBidi"/>
          <w:szCs w:val="22"/>
        </w:rPr>
        <w:t>the UNGPs</w:t>
      </w:r>
      <w:r w:rsidR="00FA5160">
        <w:rPr>
          <w:rFonts w:eastAsiaTheme="minorHAnsi" w:cstheme="minorBidi"/>
          <w:szCs w:val="22"/>
        </w:rPr>
        <w:t>,</w:t>
      </w:r>
      <w:r w:rsidR="00FA5160" w:rsidRPr="00F42CFC" w:rsidDel="002A7BD1">
        <w:rPr>
          <w:rFonts w:eastAsiaTheme="minorHAnsi" w:cstheme="minorBidi"/>
          <w:szCs w:val="22"/>
        </w:rPr>
        <w:t xml:space="preserve"> </w:t>
      </w:r>
      <w:r w:rsidR="00546B74" w:rsidRPr="00F42CFC">
        <w:rPr>
          <w:rFonts w:eastAsiaTheme="minorHAnsi" w:cstheme="minorBidi"/>
          <w:szCs w:val="22"/>
        </w:rPr>
        <w:t xml:space="preserve"> ILO Conventions</w:t>
      </w:r>
      <w:r w:rsidR="002A7BD1">
        <w:rPr>
          <w:rFonts w:eastAsiaTheme="minorHAnsi" w:cstheme="minorBidi"/>
          <w:szCs w:val="22"/>
        </w:rPr>
        <w:t>,</w:t>
      </w:r>
      <w:r w:rsidR="00C518EE" w:rsidRPr="00F42CFC">
        <w:rPr>
          <w:rFonts w:eastAsiaTheme="minorHAnsi" w:cstheme="minorBidi"/>
          <w:szCs w:val="22"/>
        </w:rPr>
        <w:t xml:space="preserve"> and</w:t>
      </w:r>
      <w:r w:rsidR="00C9655B">
        <w:rPr>
          <w:rFonts w:eastAsiaTheme="minorHAnsi" w:cstheme="minorBidi"/>
          <w:szCs w:val="22"/>
        </w:rPr>
        <w:t xml:space="preserve"> </w:t>
      </w:r>
      <w:r w:rsidR="002A7BD1">
        <w:rPr>
          <w:rFonts w:eastAsiaTheme="minorHAnsi" w:cstheme="minorBidi"/>
          <w:szCs w:val="22"/>
        </w:rPr>
        <w:t xml:space="preserve">voluntary initiatives such as </w:t>
      </w:r>
      <w:r w:rsidR="00C518EE" w:rsidRPr="00F42CFC">
        <w:rPr>
          <w:rFonts w:eastAsiaTheme="minorHAnsi" w:cstheme="minorBidi"/>
          <w:szCs w:val="22"/>
        </w:rPr>
        <w:t>the CRBPs</w:t>
      </w:r>
      <w:r w:rsidR="00546B74" w:rsidRPr="00F42CFC">
        <w:rPr>
          <w:rFonts w:eastAsiaTheme="minorHAnsi" w:cstheme="minorBidi"/>
          <w:szCs w:val="22"/>
        </w:rPr>
        <w:t>.</w:t>
      </w:r>
      <w:r w:rsidR="00866B1F" w:rsidRPr="00F42CFC">
        <w:rPr>
          <w:rStyle w:val="Fotnotsreferens"/>
          <w:rFonts w:eastAsiaTheme="minorHAnsi" w:cstheme="minorBidi"/>
          <w:szCs w:val="22"/>
        </w:rPr>
        <w:footnoteReference w:id="20"/>
      </w:r>
    </w:p>
    <w:p w14:paraId="6A4A88AD" w14:textId="77777777" w:rsidR="002650CE" w:rsidRDefault="002650CE" w:rsidP="00546B74">
      <w:pPr>
        <w:ind w:left="720"/>
        <w:contextualSpacing/>
        <w:rPr>
          <w:rFonts w:eastAsiaTheme="minorHAnsi" w:cstheme="minorBidi"/>
          <w:szCs w:val="22"/>
        </w:rPr>
      </w:pPr>
    </w:p>
    <w:p w14:paraId="2F81E599" w14:textId="1B525181" w:rsidR="002650CE" w:rsidRPr="00171AD3" w:rsidRDefault="002650CE" w:rsidP="00546B74">
      <w:pPr>
        <w:ind w:left="720"/>
        <w:contextualSpacing/>
        <w:rPr>
          <w:rFonts w:eastAsiaTheme="minorHAnsi" w:cstheme="minorBidi"/>
          <w:b/>
          <w:bCs/>
          <w:szCs w:val="22"/>
        </w:rPr>
      </w:pPr>
      <w:r w:rsidRPr="00171AD3">
        <w:rPr>
          <w:rFonts w:eastAsiaTheme="minorHAnsi" w:cstheme="minorBidi"/>
          <w:b/>
          <w:bCs/>
          <w:szCs w:val="22"/>
        </w:rPr>
        <w:t>Recommendation:</w:t>
      </w:r>
    </w:p>
    <w:p w14:paraId="5F331E16" w14:textId="77777777" w:rsidR="002650CE" w:rsidRDefault="002650CE" w:rsidP="00546B74">
      <w:pPr>
        <w:ind w:left="720"/>
        <w:contextualSpacing/>
        <w:rPr>
          <w:rFonts w:eastAsiaTheme="minorHAnsi" w:cstheme="minorBidi"/>
          <w:szCs w:val="22"/>
        </w:rPr>
      </w:pPr>
    </w:p>
    <w:p w14:paraId="36A51B76" w14:textId="17132E07" w:rsidR="002650CE" w:rsidRPr="002650CE" w:rsidRDefault="00783D3C" w:rsidP="002650CE">
      <w:pPr>
        <w:pStyle w:val="Liststycke"/>
        <w:numPr>
          <w:ilvl w:val="0"/>
          <w:numId w:val="31"/>
        </w:numPr>
        <w:rPr>
          <w:lang w:val="en-GB"/>
        </w:rPr>
      </w:pPr>
      <w:r w:rsidRPr="00783D3C">
        <w:rPr>
          <w:lang w:val="en-US"/>
        </w:rPr>
        <w:t>Go</w:t>
      </w:r>
      <w:r>
        <w:rPr>
          <w:lang w:val="en-US"/>
        </w:rPr>
        <w:t>vernments and businesses should e</w:t>
      </w:r>
      <w:r w:rsidR="002650CE" w:rsidRPr="00783D3C">
        <w:rPr>
          <w:lang w:val="en-US"/>
        </w:rPr>
        <w:t xml:space="preserve">nsure that the </w:t>
      </w:r>
      <w:r w:rsidR="004E4E8D">
        <w:rPr>
          <w:lang w:val="en-US"/>
        </w:rPr>
        <w:t>universal</w:t>
      </w:r>
      <w:r w:rsidR="004E4E8D" w:rsidRPr="00783D3C">
        <w:rPr>
          <w:lang w:val="en-US"/>
        </w:rPr>
        <w:t xml:space="preserve"> </w:t>
      </w:r>
      <w:r w:rsidR="002650CE" w:rsidRPr="00783D3C">
        <w:rPr>
          <w:lang w:val="en-US"/>
        </w:rPr>
        <w:t xml:space="preserve">design standard of human rights and environmental due diligence and other mechanisms and processes for the integration of human rights into responsible business conduct capture the human rights of those most risk of </w:t>
      </w:r>
      <w:r w:rsidR="005E1D7B">
        <w:rPr>
          <w:lang w:val="en-US"/>
        </w:rPr>
        <w:t>inequality and discrimination</w:t>
      </w:r>
      <w:r w:rsidR="002650CE" w:rsidRPr="00783D3C">
        <w:rPr>
          <w:lang w:val="en-US"/>
        </w:rPr>
        <w:t xml:space="preserve">. </w:t>
      </w:r>
    </w:p>
    <w:p w14:paraId="079C3F4D" w14:textId="77777777" w:rsidR="00546B74" w:rsidRPr="00F42CFC" w:rsidRDefault="00546B74" w:rsidP="00546B74">
      <w:pPr>
        <w:spacing w:after="160" w:line="259" w:lineRule="auto"/>
        <w:ind w:left="720"/>
        <w:contextualSpacing/>
        <w:rPr>
          <w:rFonts w:eastAsiaTheme="minorEastAsia" w:cstheme="minorBidi"/>
          <w:b/>
          <w:bCs/>
          <w:szCs w:val="22"/>
        </w:rPr>
      </w:pPr>
    </w:p>
    <w:p w14:paraId="1035246C" w14:textId="77777777" w:rsidR="00546B74" w:rsidRPr="00F42CFC" w:rsidRDefault="00546B74" w:rsidP="00546B74">
      <w:pPr>
        <w:pStyle w:val="Rubrik2"/>
        <w:rPr>
          <w:rFonts w:eastAsiaTheme="minorEastAsia"/>
          <w:sz w:val="22"/>
          <w:szCs w:val="22"/>
          <w:u w:val="single"/>
        </w:rPr>
      </w:pPr>
      <w:r w:rsidRPr="00F42CFC">
        <w:rPr>
          <w:rFonts w:eastAsiaTheme="minorEastAsia"/>
          <w:sz w:val="22"/>
          <w:szCs w:val="22"/>
          <w:u w:val="single"/>
        </w:rPr>
        <w:t>Access to remedy: Non-State based mechanisms</w:t>
      </w:r>
    </w:p>
    <w:p w14:paraId="61C30698" w14:textId="77777777" w:rsidR="00546B74" w:rsidRPr="00F42CFC" w:rsidRDefault="00546B74" w:rsidP="00546B74">
      <w:pPr>
        <w:rPr>
          <w:rFonts w:eastAsiaTheme="minorEastAsia"/>
          <w:szCs w:val="22"/>
        </w:rPr>
      </w:pPr>
    </w:p>
    <w:p w14:paraId="11E0DA60" w14:textId="77777777" w:rsidR="00546B74" w:rsidRPr="00F42CFC" w:rsidRDefault="00546B74" w:rsidP="00546B74">
      <w:pPr>
        <w:pStyle w:val="Liststycke"/>
        <w:numPr>
          <w:ilvl w:val="0"/>
          <w:numId w:val="21"/>
        </w:numPr>
        <w:rPr>
          <w:rFonts w:eastAsiaTheme="minorEastAsia"/>
          <w:b/>
          <w:bCs/>
          <w:lang w:val="en-GB"/>
        </w:rPr>
      </w:pPr>
      <w:r w:rsidRPr="00F42CFC">
        <w:rPr>
          <w:rFonts w:eastAsiaTheme="minorEastAsia"/>
          <w:b/>
          <w:bCs/>
          <w:lang w:val="en-GB"/>
        </w:rPr>
        <w:t xml:space="preserve">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w:t>
      </w:r>
      <w:r w:rsidRPr="00F42CFC">
        <w:rPr>
          <w:rFonts w:eastAsiaTheme="minorEastAsia"/>
          <w:b/>
          <w:bCs/>
          <w:lang w:val="en-GB"/>
        </w:rPr>
        <w:lastRenderedPageBreak/>
        <w:t>effective are these in providing remedies to the victims? Please provide examples of business or industry association actions in this area.</w:t>
      </w:r>
    </w:p>
    <w:p w14:paraId="7A265097" w14:textId="77777777" w:rsidR="00546B74" w:rsidRPr="00F42CFC" w:rsidRDefault="00546B74" w:rsidP="00546B74">
      <w:pPr>
        <w:ind w:left="720"/>
        <w:rPr>
          <w:szCs w:val="22"/>
        </w:rPr>
      </w:pPr>
      <w:r w:rsidRPr="00F42CFC">
        <w:rPr>
          <w:szCs w:val="22"/>
        </w:rPr>
        <w:t xml:space="preserve">Building and strengthening legal and regulatory frameworks on business conduct – including through mandatory human rights and environmental due diligence laws – must go hand in hand with the development and implementation of mechanisms that are accessible to children and provide effective remedies for abuses of their rights by businesses. </w:t>
      </w:r>
    </w:p>
    <w:p w14:paraId="2AEEA825" w14:textId="77777777" w:rsidR="00546B74" w:rsidRPr="00F42CFC" w:rsidRDefault="00546B74" w:rsidP="00546B74">
      <w:pPr>
        <w:rPr>
          <w:szCs w:val="22"/>
        </w:rPr>
      </w:pPr>
    </w:p>
    <w:p w14:paraId="20B54D83" w14:textId="39112223" w:rsidR="00546B74" w:rsidRDefault="00C74C62" w:rsidP="00546B74">
      <w:pPr>
        <w:ind w:left="720"/>
        <w:rPr>
          <w:szCs w:val="22"/>
        </w:rPr>
      </w:pPr>
      <w:r w:rsidRPr="00F42CFC">
        <w:rPr>
          <w:rFonts w:eastAsiaTheme="minorEastAsia"/>
          <w:szCs w:val="22"/>
        </w:rPr>
        <w:t>F</w:t>
      </w:r>
      <w:r w:rsidR="00546B74" w:rsidRPr="00F42CFC">
        <w:rPr>
          <w:rFonts w:eastAsiaTheme="minorEastAsia"/>
          <w:szCs w:val="22"/>
        </w:rPr>
        <w:t>urthermore,</w:t>
      </w:r>
      <w:r w:rsidR="00546B74" w:rsidRPr="00F42CFC">
        <w:rPr>
          <w:rFonts w:eastAsiaTheme="minorEastAsia"/>
          <w:b/>
          <w:bCs/>
          <w:szCs w:val="22"/>
        </w:rPr>
        <w:t xml:space="preserve"> </w:t>
      </w:r>
      <w:r w:rsidR="00546B74" w:rsidRPr="00F42CFC">
        <w:rPr>
          <w:szCs w:val="22"/>
        </w:rPr>
        <w:t>early involvement, and participation of stakeholders, including children or their representatives, would lend legitimacy to company complaints mechanisms and contribute to mutual trust.</w:t>
      </w:r>
      <w:r w:rsidRPr="00F42CFC">
        <w:rPr>
          <w:rStyle w:val="Fotnotsreferens"/>
          <w:szCs w:val="22"/>
        </w:rPr>
        <w:footnoteReference w:id="21"/>
      </w:r>
    </w:p>
    <w:p w14:paraId="4947D60E" w14:textId="77777777" w:rsidR="00E94074" w:rsidRDefault="00E94074" w:rsidP="00546B74">
      <w:pPr>
        <w:ind w:left="720"/>
        <w:rPr>
          <w:szCs w:val="22"/>
        </w:rPr>
      </w:pPr>
    </w:p>
    <w:p w14:paraId="622ED9F1" w14:textId="1E92889C" w:rsidR="00E94074" w:rsidRDefault="00E94074" w:rsidP="00546B74">
      <w:pPr>
        <w:ind w:left="720"/>
        <w:rPr>
          <w:b/>
          <w:bCs/>
          <w:szCs w:val="22"/>
        </w:rPr>
      </w:pPr>
      <w:r w:rsidRPr="00E94074">
        <w:rPr>
          <w:b/>
          <w:bCs/>
          <w:szCs w:val="22"/>
        </w:rPr>
        <w:t xml:space="preserve">Recommendation: </w:t>
      </w:r>
    </w:p>
    <w:p w14:paraId="7EEFF2FF" w14:textId="77777777" w:rsidR="00B44A58" w:rsidRDefault="00B44A58" w:rsidP="00546B74">
      <w:pPr>
        <w:ind w:left="720"/>
        <w:rPr>
          <w:b/>
          <w:bCs/>
          <w:szCs w:val="22"/>
        </w:rPr>
      </w:pPr>
    </w:p>
    <w:p w14:paraId="61A3B0D3" w14:textId="1C63EDAF" w:rsidR="00B44A58" w:rsidRPr="00B44A58" w:rsidRDefault="00B44A58" w:rsidP="00546B74">
      <w:pPr>
        <w:ind w:left="720"/>
        <w:rPr>
          <w:b/>
          <w:bCs/>
        </w:rPr>
      </w:pPr>
      <w:r w:rsidRPr="00B44A58">
        <w:rPr>
          <w:b/>
          <w:bCs/>
        </w:rPr>
        <w:t>Remove barriers to children accessing remedy</w:t>
      </w:r>
      <w:r>
        <w:rPr>
          <w:b/>
          <w:bCs/>
        </w:rPr>
        <w:t>:</w:t>
      </w:r>
    </w:p>
    <w:p w14:paraId="46E09353" w14:textId="77777777" w:rsidR="00DC2F6B" w:rsidRPr="00DC2F6B" w:rsidRDefault="00DC2F6B" w:rsidP="00DC2F6B">
      <w:pPr>
        <w:rPr>
          <w:rFonts w:eastAsiaTheme="minorEastAsia"/>
          <w:b/>
          <w:bCs/>
        </w:rPr>
      </w:pPr>
    </w:p>
    <w:p w14:paraId="420E20C4" w14:textId="799AE8C4" w:rsidR="00546B74" w:rsidRPr="008E5286" w:rsidRDefault="008E5286" w:rsidP="008E5286">
      <w:pPr>
        <w:pStyle w:val="Liststycke"/>
        <w:numPr>
          <w:ilvl w:val="0"/>
          <w:numId w:val="31"/>
        </w:numPr>
        <w:rPr>
          <w:rFonts w:eastAsiaTheme="minorEastAsia"/>
          <w:b/>
          <w:bCs/>
          <w:lang w:val="en-GB"/>
        </w:rPr>
      </w:pPr>
      <w:r w:rsidRPr="008E5286">
        <w:rPr>
          <w:lang w:val="en-US"/>
        </w:rPr>
        <w:t>Ensuring access to justice and legal remedies are fully accessible to children and are child-sensitive, in compliance with international standards.</w:t>
      </w:r>
      <w:r>
        <w:rPr>
          <w:rStyle w:val="Fotnotsreferens"/>
          <w:lang w:val="en-US"/>
        </w:rPr>
        <w:footnoteReference w:id="22"/>
      </w:r>
    </w:p>
    <w:p w14:paraId="56FE1F1F" w14:textId="77777777" w:rsidR="007B4A9A" w:rsidRPr="00F42CFC" w:rsidRDefault="007B4A9A" w:rsidP="00546B74">
      <w:pPr>
        <w:spacing w:line="259" w:lineRule="auto"/>
        <w:ind w:left="720"/>
        <w:contextualSpacing/>
        <w:rPr>
          <w:rFonts w:eastAsiaTheme="minorEastAsia" w:cstheme="minorBidi"/>
          <w:b/>
          <w:bCs/>
          <w:szCs w:val="22"/>
        </w:rPr>
      </w:pPr>
    </w:p>
    <w:p w14:paraId="330BC809" w14:textId="77777777" w:rsidR="00546B74" w:rsidRPr="00F42CFC" w:rsidRDefault="00546B74" w:rsidP="00546B74">
      <w:pPr>
        <w:keepNext/>
        <w:keepLines/>
        <w:spacing w:before="40"/>
        <w:outlineLvl w:val="1"/>
        <w:rPr>
          <w:rFonts w:eastAsiaTheme="minorEastAsia" w:cstheme="majorBidi"/>
          <w:b/>
          <w:color w:val="E1251B" w:themeColor="accent1"/>
          <w:szCs w:val="22"/>
          <w:u w:val="single"/>
        </w:rPr>
      </w:pPr>
      <w:bookmarkStart w:id="1" w:name="_Hlk145307456"/>
      <w:r w:rsidRPr="00F42CFC">
        <w:rPr>
          <w:rFonts w:eastAsiaTheme="minorEastAsia" w:cstheme="majorBidi"/>
          <w:b/>
          <w:color w:val="E1251B" w:themeColor="accent1"/>
          <w:szCs w:val="22"/>
          <w:u w:val="single"/>
        </w:rPr>
        <w:t>Good practices</w:t>
      </w:r>
    </w:p>
    <w:p w14:paraId="6605CA06" w14:textId="77777777" w:rsidR="00546B74" w:rsidRPr="00F42CFC" w:rsidRDefault="00546B74" w:rsidP="00546B74">
      <w:pPr>
        <w:keepNext/>
        <w:keepLines/>
        <w:spacing w:before="40"/>
        <w:outlineLvl w:val="1"/>
        <w:rPr>
          <w:rFonts w:eastAsiaTheme="minorEastAsia" w:cstheme="majorBidi"/>
          <w:bCs/>
          <w:color w:val="E1251B" w:themeColor="accent1"/>
          <w:szCs w:val="22"/>
        </w:rPr>
      </w:pPr>
    </w:p>
    <w:bookmarkEnd w:id="1"/>
    <w:p w14:paraId="07243055" w14:textId="77777777" w:rsidR="00546B74" w:rsidRDefault="00546B74" w:rsidP="00546B74">
      <w:pPr>
        <w:pStyle w:val="Liststycke"/>
        <w:numPr>
          <w:ilvl w:val="0"/>
          <w:numId w:val="21"/>
        </w:numPr>
        <w:rPr>
          <w:rFonts w:eastAsiaTheme="minorEastAsia"/>
          <w:b/>
          <w:bCs/>
          <w:lang w:val="en-GB"/>
        </w:rPr>
      </w:pPr>
      <w:r w:rsidRPr="00F42CFC">
        <w:rPr>
          <w:rFonts w:eastAsiaTheme="minorEastAsia"/>
          <w:b/>
          <w:bCs/>
          <w:lang w:val="en-GB"/>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6ED83293" w14:textId="77777777" w:rsidR="00C75B77" w:rsidRPr="00F42CFC" w:rsidRDefault="00C75B77" w:rsidP="00C75B77">
      <w:pPr>
        <w:pStyle w:val="Liststycke"/>
        <w:rPr>
          <w:rFonts w:eastAsiaTheme="minorEastAsia"/>
          <w:b/>
          <w:bCs/>
          <w:lang w:val="en-GB"/>
        </w:rPr>
      </w:pPr>
    </w:p>
    <w:p w14:paraId="2BA4C742" w14:textId="4FA90304" w:rsidR="00546B74" w:rsidRPr="00F42CFC" w:rsidRDefault="2CF4326D" w:rsidP="0A96F5A2">
      <w:pPr>
        <w:pStyle w:val="Liststycke"/>
        <w:numPr>
          <w:ilvl w:val="0"/>
          <w:numId w:val="23"/>
        </w:numPr>
        <w:rPr>
          <w:lang w:val="en-GB"/>
        </w:rPr>
      </w:pPr>
      <w:r w:rsidRPr="00F42CFC">
        <w:rPr>
          <w:lang w:val="en-GB"/>
        </w:rPr>
        <w:t xml:space="preserve">The </w:t>
      </w:r>
      <w:r w:rsidRPr="00F42CFC">
        <w:rPr>
          <w:b/>
          <w:bCs/>
          <w:lang w:val="en-GB"/>
        </w:rPr>
        <w:t>Dutch Association of Investors for Sustainable Development (VBDO)</w:t>
      </w:r>
      <w:r w:rsidRPr="00F42CFC">
        <w:rPr>
          <w:lang w:val="en-GB"/>
        </w:rPr>
        <w:t xml:space="preserve"> has collaborated with the Work: No Child’s Business Alliance to analyse child labour and the approach of Dutch institutional investors. Significantly, they found that while engagement with companies on remedy and prevention of child labour is regarded as the most effective strategy, exclusion from investment was the most widely used approach. </w:t>
      </w:r>
      <w:r w:rsidR="0037576A">
        <w:rPr>
          <w:rStyle w:val="Fotnotsreferens"/>
          <w:lang w:val="en-GB"/>
        </w:rPr>
        <w:footnoteReference w:id="23"/>
      </w:r>
    </w:p>
    <w:p w14:paraId="5BF9A7E2" w14:textId="2D052CD0" w:rsidR="000F0FB4" w:rsidRPr="00F42CFC" w:rsidRDefault="000F0FB4" w:rsidP="00DD0D8D">
      <w:pPr>
        <w:rPr>
          <w:szCs w:val="22"/>
        </w:rPr>
      </w:pPr>
    </w:p>
    <w:p w14:paraId="677D7C99" w14:textId="48DA5F64" w:rsidR="00546B74" w:rsidRDefault="00546B74" w:rsidP="00546B74">
      <w:pPr>
        <w:pStyle w:val="Liststycke"/>
        <w:numPr>
          <w:ilvl w:val="0"/>
          <w:numId w:val="21"/>
        </w:numPr>
        <w:rPr>
          <w:b/>
          <w:bCs/>
          <w:lang w:val="en-GB"/>
        </w:rPr>
      </w:pPr>
      <w:r w:rsidRPr="00F42CFC">
        <w:rPr>
          <w:b/>
          <w:bCs/>
          <w:lang w:val="en-GB"/>
        </w:rPr>
        <w:t>Are there any specific recommendations to States, businesses (including investors), civil society, UN bodies and National Human Rights Institutions that would assist in ensuring that act compatibly with the UNGPs?</w:t>
      </w:r>
    </w:p>
    <w:p w14:paraId="6F81BD8C" w14:textId="77777777" w:rsidR="002915F9" w:rsidRPr="00F42CFC" w:rsidRDefault="002915F9" w:rsidP="002915F9">
      <w:pPr>
        <w:pStyle w:val="Liststycke"/>
        <w:rPr>
          <w:b/>
          <w:bCs/>
          <w:lang w:val="en-GB"/>
        </w:rPr>
      </w:pPr>
    </w:p>
    <w:p w14:paraId="52F2D4CB" w14:textId="5FD2961C" w:rsidR="00546B74" w:rsidRDefault="002915F9" w:rsidP="00546B74">
      <w:pPr>
        <w:pStyle w:val="Liststycke"/>
        <w:rPr>
          <w:lang w:val="en-GB"/>
        </w:rPr>
      </w:pPr>
      <w:r w:rsidRPr="002915F9">
        <w:rPr>
          <w:lang w:val="en-GB"/>
        </w:rPr>
        <w:t xml:space="preserve">In addition to the recommendations listed in the responses above, further considerations </w:t>
      </w:r>
      <w:r w:rsidR="00A24E57">
        <w:rPr>
          <w:lang w:val="en-GB"/>
        </w:rPr>
        <w:t>include</w:t>
      </w:r>
      <w:r w:rsidRPr="002915F9">
        <w:rPr>
          <w:lang w:val="en-GB"/>
        </w:rPr>
        <w:t>:</w:t>
      </w:r>
    </w:p>
    <w:p w14:paraId="4BF5E3EF" w14:textId="77777777" w:rsidR="00196A8F" w:rsidRPr="002915F9" w:rsidRDefault="00196A8F" w:rsidP="00546B74">
      <w:pPr>
        <w:pStyle w:val="Liststycke"/>
        <w:rPr>
          <w:lang w:val="en-GB"/>
        </w:rPr>
      </w:pPr>
    </w:p>
    <w:p w14:paraId="25FCDCA2" w14:textId="792DBCA5" w:rsidR="00546B74" w:rsidRPr="00F42CFC" w:rsidRDefault="00546B74" w:rsidP="00546B74">
      <w:pPr>
        <w:pStyle w:val="Liststycke"/>
        <w:numPr>
          <w:ilvl w:val="0"/>
          <w:numId w:val="25"/>
        </w:numPr>
        <w:rPr>
          <w:b/>
          <w:bCs/>
          <w:lang w:val="en-GB"/>
        </w:rPr>
      </w:pPr>
      <w:r w:rsidRPr="00F42CFC">
        <w:rPr>
          <w:b/>
          <w:bCs/>
          <w:lang w:val="en-GB"/>
        </w:rPr>
        <w:lastRenderedPageBreak/>
        <w:t>National governments and regional institutions</w:t>
      </w:r>
      <w:r w:rsidRPr="00F42CFC">
        <w:rPr>
          <w:lang w:val="en-GB"/>
        </w:rPr>
        <w:t xml:space="preserve"> around the world should work towards introducing mandatory human rights and environmental due diligence, based on the standards defined </w:t>
      </w:r>
      <w:r w:rsidR="007A6FD5">
        <w:rPr>
          <w:lang w:val="en-GB"/>
        </w:rPr>
        <w:t>by</w:t>
      </w:r>
      <w:r w:rsidRPr="00F42CFC">
        <w:rPr>
          <w:lang w:val="en-GB"/>
        </w:rPr>
        <w:t xml:space="preserve"> the UNGPs, the OECD and the design standards for those at risk of </w:t>
      </w:r>
      <w:r w:rsidR="00392066">
        <w:rPr>
          <w:lang w:val="en-GB"/>
        </w:rPr>
        <w:t>inequality and discrimination</w:t>
      </w:r>
      <w:r w:rsidRPr="00F42CFC">
        <w:rPr>
          <w:lang w:val="en-GB"/>
        </w:rPr>
        <w:t>, including children.</w:t>
      </w:r>
    </w:p>
    <w:p w14:paraId="50AE7288" w14:textId="4C6CF632" w:rsidR="00E1286B" w:rsidRPr="00F42CFC" w:rsidRDefault="00E1286B" w:rsidP="00E1286B">
      <w:pPr>
        <w:pStyle w:val="Liststycke"/>
        <w:numPr>
          <w:ilvl w:val="0"/>
          <w:numId w:val="25"/>
        </w:numPr>
        <w:rPr>
          <w:b/>
          <w:bCs/>
          <w:lang w:val="en-GB"/>
        </w:rPr>
      </w:pPr>
      <w:r w:rsidRPr="00F42CFC">
        <w:rPr>
          <w:b/>
          <w:bCs/>
          <w:lang w:val="en-GB"/>
        </w:rPr>
        <w:t>Governments, businesses, investors and other relevant actors</w:t>
      </w:r>
      <w:r w:rsidRPr="00F42CFC">
        <w:rPr>
          <w:lang w:val="en-GB"/>
        </w:rPr>
        <w:t xml:space="preserve"> should be building-in systems to support the empowerment of children to participate in meaningful dialogue on issues that concern them</w:t>
      </w:r>
      <w:r w:rsidR="002D55C4" w:rsidRPr="00F42CFC">
        <w:rPr>
          <w:lang w:val="en-GB"/>
        </w:rPr>
        <w:t xml:space="preserve">. </w:t>
      </w:r>
    </w:p>
    <w:p w14:paraId="170993E2" w14:textId="01B745BA" w:rsidR="00ED58C8" w:rsidRPr="00F42CFC" w:rsidRDefault="0094274B" w:rsidP="00E1286B">
      <w:pPr>
        <w:pStyle w:val="Liststycke"/>
        <w:numPr>
          <w:ilvl w:val="0"/>
          <w:numId w:val="25"/>
        </w:numPr>
        <w:rPr>
          <w:b/>
          <w:bCs/>
          <w:lang w:val="en-GB"/>
        </w:rPr>
      </w:pPr>
      <w:r w:rsidRPr="000A694C">
        <w:rPr>
          <w:b/>
          <w:bCs/>
          <w:lang w:val="en-GB"/>
        </w:rPr>
        <w:t>Businesses</w:t>
      </w:r>
      <w:r>
        <w:rPr>
          <w:lang w:val="en-GB"/>
        </w:rPr>
        <w:t xml:space="preserve"> </w:t>
      </w:r>
      <w:r w:rsidR="0049701B">
        <w:rPr>
          <w:lang w:val="en-GB"/>
        </w:rPr>
        <w:t>have a lot to gain from pursuing socially responsible and sustainable business models, including in competitiveness, quality employee and loyal customer retention and longer-term business sustainability.</w:t>
      </w:r>
      <w:r w:rsidR="007E44F6" w:rsidRPr="007E44F6">
        <w:rPr>
          <w:b/>
          <w:bCs/>
          <w:lang w:val="en-GB"/>
        </w:rPr>
        <w:t xml:space="preserve"> </w:t>
      </w:r>
      <w:r w:rsidR="000C596A" w:rsidRPr="000C596A">
        <w:rPr>
          <w:lang w:val="en-GB"/>
        </w:rPr>
        <w:t>Also,</w:t>
      </w:r>
      <w:r w:rsidR="000C596A">
        <w:rPr>
          <w:b/>
          <w:bCs/>
          <w:lang w:val="en-GB"/>
        </w:rPr>
        <w:t xml:space="preserve"> </w:t>
      </w:r>
      <w:r w:rsidR="000C596A" w:rsidRPr="000A694C">
        <w:rPr>
          <w:lang w:val="en-GB"/>
        </w:rPr>
        <w:t>b</w:t>
      </w:r>
      <w:r w:rsidR="007E44F6" w:rsidRPr="000A694C">
        <w:rPr>
          <w:lang w:val="en-GB"/>
        </w:rPr>
        <w:t>usinesses</w:t>
      </w:r>
      <w:r w:rsidR="007E44F6" w:rsidRPr="00F42CFC">
        <w:rPr>
          <w:lang w:val="en-GB"/>
        </w:rPr>
        <w:t xml:space="preserve"> have an important role to play, through paying living wages, respecting workers’ rights and addressing impacts on human and children’s rights and the environment across their value chains.</w:t>
      </w:r>
    </w:p>
    <w:p w14:paraId="1B25CFDA" w14:textId="5E83D137" w:rsidR="00546B74" w:rsidRPr="00493251" w:rsidRDefault="00C1071E" w:rsidP="00B35572">
      <w:pPr>
        <w:pStyle w:val="Liststycke"/>
        <w:numPr>
          <w:ilvl w:val="0"/>
          <w:numId w:val="25"/>
        </w:numPr>
        <w:rPr>
          <w:b/>
          <w:bCs/>
          <w:lang w:val="en-GB"/>
        </w:rPr>
      </w:pPr>
      <w:r w:rsidRPr="00F42CFC">
        <w:rPr>
          <w:lang w:val="en-GB"/>
        </w:rPr>
        <w:t>More transparent, outcome-oriented</w:t>
      </w:r>
      <w:r w:rsidR="002C3A72">
        <w:rPr>
          <w:lang w:val="en-GB"/>
        </w:rPr>
        <w:t>,</w:t>
      </w:r>
      <w:r w:rsidRPr="00F42CFC">
        <w:rPr>
          <w:lang w:val="en-GB"/>
        </w:rPr>
        <w:t xml:space="preserve"> and consistent</w:t>
      </w:r>
      <w:r w:rsidR="00F96B30">
        <w:rPr>
          <w:lang w:val="en-GB"/>
        </w:rPr>
        <w:t xml:space="preserve"> ESG</w:t>
      </w:r>
      <w:r w:rsidRPr="00F42CFC">
        <w:rPr>
          <w:lang w:val="en-GB"/>
        </w:rPr>
        <w:t xml:space="preserve"> reporting helps </w:t>
      </w:r>
      <w:r w:rsidRPr="00F42CFC">
        <w:rPr>
          <w:b/>
          <w:bCs/>
          <w:lang w:val="en-GB"/>
        </w:rPr>
        <w:t>consumers and investors</w:t>
      </w:r>
      <w:r w:rsidRPr="00F42CFC">
        <w:rPr>
          <w:lang w:val="en-GB"/>
        </w:rPr>
        <w:t xml:space="preserve"> to make better informed decisions and creates incentives for more responsible business.</w:t>
      </w:r>
      <w:r w:rsidR="00D85CF4" w:rsidRPr="00F42CFC">
        <w:rPr>
          <w:rStyle w:val="Fotnotsreferens"/>
          <w:lang w:val="en-GB"/>
        </w:rPr>
        <w:footnoteReference w:id="24"/>
      </w:r>
    </w:p>
    <w:p w14:paraId="49B6CC36" w14:textId="77777777" w:rsidR="00493251" w:rsidRDefault="00493251" w:rsidP="00493251">
      <w:pPr>
        <w:rPr>
          <w:b/>
          <w:bCs/>
        </w:rPr>
      </w:pPr>
    </w:p>
    <w:p w14:paraId="2D4985B2" w14:textId="77777777" w:rsidR="00493251" w:rsidRDefault="00493251" w:rsidP="00493251">
      <w:pPr>
        <w:rPr>
          <w:b/>
          <w:bCs/>
        </w:rPr>
      </w:pPr>
    </w:p>
    <w:p w14:paraId="63FA47AF" w14:textId="77777777" w:rsidR="00493251" w:rsidRDefault="00493251" w:rsidP="00493251">
      <w:pPr>
        <w:rPr>
          <w:b/>
          <w:bCs/>
        </w:rPr>
      </w:pPr>
    </w:p>
    <w:p w14:paraId="07F5AD2E" w14:textId="77777777" w:rsidR="00493251" w:rsidRDefault="00493251" w:rsidP="00493251">
      <w:pPr>
        <w:rPr>
          <w:b/>
          <w:bCs/>
        </w:rPr>
      </w:pPr>
    </w:p>
    <w:p w14:paraId="0B1B6A3D" w14:textId="77777777" w:rsidR="00493251" w:rsidRDefault="00493251" w:rsidP="00493251">
      <w:pPr>
        <w:rPr>
          <w:b/>
          <w:bCs/>
        </w:rPr>
      </w:pPr>
    </w:p>
    <w:p w14:paraId="39FAA894" w14:textId="77777777" w:rsidR="00493251" w:rsidRDefault="00493251" w:rsidP="00493251">
      <w:pPr>
        <w:rPr>
          <w:b/>
          <w:bCs/>
        </w:rPr>
      </w:pPr>
    </w:p>
    <w:p w14:paraId="16C03358" w14:textId="77777777" w:rsidR="00493251" w:rsidRDefault="00493251" w:rsidP="00493251">
      <w:pPr>
        <w:rPr>
          <w:b/>
          <w:bCs/>
        </w:rPr>
      </w:pPr>
    </w:p>
    <w:p w14:paraId="1C9DD3E1" w14:textId="77777777" w:rsidR="00493251" w:rsidRDefault="00493251" w:rsidP="00493251">
      <w:pPr>
        <w:rPr>
          <w:b/>
          <w:bCs/>
        </w:rPr>
      </w:pPr>
    </w:p>
    <w:p w14:paraId="4AA7C114" w14:textId="77777777" w:rsidR="00493251" w:rsidRDefault="00493251" w:rsidP="00493251">
      <w:pPr>
        <w:rPr>
          <w:b/>
          <w:bCs/>
        </w:rPr>
      </w:pPr>
    </w:p>
    <w:p w14:paraId="5632DE25" w14:textId="77777777" w:rsidR="00493251" w:rsidRDefault="00493251" w:rsidP="00493251">
      <w:pPr>
        <w:rPr>
          <w:b/>
          <w:bCs/>
        </w:rPr>
      </w:pPr>
    </w:p>
    <w:p w14:paraId="0C40FC50" w14:textId="77777777" w:rsidR="00493251" w:rsidRDefault="00493251" w:rsidP="00493251">
      <w:pPr>
        <w:rPr>
          <w:b/>
          <w:bCs/>
        </w:rPr>
      </w:pPr>
    </w:p>
    <w:p w14:paraId="383A639A" w14:textId="77777777" w:rsidR="00493251" w:rsidRDefault="00493251" w:rsidP="00493251">
      <w:pPr>
        <w:rPr>
          <w:b/>
          <w:bCs/>
        </w:rPr>
      </w:pPr>
    </w:p>
    <w:p w14:paraId="68EA94FC" w14:textId="77777777" w:rsidR="00493251" w:rsidRDefault="00493251" w:rsidP="00493251">
      <w:pPr>
        <w:rPr>
          <w:b/>
          <w:bCs/>
        </w:rPr>
      </w:pPr>
    </w:p>
    <w:p w14:paraId="7E4141F9" w14:textId="77777777" w:rsidR="00493251" w:rsidRDefault="00493251" w:rsidP="00493251">
      <w:pPr>
        <w:rPr>
          <w:b/>
          <w:bCs/>
        </w:rPr>
      </w:pPr>
    </w:p>
    <w:p w14:paraId="42AB70F3" w14:textId="77777777" w:rsidR="00493251" w:rsidRDefault="00493251" w:rsidP="00493251">
      <w:pPr>
        <w:rPr>
          <w:b/>
          <w:bCs/>
        </w:rPr>
      </w:pPr>
    </w:p>
    <w:p w14:paraId="47934679" w14:textId="77777777" w:rsidR="00493251" w:rsidRDefault="00493251" w:rsidP="00493251">
      <w:pPr>
        <w:rPr>
          <w:b/>
          <w:bCs/>
        </w:rPr>
      </w:pPr>
    </w:p>
    <w:p w14:paraId="3799964A" w14:textId="77777777" w:rsidR="00493251" w:rsidRDefault="00493251" w:rsidP="00493251">
      <w:pPr>
        <w:rPr>
          <w:b/>
          <w:bCs/>
        </w:rPr>
      </w:pPr>
    </w:p>
    <w:p w14:paraId="73AD5973" w14:textId="77777777" w:rsidR="00493251" w:rsidRDefault="00493251" w:rsidP="00493251">
      <w:pPr>
        <w:rPr>
          <w:b/>
          <w:bCs/>
        </w:rPr>
      </w:pPr>
    </w:p>
    <w:p w14:paraId="234A66C4" w14:textId="77777777" w:rsidR="00493251" w:rsidRDefault="00493251" w:rsidP="00493251">
      <w:pPr>
        <w:rPr>
          <w:b/>
          <w:bCs/>
        </w:rPr>
      </w:pPr>
    </w:p>
    <w:p w14:paraId="438F1533" w14:textId="77777777" w:rsidR="00493251" w:rsidRPr="00493251" w:rsidRDefault="00493251" w:rsidP="00493251">
      <w:pPr>
        <w:rPr>
          <w:b/>
          <w:bCs/>
        </w:rPr>
      </w:pPr>
    </w:p>
    <w:sectPr w:rsidR="00493251" w:rsidRPr="00493251" w:rsidSect="00CA037A">
      <w:footerReference w:type="default" r:id="rId15"/>
      <w:headerReference w:type="first" r:id="rId16"/>
      <w:pgSz w:w="11906" w:h="16838" w:code="9"/>
      <w:pgMar w:top="2045" w:right="965" w:bottom="1987" w:left="1152" w:header="706"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7B1A" w14:textId="77777777" w:rsidR="00373059" w:rsidRDefault="00373059" w:rsidP="00B66612">
      <w:r>
        <w:separator/>
      </w:r>
    </w:p>
  </w:endnote>
  <w:endnote w:type="continuationSeparator" w:id="0">
    <w:p w14:paraId="30C20F45" w14:textId="77777777" w:rsidR="00373059" w:rsidRDefault="00373059"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Oswald Medium">
    <w:panose1 w:val="00000000000000000000"/>
    <w:charset w:val="00"/>
    <w:family w:val="auto"/>
    <w:pitch w:val="variable"/>
    <w:sig w:usb0="A00002FF" w:usb1="4000204B" w:usb2="00000000" w:usb3="00000000" w:csb0="00000197" w:csb1="00000000"/>
  </w:font>
  <w:font w:name="Gill Sans Infant St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833A" w14:textId="030795CF" w:rsidR="000F4C24" w:rsidRPr="004E62F5" w:rsidRDefault="000F4C24" w:rsidP="00E774F0">
    <w:pPr>
      <w:pStyle w:val="PageNumber1"/>
      <w:ind w:left="0"/>
      <w:rPr>
        <w:rFonts w:ascii="Lato" w:hAnsi="Lato"/>
        <w:noProof/>
      </w:rPr>
    </w:pPr>
    <w:r w:rsidRPr="004E62F5">
      <w:rPr>
        <w:rFonts w:ascii="Lato" w:hAnsi="Lato"/>
      </w:rPr>
      <w:fldChar w:fldCharType="begin"/>
    </w:r>
    <w:r w:rsidRPr="004E62F5">
      <w:rPr>
        <w:rFonts w:ascii="Lato" w:hAnsi="Lato"/>
      </w:rPr>
      <w:instrText xml:space="preserve"> PAGE   \* MERGEFORMAT </w:instrText>
    </w:r>
    <w:r w:rsidRPr="004E62F5">
      <w:rPr>
        <w:rFonts w:ascii="Lato" w:hAnsi="Lato"/>
      </w:rPr>
      <w:fldChar w:fldCharType="separate"/>
    </w:r>
    <w:r w:rsidR="004E62F5">
      <w:rPr>
        <w:rFonts w:ascii="Lato" w:hAnsi="Lato"/>
        <w:noProof/>
      </w:rPr>
      <w:t>2</w:t>
    </w:r>
    <w:r w:rsidRPr="004E62F5">
      <w:rPr>
        <w:rFonts w:ascii="Lato" w:hAnsi="Lato"/>
        <w:noProof/>
      </w:rPr>
      <w:fldChar w:fldCharType="end"/>
    </w:r>
  </w:p>
  <w:p w14:paraId="17AC4ABF" w14:textId="77777777" w:rsidR="000F4C24" w:rsidRDefault="000F4C24">
    <w:pPr>
      <w:pStyle w:val="Sidfot"/>
      <w:rPr>
        <w:noProof/>
      </w:rPr>
    </w:pPr>
  </w:p>
  <w:p w14:paraId="47BC52D5" w14:textId="77777777" w:rsidR="00B66612" w:rsidRDefault="00705237">
    <w:pPr>
      <w:pStyle w:val="Sidfot"/>
    </w:pPr>
    <w:r>
      <w:rPr>
        <w:noProof/>
        <w:lang w:eastAsia="en-GB"/>
      </w:rPr>
      <mc:AlternateContent>
        <mc:Choice Requires="wps">
          <w:drawing>
            <wp:anchor distT="0" distB="0" distL="114300" distR="114300" simplePos="0" relativeHeight="251664384" behindDoc="0" locked="0" layoutInCell="1" allowOverlap="1" wp14:anchorId="6CAEE7C6" wp14:editId="0CFE8A8C">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9D9DD"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" fillcolor="#ed1c24" stroked="f"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F652" w14:textId="77777777" w:rsidR="00373059" w:rsidRDefault="00373059" w:rsidP="00B66612">
      <w:r>
        <w:separator/>
      </w:r>
    </w:p>
  </w:footnote>
  <w:footnote w:type="continuationSeparator" w:id="0">
    <w:p w14:paraId="7F6BE7EF" w14:textId="77777777" w:rsidR="00373059" w:rsidRDefault="00373059" w:rsidP="00B66612">
      <w:r>
        <w:continuationSeparator/>
      </w:r>
    </w:p>
  </w:footnote>
  <w:footnote w:id="1">
    <w:p w14:paraId="2D839EB1" w14:textId="6EFAA83D" w:rsidR="003357BB" w:rsidRPr="00E84EA6" w:rsidRDefault="00264A30">
      <w:pPr>
        <w:pStyle w:val="Fotnotstext"/>
        <w:rPr>
          <w:sz w:val="18"/>
          <w:szCs w:val="18"/>
        </w:rPr>
      </w:pPr>
      <w:r w:rsidRPr="00E84EA6">
        <w:rPr>
          <w:rStyle w:val="Fotnotsreferens"/>
          <w:sz w:val="18"/>
          <w:szCs w:val="18"/>
        </w:rPr>
        <w:footnoteRef/>
      </w:r>
      <w:r w:rsidRPr="00E84EA6">
        <w:rPr>
          <w:sz w:val="18"/>
          <w:szCs w:val="18"/>
        </w:rPr>
        <w:t xml:space="preserve"> UNICEF, UN Global Compact, Save the Children </w:t>
      </w:r>
      <w:hyperlink r:id="rId1" w:history="1">
        <w:r w:rsidRPr="00E84EA6">
          <w:rPr>
            <w:rStyle w:val="Hyperlnk"/>
            <w:sz w:val="18"/>
            <w:szCs w:val="18"/>
          </w:rPr>
          <w:t xml:space="preserve">Charting </w:t>
        </w:r>
        <w:r w:rsidR="00417A5A" w:rsidRPr="00E84EA6">
          <w:rPr>
            <w:rStyle w:val="Hyperlnk"/>
            <w:sz w:val="18"/>
            <w:szCs w:val="18"/>
          </w:rPr>
          <w:t>the</w:t>
        </w:r>
        <w:r w:rsidRPr="00E84EA6">
          <w:rPr>
            <w:rStyle w:val="Hyperlnk"/>
            <w:sz w:val="18"/>
            <w:szCs w:val="18"/>
          </w:rPr>
          <w:t xml:space="preserve"> Course: Embedding Children's Rights in Responsible Business</w:t>
        </w:r>
      </w:hyperlink>
      <w:r w:rsidRPr="00E84EA6">
        <w:rPr>
          <w:sz w:val="18"/>
          <w:szCs w:val="18"/>
        </w:rPr>
        <w:t xml:space="preserve"> (2022)</w:t>
      </w:r>
      <w:r w:rsidR="00C22453" w:rsidRPr="00E84EA6">
        <w:rPr>
          <w:sz w:val="18"/>
          <w:szCs w:val="18"/>
        </w:rPr>
        <w:t>, p</w:t>
      </w:r>
      <w:r w:rsidR="006E6884" w:rsidRPr="00E84EA6">
        <w:rPr>
          <w:sz w:val="18"/>
          <w:szCs w:val="18"/>
        </w:rPr>
        <w:t xml:space="preserve">. </w:t>
      </w:r>
      <w:proofErr w:type="gramStart"/>
      <w:r w:rsidR="006E6884" w:rsidRPr="00E84EA6">
        <w:rPr>
          <w:sz w:val="18"/>
          <w:szCs w:val="18"/>
        </w:rPr>
        <w:t>94</w:t>
      </w:r>
      <w:proofErr w:type="gramEnd"/>
    </w:p>
  </w:footnote>
  <w:footnote w:id="2">
    <w:p w14:paraId="48592812" w14:textId="68B11C28" w:rsidR="009464B5" w:rsidRPr="00E84EA6" w:rsidRDefault="00E9589B">
      <w:pPr>
        <w:pStyle w:val="Fotnotstext"/>
        <w:rPr>
          <w:sz w:val="18"/>
          <w:szCs w:val="18"/>
        </w:rPr>
      </w:pPr>
      <w:r w:rsidRPr="00E84EA6">
        <w:rPr>
          <w:rStyle w:val="Fotnotsreferens"/>
          <w:sz w:val="18"/>
          <w:szCs w:val="18"/>
        </w:rPr>
        <w:footnoteRef/>
      </w:r>
      <w:r w:rsidRPr="00E84EA6">
        <w:rPr>
          <w:sz w:val="18"/>
          <w:szCs w:val="18"/>
        </w:rPr>
        <w:t xml:space="preserve"> UN Working Group on Business and Human Rights, </w:t>
      </w:r>
      <w:hyperlink r:id="rId2" w:history="1">
        <w:r w:rsidRPr="00E84EA6">
          <w:rPr>
            <w:rStyle w:val="Hyperlnk"/>
            <w:sz w:val="18"/>
            <w:szCs w:val="18"/>
          </w:rPr>
          <w:t>‘Taking stock of the first decade’</w:t>
        </w:r>
      </w:hyperlink>
      <w:r w:rsidRPr="00E84EA6">
        <w:rPr>
          <w:sz w:val="18"/>
          <w:szCs w:val="18"/>
        </w:rPr>
        <w:t>, A/HRC/47/39, United Nations, 22 April 2021, paras. 5–6.</w:t>
      </w:r>
    </w:p>
  </w:footnote>
  <w:footnote w:id="3">
    <w:p w14:paraId="7F3E0AFD" w14:textId="068C4C1A" w:rsidR="00183716" w:rsidRPr="00E84EA6" w:rsidRDefault="00FB050C">
      <w:pPr>
        <w:pStyle w:val="Fotnotstext"/>
        <w:rPr>
          <w:sz w:val="18"/>
          <w:szCs w:val="18"/>
        </w:rPr>
      </w:pPr>
      <w:r w:rsidRPr="00E84EA6">
        <w:rPr>
          <w:rStyle w:val="Fotnotsreferens"/>
          <w:sz w:val="18"/>
          <w:szCs w:val="18"/>
        </w:rPr>
        <w:footnoteRef/>
      </w:r>
      <w:r w:rsidRPr="00E84EA6">
        <w:rPr>
          <w:sz w:val="18"/>
          <w:szCs w:val="18"/>
        </w:rPr>
        <w:t xml:space="preserve"> Office of the United Nations High Commissioner for Human Rights, </w:t>
      </w:r>
      <w:hyperlink r:id="rId3" w:history="1">
        <w:r w:rsidRPr="00E84EA6">
          <w:rPr>
            <w:rStyle w:val="Hyperlnk"/>
            <w:sz w:val="18"/>
            <w:szCs w:val="18"/>
          </w:rPr>
          <w:t>‘Guiding Principles on Business and Human Rights: Implementing the United Nations “Protect, Respect and Remedy” Framework’</w:t>
        </w:r>
      </w:hyperlink>
      <w:r w:rsidRPr="00E84EA6">
        <w:rPr>
          <w:sz w:val="18"/>
          <w:szCs w:val="18"/>
        </w:rPr>
        <w:t>, OHCHR, New York and Geneva</w:t>
      </w:r>
      <w:r w:rsidR="008C4A68" w:rsidRPr="00E84EA6">
        <w:rPr>
          <w:sz w:val="18"/>
          <w:szCs w:val="18"/>
        </w:rPr>
        <w:t xml:space="preserve"> (</w:t>
      </w:r>
      <w:r w:rsidRPr="00E84EA6">
        <w:rPr>
          <w:sz w:val="18"/>
          <w:szCs w:val="18"/>
        </w:rPr>
        <w:t>2011</w:t>
      </w:r>
      <w:r w:rsidR="008C4A68" w:rsidRPr="00E84EA6">
        <w:rPr>
          <w:sz w:val="18"/>
          <w:szCs w:val="18"/>
        </w:rPr>
        <w:t>)</w:t>
      </w:r>
    </w:p>
  </w:footnote>
  <w:footnote w:id="4">
    <w:p w14:paraId="7B5CCF26" w14:textId="77637838" w:rsidR="00DF2460" w:rsidRPr="00A668FF" w:rsidRDefault="00DF2460">
      <w:pPr>
        <w:pStyle w:val="Fotnotstext"/>
        <w:rPr>
          <w:lang w:val="en-US"/>
        </w:rPr>
      </w:pPr>
      <w:r>
        <w:rPr>
          <w:rStyle w:val="Fotnotsreferens"/>
        </w:rPr>
        <w:footnoteRef/>
      </w:r>
      <w:r>
        <w:t xml:space="preserve"> </w:t>
      </w:r>
      <w:r w:rsidRPr="00A668FF">
        <w:rPr>
          <w:sz w:val="18"/>
          <w:szCs w:val="18"/>
        </w:rPr>
        <w:t>Organisation for Economic Co-operation and Development, ‘</w:t>
      </w:r>
      <w:hyperlink r:id="rId4" w:history="1">
        <w:r w:rsidRPr="00A668FF">
          <w:rPr>
            <w:rStyle w:val="Hyperlnk"/>
            <w:sz w:val="18"/>
            <w:szCs w:val="18"/>
          </w:rPr>
          <w:t>Guidelines for Multinational Enterprises</w:t>
        </w:r>
      </w:hyperlink>
      <w:r w:rsidRPr="00A668FF">
        <w:rPr>
          <w:sz w:val="18"/>
          <w:szCs w:val="18"/>
        </w:rPr>
        <w:t>’ (2011) and ‘</w:t>
      </w:r>
      <w:hyperlink r:id="rId5" w:history="1">
        <w:r w:rsidRPr="00A668FF">
          <w:rPr>
            <w:rStyle w:val="Hyperlnk"/>
            <w:sz w:val="18"/>
            <w:szCs w:val="18"/>
          </w:rPr>
          <w:t>Due Diligence Guidance for Responsible Business Conduct</w:t>
        </w:r>
      </w:hyperlink>
      <w:r w:rsidRPr="00A668FF">
        <w:rPr>
          <w:sz w:val="18"/>
          <w:szCs w:val="18"/>
        </w:rPr>
        <w:t>’ (2018)</w:t>
      </w:r>
    </w:p>
  </w:footnote>
  <w:footnote w:id="5">
    <w:p w14:paraId="0D8C9951" w14:textId="407D64B0" w:rsidR="009F738B" w:rsidRPr="009F738B" w:rsidRDefault="009F738B">
      <w:pPr>
        <w:pStyle w:val="Fotnotstext"/>
      </w:pPr>
      <w:r w:rsidRPr="00E84EA6">
        <w:rPr>
          <w:rStyle w:val="Fotnotsreferens"/>
          <w:sz w:val="18"/>
          <w:szCs w:val="18"/>
        </w:rPr>
        <w:footnoteRef/>
      </w:r>
      <w:r w:rsidRPr="00E84EA6">
        <w:rPr>
          <w:sz w:val="18"/>
          <w:szCs w:val="18"/>
        </w:rPr>
        <w:t xml:space="preserve"> </w:t>
      </w:r>
      <w:r w:rsidR="00E84EA6" w:rsidRPr="00E84EA6">
        <w:rPr>
          <w:sz w:val="18"/>
          <w:szCs w:val="18"/>
        </w:rPr>
        <w:t xml:space="preserve">Note </w:t>
      </w:r>
      <w:r w:rsidRPr="00E84EA6">
        <w:rPr>
          <w:sz w:val="18"/>
          <w:szCs w:val="18"/>
        </w:rPr>
        <w:t>1</w:t>
      </w:r>
      <w:r w:rsidR="00E84EA6" w:rsidRPr="00E84EA6">
        <w:rPr>
          <w:sz w:val="18"/>
          <w:szCs w:val="18"/>
        </w:rPr>
        <w:t xml:space="preserve"> above</w:t>
      </w:r>
      <w:r w:rsidRPr="00E84EA6">
        <w:rPr>
          <w:sz w:val="18"/>
          <w:szCs w:val="18"/>
        </w:rPr>
        <w:t xml:space="preserve">, p. </w:t>
      </w:r>
      <w:r w:rsidR="00E84EA6" w:rsidRPr="00E84EA6">
        <w:rPr>
          <w:sz w:val="18"/>
          <w:szCs w:val="18"/>
        </w:rPr>
        <w:t>13.</w:t>
      </w:r>
    </w:p>
  </w:footnote>
  <w:footnote w:id="6">
    <w:p w14:paraId="4E3A1CC7" w14:textId="43A1D967" w:rsidR="00D712E7" w:rsidRPr="0016213E" w:rsidRDefault="00183716">
      <w:pPr>
        <w:pStyle w:val="Fotnotstext"/>
        <w:rPr>
          <w:sz w:val="18"/>
          <w:szCs w:val="18"/>
        </w:rPr>
      </w:pPr>
      <w:r>
        <w:rPr>
          <w:rStyle w:val="Fotnotsreferens"/>
        </w:rPr>
        <w:footnoteRef/>
      </w:r>
      <w:r>
        <w:t xml:space="preserve"> </w:t>
      </w:r>
      <w:r w:rsidRPr="00183716">
        <w:rPr>
          <w:sz w:val="18"/>
          <w:szCs w:val="18"/>
        </w:rPr>
        <w:t xml:space="preserve">UN Committee on the Rights of the Child (CRC), General comment No. 16 (2013) on State obligations regarding the impact of the business sector on children's rights, 17 April 2013, CRC/C/GC/16, available </w:t>
      </w:r>
      <w:hyperlink r:id="rId6" w:history="1">
        <w:r w:rsidR="00B73CF8" w:rsidRPr="00400326">
          <w:rPr>
            <w:rStyle w:val="Hyperlnk"/>
            <w:sz w:val="18"/>
            <w:szCs w:val="18"/>
          </w:rPr>
          <w:t>here</w:t>
        </w:r>
      </w:hyperlink>
    </w:p>
  </w:footnote>
  <w:footnote w:id="7">
    <w:p w14:paraId="0F0609A8" w14:textId="3ADDABE2" w:rsidR="00D712E7" w:rsidRPr="002C091E" w:rsidRDefault="00D712E7">
      <w:pPr>
        <w:pStyle w:val="Fotnotstext"/>
        <w:rPr>
          <w:lang w:val="en-US"/>
        </w:rPr>
      </w:pPr>
      <w:r>
        <w:rPr>
          <w:rStyle w:val="Fotnotsreferens"/>
        </w:rPr>
        <w:footnoteRef/>
      </w:r>
      <w:r>
        <w:t xml:space="preserve"> </w:t>
      </w:r>
      <w:r w:rsidRPr="009C5C5E">
        <w:rPr>
          <w:sz w:val="18"/>
          <w:szCs w:val="18"/>
        </w:rPr>
        <w:t xml:space="preserve">UN Committee on the Rights of the Child (CRC), General comment No.26 (2023) on </w:t>
      </w:r>
      <w:r w:rsidR="00C41A1B" w:rsidRPr="009C5C5E">
        <w:rPr>
          <w:sz w:val="18"/>
          <w:szCs w:val="18"/>
        </w:rPr>
        <w:t>Children´s rights and the environment with a special focus on climate change</w:t>
      </w:r>
      <w:r w:rsidR="009C5C5E" w:rsidRPr="009C5C5E">
        <w:rPr>
          <w:sz w:val="18"/>
          <w:szCs w:val="18"/>
        </w:rPr>
        <w:t xml:space="preserve">, 22 August 2023, CRC/C/GC/26, available </w:t>
      </w:r>
      <w:hyperlink r:id="rId7" w:history="1">
        <w:r w:rsidR="009C5C5E" w:rsidRPr="00227BB8">
          <w:rPr>
            <w:rStyle w:val="Hyperlnk"/>
            <w:sz w:val="18"/>
            <w:szCs w:val="18"/>
          </w:rPr>
          <w:t>here</w:t>
        </w:r>
      </w:hyperlink>
    </w:p>
  </w:footnote>
  <w:footnote w:id="8">
    <w:p w14:paraId="00729902" w14:textId="1C2E2211" w:rsidR="00D94DC7" w:rsidRPr="002030C7" w:rsidRDefault="00D94DC7">
      <w:pPr>
        <w:pStyle w:val="Fotnotstext"/>
        <w:rPr>
          <w:sz w:val="18"/>
          <w:szCs w:val="18"/>
        </w:rPr>
      </w:pPr>
      <w:r w:rsidRPr="002030C7">
        <w:rPr>
          <w:rStyle w:val="Fotnotsreferens"/>
          <w:sz w:val="18"/>
          <w:szCs w:val="18"/>
        </w:rPr>
        <w:footnoteRef/>
      </w:r>
      <w:r w:rsidRPr="002030C7">
        <w:rPr>
          <w:sz w:val="18"/>
          <w:szCs w:val="18"/>
        </w:rPr>
        <w:t xml:space="preserve"> Note 1 above, p. </w:t>
      </w:r>
      <w:r w:rsidR="002030C7" w:rsidRPr="002030C7">
        <w:rPr>
          <w:sz w:val="18"/>
          <w:szCs w:val="18"/>
        </w:rPr>
        <w:t>90.</w:t>
      </w:r>
    </w:p>
  </w:footnote>
  <w:footnote w:id="9">
    <w:p w14:paraId="6BE99ED7" w14:textId="7C86CF9C" w:rsidR="00E046E0" w:rsidRPr="00861EF0" w:rsidRDefault="00A455D5">
      <w:pPr>
        <w:pStyle w:val="Fotnotstext"/>
        <w:rPr>
          <w:sz w:val="18"/>
          <w:szCs w:val="18"/>
        </w:rPr>
      </w:pPr>
      <w:r w:rsidRPr="00861EF0">
        <w:rPr>
          <w:rStyle w:val="Fotnotsreferens"/>
          <w:sz w:val="18"/>
          <w:szCs w:val="18"/>
        </w:rPr>
        <w:footnoteRef/>
      </w:r>
      <w:r w:rsidRPr="00861EF0">
        <w:rPr>
          <w:sz w:val="18"/>
          <w:szCs w:val="18"/>
        </w:rPr>
        <w:t xml:space="preserve"> See, Goal 1.1: UN Working Group on Business and Human Rights, ‘</w:t>
      </w:r>
      <w:hyperlink r:id="rId8" w:history="1">
        <w:r w:rsidRPr="00861EF0">
          <w:rPr>
            <w:rStyle w:val="Hyperlnk"/>
            <w:sz w:val="18"/>
            <w:szCs w:val="18"/>
          </w:rPr>
          <w:t>Raising the Ambition, Increasing the Pace: UNGPs 10+ – A roadmap for the next decade of business and human rights’</w:t>
        </w:r>
      </w:hyperlink>
      <w:r w:rsidRPr="00861EF0">
        <w:rPr>
          <w:sz w:val="18"/>
          <w:szCs w:val="18"/>
        </w:rPr>
        <w:t>, United Nations, Geneva, November 2021, p. II</w:t>
      </w:r>
    </w:p>
  </w:footnote>
  <w:footnote w:id="10">
    <w:p w14:paraId="78718DA7" w14:textId="79B048BD" w:rsidR="00552C4B" w:rsidRPr="00861EF0" w:rsidRDefault="00552C4B">
      <w:pPr>
        <w:pStyle w:val="Fotnotstext"/>
        <w:rPr>
          <w:sz w:val="18"/>
          <w:szCs w:val="18"/>
          <w:lang w:val="en-US"/>
        </w:rPr>
      </w:pPr>
      <w:r w:rsidRPr="00861EF0">
        <w:rPr>
          <w:rStyle w:val="Fotnotsreferens"/>
          <w:sz w:val="18"/>
          <w:szCs w:val="18"/>
        </w:rPr>
        <w:footnoteRef/>
      </w:r>
      <w:r w:rsidRPr="00861EF0">
        <w:rPr>
          <w:sz w:val="18"/>
          <w:szCs w:val="18"/>
        </w:rPr>
        <w:t xml:space="preserve"> </w:t>
      </w:r>
      <w:bookmarkStart w:id="0" w:name="_Hlk146282674"/>
      <w:r w:rsidR="005C0289" w:rsidRPr="00861EF0">
        <w:rPr>
          <w:sz w:val="18"/>
          <w:szCs w:val="18"/>
        </w:rPr>
        <w:t>Save the Children International, ´</w:t>
      </w:r>
      <w:hyperlink r:id="rId9" w:history="1">
        <w:r w:rsidR="005C0289" w:rsidRPr="00861EF0">
          <w:rPr>
            <w:rStyle w:val="Hyperlnk"/>
            <w:sz w:val="18"/>
            <w:szCs w:val="18"/>
          </w:rPr>
          <w:t xml:space="preserve">Generation Hope: 2.4 billion reasons to end the global </w:t>
        </w:r>
        <w:r w:rsidR="00CC3CC1" w:rsidRPr="00861EF0">
          <w:rPr>
            <w:rStyle w:val="Hyperlnk"/>
            <w:sz w:val="18"/>
            <w:szCs w:val="18"/>
          </w:rPr>
          <w:t>climate and inequality crisis</w:t>
        </w:r>
      </w:hyperlink>
      <w:r w:rsidR="00CC3CC1" w:rsidRPr="00861EF0">
        <w:rPr>
          <w:sz w:val="18"/>
          <w:szCs w:val="18"/>
        </w:rPr>
        <w:t>´</w:t>
      </w:r>
      <w:r w:rsidR="008C4A68" w:rsidRPr="00861EF0">
        <w:rPr>
          <w:sz w:val="18"/>
          <w:szCs w:val="18"/>
        </w:rPr>
        <w:t xml:space="preserve"> (2</w:t>
      </w:r>
      <w:r w:rsidR="00CC3CC1" w:rsidRPr="00861EF0">
        <w:rPr>
          <w:sz w:val="18"/>
          <w:szCs w:val="18"/>
        </w:rPr>
        <w:t>022</w:t>
      </w:r>
      <w:bookmarkEnd w:id="0"/>
      <w:r w:rsidR="008C4A68" w:rsidRPr="00861EF0">
        <w:rPr>
          <w:sz w:val="18"/>
          <w:szCs w:val="18"/>
        </w:rPr>
        <w:t>)</w:t>
      </w:r>
    </w:p>
  </w:footnote>
  <w:footnote w:id="11">
    <w:p w14:paraId="68BEF4E1" w14:textId="3A6D2D9C" w:rsidR="00861EF0" w:rsidRPr="00861EF0" w:rsidRDefault="00861EF0">
      <w:pPr>
        <w:pStyle w:val="Fotnotstext"/>
        <w:rPr>
          <w:lang w:val="en-US"/>
        </w:rPr>
      </w:pPr>
      <w:r w:rsidRPr="00861EF0">
        <w:rPr>
          <w:rStyle w:val="Fotnotsreferens"/>
          <w:sz w:val="18"/>
          <w:szCs w:val="18"/>
        </w:rPr>
        <w:footnoteRef/>
      </w:r>
      <w:r w:rsidRPr="00861EF0">
        <w:rPr>
          <w:sz w:val="18"/>
          <w:szCs w:val="18"/>
        </w:rPr>
        <w:t xml:space="preserve"> </w:t>
      </w:r>
      <w:r w:rsidRPr="00861EF0">
        <w:rPr>
          <w:sz w:val="18"/>
          <w:szCs w:val="18"/>
          <w:lang w:val="en-US"/>
        </w:rPr>
        <w:t>Note 1 above, p. 90.</w:t>
      </w:r>
    </w:p>
  </w:footnote>
  <w:footnote w:id="12">
    <w:p w14:paraId="5E250BC1" w14:textId="39BE2995" w:rsidR="00CC34A2" w:rsidRPr="00281B47" w:rsidRDefault="00CC34A2">
      <w:pPr>
        <w:pStyle w:val="Fotnotstext"/>
        <w:rPr>
          <w:sz w:val="18"/>
          <w:szCs w:val="18"/>
        </w:rPr>
      </w:pPr>
      <w:r w:rsidRPr="00281B47">
        <w:rPr>
          <w:rStyle w:val="Fotnotsreferens"/>
          <w:sz w:val="18"/>
          <w:szCs w:val="18"/>
        </w:rPr>
        <w:footnoteRef/>
      </w:r>
      <w:r w:rsidRPr="00281B47">
        <w:rPr>
          <w:sz w:val="18"/>
          <w:szCs w:val="18"/>
        </w:rPr>
        <w:t xml:space="preserve"> Note 10 above.</w:t>
      </w:r>
    </w:p>
  </w:footnote>
  <w:footnote w:id="13">
    <w:p w14:paraId="57C8B35B" w14:textId="60BC3892" w:rsidR="00281B47" w:rsidRPr="00281B47" w:rsidRDefault="00281B47">
      <w:pPr>
        <w:pStyle w:val="Fotnotstext"/>
      </w:pPr>
      <w:r w:rsidRPr="00281B47">
        <w:rPr>
          <w:rStyle w:val="Fotnotsreferens"/>
          <w:sz w:val="18"/>
          <w:szCs w:val="18"/>
        </w:rPr>
        <w:footnoteRef/>
      </w:r>
      <w:r w:rsidRPr="00281B47">
        <w:rPr>
          <w:sz w:val="18"/>
          <w:szCs w:val="18"/>
        </w:rPr>
        <w:t xml:space="preserve"> Ibid.</w:t>
      </w:r>
    </w:p>
  </w:footnote>
  <w:footnote w:id="14">
    <w:p w14:paraId="1ED383DE" w14:textId="77777777" w:rsidR="00861EF0" w:rsidRPr="00946CB4" w:rsidRDefault="00861EF0" w:rsidP="00861EF0">
      <w:pPr>
        <w:pStyle w:val="Fotnotstext"/>
      </w:pPr>
      <w:r w:rsidRPr="008C7433">
        <w:rPr>
          <w:rStyle w:val="Fotnotsreferens"/>
          <w:sz w:val="18"/>
          <w:szCs w:val="18"/>
        </w:rPr>
        <w:footnoteRef/>
      </w:r>
      <w:r w:rsidRPr="008C7433">
        <w:rPr>
          <w:sz w:val="18"/>
          <w:szCs w:val="18"/>
        </w:rPr>
        <w:t xml:space="preserve"> See Note 1 above, p. 90.</w:t>
      </w:r>
    </w:p>
  </w:footnote>
  <w:footnote w:id="15">
    <w:p w14:paraId="37AA5997" w14:textId="191D0868" w:rsidR="006E0308" w:rsidRPr="0061771D" w:rsidRDefault="003A4F15">
      <w:pPr>
        <w:pStyle w:val="Fotnotstext"/>
        <w:rPr>
          <w:sz w:val="18"/>
          <w:szCs w:val="18"/>
        </w:rPr>
      </w:pPr>
      <w:r>
        <w:rPr>
          <w:rStyle w:val="Fotnotsreferens"/>
        </w:rPr>
        <w:footnoteRef/>
      </w:r>
      <w:r>
        <w:t xml:space="preserve"> </w:t>
      </w:r>
      <w:r w:rsidRPr="003A4F15">
        <w:rPr>
          <w:sz w:val="18"/>
          <w:szCs w:val="18"/>
        </w:rPr>
        <w:t>The Global Reporting Initiative, for example, found 180 standards and laws recommending sustainability disclosure in its most recent review of 45 countries, in 2013. Of these measures, 72% were mandatory – compared to 56% in the 2006 review of 19 countries.</w:t>
      </w:r>
      <w:r w:rsidR="00412FDF">
        <w:rPr>
          <w:sz w:val="18"/>
          <w:szCs w:val="18"/>
        </w:rPr>
        <w:t xml:space="preserve"> More information available </w:t>
      </w:r>
      <w:hyperlink r:id="rId10" w:history="1">
        <w:r w:rsidR="00AD6904" w:rsidRPr="00AD6904">
          <w:rPr>
            <w:rStyle w:val="Hyperlnk"/>
            <w:sz w:val="18"/>
            <w:szCs w:val="18"/>
          </w:rPr>
          <w:t>here</w:t>
        </w:r>
      </w:hyperlink>
    </w:p>
  </w:footnote>
  <w:footnote w:id="16">
    <w:p w14:paraId="5F1E7B27" w14:textId="07F517C6" w:rsidR="006E0308" w:rsidRPr="0061771D" w:rsidRDefault="0018547A">
      <w:pPr>
        <w:pStyle w:val="Fotnotstext"/>
        <w:rPr>
          <w:sz w:val="18"/>
          <w:szCs w:val="18"/>
        </w:rPr>
      </w:pPr>
      <w:r>
        <w:rPr>
          <w:rStyle w:val="Fotnotsreferens"/>
        </w:rPr>
        <w:footnoteRef/>
      </w:r>
      <w:r>
        <w:t xml:space="preserve"> </w:t>
      </w:r>
      <w:r w:rsidRPr="0018547A">
        <w:rPr>
          <w:sz w:val="18"/>
          <w:szCs w:val="18"/>
        </w:rPr>
        <w:t>European Commission</w:t>
      </w:r>
      <w:r w:rsidR="009E59A1">
        <w:rPr>
          <w:sz w:val="18"/>
          <w:szCs w:val="18"/>
        </w:rPr>
        <w:t xml:space="preserve">, </w:t>
      </w:r>
      <w:r w:rsidRPr="0018547A">
        <w:rPr>
          <w:sz w:val="18"/>
          <w:szCs w:val="18"/>
        </w:rPr>
        <w:t xml:space="preserve">Just and sustainable economy: Commission lays down rules for companies to respect human rights and environment in global value chains, available at: </w:t>
      </w:r>
      <w:hyperlink r:id="rId11" w:history="1">
        <w:r w:rsidRPr="0095237A">
          <w:rPr>
            <w:rStyle w:val="Hyperlnk"/>
            <w:sz w:val="18"/>
            <w:szCs w:val="18"/>
          </w:rPr>
          <w:t>https://ec.europa.eu/commission/presscorner/detail/en/ip_22_1145</w:t>
        </w:r>
      </w:hyperlink>
      <w:r>
        <w:rPr>
          <w:sz w:val="18"/>
          <w:szCs w:val="18"/>
        </w:rPr>
        <w:t xml:space="preserve"> </w:t>
      </w:r>
    </w:p>
  </w:footnote>
  <w:footnote w:id="17">
    <w:p w14:paraId="48F6D523" w14:textId="5BDEADAC" w:rsidR="006E0308" w:rsidRPr="002C091E" w:rsidRDefault="006E0308">
      <w:pPr>
        <w:pStyle w:val="Fotnotstext"/>
        <w:rPr>
          <w:lang w:val="en-US"/>
        </w:rPr>
      </w:pPr>
      <w:r>
        <w:rPr>
          <w:rStyle w:val="Fotnotsreferens"/>
        </w:rPr>
        <w:footnoteRef/>
      </w:r>
      <w:r>
        <w:t xml:space="preserve"> </w:t>
      </w:r>
      <w:r w:rsidRPr="006E0308">
        <w:rPr>
          <w:sz w:val="18"/>
          <w:szCs w:val="18"/>
        </w:rPr>
        <w:t>Overview available in</w:t>
      </w:r>
      <w:r>
        <w:t xml:space="preserve"> </w:t>
      </w:r>
      <w:r w:rsidRPr="00AD4699">
        <w:rPr>
          <w:sz w:val="18"/>
          <w:szCs w:val="18"/>
        </w:rPr>
        <w:t xml:space="preserve">UNICEF, UN Global Compact, Save the Children </w:t>
      </w:r>
      <w:hyperlink r:id="rId12" w:history="1">
        <w:r w:rsidRPr="004A6898">
          <w:rPr>
            <w:rStyle w:val="Hyperlnk"/>
            <w:sz w:val="18"/>
            <w:szCs w:val="18"/>
          </w:rPr>
          <w:t>Charting the Course: Embedding Children's Rights in Responsible Business</w:t>
        </w:r>
      </w:hyperlink>
      <w:r w:rsidRPr="00AD4699">
        <w:rPr>
          <w:sz w:val="18"/>
          <w:szCs w:val="18"/>
        </w:rPr>
        <w:t xml:space="preserve"> (2022)</w:t>
      </w:r>
      <w:r>
        <w:rPr>
          <w:sz w:val="18"/>
          <w:szCs w:val="18"/>
        </w:rPr>
        <w:t>, page</w:t>
      </w:r>
      <w:r w:rsidR="009E59A1">
        <w:rPr>
          <w:sz w:val="18"/>
          <w:szCs w:val="18"/>
        </w:rPr>
        <w:t>s 22, 26</w:t>
      </w:r>
      <w:r w:rsidR="008B4A8E">
        <w:rPr>
          <w:sz w:val="18"/>
          <w:szCs w:val="18"/>
        </w:rPr>
        <w:t xml:space="preserve"> and </w:t>
      </w:r>
      <w:r w:rsidR="009E59A1">
        <w:rPr>
          <w:sz w:val="18"/>
          <w:szCs w:val="18"/>
        </w:rPr>
        <w:t>75</w:t>
      </w:r>
      <w:r w:rsidR="00A128A4">
        <w:rPr>
          <w:sz w:val="18"/>
          <w:szCs w:val="18"/>
        </w:rPr>
        <w:t>.</w:t>
      </w:r>
    </w:p>
  </w:footnote>
  <w:footnote w:id="18">
    <w:p w14:paraId="2F0C05A0" w14:textId="34FC5692" w:rsidR="00CF4C80" w:rsidRPr="00CF4C80" w:rsidRDefault="00CF4C80">
      <w:pPr>
        <w:pStyle w:val="Fotnotstext"/>
        <w:rPr>
          <w:sz w:val="18"/>
          <w:szCs w:val="18"/>
        </w:rPr>
      </w:pPr>
      <w:r w:rsidRPr="00CF4C80">
        <w:rPr>
          <w:rStyle w:val="Fotnotsreferens"/>
          <w:sz w:val="18"/>
          <w:szCs w:val="18"/>
        </w:rPr>
        <w:footnoteRef/>
      </w:r>
      <w:r w:rsidRPr="00CF4C80">
        <w:rPr>
          <w:sz w:val="18"/>
          <w:szCs w:val="18"/>
        </w:rPr>
        <w:t xml:space="preserve"> Note 1 above, p. 89.</w:t>
      </w:r>
    </w:p>
  </w:footnote>
  <w:footnote w:id="19">
    <w:p w14:paraId="7247736E" w14:textId="14624029" w:rsidR="00357DE2" w:rsidRPr="00A668FF" w:rsidRDefault="00357DE2">
      <w:pPr>
        <w:pStyle w:val="Fotnotstext"/>
        <w:rPr>
          <w:sz w:val="18"/>
          <w:szCs w:val="18"/>
        </w:rPr>
      </w:pPr>
      <w:r>
        <w:rPr>
          <w:rStyle w:val="Fotnotsreferens"/>
        </w:rPr>
        <w:footnoteRef/>
      </w:r>
      <w:r>
        <w:t xml:space="preserve"> </w:t>
      </w:r>
      <w:r w:rsidRPr="00A668FF">
        <w:rPr>
          <w:sz w:val="18"/>
          <w:szCs w:val="18"/>
        </w:rPr>
        <w:t xml:space="preserve">Further insights </w:t>
      </w:r>
      <w:r w:rsidR="005C14F8">
        <w:rPr>
          <w:sz w:val="18"/>
          <w:szCs w:val="18"/>
        </w:rPr>
        <w:t>available</w:t>
      </w:r>
      <w:r w:rsidRPr="00A668FF">
        <w:rPr>
          <w:sz w:val="18"/>
          <w:szCs w:val="18"/>
        </w:rPr>
        <w:t xml:space="preserve"> in Save the Children ´</w:t>
      </w:r>
      <w:hyperlink r:id="rId13" w:history="1">
        <w:r w:rsidRPr="00A668FF">
          <w:rPr>
            <w:rStyle w:val="Hyperlnk"/>
            <w:sz w:val="18"/>
            <w:szCs w:val="18"/>
          </w:rPr>
          <w:t>Gender &amp; Power (GAP) Analysis Guidance</w:t>
        </w:r>
      </w:hyperlink>
      <w:r w:rsidRPr="00A668FF">
        <w:rPr>
          <w:sz w:val="18"/>
          <w:szCs w:val="18"/>
        </w:rPr>
        <w:t>´ (2021)</w:t>
      </w:r>
    </w:p>
  </w:footnote>
  <w:footnote w:id="20">
    <w:p w14:paraId="1BD537D8" w14:textId="5B1CFE40" w:rsidR="00866B1F" w:rsidRPr="002C091E" w:rsidRDefault="00866B1F">
      <w:pPr>
        <w:pStyle w:val="Fotnotstext"/>
        <w:rPr>
          <w:lang w:val="en-US"/>
        </w:rPr>
      </w:pPr>
      <w:r>
        <w:rPr>
          <w:rStyle w:val="Fotnotsreferens"/>
        </w:rPr>
        <w:footnoteRef/>
      </w:r>
      <w:r>
        <w:t xml:space="preserve"> </w:t>
      </w:r>
      <w:r w:rsidRPr="00866B1F">
        <w:rPr>
          <w:sz w:val="18"/>
          <w:szCs w:val="18"/>
        </w:rPr>
        <w:t xml:space="preserve">ILO Conventions </w:t>
      </w:r>
      <w:hyperlink r:id="rId14" w:history="1">
        <w:r w:rsidRPr="004565EE">
          <w:rPr>
            <w:rStyle w:val="Hyperlnk"/>
            <w:sz w:val="18"/>
            <w:szCs w:val="18"/>
          </w:rPr>
          <w:t>No. 138</w:t>
        </w:r>
      </w:hyperlink>
      <w:r w:rsidRPr="00866B1F">
        <w:rPr>
          <w:sz w:val="18"/>
          <w:szCs w:val="18"/>
        </w:rPr>
        <w:t xml:space="preserve"> (minimum age for admission to any type of employment or work) and </w:t>
      </w:r>
      <w:hyperlink r:id="rId15" w:history="1">
        <w:r w:rsidRPr="006528B7">
          <w:rPr>
            <w:rStyle w:val="Hyperlnk"/>
            <w:sz w:val="18"/>
            <w:szCs w:val="18"/>
          </w:rPr>
          <w:t>No. 182</w:t>
        </w:r>
      </w:hyperlink>
      <w:r w:rsidRPr="00866B1F">
        <w:rPr>
          <w:sz w:val="18"/>
          <w:szCs w:val="18"/>
        </w:rPr>
        <w:t xml:space="preserve"> (eliminating the worst forms of child labour)</w:t>
      </w:r>
    </w:p>
  </w:footnote>
  <w:footnote w:id="21">
    <w:p w14:paraId="4E42A13E" w14:textId="7640B43A" w:rsidR="00B02D37" w:rsidRPr="00DC2F6B" w:rsidRDefault="00C74C62">
      <w:pPr>
        <w:pStyle w:val="Fotnotstext"/>
        <w:rPr>
          <w:sz w:val="18"/>
          <w:szCs w:val="18"/>
          <w:lang w:val="en-US"/>
        </w:rPr>
      </w:pPr>
      <w:r w:rsidRPr="00DC2F6B">
        <w:rPr>
          <w:rStyle w:val="Fotnotsreferens"/>
          <w:sz w:val="18"/>
          <w:szCs w:val="18"/>
        </w:rPr>
        <w:footnoteRef/>
      </w:r>
      <w:r w:rsidRPr="00DC2F6B">
        <w:rPr>
          <w:sz w:val="18"/>
          <w:szCs w:val="18"/>
        </w:rPr>
        <w:t xml:space="preserve"> </w:t>
      </w:r>
      <w:r w:rsidRPr="00DC2F6B">
        <w:rPr>
          <w:sz w:val="18"/>
          <w:szCs w:val="18"/>
          <w:lang w:val="en-US"/>
        </w:rPr>
        <w:t xml:space="preserve">ICJ, Save the Children, Joint Position Paper </w:t>
      </w:r>
      <w:hyperlink r:id="rId16" w:history="1">
        <w:r w:rsidRPr="00DC2F6B">
          <w:rPr>
            <w:rStyle w:val="Hyperlnk"/>
            <w:sz w:val="18"/>
            <w:szCs w:val="18"/>
            <w:lang w:val="en-US"/>
          </w:rPr>
          <w:t>Advancing Child Rights in the Proposed EU Corporate Sustainability Due Diligence Directive</w:t>
        </w:r>
      </w:hyperlink>
      <w:r w:rsidRPr="00DC2F6B">
        <w:rPr>
          <w:sz w:val="18"/>
          <w:szCs w:val="18"/>
          <w:lang w:val="en-US"/>
        </w:rPr>
        <w:t xml:space="preserve">, </w:t>
      </w:r>
      <w:r w:rsidR="008C4A68" w:rsidRPr="00DC2F6B">
        <w:rPr>
          <w:sz w:val="18"/>
          <w:szCs w:val="18"/>
          <w:lang w:val="en-US"/>
        </w:rPr>
        <w:t>(</w:t>
      </w:r>
      <w:r w:rsidRPr="00DC2F6B">
        <w:rPr>
          <w:sz w:val="18"/>
          <w:szCs w:val="18"/>
          <w:lang w:val="en-US"/>
        </w:rPr>
        <w:t>2022</w:t>
      </w:r>
      <w:r w:rsidR="008C4A68" w:rsidRPr="00DC2F6B">
        <w:rPr>
          <w:sz w:val="18"/>
          <w:szCs w:val="18"/>
          <w:lang w:val="en-US"/>
        </w:rPr>
        <w:t>)</w:t>
      </w:r>
    </w:p>
  </w:footnote>
  <w:footnote w:id="22">
    <w:p w14:paraId="7C243271" w14:textId="0EA2C9CF" w:rsidR="008E5286" w:rsidRPr="008E5286" w:rsidRDefault="008E5286">
      <w:pPr>
        <w:pStyle w:val="Fotnotstext"/>
        <w:rPr>
          <w:lang w:val="en-US"/>
        </w:rPr>
      </w:pPr>
      <w:r w:rsidRPr="00DC2F6B">
        <w:rPr>
          <w:rStyle w:val="Fotnotsreferens"/>
          <w:sz w:val="18"/>
          <w:szCs w:val="18"/>
        </w:rPr>
        <w:footnoteRef/>
      </w:r>
      <w:r w:rsidRPr="00DC2F6B">
        <w:rPr>
          <w:sz w:val="18"/>
          <w:szCs w:val="18"/>
        </w:rPr>
        <w:t xml:space="preserve"> </w:t>
      </w:r>
      <w:r w:rsidRPr="00DC2F6B">
        <w:rPr>
          <w:sz w:val="18"/>
          <w:szCs w:val="18"/>
          <w:lang w:val="en-US"/>
        </w:rPr>
        <w:t>Ibid, p.</w:t>
      </w:r>
      <w:r w:rsidR="00DC2F6B" w:rsidRPr="00DC2F6B">
        <w:rPr>
          <w:sz w:val="18"/>
          <w:szCs w:val="18"/>
          <w:lang w:val="en-US"/>
        </w:rPr>
        <w:t xml:space="preserve"> 9.</w:t>
      </w:r>
    </w:p>
  </w:footnote>
  <w:footnote w:id="23">
    <w:p w14:paraId="32015EC8" w14:textId="3DF64EC7" w:rsidR="0037576A" w:rsidRPr="0037576A" w:rsidRDefault="0037576A">
      <w:pPr>
        <w:pStyle w:val="Fotnotstext"/>
        <w:rPr>
          <w:sz w:val="18"/>
          <w:szCs w:val="18"/>
        </w:rPr>
      </w:pPr>
      <w:r w:rsidRPr="0037576A">
        <w:rPr>
          <w:rStyle w:val="Fotnotsreferens"/>
          <w:sz w:val="18"/>
          <w:szCs w:val="18"/>
        </w:rPr>
        <w:footnoteRef/>
      </w:r>
      <w:r w:rsidRPr="0037576A">
        <w:rPr>
          <w:sz w:val="18"/>
          <w:szCs w:val="18"/>
        </w:rPr>
        <w:t xml:space="preserve"> Note 1 above, p.56.</w:t>
      </w:r>
    </w:p>
  </w:footnote>
  <w:footnote w:id="24">
    <w:p w14:paraId="38C72DC5" w14:textId="30F40FE0" w:rsidR="00D85CF4" w:rsidRPr="002C091E" w:rsidRDefault="00D85CF4">
      <w:pPr>
        <w:pStyle w:val="Fotnotstext"/>
        <w:rPr>
          <w:lang w:val="en-US"/>
        </w:rPr>
      </w:pPr>
      <w:r>
        <w:rPr>
          <w:rStyle w:val="Fotnotsreferens"/>
        </w:rPr>
        <w:footnoteRef/>
      </w:r>
      <w:r>
        <w:t xml:space="preserve"> </w:t>
      </w:r>
      <w:r w:rsidRPr="00AD4699">
        <w:rPr>
          <w:sz w:val="18"/>
          <w:szCs w:val="18"/>
        </w:rPr>
        <w:t xml:space="preserve">Recommendations </w:t>
      </w:r>
      <w:r>
        <w:rPr>
          <w:sz w:val="18"/>
          <w:szCs w:val="18"/>
        </w:rPr>
        <w:t>below</w:t>
      </w:r>
      <w:r w:rsidRPr="00AD4699">
        <w:rPr>
          <w:sz w:val="18"/>
          <w:szCs w:val="18"/>
        </w:rPr>
        <w:t xml:space="preserve"> are drawn from UNICEF, UN Global Compact, Save the Children </w:t>
      </w:r>
      <w:hyperlink r:id="rId17" w:history="1">
        <w:r w:rsidRPr="004A6898">
          <w:rPr>
            <w:rStyle w:val="Hyperlnk"/>
            <w:sz w:val="18"/>
            <w:szCs w:val="18"/>
          </w:rPr>
          <w:t>Charting the Course: Embedding Children's Rights in Responsible Business</w:t>
        </w:r>
      </w:hyperlink>
      <w:r w:rsidRPr="00AD4699">
        <w:rPr>
          <w:sz w:val="18"/>
          <w:szCs w:val="18"/>
        </w:rPr>
        <w:t xml:space="preserve"> (2022) which reviews progress on embedding children's rights in responsible and sustainable business conduct</w:t>
      </w:r>
      <w:r>
        <w:rPr>
          <w:sz w:val="18"/>
          <w:szCs w:val="18"/>
        </w:rPr>
        <w:t xml:space="preserve"> and </w:t>
      </w:r>
      <w:r w:rsidRPr="00CC3CC1">
        <w:rPr>
          <w:sz w:val="18"/>
          <w:szCs w:val="18"/>
        </w:rPr>
        <w:t>Save the Children International, ´</w:t>
      </w:r>
      <w:hyperlink r:id="rId18" w:history="1">
        <w:r w:rsidRPr="00E61CF4">
          <w:rPr>
            <w:rStyle w:val="Hyperlnk"/>
            <w:sz w:val="18"/>
            <w:szCs w:val="18"/>
          </w:rPr>
          <w:t>Generation Hope: 2.4 billion reasons to end the global climate and inequality crisis</w:t>
        </w:r>
      </w:hyperlink>
      <w:r>
        <w:rPr>
          <w:sz w:val="18"/>
          <w:szCs w:val="18"/>
        </w:rPr>
        <w:t xml:space="preserve">´ (2022) which </w:t>
      </w:r>
      <w:r w:rsidR="000106D0" w:rsidRPr="000106D0">
        <w:rPr>
          <w:sz w:val="18"/>
          <w:szCs w:val="18"/>
        </w:rPr>
        <w:t xml:space="preserve">sets out why </w:t>
      </w:r>
      <w:r w:rsidR="000106D0">
        <w:rPr>
          <w:sz w:val="18"/>
          <w:szCs w:val="18"/>
        </w:rPr>
        <w:t>climate</w:t>
      </w:r>
      <w:r w:rsidR="000106D0" w:rsidRPr="000106D0">
        <w:rPr>
          <w:sz w:val="18"/>
          <w:szCs w:val="18"/>
        </w:rPr>
        <w:t xml:space="preserve"> emergency is deeply connected to inequality</w:t>
      </w:r>
      <w:r w:rsidR="000106D0">
        <w:rPr>
          <w:sz w:val="18"/>
          <w:szCs w:val="18"/>
        </w:rPr>
        <w:t xml:space="preserve"> and the </w:t>
      </w:r>
      <w:r w:rsidR="008C4A68">
        <w:rPr>
          <w:sz w:val="18"/>
          <w:szCs w:val="18"/>
        </w:rPr>
        <w:t>dual threat of poverty and climate emergency faced by children</w:t>
      </w:r>
      <w:r w:rsidR="000F054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ABA9" w14:textId="77777777" w:rsidR="00A315D2" w:rsidRDefault="00EB373D">
    <w:pPr>
      <w:pStyle w:val="Sidhuvud"/>
    </w:pPr>
    <w:r>
      <w:rPr>
        <w:noProof/>
      </w:rPr>
      <w:drawing>
        <wp:anchor distT="0" distB="0" distL="114300" distR="114300" simplePos="0" relativeHeight="251654143" behindDoc="0" locked="1" layoutInCell="1" allowOverlap="1" wp14:anchorId="1C15DAD4" wp14:editId="0D78B2D0">
          <wp:simplePos x="0" y="0"/>
          <wp:positionH relativeFrom="page">
            <wp:posOffset>4685030</wp:posOffset>
          </wp:positionH>
          <wp:positionV relativeFrom="page">
            <wp:posOffset>471805</wp:posOffset>
          </wp:positionV>
          <wp:extent cx="2176145" cy="457200"/>
          <wp:effectExtent l="0" t="0" r="0" b="0"/>
          <wp:wrapNone/>
          <wp:docPr id="1978706708" name="Picture 197870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Numreradlista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Punktlista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Numreradlista"/>
      <w:lvlText w:val="%1."/>
      <w:lvlJc w:val="left"/>
      <w:pPr>
        <w:ind w:left="360" w:hanging="360"/>
      </w:pPr>
      <w:rPr>
        <w:rFonts w:hint="default"/>
        <w:color w:val="F3F2EE" w:themeColor="background2"/>
      </w:rPr>
    </w:lvl>
  </w:abstractNum>
  <w:abstractNum w:abstractNumId="8" w15:restartNumberingAfterBreak="0">
    <w:nsid w:val="FFFFFF89"/>
    <w:multiLevelType w:val="singleLevel"/>
    <w:tmpl w:val="7EBA4946"/>
    <w:lvl w:ilvl="0">
      <w:start w:val="1"/>
      <w:numFmt w:val="bullet"/>
      <w:pStyle w:val="Punktlista"/>
      <w:lvlText w:val=""/>
      <w:lvlJc w:val="left"/>
      <w:pPr>
        <w:ind w:left="360" w:hanging="360"/>
      </w:pPr>
      <w:rPr>
        <w:rFonts w:ascii="Symbol" w:hAnsi="Symbol" w:hint="default"/>
        <w:color w:val="F3F2EE" w:themeColor="background2"/>
      </w:rPr>
    </w:lvl>
  </w:abstractNum>
  <w:abstractNum w:abstractNumId="9" w15:restartNumberingAfterBreak="0">
    <w:nsid w:val="01597499"/>
    <w:multiLevelType w:val="hybridMultilevel"/>
    <w:tmpl w:val="63182CFC"/>
    <w:lvl w:ilvl="0" w:tplc="041D000F">
      <w:start w:val="2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B821D7A"/>
    <w:multiLevelType w:val="hybridMultilevel"/>
    <w:tmpl w:val="2884BC10"/>
    <w:lvl w:ilvl="0" w:tplc="6552562E">
      <w:start w:val="1"/>
      <w:numFmt w:val="bullet"/>
      <w:lvlText w:val=""/>
      <w:lvlJc w:val="left"/>
      <w:pPr>
        <w:ind w:left="1440" w:hanging="360"/>
      </w:pPr>
      <w:rPr>
        <w:rFonts w:ascii="Symbol" w:hAnsi="Symbol"/>
      </w:rPr>
    </w:lvl>
    <w:lvl w:ilvl="1" w:tplc="B690617C">
      <w:start w:val="1"/>
      <w:numFmt w:val="bullet"/>
      <w:lvlText w:val=""/>
      <w:lvlJc w:val="left"/>
      <w:pPr>
        <w:ind w:left="1440" w:hanging="360"/>
      </w:pPr>
      <w:rPr>
        <w:rFonts w:ascii="Symbol" w:hAnsi="Symbol"/>
      </w:rPr>
    </w:lvl>
    <w:lvl w:ilvl="2" w:tplc="4718BC24">
      <w:start w:val="1"/>
      <w:numFmt w:val="bullet"/>
      <w:lvlText w:val=""/>
      <w:lvlJc w:val="left"/>
      <w:pPr>
        <w:ind w:left="1440" w:hanging="360"/>
      </w:pPr>
      <w:rPr>
        <w:rFonts w:ascii="Symbol" w:hAnsi="Symbol"/>
      </w:rPr>
    </w:lvl>
    <w:lvl w:ilvl="3" w:tplc="3D36CD68">
      <w:start w:val="1"/>
      <w:numFmt w:val="bullet"/>
      <w:lvlText w:val=""/>
      <w:lvlJc w:val="left"/>
      <w:pPr>
        <w:ind w:left="1440" w:hanging="360"/>
      </w:pPr>
      <w:rPr>
        <w:rFonts w:ascii="Symbol" w:hAnsi="Symbol"/>
      </w:rPr>
    </w:lvl>
    <w:lvl w:ilvl="4" w:tplc="AE8A6E02">
      <w:start w:val="1"/>
      <w:numFmt w:val="bullet"/>
      <w:lvlText w:val=""/>
      <w:lvlJc w:val="left"/>
      <w:pPr>
        <w:ind w:left="1440" w:hanging="360"/>
      </w:pPr>
      <w:rPr>
        <w:rFonts w:ascii="Symbol" w:hAnsi="Symbol"/>
      </w:rPr>
    </w:lvl>
    <w:lvl w:ilvl="5" w:tplc="9E9EA2DE">
      <w:start w:val="1"/>
      <w:numFmt w:val="bullet"/>
      <w:lvlText w:val=""/>
      <w:lvlJc w:val="left"/>
      <w:pPr>
        <w:ind w:left="1440" w:hanging="360"/>
      </w:pPr>
      <w:rPr>
        <w:rFonts w:ascii="Symbol" w:hAnsi="Symbol"/>
      </w:rPr>
    </w:lvl>
    <w:lvl w:ilvl="6" w:tplc="950A4A48">
      <w:start w:val="1"/>
      <w:numFmt w:val="bullet"/>
      <w:lvlText w:val=""/>
      <w:lvlJc w:val="left"/>
      <w:pPr>
        <w:ind w:left="1440" w:hanging="360"/>
      </w:pPr>
      <w:rPr>
        <w:rFonts w:ascii="Symbol" w:hAnsi="Symbol"/>
      </w:rPr>
    </w:lvl>
    <w:lvl w:ilvl="7" w:tplc="02B88F5C">
      <w:start w:val="1"/>
      <w:numFmt w:val="bullet"/>
      <w:lvlText w:val=""/>
      <w:lvlJc w:val="left"/>
      <w:pPr>
        <w:ind w:left="1440" w:hanging="360"/>
      </w:pPr>
      <w:rPr>
        <w:rFonts w:ascii="Symbol" w:hAnsi="Symbol"/>
      </w:rPr>
    </w:lvl>
    <w:lvl w:ilvl="8" w:tplc="4E6E29BA">
      <w:start w:val="1"/>
      <w:numFmt w:val="bullet"/>
      <w:lvlText w:val=""/>
      <w:lvlJc w:val="left"/>
      <w:pPr>
        <w:ind w:left="1440" w:hanging="360"/>
      </w:pPr>
      <w:rPr>
        <w:rFonts w:ascii="Symbol" w:hAnsi="Symbol"/>
      </w:rPr>
    </w:lvl>
  </w:abstractNum>
  <w:abstractNum w:abstractNumId="11" w15:restartNumberingAfterBreak="0">
    <w:nsid w:val="0C3447A2"/>
    <w:multiLevelType w:val="hybridMultilevel"/>
    <w:tmpl w:val="AF0AB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A8593D"/>
    <w:multiLevelType w:val="hybridMultilevel"/>
    <w:tmpl w:val="483ED45C"/>
    <w:lvl w:ilvl="0" w:tplc="44B07692">
      <w:start w:val="27"/>
      <w:numFmt w:val="bullet"/>
      <w:lvlText w:val="-"/>
      <w:lvlJc w:val="left"/>
      <w:pPr>
        <w:ind w:left="1080" w:hanging="360"/>
      </w:pPr>
      <w:rPr>
        <w:rFonts w:ascii="Lato" w:eastAsiaTheme="minorHAnsi" w:hAnsi="Lato" w:cstheme="minorBidi"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55D328F"/>
    <w:multiLevelType w:val="hybridMultilevel"/>
    <w:tmpl w:val="70B43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266924"/>
    <w:multiLevelType w:val="hybridMultilevel"/>
    <w:tmpl w:val="C56E8818"/>
    <w:lvl w:ilvl="0" w:tplc="041D0001">
      <w:start w:val="1"/>
      <w:numFmt w:val="bullet"/>
      <w:lvlText w:val=""/>
      <w:lvlJc w:val="left"/>
      <w:pPr>
        <w:ind w:left="108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2A6146"/>
    <w:multiLevelType w:val="hybridMultilevel"/>
    <w:tmpl w:val="4E1C17BA"/>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2AB2F23"/>
    <w:multiLevelType w:val="multilevel"/>
    <w:tmpl w:val="53204ABA"/>
    <w:lvl w:ilvl="0">
      <w:start w:val="1"/>
      <w:numFmt w:val="bullet"/>
      <w:lvlText w:val=""/>
      <w:lvlJc w:val="left"/>
      <w:pPr>
        <w:tabs>
          <w:tab w:val="num" w:pos="360"/>
        </w:tabs>
        <w:ind w:left="720" w:hanging="360"/>
      </w:pPr>
      <w:rPr>
        <w:rFonts w:ascii="Symbol" w:hAnsi="Symbol" w:hint="default"/>
        <w:color w:val="E1251B" w:themeColor="accent1"/>
      </w:rPr>
    </w:lvl>
    <w:lvl w:ilvl="1">
      <w:start w:val="1"/>
      <w:numFmt w:val="bullet"/>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5408AF"/>
    <w:multiLevelType w:val="multilevel"/>
    <w:tmpl w:val="1590A9F4"/>
    <w:numStyleLink w:val="Style1"/>
  </w:abstractNum>
  <w:abstractNum w:abstractNumId="18" w15:restartNumberingAfterBreak="0">
    <w:nsid w:val="2BA635D4"/>
    <w:multiLevelType w:val="hybridMultilevel"/>
    <w:tmpl w:val="5D6E9936"/>
    <w:lvl w:ilvl="0" w:tplc="4350BBC0">
      <w:start w:val="5"/>
      <w:numFmt w:val="bullet"/>
      <w:lvlText w:val="-"/>
      <w:lvlJc w:val="left"/>
      <w:pPr>
        <w:ind w:left="1080" w:hanging="360"/>
      </w:pPr>
      <w:rPr>
        <w:rFonts w:ascii="Lato" w:eastAsiaTheme="minorHAnsi" w:hAnsi="Lato"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1DB6370"/>
    <w:multiLevelType w:val="hybridMultilevel"/>
    <w:tmpl w:val="776604C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38085A02"/>
    <w:multiLevelType w:val="multilevel"/>
    <w:tmpl w:val="1590A9F4"/>
    <w:styleLink w:val="Style1"/>
    <w:lvl w:ilvl="0">
      <w:start w:val="1"/>
      <w:numFmt w:val="decimal"/>
      <w:lvlText w:val="%1."/>
      <w:lvlJc w:val="left"/>
      <w:pPr>
        <w:tabs>
          <w:tab w:val="num" w:pos="643"/>
        </w:tabs>
        <w:ind w:left="643"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406532B0"/>
    <w:multiLevelType w:val="multilevel"/>
    <w:tmpl w:val="FC501CFE"/>
    <w:styleLink w:val="Numbers"/>
    <w:lvl w:ilvl="0">
      <w:start w:val="1"/>
      <w:numFmt w:val="decimal"/>
      <w:pStyle w:val="NumberedList1"/>
      <w:lvlText w:val="%1."/>
      <w:lvlJc w:val="left"/>
      <w:pPr>
        <w:tabs>
          <w:tab w:val="num" w:pos="360"/>
        </w:tabs>
        <w:ind w:left="720" w:hanging="360"/>
      </w:pPr>
      <w:rPr>
        <w:rFonts w:hint="default"/>
        <w:color w:val="E1251B" w:themeColor="accent1"/>
      </w:rPr>
    </w:lvl>
    <w:lvl w:ilvl="1">
      <w:start w:val="1"/>
      <w:numFmt w:val="decimal"/>
      <w:pStyle w:val="NumberedList2"/>
      <w:lvlText w:val="%2."/>
      <w:lvlJc w:val="left"/>
      <w:pPr>
        <w:tabs>
          <w:tab w:val="num" w:pos="720"/>
        </w:tabs>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2A906BE"/>
    <w:multiLevelType w:val="hybridMultilevel"/>
    <w:tmpl w:val="700ACE32"/>
    <w:lvl w:ilvl="0" w:tplc="E2A8DA6A">
      <w:start w:val="1"/>
      <w:numFmt w:val="bullet"/>
      <w:lvlText w:val=""/>
      <w:lvlJc w:val="left"/>
      <w:pPr>
        <w:ind w:left="720" w:hanging="360"/>
      </w:pPr>
      <w:rPr>
        <w:rFonts w:ascii="Symbol" w:hAnsi="Symbol" w:hint="default"/>
        <w:color w:val="E1251B"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0C1C81"/>
    <w:multiLevelType w:val="hybridMultilevel"/>
    <w:tmpl w:val="5D609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DB03F0"/>
    <w:multiLevelType w:val="hybridMultilevel"/>
    <w:tmpl w:val="69EE324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4E4B4F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0E44ECB"/>
    <w:multiLevelType w:val="hybridMultilevel"/>
    <w:tmpl w:val="4B30C7DE"/>
    <w:lvl w:ilvl="0" w:tplc="07F6BF46">
      <w:start w:val="1"/>
      <w:numFmt w:val="decimal"/>
      <w:lvlText w:val="%1."/>
      <w:lvlJc w:val="left"/>
      <w:pPr>
        <w:ind w:left="720" w:hanging="360"/>
      </w:pPr>
    </w:lvl>
    <w:lvl w:ilvl="1" w:tplc="769224F0">
      <w:start w:val="1"/>
      <w:numFmt w:val="lowerLetter"/>
      <w:lvlText w:val="%2."/>
      <w:lvlJc w:val="left"/>
      <w:pPr>
        <w:ind w:left="1440" w:hanging="360"/>
      </w:pPr>
    </w:lvl>
    <w:lvl w:ilvl="2" w:tplc="7166ED4A">
      <w:start w:val="1"/>
      <w:numFmt w:val="lowerRoman"/>
      <w:lvlText w:val="%3."/>
      <w:lvlJc w:val="right"/>
      <w:pPr>
        <w:ind w:left="2160" w:hanging="180"/>
      </w:pPr>
    </w:lvl>
    <w:lvl w:ilvl="3" w:tplc="C5C488C2">
      <w:start w:val="1"/>
      <w:numFmt w:val="decimal"/>
      <w:lvlText w:val="%4."/>
      <w:lvlJc w:val="left"/>
      <w:pPr>
        <w:ind w:left="2880" w:hanging="360"/>
      </w:pPr>
    </w:lvl>
    <w:lvl w:ilvl="4" w:tplc="F920FC0A">
      <w:start w:val="1"/>
      <w:numFmt w:val="lowerLetter"/>
      <w:lvlText w:val="%5."/>
      <w:lvlJc w:val="left"/>
      <w:pPr>
        <w:ind w:left="3600" w:hanging="360"/>
      </w:pPr>
    </w:lvl>
    <w:lvl w:ilvl="5" w:tplc="ACDAC282">
      <w:start w:val="1"/>
      <w:numFmt w:val="lowerRoman"/>
      <w:lvlText w:val="%6."/>
      <w:lvlJc w:val="right"/>
      <w:pPr>
        <w:ind w:left="4320" w:hanging="180"/>
      </w:pPr>
    </w:lvl>
    <w:lvl w:ilvl="6" w:tplc="888005F4">
      <w:start w:val="1"/>
      <w:numFmt w:val="decimal"/>
      <w:lvlText w:val="%7."/>
      <w:lvlJc w:val="left"/>
      <w:pPr>
        <w:ind w:left="5040" w:hanging="360"/>
      </w:pPr>
    </w:lvl>
    <w:lvl w:ilvl="7" w:tplc="A9326144">
      <w:start w:val="1"/>
      <w:numFmt w:val="lowerLetter"/>
      <w:lvlText w:val="%8."/>
      <w:lvlJc w:val="left"/>
      <w:pPr>
        <w:ind w:left="5760" w:hanging="360"/>
      </w:pPr>
    </w:lvl>
    <w:lvl w:ilvl="8" w:tplc="F01AA8A4">
      <w:start w:val="1"/>
      <w:numFmt w:val="lowerRoman"/>
      <w:lvlText w:val="%9."/>
      <w:lvlJc w:val="right"/>
      <w:pPr>
        <w:ind w:left="6480" w:hanging="180"/>
      </w:pPr>
    </w:lvl>
  </w:abstractNum>
  <w:abstractNum w:abstractNumId="27" w15:restartNumberingAfterBreak="0">
    <w:nsid w:val="53D7243B"/>
    <w:multiLevelType w:val="hybridMultilevel"/>
    <w:tmpl w:val="7D12B278"/>
    <w:lvl w:ilvl="0" w:tplc="041D000F">
      <w:start w:val="2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AF3876"/>
    <w:multiLevelType w:val="hybridMultilevel"/>
    <w:tmpl w:val="1494DB2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AAE27A4"/>
    <w:multiLevelType w:val="multilevel"/>
    <w:tmpl w:val="7FF0808E"/>
    <w:styleLink w:val="Bullets"/>
    <w:lvl w:ilvl="0">
      <w:start w:val="1"/>
      <w:numFmt w:val="bullet"/>
      <w:pStyle w:val="BulletList1"/>
      <w:lvlText w:val=""/>
      <w:lvlJc w:val="left"/>
      <w:pPr>
        <w:tabs>
          <w:tab w:val="num" w:pos="360"/>
        </w:tabs>
        <w:ind w:left="720" w:hanging="360"/>
      </w:pPr>
      <w:rPr>
        <w:rFonts w:ascii="Symbol" w:hAnsi="Symbol" w:hint="default"/>
        <w:color w:val="E1251B" w:themeColor="accent1"/>
      </w:rPr>
    </w:lvl>
    <w:lvl w:ilvl="1">
      <w:start w:val="1"/>
      <w:numFmt w:val="bullet"/>
      <w:pStyle w:val="BulletList2"/>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515611215">
    <w:abstractNumId w:val="8"/>
  </w:num>
  <w:num w:numId="2" w16cid:durableId="1598562997">
    <w:abstractNumId w:val="6"/>
  </w:num>
  <w:num w:numId="3" w16cid:durableId="201597181">
    <w:abstractNumId w:val="5"/>
  </w:num>
  <w:num w:numId="4" w16cid:durableId="384838429">
    <w:abstractNumId w:val="4"/>
  </w:num>
  <w:num w:numId="5" w16cid:durableId="1546484585">
    <w:abstractNumId w:val="3"/>
  </w:num>
  <w:num w:numId="6" w16cid:durableId="412315245">
    <w:abstractNumId w:val="7"/>
  </w:num>
  <w:num w:numId="7" w16cid:durableId="2123457759">
    <w:abstractNumId w:val="2"/>
  </w:num>
  <w:num w:numId="8" w16cid:durableId="1643316509">
    <w:abstractNumId w:val="1"/>
  </w:num>
  <w:num w:numId="9" w16cid:durableId="1052383935">
    <w:abstractNumId w:val="0"/>
  </w:num>
  <w:num w:numId="10" w16cid:durableId="163858580">
    <w:abstractNumId w:val="16"/>
  </w:num>
  <w:num w:numId="11" w16cid:durableId="1408725961">
    <w:abstractNumId w:val="16"/>
  </w:num>
  <w:num w:numId="12" w16cid:durableId="2132744977">
    <w:abstractNumId w:val="29"/>
  </w:num>
  <w:num w:numId="13" w16cid:durableId="935869100">
    <w:abstractNumId w:val="20"/>
  </w:num>
  <w:num w:numId="14" w16cid:durableId="1664039666">
    <w:abstractNumId w:val="17"/>
  </w:num>
  <w:num w:numId="15" w16cid:durableId="230164729">
    <w:abstractNumId w:val="25"/>
  </w:num>
  <w:num w:numId="16" w16cid:durableId="495846702">
    <w:abstractNumId w:val="21"/>
  </w:num>
  <w:num w:numId="17" w16cid:durableId="1236403903">
    <w:abstractNumId w:val="26"/>
  </w:num>
  <w:num w:numId="18" w16cid:durableId="1998876048">
    <w:abstractNumId w:val="10"/>
  </w:num>
  <w:num w:numId="19" w16cid:durableId="1904170016">
    <w:abstractNumId w:val="28"/>
  </w:num>
  <w:num w:numId="20" w16cid:durableId="456682499">
    <w:abstractNumId w:val="15"/>
  </w:num>
  <w:num w:numId="21" w16cid:durableId="2103913091">
    <w:abstractNumId w:val="9"/>
  </w:num>
  <w:num w:numId="22" w16cid:durableId="395591742">
    <w:abstractNumId w:val="27"/>
  </w:num>
  <w:num w:numId="23" w16cid:durableId="1486126886">
    <w:abstractNumId w:val="12"/>
  </w:num>
  <w:num w:numId="24" w16cid:durableId="568464886">
    <w:abstractNumId w:val="13"/>
  </w:num>
  <w:num w:numId="25" w16cid:durableId="903376009">
    <w:abstractNumId w:val="14"/>
  </w:num>
  <w:num w:numId="26" w16cid:durableId="1568032291">
    <w:abstractNumId w:val="22"/>
  </w:num>
  <w:num w:numId="27" w16cid:durableId="2106875777">
    <w:abstractNumId w:val="11"/>
  </w:num>
  <w:num w:numId="28" w16cid:durableId="501774622">
    <w:abstractNumId w:val="18"/>
  </w:num>
  <w:num w:numId="29" w16cid:durableId="928544920">
    <w:abstractNumId w:val="23"/>
  </w:num>
  <w:num w:numId="30" w16cid:durableId="2136827602">
    <w:abstractNumId w:val="24"/>
  </w:num>
  <w:num w:numId="31" w16cid:durableId="1188521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74"/>
    <w:rsid w:val="000106D0"/>
    <w:rsid w:val="000141D5"/>
    <w:rsid w:val="00042F82"/>
    <w:rsid w:val="00054898"/>
    <w:rsid w:val="00063BA0"/>
    <w:rsid w:val="0006482E"/>
    <w:rsid w:val="000934B8"/>
    <w:rsid w:val="000A694C"/>
    <w:rsid w:val="000A72D2"/>
    <w:rsid w:val="000B41D7"/>
    <w:rsid w:val="000C03F1"/>
    <w:rsid w:val="000C596A"/>
    <w:rsid w:val="000C7766"/>
    <w:rsid w:val="000E0481"/>
    <w:rsid w:val="000F0543"/>
    <w:rsid w:val="000F0938"/>
    <w:rsid w:val="000F0FB4"/>
    <w:rsid w:val="000F269D"/>
    <w:rsid w:val="000F4C24"/>
    <w:rsid w:val="00107D05"/>
    <w:rsid w:val="00110789"/>
    <w:rsid w:val="0011763E"/>
    <w:rsid w:val="001231A8"/>
    <w:rsid w:val="001239D4"/>
    <w:rsid w:val="00142992"/>
    <w:rsid w:val="0016213E"/>
    <w:rsid w:val="001709F2"/>
    <w:rsid w:val="00171AD3"/>
    <w:rsid w:val="0018257C"/>
    <w:rsid w:val="00183716"/>
    <w:rsid w:val="0018547A"/>
    <w:rsid w:val="00186054"/>
    <w:rsid w:val="00196A8F"/>
    <w:rsid w:val="001A1FDF"/>
    <w:rsid w:val="001B1D1D"/>
    <w:rsid w:val="001B3ADC"/>
    <w:rsid w:val="001B49E8"/>
    <w:rsid w:val="001B5F12"/>
    <w:rsid w:val="001C780D"/>
    <w:rsid w:val="001C781A"/>
    <w:rsid w:val="001D00B6"/>
    <w:rsid w:val="001D3B00"/>
    <w:rsid w:val="001E4C89"/>
    <w:rsid w:val="002015D3"/>
    <w:rsid w:val="002030C7"/>
    <w:rsid w:val="002128BE"/>
    <w:rsid w:val="002258D4"/>
    <w:rsid w:val="00227BB8"/>
    <w:rsid w:val="002300EE"/>
    <w:rsid w:val="00233883"/>
    <w:rsid w:val="00243A05"/>
    <w:rsid w:val="0024470E"/>
    <w:rsid w:val="00247F02"/>
    <w:rsid w:val="002626E4"/>
    <w:rsid w:val="00264A30"/>
    <w:rsid w:val="002650CE"/>
    <w:rsid w:val="00281B47"/>
    <w:rsid w:val="00281B70"/>
    <w:rsid w:val="00291299"/>
    <w:rsid w:val="002915F9"/>
    <w:rsid w:val="00295AD6"/>
    <w:rsid w:val="00296375"/>
    <w:rsid w:val="002A392F"/>
    <w:rsid w:val="002A3FCC"/>
    <w:rsid w:val="002A7BD1"/>
    <w:rsid w:val="002B4918"/>
    <w:rsid w:val="002B6374"/>
    <w:rsid w:val="002C091E"/>
    <w:rsid w:val="002C3A72"/>
    <w:rsid w:val="002D55C4"/>
    <w:rsid w:val="002E1B01"/>
    <w:rsid w:val="002E38E0"/>
    <w:rsid w:val="002F02F3"/>
    <w:rsid w:val="002F26DB"/>
    <w:rsid w:val="003163F3"/>
    <w:rsid w:val="003357BB"/>
    <w:rsid w:val="00341DDD"/>
    <w:rsid w:val="00346D4C"/>
    <w:rsid w:val="00350E3A"/>
    <w:rsid w:val="003534E6"/>
    <w:rsid w:val="003568C5"/>
    <w:rsid w:val="00357DE2"/>
    <w:rsid w:val="0036143A"/>
    <w:rsid w:val="00361B90"/>
    <w:rsid w:val="00373059"/>
    <w:rsid w:val="0037576A"/>
    <w:rsid w:val="00391AFE"/>
    <w:rsid w:val="00392066"/>
    <w:rsid w:val="003A4F15"/>
    <w:rsid w:val="003C14B6"/>
    <w:rsid w:val="003E3DAF"/>
    <w:rsid w:val="003E7AF0"/>
    <w:rsid w:val="003E7D14"/>
    <w:rsid w:val="003F1D5C"/>
    <w:rsid w:val="003F47D9"/>
    <w:rsid w:val="00400326"/>
    <w:rsid w:val="0040206B"/>
    <w:rsid w:val="0040779C"/>
    <w:rsid w:val="00412FDF"/>
    <w:rsid w:val="00413433"/>
    <w:rsid w:val="00417A5A"/>
    <w:rsid w:val="00421113"/>
    <w:rsid w:val="0044698F"/>
    <w:rsid w:val="00446D83"/>
    <w:rsid w:val="004517CD"/>
    <w:rsid w:val="004565EE"/>
    <w:rsid w:val="00472C4D"/>
    <w:rsid w:val="0047675A"/>
    <w:rsid w:val="004923C1"/>
    <w:rsid w:val="00493251"/>
    <w:rsid w:val="0049701B"/>
    <w:rsid w:val="004A130D"/>
    <w:rsid w:val="004A4D0B"/>
    <w:rsid w:val="004A4EC9"/>
    <w:rsid w:val="004A6898"/>
    <w:rsid w:val="004A6CD0"/>
    <w:rsid w:val="004E1185"/>
    <w:rsid w:val="004E1FD7"/>
    <w:rsid w:val="004E4E8D"/>
    <w:rsid w:val="004E57F8"/>
    <w:rsid w:val="004E62F5"/>
    <w:rsid w:val="004F5BE5"/>
    <w:rsid w:val="00512C88"/>
    <w:rsid w:val="005244D6"/>
    <w:rsid w:val="005332F0"/>
    <w:rsid w:val="0053685E"/>
    <w:rsid w:val="00546B74"/>
    <w:rsid w:val="00552C4B"/>
    <w:rsid w:val="005668B0"/>
    <w:rsid w:val="00582CD4"/>
    <w:rsid w:val="00586721"/>
    <w:rsid w:val="005963D7"/>
    <w:rsid w:val="00597D96"/>
    <w:rsid w:val="005C0289"/>
    <w:rsid w:val="005C14F8"/>
    <w:rsid w:val="005D13B8"/>
    <w:rsid w:val="005E1454"/>
    <w:rsid w:val="005E1D7B"/>
    <w:rsid w:val="005F5EF5"/>
    <w:rsid w:val="00600139"/>
    <w:rsid w:val="00602CF3"/>
    <w:rsid w:val="0061771D"/>
    <w:rsid w:val="00645E30"/>
    <w:rsid w:val="00651018"/>
    <w:rsid w:val="006528B7"/>
    <w:rsid w:val="00656BB2"/>
    <w:rsid w:val="006704B9"/>
    <w:rsid w:val="00674949"/>
    <w:rsid w:val="00675E82"/>
    <w:rsid w:val="006824E0"/>
    <w:rsid w:val="00691D6B"/>
    <w:rsid w:val="006B4DD6"/>
    <w:rsid w:val="006C02A8"/>
    <w:rsid w:val="006E0308"/>
    <w:rsid w:val="006E6884"/>
    <w:rsid w:val="006F69F5"/>
    <w:rsid w:val="006F7569"/>
    <w:rsid w:val="00705237"/>
    <w:rsid w:val="007124E1"/>
    <w:rsid w:val="00713E23"/>
    <w:rsid w:val="00716900"/>
    <w:rsid w:val="0072713A"/>
    <w:rsid w:val="00730DC8"/>
    <w:rsid w:val="007558BA"/>
    <w:rsid w:val="00773F8C"/>
    <w:rsid w:val="00781246"/>
    <w:rsid w:val="00781A63"/>
    <w:rsid w:val="00783D3C"/>
    <w:rsid w:val="0078690C"/>
    <w:rsid w:val="00792BA2"/>
    <w:rsid w:val="00792D9D"/>
    <w:rsid w:val="007A4344"/>
    <w:rsid w:val="007A6FD5"/>
    <w:rsid w:val="007B19FD"/>
    <w:rsid w:val="007B4A9A"/>
    <w:rsid w:val="007B70A4"/>
    <w:rsid w:val="007E44F6"/>
    <w:rsid w:val="007E7DE6"/>
    <w:rsid w:val="007F0FE8"/>
    <w:rsid w:val="00800C45"/>
    <w:rsid w:val="00802295"/>
    <w:rsid w:val="008023C5"/>
    <w:rsid w:val="00811077"/>
    <w:rsid w:val="00817513"/>
    <w:rsid w:val="00821470"/>
    <w:rsid w:val="00824C5A"/>
    <w:rsid w:val="00825FDC"/>
    <w:rsid w:val="00830AB2"/>
    <w:rsid w:val="00835E0E"/>
    <w:rsid w:val="00844E15"/>
    <w:rsid w:val="00857001"/>
    <w:rsid w:val="008570D4"/>
    <w:rsid w:val="00861EF0"/>
    <w:rsid w:val="00862FDF"/>
    <w:rsid w:val="00866B1F"/>
    <w:rsid w:val="00884987"/>
    <w:rsid w:val="00887405"/>
    <w:rsid w:val="008A3D3E"/>
    <w:rsid w:val="008B4A8E"/>
    <w:rsid w:val="008B6336"/>
    <w:rsid w:val="008C47E4"/>
    <w:rsid w:val="008C4A68"/>
    <w:rsid w:val="008C7433"/>
    <w:rsid w:val="008D036C"/>
    <w:rsid w:val="008D0A36"/>
    <w:rsid w:val="008D6E8B"/>
    <w:rsid w:val="008E5286"/>
    <w:rsid w:val="008F32BA"/>
    <w:rsid w:val="009136E1"/>
    <w:rsid w:val="00921849"/>
    <w:rsid w:val="0092204E"/>
    <w:rsid w:val="00926007"/>
    <w:rsid w:val="009322D3"/>
    <w:rsid w:val="00933990"/>
    <w:rsid w:val="0094274B"/>
    <w:rsid w:val="009430C7"/>
    <w:rsid w:val="009464B5"/>
    <w:rsid w:val="00946CB4"/>
    <w:rsid w:val="00950612"/>
    <w:rsid w:val="009628E6"/>
    <w:rsid w:val="00962B3C"/>
    <w:rsid w:val="009631D7"/>
    <w:rsid w:val="00974282"/>
    <w:rsid w:val="0099382B"/>
    <w:rsid w:val="0099462D"/>
    <w:rsid w:val="009A08DE"/>
    <w:rsid w:val="009B42E8"/>
    <w:rsid w:val="009B4860"/>
    <w:rsid w:val="009B4B73"/>
    <w:rsid w:val="009C1636"/>
    <w:rsid w:val="009C5C5E"/>
    <w:rsid w:val="009D2FC1"/>
    <w:rsid w:val="009D762C"/>
    <w:rsid w:val="009E51CD"/>
    <w:rsid w:val="009E59A1"/>
    <w:rsid w:val="009F738B"/>
    <w:rsid w:val="00A128A4"/>
    <w:rsid w:val="00A24E57"/>
    <w:rsid w:val="00A26AD2"/>
    <w:rsid w:val="00A3100D"/>
    <w:rsid w:val="00A315D2"/>
    <w:rsid w:val="00A32758"/>
    <w:rsid w:val="00A34AED"/>
    <w:rsid w:val="00A36760"/>
    <w:rsid w:val="00A455D5"/>
    <w:rsid w:val="00A47CC4"/>
    <w:rsid w:val="00A5514E"/>
    <w:rsid w:val="00A56307"/>
    <w:rsid w:val="00A61005"/>
    <w:rsid w:val="00A65B75"/>
    <w:rsid w:val="00A668FF"/>
    <w:rsid w:val="00A72883"/>
    <w:rsid w:val="00A7596A"/>
    <w:rsid w:val="00A8502F"/>
    <w:rsid w:val="00AA2D47"/>
    <w:rsid w:val="00AA6395"/>
    <w:rsid w:val="00AA7DB6"/>
    <w:rsid w:val="00AD4699"/>
    <w:rsid w:val="00AD6904"/>
    <w:rsid w:val="00AE2C31"/>
    <w:rsid w:val="00AF3F91"/>
    <w:rsid w:val="00B02D37"/>
    <w:rsid w:val="00B24C2E"/>
    <w:rsid w:val="00B31A23"/>
    <w:rsid w:val="00B35572"/>
    <w:rsid w:val="00B44A58"/>
    <w:rsid w:val="00B54FC0"/>
    <w:rsid w:val="00B573A4"/>
    <w:rsid w:val="00B66612"/>
    <w:rsid w:val="00B73CF8"/>
    <w:rsid w:val="00B8220E"/>
    <w:rsid w:val="00B82933"/>
    <w:rsid w:val="00B847A5"/>
    <w:rsid w:val="00B86AFF"/>
    <w:rsid w:val="00B87612"/>
    <w:rsid w:val="00BA5250"/>
    <w:rsid w:val="00BA6C26"/>
    <w:rsid w:val="00BB57D0"/>
    <w:rsid w:val="00BB5CB8"/>
    <w:rsid w:val="00BC4024"/>
    <w:rsid w:val="00BC6407"/>
    <w:rsid w:val="00BF6F93"/>
    <w:rsid w:val="00BF796D"/>
    <w:rsid w:val="00C1071E"/>
    <w:rsid w:val="00C120C4"/>
    <w:rsid w:val="00C14FC8"/>
    <w:rsid w:val="00C2207C"/>
    <w:rsid w:val="00C22453"/>
    <w:rsid w:val="00C30B86"/>
    <w:rsid w:val="00C35992"/>
    <w:rsid w:val="00C41A1B"/>
    <w:rsid w:val="00C45704"/>
    <w:rsid w:val="00C518EE"/>
    <w:rsid w:val="00C5582F"/>
    <w:rsid w:val="00C67471"/>
    <w:rsid w:val="00C74C62"/>
    <w:rsid w:val="00C75B77"/>
    <w:rsid w:val="00C9449A"/>
    <w:rsid w:val="00C95F16"/>
    <w:rsid w:val="00C9655B"/>
    <w:rsid w:val="00CA037A"/>
    <w:rsid w:val="00CA33E3"/>
    <w:rsid w:val="00CC34A2"/>
    <w:rsid w:val="00CC3CC1"/>
    <w:rsid w:val="00CE0F7D"/>
    <w:rsid w:val="00CE76D8"/>
    <w:rsid w:val="00CF4C80"/>
    <w:rsid w:val="00D06D1A"/>
    <w:rsid w:val="00D14910"/>
    <w:rsid w:val="00D27208"/>
    <w:rsid w:val="00D31776"/>
    <w:rsid w:val="00D6170E"/>
    <w:rsid w:val="00D712E7"/>
    <w:rsid w:val="00D83347"/>
    <w:rsid w:val="00D84386"/>
    <w:rsid w:val="00D85CF4"/>
    <w:rsid w:val="00D94DC7"/>
    <w:rsid w:val="00D96035"/>
    <w:rsid w:val="00DC14E6"/>
    <w:rsid w:val="00DC2F6B"/>
    <w:rsid w:val="00DC6BA0"/>
    <w:rsid w:val="00DD0716"/>
    <w:rsid w:val="00DD0D8D"/>
    <w:rsid w:val="00DD1E80"/>
    <w:rsid w:val="00DD5F9F"/>
    <w:rsid w:val="00DE67A9"/>
    <w:rsid w:val="00DF2460"/>
    <w:rsid w:val="00DF4B48"/>
    <w:rsid w:val="00E046E0"/>
    <w:rsid w:val="00E1286B"/>
    <w:rsid w:val="00E16D47"/>
    <w:rsid w:val="00E21D04"/>
    <w:rsid w:val="00E358D6"/>
    <w:rsid w:val="00E531E0"/>
    <w:rsid w:val="00E61CF4"/>
    <w:rsid w:val="00E65DBA"/>
    <w:rsid w:val="00E774F0"/>
    <w:rsid w:val="00E83987"/>
    <w:rsid w:val="00E84EA6"/>
    <w:rsid w:val="00E94074"/>
    <w:rsid w:val="00E9589B"/>
    <w:rsid w:val="00EA2267"/>
    <w:rsid w:val="00EB373D"/>
    <w:rsid w:val="00EB4A1A"/>
    <w:rsid w:val="00EB4EBC"/>
    <w:rsid w:val="00EB571F"/>
    <w:rsid w:val="00EB5BFA"/>
    <w:rsid w:val="00EC37D0"/>
    <w:rsid w:val="00EC7B08"/>
    <w:rsid w:val="00ED12A8"/>
    <w:rsid w:val="00ED5383"/>
    <w:rsid w:val="00ED58C8"/>
    <w:rsid w:val="00EF0DDE"/>
    <w:rsid w:val="00F42CFC"/>
    <w:rsid w:val="00F60EC3"/>
    <w:rsid w:val="00F66421"/>
    <w:rsid w:val="00F7034F"/>
    <w:rsid w:val="00F7433E"/>
    <w:rsid w:val="00F81D19"/>
    <w:rsid w:val="00F96B30"/>
    <w:rsid w:val="00FA437A"/>
    <w:rsid w:val="00FA5160"/>
    <w:rsid w:val="00FA7BF8"/>
    <w:rsid w:val="00FB0367"/>
    <w:rsid w:val="00FB050C"/>
    <w:rsid w:val="020314C8"/>
    <w:rsid w:val="07573B90"/>
    <w:rsid w:val="0A96F5A2"/>
    <w:rsid w:val="0C36E56A"/>
    <w:rsid w:val="0D0476F4"/>
    <w:rsid w:val="11D7E817"/>
    <w:rsid w:val="170A9493"/>
    <w:rsid w:val="1ABC5A09"/>
    <w:rsid w:val="255D6A64"/>
    <w:rsid w:val="266D13DD"/>
    <w:rsid w:val="29E39BFB"/>
    <w:rsid w:val="2A010B4C"/>
    <w:rsid w:val="2A90AD90"/>
    <w:rsid w:val="2B7F6C5C"/>
    <w:rsid w:val="2B9CDBAD"/>
    <w:rsid w:val="2CF4326D"/>
    <w:rsid w:val="30AFCA6B"/>
    <w:rsid w:val="312194F8"/>
    <w:rsid w:val="33AA0013"/>
    <w:rsid w:val="33FC0D49"/>
    <w:rsid w:val="37DA90A2"/>
    <w:rsid w:val="37E5368E"/>
    <w:rsid w:val="38234198"/>
    <w:rsid w:val="3E296A6E"/>
    <w:rsid w:val="407535C3"/>
    <w:rsid w:val="41610B30"/>
    <w:rsid w:val="43384ACC"/>
    <w:rsid w:val="46347C53"/>
    <w:rsid w:val="48B2565E"/>
    <w:rsid w:val="48B8C90A"/>
    <w:rsid w:val="4E5F119A"/>
    <w:rsid w:val="5316753E"/>
    <w:rsid w:val="55FF4041"/>
    <w:rsid w:val="59676E7C"/>
    <w:rsid w:val="5AE93FFA"/>
    <w:rsid w:val="5D14722B"/>
    <w:rsid w:val="61FD9A8F"/>
    <w:rsid w:val="678106A6"/>
    <w:rsid w:val="6A7D57EF"/>
    <w:rsid w:val="7C39547F"/>
    <w:rsid w:val="7C578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B59AA"/>
  <w15:docId w15:val="{F6396AE1-EAEC-4E94-84D8-5A0F431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74"/>
    <w:pPr>
      <w:spacing w:after="0" w:line="240" w:lineRule="auto"/>
    </w:pPr>
    <w:rPr>
      <w:rFonts w:eastAsia="Times New Roman" w:cs="Times New Roman"/>
      <w:szCs w:val="20"/>
    </w:rPr>
  </w:style>
  <w:style w:type="paragraph" w:styleId="Rubrik1">
    <w:name w:val="heading 1"/>
    <w:basedOn w:val="Normal"/>
    <w:next w:val="Normal"/>
    <w:link w:val="Rubrik1Char"/>
    <w:uiPriority w:val="9"/>
    <w:qFormat/>
    <w:rsid w:val="00ED12A8"/>
    <w:pPr>
      <w:keepNext/>
      <w:keepLines/>
      <w:spacing w:before="240"/>
      <w:outlineLvl w:val="0"/>
    </w:pPr>
    <w:rPr>
      <w:rFonts w:ascii="Lato Black" w:eastAsiaTheme="majorEastAsia" w:hAnsi="Lato Black" w:cstheme="majorBidi"/>
      <w:b/>
      <w:color w:val="000000" w:themeColor="text1"/>
      <w:sz w:val="32"/>
      <w:szCs w:val="32"/>
    </w:rPr>
  </w:style>
  <w:style w:type="paragraph" w:styleId="Rubrik2">
    <w:name w:val="heading 2"/>
    <w:basedOn w:val="Normal"/>
    <w:next w:val="Normal"/>
    <w:link w:val="Rubrik2Char"/>
    <w:uiPriority w:val="9"/>
    <w:unhideWhenUsed/>
    <w:qFormat/>
    <w:rsid w:val="00ED12A8"/>
    <w:pPr>
      <w:keepNext/>
      <w:keepLines/>
      <w:spacing w:before="40"/>
      <w:outlineLvl w:val="1"/>
    </w:pPr>
    <w:rPr>
      <w:rFonts w:eastAsiaTheme="majorEastAsia" w:cstheme="majorBidi"/>
      <w:b/>
      <w:color w:val="E1251B" w:themeColor="accent1"/>
      <w:sz w:val="26"/>
      <w:szCs w:val="26"/>
    </w:rPr>
  </w:style>
  <w:style w:type="paragraph" w:styleId="Rubrik3">
    <w:name w:val="heading 3"/>
    <w:basedOn w:val="Normal"/>
    <w:next w:val="Normal"/>
    <w:link w:val="Rubrik3Char"/>
    <w:uiPriority w:val="9"/>
    <w:semiHidden/>
    <w:unhideWhenUsed/>
    <w:qFormat/>
    <w:rsid w:val="00ED12A8"/>
    <w:pPr>
      <w:keepNext/>
      <w:keepLines/>
      <w:spacing w:before="40"/>
      <w:outlineLvl w:val="2"/>
    </w:pPr>
    <w:rPr>
      <w:rFonts w:eastAsiaTheme="majorEastAsia" w:cstheme="majorBidi"/>
      <w:b/>
      <w:color w:val="E1251B" w:themeColor="accent1"/>
      <w:sz w:val="24"/>
      <w:szCs w:val="24"/>
    </w:rPr>
  </w:style>
  <w:style w:type="paragraph" w:styleId="Rubrik4">
    <w:name w:val="heading 4"/>
    <w:basedOn w:val="Normal"/>
    <w:next w:val="Normal"/>
    <w:link w:val="Rubrik4Char"/>
    <w:uiPriority w:val="9"/>
    <w:semiHidden/>
    <w:unhideWhenUsed/>
    <w:qFormat/>
    <w:rsid w:val="006F7569"/>
    <w:pPr>
      <w:keepNext/>
      <w:keepLines/>
      <w:spacing w:before="40"/>
      <w:outlineLvl w:val="3"/>
    </w:pPr>
    <w:rPr>
      <w:rFonts w:asciiTheme="majorHAnsi" w:eastAsiaTheme="majorEastAsia" w:hAnsiTheme="majorHAnsi" w:cstheme="majorBidi"/>
      <w:i/>
      <w:iCs/>
      <w:color w:val="A51414" w:themeColor="text2"/>
    </w:rPr>
  </w:style>
  <w:style w:type="paragraph" w:styleId="Rubrik5">
    <w:name w:val="heading 5"/>
    <w:basedOn w:val="Normal"/>
    <w:next w:val="Normal"/>
    <w:link w:val="Rubrik5Char"/>
    <w:uiPriority w:val="9"/>
    <w:semiHidden/>
    <w:unhideWhenUsed/>
    <w:qFormat/>
    <w:rsid w:val="006F7569"/>
    <w:pPr>
      <w:keepNext/>
      <w:keepLines/>
      <w:spacing w:before="40"/>
      <w:outlineLvl w:val="4"/>
    </w:pPr>
    <w:rPr>
      <w:rFonts w:asciiTheme="majorHAnsi" w:eastAsiaTheme="majorEastAsia" w:hAnsiTheme="majorHAnsi" w:cstheme="majorBidi"/>
      <w:color w:val="A51414" w:themeColor="text2"/>
    </w:rPr>
  </w:style>
  <w:style w:type="paragraph" w:styleId="Rubrik6">
    <w:name w:val="heading 6"/>
    <w:basedOn w:val="Normal"/>
    <w:next w:val="Normal"/>
    <w:link w:val="Rubrik6Char"/>
    <w:uiPriority w:val="9"/>
    <w:semiHidden/>
    <w:unhideWhenUsed/>
    <w:qFormat/>
    <w:rsid w:val="006F7569"/>
    <w:pPr>
      <w:keepNext/>
      <w:keepLines/>
      <w:spacing w:before="40"/>
      <w:outlineLvl w:val="5"/>
    </w:pPr>
    <w:rPr>
      <w:rFonts w:asciiTheme="majorHAnsi" w:eastAsiaTheme="majorEastAsia" w:hAnsiTheme="majorHAnsi" w:cstheme="majorBidi"/>
      <w:color w:val="A51414"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66612"/>
    <w:pPr>
      <w:tabs>
        <w:tab w:val="center" w:pos="4513"/>
        <w:tab w:val="right" w:pos="9026"/>
      </w:tabs>
    </w:pPr>
  </w:style>
  <w:style w:type="character" w:customStyle="1" w:styleId="SidhuvudChar">
    <w:name w:val="Sidhuvud Char"/>
    <w:basedOn w:val="Standardstycketeckensnitt"/>
    <w:link w:val="Sidhuvud"/>
    <w:uiPriority w:val="99"/>
    <w:semiHidden/>
    <w:rsid w:val="003E7AF0"/>
    <w:rPr>
      <w:rFonts w:ascii="Gill Sans Infant Std" w:eastAsia="Times New Roman" w:hAnsi="Gill Sans Infant Std" w:cs="Times New Roman"/>
      <w:szCs w:val="20"/>
    </w:rPr>
  </w:style>
  <w:style w:type="paragraph" w:styleId="Sidfot">
    <w:name w:val="footer"/>
    <w:basedOn w:val="Normal"/>
    <w:link w:val="SidfotChar"/>
    <w:uiPriority w:val="99"/>
    <w:qFormat/>
    <w:rsid w:val="00B66612"/>
    <w:pPr>
      <w:tabs>
        <w:tab w:val="center" w:pos="4513"/>
        <w:tab w:val="right" w:pos="9026"/>
      </w:tabs>
    </w:pPr>
    <w:rPr>
      <w:sz w:val="14"/>
    </w:rPr>
  </w:style>
  <w:style w:type="character" w:customStyle="1" w:styleId="SidfotChar">
    <w:name w:val="Sidfot Char"/>
    <w:basedOn w:val="Standardstycketeckensnitt"/>
    <w:link w:val="Sidfot"/>
    <w:uiPriority w:val="99"/>
    <w:rsid w:val="003E7AF0"/>
    <w:rPr>
      <w:rFonts w:ascii="Gill Sans Infant Std" w:eastAsia="Times New Roman" w:hAnsi="Gill Sans Infant Std" w:cs="Times New Roman"/>
      <w:sz w:val="14"/>
      <w:szCs w:val="20"/>
    </w:rPr>
  </w:style>
  <w:style w:type="character" w:styleId="Hyperlnk">
    <w:name w:val="Hyperlink"/>
    <w:uiPriority w:val="9"/>
    <w:semiHidden/>
    <w:rsid w:val="004517CD"/>
    <w:rPr>
      <w:color w:val="E1251B" w:themeColor="accent1"/>
      <w:u w:val="single"/>
    </w:rPr>
  </w:style>
  <w:style w:type="table" w:styleId="Tabellrutnt">
    <w:name w:val="Table Grid"/>
    <w:basedOn w:val="Normaltabel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B5CB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5CB8"/>
    <w:rPr>
      <w:rFonts w:ascii="Segoe UI" w:eastAsia="Times New Roman" w:hAnsi="Segoe UI" w:cs="Segoe UI"/>
      <w:sz w:val="18"/>
      <w:szCs w:val="18"/>
    </w:rPr>
  </w:style>
  <w:style w:type="character" w:customStyle="1" w:styleId="Rubrik1Char">
    <w:name w:val="Rubrik 1 Char"/>
    <w:basedOn w:val="Standardstycketeckensnitt"/>
    <w:link w:val="Rubrik1"/>
    <w:uiPriority w:val="9"/>
    <w:rsid w:val="00ED12A8"/>
    <w:rPr>
      <w:rFonts w:ascii="Lato Black" w:eastAsiaTheme="majorEastAsia" w:hAnsi="Lato Black" w:cstheme="majorBidi"/>
      <w:b/>
      <w:color w:val="000000" w:themeColor="text1"/>
      <w:sz w:val="32"/>
      <w:szCs w:val="32"/>
    </w:rPr>
  </w:style>
  <w:style w:type="character" w:customStyle="1" w:styleId="Rubrik2Char">
    <w:name w:val="Rubrik 2 Char"/>
    <w:basedOn w:val="Standardstycketeckensnitt"/>
    <w:link w:val="Rubrik2"/>
    <w:uiPriority w:val="9"/>
    <w:rsid w:val="00ED12A8"/>
    <w:rPr>
      <w:rFonts w:eastAsiaTheme="majorEastAsia" w:cstheme="majorBidi"/>
      <w:b/>
      <w:color w:val="E1251B" w:themeColor="accent1"/>
      <w:sz w:val="26"/>
      <w:szCs w:val="26"/>
    </w:rPr>
  </w:style>
  <w:style w:type="character" w:customStyle="1" w:styleId="Rubrik3Char">
    <w:name w:val="Rubrik 3 Char"/>
    <w:basedOn w:val="Standardstycketeckensnitt"/>
    <w:link w:val="Rubrik3"/>
    <w:uiPriority w:val="9"/>
    <w:semiHidden/>
    <w:rsid w:val="00ED12A8"/>
    <w:rPr>
      <w:rFonts w:eastAsiaTheme="majorEastAsia" w:cstheme="majorBidi"/>
      <w:b/>
      <w:color w:val="E1251B" w:themeColor="accent1"/>
      <w:sz w:val="24"/>
      <w:szCs w:val="24"/>
    </w:rPr>
  </w:style>
  <w:style w:type="character" w:customStyle="1" w:styleId="Rubrik4Char">
    <w:name w:val="Rubrik 4 Char"/>
    <w:basedOn w:val="Standardstycketeckensnitt"/>
    <w:link w:val="Rubrik4"/>
    <w:uiPriority w:val="9"/>
    <w:semiHidden/>
    <w:rsid w:val="006F7569"/>
    <w:rPr>
      <w:rFonts w:asciiTheme="majorHAnsi" w:eastAsiaTheme="majorEastAsia" w:hAnsiTheme="majorHAnsi" w:cstheme="majorBidi"/>
      <w:i/>
      <w:iCs/>
      <w:color w:val="A51414" w:themeColor="text2"/>
      <w:szCs w:val="20"/>
    </w:rPr>
  </w:style>
  <w:style w:type="character" w:customStyle="1" w:styleId="Rubrik5Char">
    <w:name w:val="Rubrik 5 Char"/>
    <w:basedOn w:val="Standardstycketeckensnitt"/>
    <w:link w:val="Rubrik5"/>
    <w:uiPriority w:val="9"/>
    <w:semiHidden/>
    <w:rsid w:val="006F7569"/>
    <w:rPr>
      <w:rFonts w:asciiTheme="majorHAnsi" w:eastAsiaTheme="majorEastAsia" w:hAnsiTheme="majorHAnsi" w:cstheme="majorBidi"/>
      <w:color w:val="A51414" w:themeColor="text2"/>
      <w:szCs w:val="20"/>
    </w:rPr>
  </w:style>
  <w:style w:type="paragraph" w:styleId="Punktlista">
    <w:name w:val="List Bullet"/>
    <w:basedOn w:val="Normal"/>
    <w:uiPriority w:val="99"/>
    <w:semiHidden/>
    <w:qFormat/>
    <w:rsid w:val="0099462D"/>
    <w:pPr>
      <w:numPr>
        <w:numId w:val="1"/>
      </w:numPr>
      <w:ind w:left="284" w:hanging="284"/>
      <w:contextualSpacing/>
    </w:pPr>
  </w:style>
  <w:style w:type="paragraph" w:styleId="Punktlista2">
    <w:name w:val="List Bullet 2"/>
    <w:basedOn w:val="Normal"/>
    <w:uiPriority w:val="99"/>
    <w:semiHidden/>
    <w:qFormat/>
    <w:rsid w:val="006F7569"/>
    <w:pPr>
      <w:numPr>
        <w:numId w:val="2"/>
      </w:numPr>
      <w:ind w:left="568" w:hanging="284"/>
      <w:contextualSpacing/>
    </w:pPr>
  </w:style>
  <w:style w:type="paragraph" w:styleId="Numreradlista">
    <w:name w:val="List Number"/>
    <w:basedOn w:val="Normal"/>
    <w:uiPriority w:val="99"/>
    <w:semiHidden/>
    <w:qFormat/>
    <w:rsid w:val="0099462D"/>
    <w:pPr>
      <w:numPr>
        <w:numId w:val="6"/>
      </w:numPr>
      <w:contextualSpacing/>
    </w:pPr>
  </w:style>
  <w:style w:type="paragraph" w:styleId="Numreradlista2">
    <w:name w:val="List Number 2"/>
    <w:basedOn w:val="Normal"/>
    <w:uiPriority w:val="99"/>
    <w:semiHidden/>
    <w:qFormat/>
    <w:rsid w:val="006F7569"/>
    <w:pPr>
      <w:numPr>
        <w:numId w:val="7"/>
      </w:numPr>
      <w:ind w:left="568" w:hanging="284"/>
      <w:contextualSpacing/>
    </w:pPr>
  </w:style>
  <w:style w:type="character" w:customStyle="1" w:styleId="Rubrik6Char">
    <w:name w:val="Rubrik 6 Char"/>
    <w:basedOn w:val="Standardstycketeckensnitt"/>
    <w:link w:val="Rubrik6"/>
    <w:uiPriority w:val="9"/>
    <w:semiHidden/>
    <w:rsid w:val="006F7569"/>
    <w:rPr>
      <w:rFonts w:asciiTheme="majorHAnsi" w:eastAsiaTheme="majorEastAsia" w:hAnsiTheme="majorHAnsi" w:cstheme="majorBidi"/>
      <w:color w:val="A51414" w:themeColor="text2"/>
      <w:szCs w:val="20"/>
    </w:rPr>
  </w:style>
  <w:style w:type="paragraph" w:customStyle="1" w:styleId="PageNumber1">
    <w:name w:val="Page Number1"/>
    <w:basedOn w:val="Normal"/>
    <w:uiPriority w:val="9"/>
    <w:semiHidden/>
    <w:rsid w:val="000F4C24"/>
    <w:pPr>
      <w:ind w:left="170"/>
    </w:pPr>
  </w:style>
  <w:style w:type="paragraph" w:customStyle="1" w:styleId="BulletList1">
    <w:name w:val="Bullet List 1"/>
    <w:basedOn w:val="Normal"/>
    <w:uiPriority w:val="10"/>
    <w:qFormat/>
    <w:rsid w:val="00ED12A8"/>
    <w:pPr>
      <w:numPr>
        <w:numId w:val="12"/>
      </w:numPr>
      <w:spacing w:after="360" w:line="360" w:lineRule="auto"/>
      <w:contextualSpacing/>
    </w:pPr>
    <w:rPr>
      <w:rFonts w:eastAsiaTheme="minorHAnsi" w:cstheme="minorBidi"/>
      <w:sz w:val="21"/>
      <w:szCs w:val="22"/>
      <w:lang w:val="en-US"/>
    </w:rPr>
  </w:style>
  <w:style w:type="paragraph" w:customStyle="1" w:styleId="BulletList2">
    <w:name w:val="Bullet List 2"/>
    <w:basedOn w:val="BulletList1"/>
    <w:uiPriority w:val="10"/>
    <w:qFormat/>
    <w:rsid w:val="00ED12A8"/>
    <w:pPr>
      <w:numPr>
        <w:ilvl w:val="1"/>
      </w:numPr>
    </w:pPr>
  </w:style>
  <w:style w:type="numbering" w:customStyle="1" w:styleId="Bullets">
    <w:name w:val="Bullets"/>
    <w:uiPriority w:val="99"/>
    <w:rsid w:val="00ED12A8"/>
    <w:pPr>
      <w:numPr>
        <w:numId w:val="12"/>
      </w:numPr>
    </w:pPr>
  </w:style>
  <w:style w:type="numbering" w:customStyle="1" w:styleId="Style1">
    <w:name w:val="Style1"/>
    <w:uiPriority w:val="99"/>
    <w:rsid w:val="00350E3A"/>
    <w:pPr>
      <w:numPr>
        <w:numId w:val="13"/>
      </w:numPr>
    </w:pPr>
  </w:style>
  <w:style w:type="numbering" w:customStyle="1" w:styleId="Numbers">
    <w:name w:val="Numbers"/>
    <w:uiPriority w:val="99"/>
    <w:rsid w:val="006704B9"/>
    <w:pPr>
      <w:numPr>
        <w:numId w:val="16"/>
      </w:numPr>
    </w:pPr>
  </w:style>
  <w:style w:type="paragraph" w:customStyle="1" w:styleId="NumberedList1">
    <w:name w:val="Numbered List 1"/>
    <w:basedOn w:val="Normal"/>
    <w:uiPriority w:val="10"/>
    <w:qFormat/>
    <w:rsid w:val="00EF0DDE"/>
    <w:pPr>
      <w:numPr>
        <w:numId w:val="16"/>
      </w:numPr>
    </w:pPr>
  </w:style>
  <w:style w:type="paragraph" w:customStyle="1" w:styleId="NumberedList2">
    <w:name w:val="Numbered List 2"/>
    <w:basedOn w:val="NumberedList1"/>
    <w:uiPriority w:val="10"/>
    <w:qFormat/>
    <w:rsid w:val="00EF0DDE"/>
    <w:pPr>
      <w:numPr>
        <w:ilvl w:val="1"/>
      </w:numPr>
    </w:pPr>
  </w:style>
  <w:style w:type="table" w:customStyle="1" w:styleId="SavetheChildrenTable">
    <w:name w:val="Save the Children Table"/>
    <w:basedOn w:val="Rutntstabell4dekorfrg6"/>
    <w:uiPriority w:val="99"/>
    <w:rsid w:val="00675E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F3F2EE" w:themeFill="background2"/>
      </w:tcPr>
    </w:tblStylePr>
    <w:tblStylePr w:type="band1Horz">
      <w:tblPr/>
      <w:tcPr>
        <w:shd w:val="clear" w:color="auto" w:fill="F3F2EE" w:themeFill="background2"/>
      </w:tcPr>
    </w:tblStylePr>
  </w:style>
  <w:style w:type="table" w:styleId="Rutntstabell4dekorfrg6">
    <w:name w:val="Grid Table 4 Accent 6"/>
    <w:basedOn w:val="Normaltabell"/>
    <w:uiPriority w:val="49"/>
    <w:rsid w:val="00675E82"/>
    <w:pPr>
      <w:spacing w:after="0" w:line="240" w:lineRule="auto"/>
    </w:pPr>
    <w:tblPr>
      <w:tblStyleRowBandSize w:val="1"/>
      <w:tblStyleColBandSize w:val="1"/>
      <w:tblBorders>
        <w:top w:val="single" w:sz="4" w:space="0" w:color="31ECFF" w:themeColor="accent6" w:themeTint="99"/>
        <w:left w:val="single" w:sz="4" w:space="0" w:color="31ECFF" w:themeColor="accent6" w:themeTint="99"/>
        <w:bottom w:val="single" w:sz="4" w:space="0" w:color="31ECFF" w:themeColor="accent6" w:themeTint="99"/>
        <w:right w:val="single" w:sz="4" w:space="0" w:color="31ECFF" w:themeColor="accent6" w:themeTint="99"/>
        <w:insideH w:val="single" w:sz="4" w:space="0" w:color="31ECFF" w:themeColor="accent6" w:themeTint="99"/>
        <w:insideV w:val="single" w:sz="4" w:space="0" w:color="31ECFF" w:themeColor="accent6" w:themeTint="99"/>
      </w:tblBorders>
    </w:tbl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BAF8FF" w:themeFill="accent6" w:themeFillTint="33"/>
      </w:tcPr>
    </w:tblStylePr>
    <w:tblStylePr w:type="band1Horz">
      <w:tblPr/>
      <w:tcPr>
        <w:shd w:val="clear" w:color="auto" w:fill="BAF8FF" w:themeFill="accent6" w:themeFillTint="33"/>
      </w:tcPr>
    </w:tblStylePr>
  </w:style>
  <w:style w:type="paragraph" w:styleId="Kommentarer">
    <w:name w:val="annotation text"/>
    <w:basedOn w:val="Normal"/>
    <w:link w:val="KommentarerChar"/>
    <w:uiPriority w:val="99"/>
    <w:unhideWhenUsed/>
    <w:rsid w:val="00546B74"/>
    <w:rPr>
      <w:sz w:val="20"/>
    </w:rPr>
  </w:style>
  <w:style w:type="character" w:customStyle="1" w:styleId="KommentarerChar">
    <w:name w:val="Kommentarer Char"/>
    <w:basedOn w:val="Standardstycketeckensnitt"/>
    <w:link w:val="Kommentarer"/>
    <w:uiPriority w:val="99"/>
    <w:rsid w:val="00546B74"/>
    <w:rPr>
      <w:rFonts w:eastAsia="Times New Roman" w:cs="Times New Roman"/>
      <w:sz w:val="20"/>
      <w:szCs w:val="20"/>
    </w:rPr>
  </w:style>
  <w:style w:type="character" w:styleId="Kommentarsreferens">
    <w:name w:val="annotation reference"/>
    <w:basedOn w:val="Standardstycketeckensnitt"/>
    <w:uiPriority w:val="99"/>
    <w:semiHidden/>
    <w:unhideWhenUsed/>
    <w:rsid w:val="00546B74"/>
    <w:rPr>
      <w:sz w:val="16"/>
      <w:szCs w:val="16"/>
    </w:rPr>
  </w:style>
  <w:style w:type="paragraph" w:styleId="Liststycke">
    <w:name w:val="List Paragraph"/>
    <w:basedOn w:val="Normal"/>
    <w:uiPriority w:val="34"/>
    <w:qFormat/>
    <w:rsid w:val="00546B74"/>
    <w:pPr>
      <w:spacing w:after="160" w:line="259" w:lineRule="auto"/>
      <w:ind w:left="720"/>
      <w:contextualSpacing/>
    </w:pPr>
    <w:rPr>
      <w:rFonts w:eastAsiaTheme="minorHAnsi" w:cstheme="minorBidi"/>
      <w:kern w:val="2"/>
      <w:szCs w:val="22"/>
      <w:lang w:val="sv-SE"/>
      <w14:ligatures w14:val="standardContextual"/>
    </w:rPr>
  </w:style>
  <w:style w:type="paragraph" w:styleId="Fotnotstext">
    <w:name w:val="footnote text"/>
    <w:basedOn w:val="Normal"/>
    <w:link w:val="FotnotstextChar"/>
    <w:uiPriority w:val="99"/>
    <w:semiHidden/>
    <w:unhideWhenUsed/>
    <w:rsid w:val="006B4DD6"/>
    <w:rPr>
      <w:sz w:val="20"/>
    </w:rPr>
  </w:style>
  <w:style w:type="character" w:customStyle="1" w:styleId="FotnotstextChar">
    <w:name w:val="Fotnotstext Char"/>
    <w:basedOn w:val="Standardstycketeckensnitt"/>
    <w:link w:val="Fotnotstext"/>
    <w:uiPriority w:val="99"/>
    <w:semiHidden/>
    <w:rsid w:val="006B4DD6"/>
    <w:rPr>
      <w:rFonts w:eastAsia="Times New Roman" w:cs="Times New Roman"/>
      <w:sz w:val="20"/>
      <w:szCs w:val="20"/>
    </w:rPr>
  </w:style>
  <w:style w:type="character" w:styleId="Fotnotsreferens">
    <w:name w:val="footnote reference"/>
    <w:basedOn w:val="Standardstycketeckensnitt"/>
    <w:uiPriority w:val="99"/>
    <w:semiHidden/>
    <w:unhideWhenUsed/>
    <w:rsid w:val="006B4DD6"/>
    <w:rPr>
      <w:vertAlign w:val="superscript"/>
    </w:rPr>
  </w:style>
  <w:style w:type="character" w:styleId="Olstomnmnande">
    <w:name w:val="Unresolved Mention"/>
    <w:basedOn w:val="Standardstycketeckensnitt"/>
    <w:uiPriority w:val="99"/>
    <w:semiHidden/>
    <w:unhideWhenUsed/>
    <w:rsid w:val="00933990"/>
    <w:rPr>
      <w:color w:val="605E5C"/>
      <w:shd w:val="clear" w:color="auto" w:fill="E1DFDD"/>
    </w:rPr>
  </w:style>
  <w:style w:type="paragraph" w:styleId="Ingetavstnd">
    <w:name w:val="No Spacing"/>
    <w:uiPriority w:val="1"/>
    <w:qFormat/>
    <w:rsid w:val="00C14FC8"/>
    <w:pPr>
      <w:spacing w:after="0" w:line="240" w:lineRule="auto"/>
    </w:pPr>
    <w:rPr>
      <w:color w:val="A51414" w:themeColor="text2"/>
      <w:sz w:val="20"/>
      <w:szCs w:val="20"/>
      <w:lang w:val="en-US"/>
    </w:rPr>
  </w:style>
  <w:style w:type="character" w:styleId="AnvndHyperlnk">
    <w:name w:val="FollowedHyperlink"/>
    <w:basedOn w:val="Standardstycketeckensnitt"/>
    <w:uiPriority w:val="99"/>
    <w:semiHidden/>
    <w:unhideWhenUsed/>
    <w:rsid w:val="008E5286"/>
    <w:rPr>
      <w:color w:val="9A3324" w:themeColor="followedHyperlink"/>
      <w:u w:val="single"/>
    </w:rPr>
  </w:style>
  <w:style w:type="paragraph" w:styleId="Revision">
    <w:name w:val="Revision"/>
    <w:hidden/>
    <w:uiPriority w:val="99"/>
    <w:semiHidden/>
    <w:rsid w:val="00C5582F"/>
    <w:pPr>
      <w:spacing w:after="0" w:line="240" w:lineRule="auto"/>
    </w:pPr>
    <w:rPr>
      <w:rFonts w:eastAsia="Times New Roman" w:cs="Times New Roman"/>
      <w:szCs w:val="20"/>
    </w:rPr>
  </w:style>
  <w:style w:type="paragraph" w:styleId="Kommentarsmne">
    <w:name w:val="annotation subject"/>
    <w:basedOn w:val="Kommentarer"/>
    <w:next w:val="Kommentarer"/>
    <w:link w:val="KommentarsmneChar"/>
    <w:uiPriority w:val="99"/>
    <w:semiHidden/>
    <w:unhideWhenUsed/>
    <w:rsid w:val="00DD0716"/>
    <w:rPr>
      <w:b/>
      <w:bCs/>
    </w:rPr>
  </w:style>
  <w:style w:type="character" w:customStyle="1" w:styleId="KommentarsmneChar">
    <w:name w:val="Kommentarsämne Char"/>
    <w:basedOn w:val="KommentarerChar"/>
    <w:link w:val="Kommentarsmne"/>
    <w:uiPriority w:val="99"/>
    <w:semiHidden/>
    <w:rsid w:val="00DD071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instruments-mechanisms/instruments/convention-rights-chil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instruments-mechanisms/instruments/convention-rights-chi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instruments-mechanisms/instruments/convention-rights-persons-disabil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2021-12/ungps10plusroadmap.pdf" TargetMode="External"/><Relationship Id="rId13" Type="http://schemas.openxmlformats.org/officeDocument/2006/relationships/hyperlink" Target="https://resourcecentre.savethechildren.net/pdf/GAP-Guidance_FINAL.pdf/" TargetMode="External"/><Relationship Id="rId18" Type="http://schemas.openxmlformats.org/officeDocument/2006/relationships/hyperlink" Target="https://resourcecentre.savethechildren.net/document/generation-hope-2-4-billion-reasons-to-end-the-global-climate-and-inequality-crisis/" TargetMode="External"/><Relationship Id="rId3" Type="http://schemas.openxmlformats.org/officeDocument/2006/relationships/hyperlink" Target="https://www.ohchr.org/sites/default/files/Documents/Publications/GuidingPrinciplesBusinessHR_EN.pdf" TargetMode="External"/><Relationship Id="rId7" Type="http://schemas.openxmlformats.org/officeDocument/2006/relationships/hyperlink" Target="https://tbinternet.ohchr.org/_layouts/15/treatybodyexternal/Download.aspx?symbolno=CRC%2FC%2FGC%2F26&amp;Lang=en" TargetMode="External"/><Relationship Id="rId12" Type="http://schemas.openxmlformats.org/officeDocument/2006/relationships/hyperlink" Target="https://www.unicef.org/reports/charting-course" TargetMode="External"/><Relationship Id="rId17" Type="http://schemas.openxmlformats.org/officeDocument/2006/relationships/hyperlink" Target="https://www.unicef.org/reports/charting-course" TargetMode="External"/><Relationship Id="rId2" Type="http://schemas.openxmlformats.org/officeDocument/2006/relationships/hyperlink" Target="https://www.ohchr.org/en/documents/thematic-reports/ahrc4739-guiding-principles-business-and-human-rights-10-taking-stock" TargetMode="External"/><Relationship Id="rId16" Type="http://schemas.openxmlformats.org/officeDocument/2006/relationships/hyperlink" Target="https://resourcecentre.savethechildren.net/pdf/EU-Corporate-Sustainability-Due-Diligence-Directive-Position-paper.pdf/" TargetMode="External"/><Relationship Id="rId1" Type="http://schemas.openxmlformats.org/officeDocument/2006/relationships/hyperlink" Target="https://www.unicef.org/reports/charting-course" TargetMode="External"/><Relationship Id="rId6" Type="http://schemas.openxmlformats.org/officeDocument/2006/relationships/hyperlink" Target="https://documents-dds-ny.un.org/doc/UNDOC/GEN/G13/428/21/PDF/G1342821.pdf?OpenElement" TargetMode="External"/><Relationship Id="rId11" Type="http://schemas.openxmlformats.org/officeDocument/2006/relationships/hyperlink" Target="https://ec.europa.eu/commission/presscorner/detail/en/ip_22_1145" TargetMode="External"/><Relationship Id="rId5" Type="http://schemas.openxmlformats.org/officeDocument/2006/relationships/hyperlink" Target="http://mneguidelines.oecd.org/due-diligence-guidance-for-responsible-business-conduct.htm" TargetMode="External"/><Relationship Id="rId15" Type="http://schemas.openxmlformats.org/officeDocument/2006/relationships/hyperlink" Target="https://www.ilo.org/dyn/normlex/en/f?p=NORMLEXPUB:12100:0::NO::P12100_ILO_CODE:C182" TargetMode="External"/><Relationship Id="rId10" Type="http://schemas.openxmlformats.org/officeDocument/2006/relationships/hyperlink" Target="https://www.carrotsandsticks.net/about-carrots-sticks" TargetMode="External"/><Relationship Id="rId4" Type="http://schemas.openxmlformats.org/officeDocument/2006/relationships/hyperlink" Target="http://mneguidelines.oecd.org/MNEguidelines/" TargetMode="External"/><Relationship Id="rId9" Type="http://schemas.openxmlformats.org/officeDocument/2006/relationships/hyperlink" Target="https://resourcecentre.savethechildren.net/document/generation-hope-2-4-billion-reasons-to-end-the-global-climate-and-inequality-crisis/" TargetMode="External"/><Relationship Id="rId14" Type="http://schemas.openxmlformats.org/officeDocument/2006/relationships/hyperlink" Target="https://www.ilo.org/dyn/normlex/en/f?p=NORMLEXPUB:12100:0::NO::P12100_ilo_code:C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ilka.Lalevska\AppData\Local\Temp\Tempba3cc6bd-7ff3-41af-b5c8-0ea139c2dbab_2022May17%20-%20Brand%20Portal%20inc.%20Logos%20&amp;%20Icons%20-%2019%20files.zip\CH1673932_Word_Template.dotx" TargetMode="External"/></Relationships>
</file>

<file path=word/theme/theme1.xml><?xml version="1.0" encoding="utf-8"?>
<a:theme xmlns:a="http://schemas.openxmlformats.org/drawingml/2006/main" name="Save the Children Theme">
  <a:themeElements>
    <a:clrScheme name="Save the Children Colours">
      <a:dk1>
        <a:srgbClr val="000000"/>
      </a:dk1>
      <a:lt1>
        <a:srgbClr val="FFFFFF"/>
      </a:lt1>
      <a:dk2>
        <a:srgbClr val="A51414"/>
      </a:dk2>
      <a:lt2>
        <a:srgbClr val="F3F2EE"/>
      </a:lt2>
      <a:accent1>
        <a:srgbClr val="E1251B"/>
      </a:accent1>
      <a:accent2>
        <a:srgbClr val="E7E2D5"/>
      </a:accent2>
      <a:accent3>
        <a:srgbClr val="9A3324"/>
      </a:accent3>
      <a:accent4>
        <a:srgbClr val="FF4D00"/>
      </a:accent4>
      <a:accent5>
        <a:srgbClr val="F5A800"/>
      </a:accent5>
      <a:accent6>
        <a:srgbClr val="0099A8"/>
      </a:accent6>
      <a:hlink>
        <a:srgbClr val="DA291C"/>
      </a:hlink>
      <a:folHlink>
        <a:srgbClr val="9A3324"/>
      </a:folHlink>
    </a:clrScheme>
    <a:fontScheme name="Save the Children fonts">
      <a:majorFont>
        <a:latin typeface="Oswald Medium"/>
        <a:ea typeface=""/>
        <a:cs typeface=""/>
      </a:majorFont>
      <a:minorFont>
        <a:latin typeface="Lato"/>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reen">
      <a:srgbClr val="4CA585"/>
    </a:custClr>
    <a:custClr name="Pink">
      <a:srgbClr val="F5ACB8"/>
    </a:custClr>
    <a:custClr name="Purple">
      <a:srgbClr val="B487B8"/>
    </a:custClr>
    <a:custClr name="Biscuit 25%">
      <a:srgbClr val="F3F2EE"/>
    </a:custClr>
    <a:custClr name="Light Grey">
      <a:srgbClr val="999999"/>
    </a:custClr>
    <a:custClr name="Dark Grey">
      <a:srgbClr val="4A4F53"/>
    </a:custClr>
  </a:custClrLst>
  <a:extLst>
    <a:ext uri="{05A4C25C-085E-4340-85A3-A5531E510DB2}">
      <thm15:themeFamily xmlns:thm15="http://schemas.microsoft.com/office/thememl/2012/main" name="SCUK 4.potx" id="{4FA3E701-2A17-4078-960D-66723BD73621}" vid="{99ADC7C4-291F-4CEF-9844-263DE6E473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5e5363-379b-4480-9448-73efe99cab00">
      <UserInfo>
        <DisplayName>Everyone except external users</DisplayName>
        <AccountId>17</AccountId>
        <AccountType/>
      </UserInfo>
    </SharedWithUsers>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1F80D6D-31EE-4AA0-83C9-C19096CB5432}">
  <ds:schemaRefs>
    <ds:schemaRef ds:uri="http://schemas.microsoft.com/sharepoint/v3/contenttype/forms"/>
  </ds:schemaRefs>
</ds:datastoreItem>
</file>

<file path=customXml/itemProps2.xml><?xml version="1.0" encoding="utf-8"?>
<ds:datastoreItem xmlns:ds="http://schemas.openxmlformats.org/officeDocument/2006/customXml" ds:itemID="{438C53C1-83E3-4441-83BC-CFC92857A593}"/>
</file>

<file path=customXml/itemProps3.xml><?xml version="1.0" encoding="utf-8"?>
<ds:datastoreItem xmlns:ds="http://schemas.openxmlformats.org/officeDocument/2006/customXml" ds:itemID="{184A61A5-1B39-405C-80BA-9D742D8ACABE}">
  <ds:schemaRefs>
    <ds:schemaRef ds:uri="b1a25d56-6f3d-4cf9-8f75-af00573b6dbd"/>
    <ds:schemaRef ds:uri="http://purl.org/dc/dcmitype/"/>
    <ds:schemaRef ds:uri="http://purl.org/dc/elements/1.1/"/>
    <ds:schemaRef ds:uri="http://purl.org/dc/terms/"/>
    <ds:schemaRef ds:uri="de2d85a7-12de-4554-87be-39fa92a9000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ea134411-311c-402f-81fe-e3761d80d548"/>
    <ds:schemaRef ds:uri="http://schemas.microsoft.com/office/2006/metadata/properties"/>
  </ds:schemaRefs>
</ds:datastoreItem>
</file>

<file path=customXml/itemProps4.xml><?xml version="1.0" encoding="utf-8"?>
<ds:datastoreItem xmlns:ds="http://schemas.openxmlformats.org/officeDocument/2006/customXml" ds:itemID="{652B2668-1B6D-45B8-AEBC-FCC498EBC4E5}">
  <ds:schemaRefs>
    <ds:schemaRef ds:uri="http://schemas.openxmlformats.org/officeDocument/2006/bibliography"/>
  </ds:schemaRefs>
</ds:datastoreItem>
</file>

<file path=customXml/itemProps5.xml><?xml version="1.0" encoding="utf-8"?>
<ds:datastoreItem xmlns:ds="http://schemas.openxmlformats.org/officeDocument/2006/customXml" ds:itemID="{54B72F94-52EB-44DB-BC9D-B52FC5A87D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CH1673932_Word_Template</Template>
  <TotalTime>35</TotalTime>
  <Pages>7</Pages>
  <Words>2319</Words>
  <Characters>12292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Save the Children Word Template</vt:lpstr>
    </vt:vector>
  </TitlesOfParts>
  <Company>Save the Children</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 Word Template</dc:title>
  <dc:subject/>
  <dc:creator>Lalevska, Vasilka</dc:creator>
  <cp:keywords/>
  <dc:description>Version 1.00_x000d_
Job 1666_x000d_
2022-04-08</dc:description>
  <cp:lastModifiedBy>Lalevska, Vasilka</cp:lastModifiedBy>
  <cp:revision>26</cp:revision>
  <cp:lastPrinted>2023-09-28T11:32:00Z</cp:lastPrinted>
  <dcterms:created xsi:type="dcterms:W3CDTF">2023-09-27T12:30:00Z</dcterms:created>
  <dcterms:modified xsi:type="dcterms:W3CDTF">2023-09-28T11:37:00Z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SCITaxSource">
    <vt:lpwstr/>
  </property>
  <property fmtid="{D5CDD505-2E9C-101B-9397-08002B2CF9AE}" pid="4" name="ga7c308837c2439faee00269c6f30855">
    <vt:lpwstr/>
  </property>
  <property fmtid="{D5CDD505-2E9C-101B-9397-08002B2CF9AE}" pid="5" name="QFToolType">
    <vt:lpwstr/>
  </property>
  <property fmtid="{D5CDD505-2E9C-101B-9397-08002B2CF9AE}" pid="6" name="SCITaxAssociatedThemes">
    <vt:lpwstr/>
  </property>
  <property fmtid="{D5CDD505-2E9C-101B-9397-08002B2CF9AE}" pid="7" name="SCITaxPrimaryTheme">
    <vt:lpwstr/>
  </property>
  <property fmtid="{D5CDD505-2E9C-101B-9397-08002B2CF9AE}" pid="8" name="Send Email notification Awaiting Approval">
    <vt:lpwstr>, </vt:lpwstr>
  </property>
  <property fmtid="{D5CDD505-2E9C-101B-9397-08002B2CF9AE}" pid="9" name="SCITaxAssociatedDepartments">
    <vt:lpwstr/>
  </property>
  <property fmtid="{D5CDD505-2E9C-101B-9397-08002B2CF9AE}" pid="10" name="SCITaxPartners">
    <vt:lpwstr/>
  </property>
  <property fmtid="{D5CDD505-2E9C-101B-9397-08002B2CF9AE}" pid="11" name="QFDocumentType">
    <vt:lpwstr/>
  </property>
  <property fmtid="{D5CDD505-2E9C-101B-9397-08002B2CF9AE}" pid="12" name="QFFunction">
    <vt:lpwstr/>
  </property>
  <property fmtid="{D5CDD505-2E9C-101B-9397-08002B2CF9AE}" pid="13" name="SCITaxPrimaryLocation">
    <vt:lpwstr/>
  </property>
  <property fmtid="{D5CDD505-2E9C-101B-9397-08002B2CF9AE}" pid="14" name="SCITaxAssociatedLocations">
    <vt:lpwstr/>
  </property>
  <property fmtid="{D5CDD505-2E9C-101B-9397-08002B2CF9AE}" pid="15" name="SCITaxLanguage">
    <vt:lpwstr>19;#English|eaa5dfca-6a72-45fa-aa91-62ac69686b6a</vt:lpwstr>
  </property>
  <property fmtid="{D5CDD505-2E9C-101B-9397-08002B2CF9AE}" pid="16" name="Quality Framework Category">
    <vt:lpwstr>91;#External Engagement, Communications ＆ Media|0c42a9c7-8ab5-4554-9f57-35b65ee8ac25</vt:lpwstr>
  </property>
  <property fmtid="{D5CDD505-2E9C-101B-9397-08002B2CF9AE}" pid="17" name="SCITaxPrimaryDepartment">
    <vt:lpwstr/>
  </property>
  <property fmtid="{D5CDD505-2E9C-101B-9397-08002B2CF9AE}" pid="18" name="SCITaxKeywords">
    <vt:lpwstr/>
  </property>
  <property fmtid="{D5CDD505-2E9C-101B-9397-08002B2CF9AE}" pid="19" name="QF Document Lifecycle">
    <vt:lpwstr>https://onenet.savethechildren.net/tools/QualityFramework/_layouts/15/wrkstat.aspx?List=1fcab7e9-470d-483c-acbe-bb9d307c4c62&amp;WorkflowInstanceName=36411d24-0866-464b-81a6-e3d8f6b028d5, Stage 1</vt:lpwstr>
  </property>
  <property fmtid="{D5CDD505-2E9C-101B-9397-08002B2CF9AE}" pid="20" name="Order">
    <vt:r8>100</vt:r8>
  </property>
  <property fmtid="{D5CDD505-2E9C-101B-9397-08002B2CF9AE}" pid="21" name="Approver">
    <vt:lpwstr>14345;#Guy Abraham</vt:lpwstr>
  </property>
  <property fmtid="{D5CDD505-2E9C-101B-9397-08002B2CF9AE}" pid="22" name="SCITaxLanguageTaxHTField0">
    <vt:lpwstr>English|eaa5dfca-6a72-45fa-aa91-62ac69686b6a</vt:lpwstr>
  </property>
  <property fmtid="{D5CDD505-2E9C-101B-9397-08002B2CF9AE}" pid="23" name="xd_Signature">
    <vt:bool>false</vt:bool>
  </property>
  <property fmtid="{D5CDD505-2E9C-101B-9397-08002B2CF9AE}" pid="24" name="xd_ProgID">
    <vt:lpwstr/>
  </property>
  <property fmtid="{D5CDD505-2E9C-101B-9397-08002B2CF9AE}" pid="25" name="Document Author">
    <vt:lpwstr>14345;#Guy Abraham</vt:lpwstr>
  </property>
  <property fmtid="{D5CDD505-2E9C-101B-9397-08002B2CF9AE}" pid="26" name="ComplianceAssetId">
    <vt:lpwstr/>
  </property>
  <property fmtid="{D5CDD505-2E9C-101B-9397-08002B2CF9AE}" pid="27" name="TemplateUrl">
    <vt:lpwstr/>
  </property>
  <property fmtid="{D5CDD505-2E9C-101B-9397-08002B2CF9AE}" pid="28" name="dcd24c1d0af14decaba324e805cae077">
    <vt:lpwstr>External Engagement, Communications ＆ Media|0c42a9c7-8ab5-4554-9f57-35b65ee8ac25</vt:lpwstr>
  </property>
  <property fmtid="{D5CDD505-2E9C-101B-9397-08002B2CF9AE}" pid="29" name="QFStatus">
    <vt:lpwstr>Approved</vt:lpwstr>
  </property>
  <property fmtid="{D5CDD505-2E9C-101B-9397-08002B2CF9AE}" pid="30" name="RoleResponsible">
    <vt:lpwstr/>
  </property>
  <property fmtid="{D5CDD505-2E9C-101B-9397-08002B2CF9AE}" pid="31" name="GeographicalLocation">
    <vt:lpwstr/>
  </property>
  <property fmtid="{D5CDD505-2E9C-101B-9397-08002B2CF9AE}" pid="32" name="CurrentStatus">
    <vt:lpwstr>2;#Active|f4616ed2-f804-4f01-97f5-9b1a221b2ec7</vt:lpwstr>
  </property>
  <property fmtid="{D5CDD505-2E9C-101B-9397-08002B2CF9AE}" pid="33" name="SubjectMatter">
    <vt:lpwstr/>
  </property>
  <property fmtid="{D5CDD505-2E9C-101B-9397-08002B2CF9AE}" pid="34" name="Compliance">
    <vt:lpwstr/>
  </property>
  <property fmtid="{D5CDD505-2E9C-101B-9397-08002B2CF9AE}" pid="35" name="ProductOrService">
    <vt:lpwstr/>
  </property>
  <property fmtid="{D5CDD505-2E9C-101B-9397-08002B2CF9AE}" pid="36" name="d17f825f36234524bb9c266a36020aa1">
    <vt:lpwstr/>
  </property>
  <property fmtid="{D5CDD505-2E9C-101B-9397-08002B2CF9AE}" pid="37" name="RelatedFunctions">
    <vt:lpwstr/>
  </property>
  <property fmtid="{D5CDD505-2E9C-101B-9397-08002B2CF9AE}" pid="38" name="RelatedSubCategories">
    <vt:lpwstr/>
  </property>
  <property fmtid="{D5CDD505-2E9C-101B-9397-08002B2CF9AE}" pid="39" name="SCITaxDocumentCategory">
    <vt:lpwstr/>
  </property>
  <property fmtid="{D5CDD505-2E9C-101B-9397-08002B2CF9AE}" pid="40" name="kfae54f45e4f42458f58b288e1639c8f">
    <vt:lpwstr/>
  </property>
  <property fmtid="{D5CDD505-2E9C-101B-9397-08002B2CF9AE}" pid="41" name="ExternalAudience">
    <vt:bool>false</vt:bool>
  </property>
  <property fmtid="{D5CDD505-2E9C-101B-9397-08002B2CF9AE}" pid="42" name="d1886e8c37534ba9852199e68568ed7c">
    <vt:lpwstr/>
  </property>
  <property fmtid="{D5CDD505-2E9C-101B-9397-08002B2CF9AE}" pid="43" name="cf15caab3a654296977b0921e7134e99">
    <vt:lpwstr/>
  </property>
  <property fmtid="{D5CDD505-2E9C-101B-9397-08002B2CF9AE}" pid="44" name="Contact">
    <vt:lpwstr/>
  </property>
  <property fmtid="{D5CDD505-2E9C-101B-9397-08002B2CF9AE}" pid="45" name="EffectiveDate">
    <vt:filetime>2019-01-27T01:27:58Z</vt:filetime>
  </property>
  <property fmtid="{D5CDD505-2E9C-101B-9397-08002B2CF9AE}" pid="46" name="pd71c87abced4b95a8b78b0fb1def5da">
    <vt:lpwstr>Active|f4616ed2-f804-4f01-97f5-9b1a221b2ec7</vt:lpwstr>
  </property>
  <property fmtid="{D5CDD505-2E9C-101B-9397-08002B2CF9AE}" pid="47" name="Acknowledgement">
    <vt:bool>false</vt:bool>
  </property>
  <property fmtid="{D5CDD505-2E9C-101B-9397-08002B2CF9AE}" pid="48" name="k106685318534771ac3cee8ed8f1146b">
    <vt:lpwstr/>
  </property>
  <property fmtid="{D5CDD505-2E9C-101B-9397-08002B2CF9AE}" pid="49" name="hd032cf129744d2399b5239bb8160499">
    <vt:lpwstr/>
  </property>
  <property fmtid="{D5CDD505-2E9C-101B-9397-08002B2CF9AE}" pid="50" name="nc19a1a4b3d74222b3596c5699c8580f">
    <vt:lpwstr/>
  </property>
  <property fmtid="{D5CDD505-2E9C-101B-9397-08002B2CF9AE}" pid="51" name="c7d6783397604b1aa6b55bf84e4d70a3">
    <vt:lpwstr/>
  </property>
  <property fmtid="{D5CDD505-2E9C-101B-9397-08002B2CF9AE}" pid="52" name="QFSubmitter">
    <vt:lpwstr/>
  </property>
  <property fmtid="{D5CDD505-2E9C-101B-9397-08002B2CF9AE}" pid="53" name="SCIForPublicDistribution">
    <vt:bool>false</vt:bool>
  </property>
  <property fmtid="{D5CDD505-2E9C-101B-9397-08002B2CF9AE}" pid="54" name="QFOwner">
    <vt:lpwstr/>
  </property>
  <property fmtid="{D5CDD505-2E9C-101B-9397-08002B2CF9AE}" pid="55" name="MediaServiceImageTags">
    <vt:lpwstr/>
  </property>
</Properties>
</file>