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0DE" w14:textId="49B12A37" w:rsidR="00685EAB" w:rsidRDefault="001A25F4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UN Working Group on Business and Human Rights</w:t>
      </w:r>
    </w:p>
    <w:p w14:paraId="7C0BFAB9" w14:textId="104ADFE3" w:rsidR="001A25F4" w:rsidRDefault="001A25F4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>Karen Liu</w:t>
      </w:r>
    </w:p>
    <w:p w14:paraId="38FB8BFC" w14:textId="5A487908" w:rsidR="00161E3A" w:rsidRDefault="00161E3A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Call for Input Related to Investors, ESG and Human Rights</w:t>
      </w:r>
    </w:p>
    <w:p w14:paraId="3F6ECC12" w14:textId="7EEDB96E" w:rsidR="00161E3A" w:rsidRDefault="00161E3A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 xml:space="preserve">September </w:t>
      </w:r>
      <w:r w:rsidR="00497C92">
        <w:rPr>
          <w:sz w:val="24"/>
          <w:szCs w:val="24"/>
        </w:rPr>
        <w:t>2</w:t>
      </w:r>
      <w:r w:rsidR="000A375C">
        <w:rPr>
          <w:sz w:val="24"/>
          <w:szCs w:val="24"/>
        </w:rPr>
        <w:t>8</w:t>
      </w:r>
      <w:r w:rsidR="00497C92">
        <w:rPr>
          <w:sz w:val="24"/>
          <w:szCs w:val="24"/>
        </w:rPr>
        <w:t>, 2023</w:t>
      </w:r>
    </w:p>
    <w:p w14:paraId="6C464BFF" w14:textId="77777777" w:rsidR="00497C92" w:rsidRDefault="00497C92" w:rsidP="00E520FA">
      <w:pPr>
        <w:jc w:val="both"/>
        <w:rPr>
          <w:sz w:val="24"/>
          <w:szCs w:val="24"/>
        </w:rPr>
      </w:pPr>
    </w:p>
    <w:p w14:paraId="502C4437" w14:textId="39A0E38C" w:rsidR="00152BD0" w:rsidRDefault="003005A3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is submitted in response to the </w:t>
      </w:r>
      <w:r w:rsidR="00D627B0">
        <w:rPr>
          <w:sz w:val="24"/>
          <w:szCs w:val="24"/>
        </w:rPr>
        <w:t xml:space="preserve">Call for Input issued by the UN Working Group on Business and Human Rights </w:t>
      </w:r>
      <w:r w:rsidR="006856A3">
        <w:rPr>
          <w:sz w:val="24"/>
          <w:szCs w:val="24"/>
        </w:rPr>
        <w:t xml:space="preserve">in connection with the Working Group’s </w:t>
      </w:r>
      <w:r w:rsidR="000522DE">
        <w:rPr>
          <w:sz w:val="24"/>
          <w:szCs w:val="24"/>
        </w:rPr>
        <w:t>Report to be presented to the UN Human Rights Council in June 2024.</w:t>
      </w:r>
      <w:r w:rsidR="00C20DD1">
        <w:rPr>
          <w:sz w:val="24"/>
          <w:szCs w:val="24"/>
        </w:rPr>
        <w:t xml:space="preserve">  The Call for Input </w:t>
      </w:r>
      <w:r w:rsidR="00707934">
        <w:rPr>
          <w:sz w:val="24"/>
          <w:szCs w:val="24"/>
        </w:rPr>
        <w:t xml:space="preserve">related to </w:t>
      </w:r>
      <w:r w:rsidR="00D47BE0">
        <w:rPr>
          <w:sz w:val="24"/>
          <w:szCs w:val="24"/>
        </w:rPr>
        <w:t xml:space="preserve">Investors, ESG and Human Rights and interested parties were </w:t>
      </w:r>
      <w:r w:rsidR="009F38C4">
        <w:rPr>
          <w:sz w:val="24"/>
          <w:szCs w:val="24"/>
        </w:rPr>
        <w:t xml:space="preserve">invited to </w:t>
      </w:r>
      <w:r w:rsidR="001D2788">
        <w:rPr>
          <w:sz w:val="24"/>
          <w:szCs w:val="24"/>
        </w:rPr>
        <w:t xml:space="preserve">all or selected questions </w:t>
      </w:r>
      <w:r w:rsidR="0038039F">
        <w:rPr>
          <w:sz w:val="24"/>
          <w:szCs w:val="24"/>
        </w:rPr>
        <w:t>as per expertise, relevance or focus of work.</w:t>
      </w:r>
    </w:p>
    <w:p w14:paraId="6E230B66" w14:textId="158B1EEC" w:rsidR="00CF3B57" w:rsidRDefault="007557E1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7267D9">
        <w:rPr>
          <w:sz w:val="24"/>
          <w:szCs w:val="24"/>
        </w:rPr>
        <w:t>an attorney in</w:t>
      </w:r>
      <w:r>
        <w:rPr>
          <w:sz w:val="24"/>
          <w:szCs w:val="24"/>
        </w:rPr>
        <w:t xml:space="preserve"> </w:t>
      </w:r>
      <w:r w:rsidRPr="007557E1">
        <w:rPr>
          <w:sz w:val="24"/>
          <w:szCs w:val="24"/>
        </w:rPr>
        <w:t>Tannenbaum Helpern Syracuse &amp; Hirschtritt LLP</w:t>
      </w:r>
      <w:r w:rsidR="00A5020D">
        <w:rPr>
          <w:sz w:val="24"/>
          <w:szCs w:val="24"/>
        </w:rPr>
        <w:t>’s inv</w:t>
      </w:r>
      <w:r w:rsidR="007A646C">
        <w:rPr>
          <w:sz w:val="24"/>
          <w:szCs w:val="24"/>
        </w:rPr>
        <w:t>estment managemen</w:t>
      </w:r>
      <w:r w:rsidR="00A5020D">
        <w:rPr>
          <w:sz w:val="24"/>
          <w:szCs w:val="24"/>
        </w:rPr>
        <w:t>t practice</w:t>
      </w:r>
      <w:r>
        <w:rPr>
          <w:sz w:val="24"/>
          <w:szCs w:val="24"/>
        </w:rPr>
        <w:t>.</w:t>
      </w:r>
      <w:r w:rsidR="007A646C">
        <w:rPr>
          <w:sz w:val="24"/>
          <w:szCs w:val="24"/>
        </w:rPr>
        <w:t xml:space="preserve"> I am also a member of American Bar Association’s ESG </w:t>
      </w:r>
      <w:r w:rsidR="002B6999">
        <w:rPr>
          <w:sz w:val="24"/>
          <w:szCs w:val="24"/>
        </w:rPr>
        <w:t xml:space="preserve">and Sustainability </w:t>
      </w:r>
      <w:r w:rsidR="007A646C">
        <w:rPr>
          <w:sz w:val="24"/>
          <w:szCs w:val="24"/>
        </w:rPr>
        <w:t xml:space="preserve">Committee, </w:t>
      </w:r>
      <w:r w:rsidR="002B6999">
        <w:rPr>
          <w:sz w:val="24"/>
          <w:szCs w:val="24"/>
        </w:rPr>
        <w:t xml:space="preserve">CSR Law Subcommittee, </w:t>
      </w:r>
      <w:r w:rsidR="007A646C">
        <w:rPr>
          <w:sz w:val="24"/>
          <w:szCs w:val="24"/>
        </w:rPr>
        <w:t xml:space="preserve">and Business and Human Rights Subcommittee. </w:t>
      </w:r>
      <w:r w:rsidR="007A646C" w:rsidRPr="00BD6CEE">
        <w:rPr>
          <w:b/>
          <w:bCs/>
          <w:i/>
          <w:iCs/>
          <w:sz w:val="24"/>
          <w:szCs w:val="24"/>
        </w:rPr>
        <w:t>Any views expressed herein are my own and do not purport to reflect the views or opinions of my employer</w:t>
      </w:r>
      <w:r w:rsidR="000751F2" w:rsidRPr="00BD6CEE">
        <w:rPr>
          <w:b/>
          <w:bCs/>
          <w:i/>
          <w:iCs/>
          <w:sz w:val="24"/>
          <w:szCs w:val="24"/>
        </w:rPr>
        <w:t xml:space="preserve"> or ABA</w:t>
      </w:r>
      <w:r w:rsidR="000751F2">
        <w:rPr>
          <w:sz w:val="24"/>
          <w:szCs w:val="24"/>
        </w:rPr>
        <w:t>.</w:t>
      </w:r>
    </w:p>
    <w:p w14:paraId="6C40252A" w14:textId="558EEBFB" w:rsidR="00834EFA" w:rsidRDefault="00834EFA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submission </w:t>
      </w:r>
      <w:r w:rsidR="00584060">
        <w:rPr>
          <w:sz w:val="24"/>
          <w:szCs w:val="24"/>
        </w:rPr>
        <w:t>I will provide input on the question of to what extent do ESG approaches present constraints or opportunities for investors and businesses overall</w:t>
      </w:r>
      <w:r w:rsidR="0019644F">
        <w:rPr>
          <w:sz w:val="24"/>
          <w:szCs w:val="24"/>
        </w:rPr>
        <w:t xml:space="preserve"> (General Question 3 in the Call for Input).</w:t>
      </w:r>
    </w:p>
    <w:p w14:paraId="00E878B7" w14:textId="29CB4D4F" w:rsidR="00E72A9C" w:rsidRPr="00675759" w:rsidRDefault="00E72A9C" w:rsidP="00E520FA">
      <w:pPr>
        <w:jc w:val="both"/>
        <w:rPr>
          <w:b/>
          <w:bCs/>
          <w:sz w:val="24"/>
          <w:szCs w:val="24"/>
        </w:rPr>
      </w:pPr>
      <w:r w:rsidRPr="00675759">
        <w:rPr>
          <w:b/>
          <w:bCs/>
          <w:sz w:val="24"/>
          <w:szCs w:val="24"/>
        </w:rPr>
        <w:t xml:space="preserve">I. Constraints </w:t>
      </w:r>
      <w:r w:rsidR="00AE75D0">
        <w:rPr>
          <w:b/>
          <w:bCs/>
          <w:sz w:val="24"/>
          <w:szCs w:val="24"/>
        </w:rPr>
        <w:t>P</w:t>
      </w:r>
      <w:r w:rsidRPr="00675759">
        <w:rPr>
          <w:b/>
          <w:bCs/>
          <w:sz w:val="24"/>
          <w:szCs w:val="24"/>
        </w:rPr>
        <w:t xml:space="preserve">resented by ESG </w:t>
      </w:r>
      <w:r w:rsidR="00AE75D0">
        <w:rPr>
          <w:b/>
          <w:bCs/>
          <w:sz w:val="24"/>
          <w:szCs w:val="24"/>
        </w:rPr>
        <w:t>A</w:t>
      </w:r>
      <w:r w:rsidRPr="00675759">
        <w:rPr>
          <w:b/>
          <w:bCs/>
          <w:sz w:val="24"/>
          <w:szCs w:val="24"/>
        </w:rPr>
        <w:t>pproaches</w:t>
      </w:r>
    </w:p>
    <w:p w14:paraId="4250AAA1" w14:textId="4BEA3993" w:rsidR="00410E2F" w:rsidRDefault="00410E2F" w:rsidP="00E520FA">
      <w:pPr>
        <w:pStyle w:val="ListParagraph"/>
        <w:numPr>
          <w:ilvl w:val="0"/>
          <w:numId w:val="10"/>
        </w:numPr>
        <w:spacing w:after="240" w:line="240" w:lineRule="auto"/>
        <w:contextualSpacing w:val="0"/>
        <w:jc w:val="both"/>
        <w:rPr>
          <w:b/>
          <w:bCs/>
          <w:sz w:val="24"/>
          <w:szCs w:val="24"/>
        </w:rPr>
      </w:pPr>
      <w:r w:rsidRPr="007E0353">
        <w:rPr>
          <w:b/>
          <w:bCs/>
          <w:sz w:val="24"/>
          <w:szCs w:val="24"/>
        </w:rPr>
        <w:t xml:space="preserve">Constraints for </w:t>
      </w:r>
      <w:r w:rsidR="00AF5245">
        <w:rPr>
          <w:b/>
          <w:bCs/>
          <w:sz w:val="24"/>
          <w:szCs w:val="24"/>
        </w:rPr>
        <w:t>B</w:t>
      </w:r>
      <w:r w:rsidRPr="007E0353">
        <w:rPr>
          <w:b/>
          <w:bCs/>
          <w:sz w:val="24"/>
          <w:szCs w:val="24"/>
        </w:rPr>
        <w:t>usinesses</w:t>
      </w:r>
    </w:p>
    <w:p w14:paraId="2B91A2E5" w14:textId="47F52A51" w:rsidR="00AF5245" w:rsidRPr="00AF5245" w:rsidRDefault="00AF5245" w:rsidP="00AF5245">
      <w:pPr>
        <w:jc w:val="both"/>
        <w:rPr>
          <w:sz w:val="24"/>
          <w:szCs w:val="24"/>
        </w:rPr>
      </w:pPr>
      <w:r w:rsidRPr="00AF5245">
        <w:rPr>
          <w:sz w:val="24"/>
          <w:szCs w:val="24"/>
        </w:rPr>
        <w:t xml:space="preserve">Most constraints presented by ESG approaches for businesses are due to ESG approaches’ disturbance of the current status quo of corporate governance, </w:t>
      </w:r>
      <w:r w:rsidR="00C73C1D">
        <w:rPr>
          <w:sz w:val="24"/>
          <w:szCs w:val="24"/>
        </w:rPr>
        <w:t>energy</w:t>
      </w:r>
      <w:r w:rsidR="007F204F">
        <w:rPr>
          <w:sz w:val="24"/>
          <w:szCs w:val="24"/>
        </w:rPr>
        <w:t xml:space="preserve"> mainstay</w:t>
      </w:r>
      <w:r w:rsidR="00F13BCF">
        <w:rPr>
          <w:sz w:val="24"/>
          <w:szCs w:val="24"/>
        </w:rPr>
        <w:t xml:space="preserve"> and</w:t>
      </w:r>
      <w:r w:rsidRPr="00AF5245">
        <w:rPr>
          <w:sz w:val="24"/>
          <w:szCs w:val="24"/>
        </w:rPr>
        <w:t xml:space="preserve"> businesses’ externalities, ambiguities of ESG taxonomy,</w:t>
      </w:r>
      <w:r w:rsidR="0018398A">
        <w:rPr>
          <w:sz w:val="24"/>
          <w:szCs w:val="24"/>
        </w:rPr>
        <w:t xml:space="preserve"> and ESG litigation and enforcement actions,</w:t>
      </w:r>
      <w:r w:rsidRPr="00AF5245">
        <w:rPr>
          <w:sz w:val="24"/>
          <w:szCs w:val="24"/>
        </w:rPr>
        <w:t xml:space="preserve"> as detailed below.</w:t>
      </w:r>
    </w:p>
    <w:p w14:paraId="1282066E" w14:textId="68FBEB34" w:rsidR="001A2008" w:rsidRPr="00187A3A" w:rsidRDefault="00187A3A" w:rsidP="00E520FA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Corporate Governance - </w:t>
      </w:r>
      <w:r w:rsidR="001A2008" w:rsidRPr="00187A3A">
        <w:rPr>
          <w:b/>
          <w:bCs/>
          <w:sz w:val="24"/>
          <w:szCs w:val="24"/>
        </w:rPr>
        <w:t>Fiduciary Duties</w:t>
      </w:r>
    </w:p>
    <w:p w14:paraId="4C66E1A5" w14:textId="14EF576C" w:rsidR="00187A3A" w:rsidRDefault="00E3426A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Firstly, ESG approaches call into question as to whether directors’</w:t>
      </w:r>
      <w:r w:rsidR="00187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fiduciary duties would require them to consider ESG-related risks and opportunities </w:t>
      </w:r>
      <w:r w:rsidRPr="00E3426A">
        <w:rPr>
          <w:sz w:val="24"/>
          <w:szCs w:val="24"/>
        </w:rPr>
        <w:t xml:space="preserve">pertinent to </w:t>
      </w:r>
      <w:r>
        <w:rPr>
          <w:sz w:val="24"/>
          <w:szCs w:val="24"/>
        </w:rPr>
        <w:t xml:space="preserve">their company’s business. </w:t>
      </w:r>
      <w:r w:rsidR="0042252E">
        <w:rPr>
          <w:sz w:val="24"/>
          <w:szCs w:val="24"/>
        </w:rPr>
        <w:t>I</w:t>
      </w:r>
      <w:r w:rsidR="00CD7B2F">
        <w:rPr>
          <w:sz w:val="24"/>
          <w:szCs w:val="24"/>
        </w:rPr>
        <w:t xml:space="preserve">n the U.S., </w:t>
      </w:r>
      <w:r w:rsidR="00AC701A">
        <w:rPr>
          <w:sz w:val="24"/>
          <w:szCs w:val="24"/>
        </w:rPr>
        <w:t xml:space="preserve">fiduciary duties under state </w:t>
      </w:r>
      <w:r w:rsidR="00CD7B2F">
        <w:rPr>
          <w:sz w:val="24"/>
          <w:szCs w:val="24"/>
        </w:rPr>
        <w:t xml:space="preserve">corporate law and case law </w:t>
      </w:r>
      <w:r w:rsidR="00AC701A">
        <w:rPr>
          <w:sz w:val="24"/>
          <w:szCs w:val="24"/>
        </w:rPr>
        <w:t xml:space="preserve">have no specific coverage of ESG. </w:t>
      </w:r>
      <w:r w:rsidR="002D4B14">
        <w:rPr>
          <w:sz w:val="24"/>
          <w:szCs w:val="24"/>
        </w:rPr>
        <w:t>Whether or not to consider ESG factors would be subject to the directors’ business judgement. D</w:t>
      </w:r>
      <w:r w:rsidR="00AC701A">
        <w:rPr>
          <w:sz w:val="24"/>
          <w:szCs w:val="24"/>
        </w:rPr>
        <w:t>irectors’ business decisions are protected by the business judgement rule.</w:t>
      </w:r>
      <w:r w:rsidR="00187A3A">
        <w:rPr>
          <w:sz w:val="24"/>
          <w:szCs w:val="24"/>
        </w:rPr>
        <w:t xml:space="preserve"> </w:t>
      </w:r>
      <w:r w:rsidR="001529A0">
        <w:rPr>
          <w:sz w:val="24"/>
          <w:szCs w:val="24"/>
        </w:rPr>
        <w:t xml:space="preserve">Under the guidance of the landmark </w:t>
      </w:r>
      <w:r w:rsidR="00187A3A" w:rsidRPr="00187A3A">
        <w:rPr>
          <w:i/>
          <w:iCs/>
          <w:sz w:val="24"/>
          <w:szCs w:val="24"/>
        </w:rPr>
        <w:t xml:space="preserve">Caremark </w:t>
      </w:r>
      <w:r w:rsidR="007909C0">
        <w:rPr>
          <w:sz w:val="24"/>
          <w:szCs w:val="24"/>
        </w:rPr>
        <w:t>case</w:t>
      </w:r>
      <w:r w:rsidR="00FB41B1">
        <w:rPr>
          <w:rStyle w:val="FootnoteReference"/>
          <w:sz w:val="24"/>
          <w:szCs w:val="24"/>
        </w:rPr>
        <w:footnoteReference w:id="1"/>
      </w:r>
      <w:r w:rsidR="007909C0">
        <w:rPr>
          <w:sz w:val="24"/>
          <w:szCs w:val="24"/>
        </w:rPr>
        <w:t xml:space="preserve"> decided by the </w:t>
      </w:r>
      <w:r w:rsidR="003F6768">
        <w:rPr>
          <w:sz w:val="24"/>
          <w:szCs w:val="24"/>
        </w:rPr>
        <w:t xml:space="preserve">Delaware Court of Chancery, </w:t>
      </w:r>
      <w:r w:rsidR="00187A3A" w:rsidRPr="00187A3A">
        <w:rPr>
          <w:sz w:val="24"/>
          <w:szCs w:val="24"/>
        </w:rPr>
        <w:t>claims</w:t>
      </w:r>
      <w:r w:rsidR="00187A3A">
        <w:rPr>
          <w:sz w:val="24"/>
          <w:szCs w:val="24"/>
        </w:rPr>
        <w:t xml:space="preserve"> against corporate directors over breaches of duty of care and failure</w:t>
      </w:r>
      <w:r w:rsidR="00475376">
        <w:rPr>
          <w:sz w:val="24"/>
          <w:szCs w:val="24"/>
        </w:rPr>
        <w:t>s</w:t>
      </w:r>
      <w:r w:rsidR="00187A3A">
        <w:rPr>
          <w:sz w:val="24"/>
          <w:szCs w:val="24"/>
        </w:rPr>
        <w:t xml:space="preserve"> of sufficient board oversight typically have been </w:t>
      </w:r>
      <w:hyperlink r:id="rId8" w:history="1">
        <w:r w:rsidR="00187A3A" w:rsidRPr="00187A3A">
          <w:rPr>
            <w:rStyle w:val="Hyperlink"/>
            <w:sz w:val="24"/>
            <w:szCs w:val="24"/>
          </w:rPr>
          <w:t>dismissed</w:t>
        </w:r>
      </w:hyperlink>
      <w:r w:rsidR="00187A3A">
        <w:rPr>
          <w:sz w:val="24"/>
          <w:szCs w:val="24"/>
        </w:rPr>
        <w:t xml:space="preserve"> or </w:t>
      </w:r>
      <w:hyperlink r:id="rId9" w:history="1">
        <w:r w:rsidR="00187A3A" w:rsidRPr="00187A3A">
          <w:rPr>
            <w:rStyle w:val="Hyperlink"/>
            <w:sz w:val="24"/>
            <w:szCs w:val="24"/>
          </w:rPr>
          <w:t>settled</w:t>
        </w:r>
      </w:hyperlink>
      <w:r w:rsidR="0078616F">
        <w:rPr>
          <w:sz w:val="24"/>
          <w:szCs w:val="24"/>
        </w:rPr>
        <w:t xml:space="preserve"> because </w:t>
      </w:r>
      <w:r w:rsidR="0078616F" w:rsidRPr="0078616F">
        <w:rPr>
          <w:sz w:val="24"/>
          <w:szCs w:val="24"/>
        </w:rPr>
        <w:t xml:space="preserve">the court will </w:t>
      </w:r>
      <w:r w:rsidR="00A31232">
        <w:rPr>
          <w:sz w:val="24"/>
          <w:szCs w:val="24"/>
        </w:rPr>
        <w:t xml:space="preserve">generally </w:t>
      </w:r>
      <w:r w:rsidR="0078616F" w:rsidRPr="0078616F">
        <w:rPr>
          <w:sz w:val="24"/>
          <w:szCs w:val="24"/>
        </w:rPr>
        <w:t xml:space="preserve">not </w:t>
      </w:r>
      <w:r w:rsidR="00A31232">
        <w:rPr>
          <w:sz w:val="24"/>
          <w:szCs w:val="24"/>
        </w:rPr>
        <w:t>overturn</w:t>
      </w:r>
      <w:r w:rsidR="0078616F" w:rsidRPr="0078616F">
        <w:rPr>
          <w:sz w:val="24"/>
          <w:szCs w:val="24"/>
        </w:rPr>
        <w:t xml:space="preserve"> the business decisions of directors who </w:t>
      </w:r>
      <w:r w:rsidR="006D07D7">
        <w:rPr>
          <w:sz w:val="24"/>
          <w:szCs w:val="24"/>
        </w:rPr>
        <w:t xml:space="preserve">have demonstrated that they have </w:t>
      </w:r>
      <w:r w:rsidR="0078616F" w:rsidRPr="0078616F">
        <w:rPr>
          <w:sz w:val="24"/>
          <w:szCs w:val="24"/>
        </w:rPr>
        <w:t>performed their duties (</w:t>
      </w:r>
      <w:r w:rsidR="0078616F">
        <w:rPr>
          <w:sz w:val="24"/>
          <w:szCs w:val="24"/>
        </w:rPr>
        <w:t>i</w:t>
      </w:r>
      <w:r w:rsidR="0078616F" w:rsidRPr="0078616F">
        <w:rPr>
          <w:sz w:val="24"/>
          <w:szCs w:val="24"/>
        </w:rPr>
        <w:t xml:space="preserve">) </w:t>
      </w:r>
      <w:r w:rsidR="0078616F" w:rsidRPr="0078616F">
        <w:rPr>
          <w:sz w:val="24"/>
          <w:szCs w:val="24"/>
        </w:rPr>
        <w:lastRenderedPageBreak/>
        <w:t>in good faith; (</w:t>
      </w:r>
      <w:r w:rsidR="0078616F">
        <w:rPr>
          <w:sz w:val="24"/>
          <w:szCs w:val="24"/>
        </w:rPr>
        <w:t>ii</w:t>
      </w:r>
      <w:r w:rsidR="0078616F" w:rsidRPr="0078616F">
        <w:rPr>
          <w:sz w:val="24"/>
          <w:szCs w:val="24"/>
        </w:rPr>
        <w:t>) with the care that an ordinarily prudent person in a like position would exercise under similar circumstances; and (</w:t>
      </w:r>
      <w:r w:rsidR="0078616F">
        <w:rPr>
          <w:sz w:val="24"/>
          <w:szCs w:val="24"/>
        </w:rPr>
        <w:t>iii</w:t>
      </w:r>
      <w:r w:rsidR="0078616F" w:rsidRPr="0078616F">
        <w:rPr>
          <w:sz w:val="24"/>
          <w:szCs w:val="24"/>
        </w:rPr>
        <w:t>) in a manner the directors reasonably believe to be in the best interests of the corporation</w:t>
      </w:r>
      <w:r w:rsidR="0078616F">
        <w:rPr>
          <w:sz w:val="24"/>
          <w:szCs w:val="24"/>
        </w:rPr>
        <w:t xml:space="preserve">. </w:t>
      </w:r>
      <w:r w:rsidR="002D4B14">
        <w:rPr>
          <w:sz w:val="24"/>
          <w:szCs w:val="24"/>
        </w:rPr>
        <w:t xml:space="preserve">Admittedly, however, certain U.S. </w:t>
      </w:r>
      <w:r w:rsidR="0078616F" w:rsidRPr="0078616F">
        <w:rPr>
          <w:sz w:val="24"/>
          <w:szCs w:val="24"/>
        </w:rPr>
        <w:t>legislation or regulations</w:t>
      </w:r>
      <w:r w:rsidR="0078616F">
        <w:rPr>
          <w:sz w:val="24"/>
          <w:szCs w:val="24"/>
        </w:rPr>
        <w:t xml:space="preserve"> have </w:t>
      </w:r>
      <w:r w:rsidR="0078616F" w:rsidRPr="0078616F">
        <w:rPr>
          <w:sz w:val="24"/>
          <w:szCs w:val="24"/>
        </w:rPr>
        <w:t>impose</w:t>
      </w:r>
      <w:r w:rsidR="0078616F">
        <w:rPr>
          <w:sz w:val="24"/>
          <w:szCs w:val="24"/>
        </w:rPr>
        <w:t>d</w:t>
      </w:r>
      <w:r w:rsidR="0078616F" w:rsidRPr="0078616F">
        <w:rPr>
          <w:sz w:val="24"/>
          <w:szCs w:val="24"/>
        </w:rPr>
        <w:t xml:space="preserve"> </w:t>
      </w:r>
      <w:r w:rsidR="0078616F">
        <w:rPr>
          <w:sz w:val="24"/>
          <w:szCs w:val="24"/>
        </w:rPr>
        <w:t xml:space="preserve">on businesses </w:t>
      </w:r>
      <w:r w:rsidR="0078616F" w:rsidRPr="0078616F">
        <w:rPr>
          <w:sz w:val="24"/>
          <w:szCs w:val="24"/>
        </w:rPr>
        <w:t>compliance obligations in ESG-related areas such as human resources, the environment, or work</w:t>
      </w:r>
      <w:r w:rsidR="0078616F">
        <w:rPr>
          <w:sz w:val="24"/>
          <w:szCs w:val="24"/>
        </w:rPr>
        <w:t>place</w:t>
      </w:r>
      <w:r w:rsidR="0078616F" w:rsidRPr="0078616F">
        <w:rPr>
          <w:sz w:val="24"/>
          <w:szCs w:val="24"/>
        </w:rPr>
        <w:t xml:space="preserve"> safety</w:t>
      </w:r>
      <w:r w:rsidR="0078616F">
        <w:rPr>
          <w:sz w:val="24"/>
          <w:szCs w:val="24"/>
        </w:rPr>
        <w:t xml:space="preserve">. In those statutory areas, directors’ fiduciary duties require them to </w:t>
      </w:r>
      <w:r w:rsidR="0078616F" w:rsidRPr="0078616F">
        <w:rPr>
          <w:sz w:val="24"/>
          <w:szCs w:val="24"/>
        </w:rPr>
        <w:t>ensure that</w:t>
      </w:r>
      <w:r w:rsidR="0078616F">
        <w:rPr>
          <w:sz w:val="24"/>
          <w:szCs w:val="24"/>
        </w:rPr>
        <w:t xml:space="preserve"> the</w:t>
      </w:r>
      <w:r w:rsidR="001C3300">
        <w:rPr>
          <w:sz w:val="24"/>
          <w:szCs w:val="24"/>
        </w:rPr>
        <w:t>ir</w:t>
      </w:r>
      <w:r w:rsidR="0078616F">
        <w:rPr>
          <w:sz w:val="24"/>
          <w:szCs w:val="24"/>
        </w:rPr>
        <w:t xml:space="preserve"> business establish</w:t>
      </w:r>
      <w:r w:rsidR="0078616F" w:rsidRPr="0078616F">
        <w:rPr>
          <w:sz w:val="24"/>
          <w:szCs w:val="24"/>
        </w:rPr>
        <w:t xml:space="preserve"> compliance and monitoring </w:t>
      </w:r>
      <w:r w:rsidR="0078616F">
        <w:rPr>
          <w:sz w:val="24"/>
          <w:szCs w:val="24"/>
        </w:rPr>
        <w:t>programs</w:t>
      </w:r>
      <w:r w:rsidR="00FB41B1">
        <w:rPr>
          <w:sz w:val="24"/>
          <w:szCs w:val="24"/>
        </w:rPr>
        <w:t xml:space="preserve"> such as </w:t>
      </w:r>
      <w:r w:rsidR="00AB128E">
        <w:rPr>
          <w:sz w:val="24"/>
          <w:szCs w:val="24"/>
        </w:rPr>
        <w:t xml:space="preserve">those required under the </w:t>
      </w:r>
      <w:r w:rsidR="00AB128E" w:rsidRPr="00AB128E">
        <w:rPr>
          <w:sz w:val="24"/>
          <w:szCs w:val="24"/>
        </w:rPr>
        <w:t>Occupational Safety and Health Act</w:t>
      </w:r>
      <w:r w:rsidR="0078616F">
        <w:rPr>
          <w:sz w:val="24"/>
          <w:szCs w:val="24"/>
        </w:rPr>
        <w:t>.</w:t>
      </w:r>
    </w:p>
    <w:p w14:paraId="455E5FA9" w14:textId="2E24FD25" w:rsidR="00187A3A" w:rsidRDefault="006F727E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traditional “shareholder primacy model” </w:t>
      </w:r>
      <w:r w:rsidR="00E042A7">
        <w:rPr>
          <w:sz w:val="24"/>
          <w:szCs w:val="24"/>
        </w:rPr>
        <w:t>typified by Milton Friedman’s theory</w:t>
      </w:r>
      <w:r w:rsidR="0001056B">
        <w:rPr>
          <w:rStyle w:val="FootnoteReference"/>
          <w:sz w:val="24"/>
          <w:szCs w:val="24"/>
        </w:rPr>
        <w:footnoteReference w:id="2"/>
      </w:r>
      <w:r w:rsidR="00E042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deems that directors’ fiduciary duties </w:t>
      </w:r>
      <w:r w:rsidR="00F63B1F">
        <w:rPr>
          <w:sz w:val="24"/>
          <w:szCs w:val="24"/>
        </w:rPr>
        <w:t xml:space="preserve">should be </w:t>
      </w:r>
      <w:r>
        <w:rPr>
          <w:sz w:val="24"/>
          <w:szCs w:val="24"/>
        </w:rPr>
        <w:t>limit</w:t>
      </w:r>
      <w:r w:rsidR="00F63B1F">
        <w:rPr>
          <w:sz w:val="24"/>
          <w:szCs w:val="24"/>
        </w:rPr>
        <w:t>ed</w:t>
      </w:r>
      <w:r>
        <w:rPr>
          <w:sz w:val="24"/>
          <w:szCs w:val="24"/>
        </w:rPr>
        <w:t xml:space="preserve"> to maximizing corporate performance and thereby shareholders’ wealth, instead of considering ESG factors or satisfying other stakeholders’ concerns. </w:t>
      </w:r>
      <w:r w:rsidR="006B1C6B">
        <w:rPr>
          <w:sz w:val="24"/>
          <w:szCs w:val="24"/>
        </w:rPr>
        <w:t xml:space="preserve"> Critics of </w:t>
      </w:r>
      <w:r w:rsidR="007F5AFB">
        <w:rPr>
          <w:sz w:val="24"/>
          <w:szCs w:val="24"/>
        </w:rPr>
        <w:t xml:space="preserve">the </w:t>
      </w:r>
      <w:r w:rsidR="006B1C6B">
        <w:rPr>
          <w:sz w:val="24"/>
          <w:szCs w:val="24"/>
        </w:rPr>
        <w:t xml:space="preserve">consideration of ESG </w:t>
      </w:r>
      <w:r w:rsidR="00D95916">
        <w:rPr>
          <w:sz w:val="24"/>
          <w:szCs w:val="24"/>
        </w:rPr>
        <w:t xml:space="preserve">factors have argued, often ignoring evidence to the contrary, that </w:t>
      </w:r>
      <w:r w:rsidR="00C00BA5" w:rsidRPr="00C00BA5">
        <w:rPr>
          <w:sz w:val="24"/>
          <w:szCs w:val="24"/>
        </w:rPr>
        <w:t>ESG factors are not financially material</w:t>
      </w:r>
      <w:r w:rsidR="002A6F40">
        <w:rPr>
          <w:sz w:val="24"/>
          <w:szCs w:val="24"/>
        </w:rPr>
        <w:t>, and</w:t>
      </w:r>
      <w:r w:rsidR="0001056B">
        <w:rPr>
          <w:sz w:val="24"/>
          <w:szCs w:val="24"/>
        </w:rPr>
        <w:t xml:space="preserve"> </w:t>
      </w:r>
      <w:r w:rsidR="002A6F40">
        <w:rPr>
          <w:sz w:val="24"/>
          <w:szCs w:val="24"/>
        </w:rPr>
        <w:t>i</w:t>
      </w:r>
      <w:r w:rsidR="00C118B3">
        <w:rPr>
          <w:sz w:val="24"/>
          <w:szCs w:val="24"/>
        </w:rPr>
        <w:t>n their recent papers</w:t>
      </w:r>
      <w:r w:rsidR="00DE5F63">
        <w:rPr>
          <w:rStyle w:val="FootnoteReference"/>
          <w:sz w:val="24"/>
          <w:szCs w:val="24"/>
        </w:rPr>
        <w:footnoteReference w:id="3"/>
      </w:r>
      <w:r w:rsidR="00C118B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ome </w:t>
      </w:r>
      <w:r w:rsidR="001C3300">
        <w:rPr>
          <w:sz w:val="24"/>
          <w:szCs w:val="24"/>
        </w:rPr>
        <w:t xml:space="preserve">U.S. </w:t>
      </w:r>
      <w:r>
        <w:rPr>
          <w:sz w:val="24"/>
          <w:szCs w:val="24"/>
        </w:rPr>
        <w:t>scholars firmly claimed that directors’ fiduciary duties did not include oversight of ESG-related risks and aspirational goals.</w:t>
      </w:r>
    </w:p>
    <w:p w14:paraId="7BCB7CF4" w14:textId="6B813B00" w:rsidR="006F727E" w:rsidRDefault="007D343F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55631C">
        <w:rPr>
          <w:sz w:val="24"/>
          <w:szCs w:val="24"/>
        </w:rPr>
        <w:t>re are</w:t>
      </w:r>
      <w:r>
        <w:rPr>
          <w:sz w:val="24"/>
          <w:szCs w:val="24"/>
        </w:rPr>
        <w:t xml:space="preserve"> divergent approaches in different jurisdictions as to whether and how to factor ESG into directors’ fiduciary duties</w:t>
      </w:r>
      <w:r w:rsidR="0055631C">
        <w:rPr>
          <w:sz w:val="24"/>
          <w:szCs w:val="24"/>
        </w:rPr>
        <w:t>, and this</w:t>
      </w:r>
      <w:r>
        <w:rPr>
          <w:sz w:val="24"/>
          <w:szCs w:val="24"/>
        </w:rPr>
        <w:t xml:space="preserve"> would especially affect businesses that have subsidiaries </w:t>
      </w:r>
      <w:r w:rsidR="00DE5F63">
        <w:rPr>
          <w:sz w:val="24"/>
          <w:szCs w:val="24"/>
        </w:rPr>
        <w:t>or</w:t>
      </w:r>
      <w:r>
        <w:rPr>
          <w:sz w:val="24"/>
          <w:szCs w:val="24"/>
        </w:rPr>
        <w:t xml:space="preserve"> branches operating globally. </w:t>
      </w:r>
      <w:r w:rsidR="007D1DA3">
        <w:rPr>
          <w:sz w:val="24"/>
          <w:szCs w:val="24"/>
        </w:rPr>
        <w:t xml:space="preserve">For example, </w:t>
      </w:r>
      <w:r w:rsidR="0001056B">
        <w:rPr>
          <w:sz w:val="24"/>
          <w:szCs w:val="24"/>
        </w:rPr>
        <w:t>i</w:t>
      </w:r>
      <w:r w:rsidR="00C733BA">
        <w:rPr>
          <w:sz w:val="24"/>
          <w:szCs w:val="24"/>
        </w:rPr>
        <w:t>t is worth noting</w:t>
      </w:r>
      <w:r w:rsidR="007D1DA3">
        <w:rPr>
          <w:sz w:val="24"/>
          <w:szCs w:val="24"/>
        </w:rPr>
        <w:t xml:space="preserve"> that</w:t>
      </w:r>
      <w:r w:rsidR="00C733BA">
        <w:rPr>
          <w:sz w:val="24"/>
          <w:szCs w:val="24"/>
        </w:rPr>
        <w:t xml:space="preserve"> </w:t>
      </w:r>
      <w:r w:rsidR="00E76CB2">
        <w:rPr>
          <w:sz w:val="24"/>
          <w:szCs w:val="24"/>
        </w:rPr>
        <w:t xml:space="preserve">in many jurisdictions, </w:t>
      </w:r>
      <w:r w:rsidR="00C733BA">
        <w:rPr>
          <w:sz w:val="24"/>
          <w:szCs w:val="24"/>
        </w:rPr>
        <w:t xml:space="preserve">ESG reporting obligations will </w:t>
      </w:r>
      <w:r w:rsidR="00E76CB2">
        <w:rPr>
          <w:sz w:val="24"/>
          <w:szCs w:val="24"/>
        </w:rPr>
        <w:t>soon</w:t>
      </w:r>
      <w:r w:rsidR="00C733BA">
        <w:rPr>
          <w:sz w:val="24"/>
          <w:szCs w:val="24"/>
        </w:rPr>
        <w:t xml:space="preserve"> phase in </w:t>
      </w:r>
      <w:r w:rsidR="001C3300">
        <w:rPr>
          <w:sz w:val="24"/>
          <w:szCs w:val="24"/>
        </w:rPr>
        <w:t xml:space="preserve">from </w:t>
      </w:r>
      <w:r w:rsidR="00C733BA">
        <w:rPr>
          <w:sz w:val="24"/>
          <w:szCs w:val="24"/>
        </w:rPr>
        <w:t xml:space="preserve">2024 </w:t>
      </w:r>
      <w:r w:rsidR="001C3300">
        <w:rPr>
          <w:sz w:val="24"/>
          <w:szCs w:val="24"/>
        </w:rPr>
        <w:t xml:space="preserve">and </w:t>
      </w:r>
      <w:r w:rsidR="00C733BA">
        <w:rPr>
          <w:sz w:val="24"/>
          <w:szCs w:val="24"/>
        </w:rPr>
        <w:t xml:space="preserve">onwards. </w:t>
      </w:r>
      <w:r w:rsidR="002512C8">
        <w:rPr>
          <w:sz w:val="24"/>
          <w:szCs w:val="24"/>
        </w:rPr>
        <w:t xml:space="preserve">Notably, </w:t>
      </w:r>
      <w:r w:rsidR="00E76CB2" w:rsidRPr="00E76CB2">
        <w:rPr>
          <w:sz w:val="24"/>
          <w:szCs w:val="24"/>
        </w:rPr>
        <w:t xml:space="preserve">all EU member states </w:t>
      </w:r>
      <w:r w:rsidR="002512C8">
        <w:rPr>
          <w:sz w:val="24"/>
          <w:szCs w:val="24"/>
        </w:rPr>
        <w:t xml:space="preserve">will </w:t>
      </w:r>
      <w:r w:rsidR="00E76CB2">
        <w:rPr>
          <w:sz w:val="24"/>
          <w:szCs w:val="24"/>
        </w:rPr>
        <w:t xml:space="preserve">need to implement ESRS. </w:t>
      </w:r>
      <w:r w:rsidR="001C3300">
        <w:rPr>
          <w:sz w:val="24"/>
          <w:szCs w:val="24"/>
        </w:rPr>
        <w:t xml:space="preserve">In addition, </w:t>
      </w:r>
      <w:r w:rsidR="007A1A4D" w:rsidRPr="00CD67B0">
        <w:rPr>
          <w:sz w:val="24"/>
          <w:szCs w:val="24"/>
        </w:rPr>
        <w:t>jurisdictions</w:t>
      </w:r>
      <w:r w:rsidR="007A1A4D">
        <w:rPr>
          <w:sz w:val="24"/>
          <w:szCs w:val="24"/>
        </w:rPr>
        <w:t xml:space="preserve"> like </w:t>
      </w:r>
      <w:r w:rsidR="001C3300">
        <w:rPr>
          <w:sz w:val="24"/>
          <w:szCs w:val="24"/>
        </w:rPr>
        <w:t>t</w:t>
      </w:r>
      <w:r w:rsidR="00CD67B0">
        <w:rPr>
          <w:sz w:val="24"/>
          <w:szCs w:val="24"/>
        </w:rPr>
        <w:t xml:space="preserve">he UK, </w:t>
      </w:r>
      <w:r w:rsidR="00CD67B0" w:rsidRPr="00CD67B0">
        <w:rPr>
          <w:sz w:val="24"/>
          <w:szCs w:val="24"/>
        </w:rPr>
        <w:t>Canada, Australia, Japan, Singapore</w:t>
      </w:r>
      <w:r w:rsidR="00F75A5D">
        <w:rPr>
          <w:sz w:val="24"/>
          <w:szCs w:val="24"/>
        </w:rPr>
        <w:t>,</w:t>
      </w:r>
      <w:r w:rsidR="007A1A4D">
        <w:rPr>
          <w:sz w:val="24"/>
          <w:szCs w:val="24"/>
        </w:rPr>
        <w:t xml:space="preserve"> and</w:t>
      </w:r>
      <w:r w:rsidR="00CD67B0" w:rsidRPr="00CD67B0">
        <w:rPr>
          <w:sz w:val="24"/>
          <w:szCs w:val="24"/>
        </w:rPr>
        <w:t xml:space="preserve"> </w:t>
      </w:r>
      <w:r w:rsidR="00A95154" w:rsidRPr="00CD67B0">
        <w:rPr>
          <w:sz w:val="24"/>
          <w:szCs w:val="24"/>
        </w:rPr>
        <w:t>Nigeria</w:t>
      </w:r>
      <w:r w:rsidR="007A1A4D">
        <w:rPr>
          <w:sz w:val="24"/>
          <w:szCs w:val="24"/>
        </w:rPr>
        <w:t xml:space="preserve"> </w:t>
      </w:r>
      <w:r w:rsidR="00CD67B0" w:rsidRPr="00CD67B0">
        <w:rPr>
          <w:sz w:val="24"/>
          <w:szCs w:val="24"/>
        </w:rPr>
        <w:t xml:space="preserve">have expressed their willingness to </w:t>
      </w:r>
      <w:r w:rsidR="00CD67B0">
        <w:rPr>
          <w:sz w:val="24"/>
          <w:szCs w:val="24"/>
        </w:rPr>
        <w:t xml:space="preserve">gradually </w:t>
      </w:r>
      <w:r w:rsidR="00CD67B0" w:rsidRPr="00CD67B0">
        <w:rPr>
          <w:sz w:val="24"/>
          <w:szCs w:val="24"/>
        </w:rPr>
        <w:t>align with the ISSB Standards</w:t>
      </w:r>
      <w:r w:rsidR="00CD67B0">
        <w:rPr>
          <w:sz w:val="24"/>
          <w:szCs w:val="24"/>
        </w:rPr>
        <w:t xml:space="preserve">. </w:t>
      </w:r>
      <w:r w:rsidR="00CD67B0" w:rsidRPr="00CD67B0">
        <w:rPr>
          <w:sz w:val="24"/>
          <w:szCs w:val="24"/>
        </w:rPr>
        <w:t xml:space="preserve"> </w:t>
      </w:r>
      <w:r w:rsidR="00CD67B0">
        <w:rPr>
          <w:sz w:val="24"/>
          <w:szCs w:val="24"/>
        </w:rPr>
        <w:t xml:space="preserve">Once such sustainability reporting becomes businesses’ mandatory obligations, directors’ fiduciary duties </w:t>
      </w:r>
      <w:r w:rsidR="001C3300">
        <w:rPr>
          <w:sz w:val="24"/>
          <w:szCs w:val="24"/>
        </w:rPr>
        <w:t xml:space="preserve">in such jurisdictions </w:t>
      </w:r>
      <w:r w:rsidR="00CD67B0">
        <w:rPr>
          <w:sz w:val="24"/>
          <w:szCs w:val="24"/>
        </w:rPr>
        <w:t>would require them to ensure businesses’ compliance</w:t>
      </w:r>
      <w:r w:rsidR="005442AD">
        <w:rPr>
          <w:sz w:val="24"/>
          <w:szCs w:val="24"/>
        </w:rPr>
        <w:t xml:space="preserve"> </w:t>
      </w:r>
      <w:r w:rsidR="00DE5F63">
        <w:rPr>
          <w:sz w:val="24"/>
          <w:szCs w:val="24"/>
        </w:rPr>
        <w:t>with</w:t>
      </w:r>
      <w:r w:rsidR="005442AD">
        <w:rPr>
          <w:sz w:val="24"/>
          <w:szCs w:val="24"/>
        </w:rPr>
        <w:t xml:space="preserve"> such reporting obligations</w:t>
      </w:r>
      <w:r w:rsidR="00CD67B0">
        <w:rPr>
          <w:sz w:val="24"/>
          <w:szCs w:val="24"/>
        </w:rPr>
        <w:t xml:space="preserve">.  </w:t>
      </w:r>
      <w:r w:rsidR="00C733BA">
        <w:rPr>
          <w:sz w:val="24"/>
          <w:szCs w:val="24"/>
        </w:rPr>
        <w:t xml:space="preserve">At the micro level, however, </w:t>
      </w:r>
      <w:r w:rsidRPr="001A32A6">
        <w:rPr>
          <w:color w:val="385623" w:themeColor="accent6" w:themeShade="80"/>
          <w:sz w:val="24"/>
          <w:szCs w:val="24"/>
        </w:rPr>
        <w:t xml:space="preserve">different interpretations of how ESG may relate to directors’ </w:t>
      </w:r>
      <w:r w:rsidR="00CD67B0" w:rsidRPr="001A32A6">
        <w:rPr>
          <w:color w:val="385623" w:themeColor="accent6" w:themeShade="80"/>
          <w:sz w:val="24"/>
          <w:szCs w:val="24"/>
        </w:rPr>
        <w:t>business judgement</w:t>
      </w:r>
      <w:r w:rsidRPr="001A32A6">
        <w:rPr>
          <w:color w:val="385623" w:themeColor="accent6" w:themeShade="80"/>
          <w:sz w:val="24"/>
          <w:szCs w:val="24"/>
        </w:rPr>
        <w:t xml:space="preserve"> </w:t>
      </w:r>
      <w:r w:rsidR="004B1A97">
        <w:rPr>
          <w:color w:val="385623" w:themeColor="accent6" w:themeShade="80"/>
          <w:sz w:val="24"/>
          <w:szCs w:val="24"/>
        </w:rPr>
        <w:t>c</w:t>
      </w:r>
      <w:r w:rsidRPr="001A32A6">
        <w:rPr>
          <w:color w:val="385623" w:themeColor="accent6" w:themeShade="80"/>
          <w:sz w:val="24"/>
          <w:szCs w:val="24"/>
        </w:rPr>
        <w:t>ould</w:t>
      </w:r>
      <w:r w:rsidR="00C733BA" w:rsidRPr="001A32A6">
        <w:rPr>
          <w:color w:val="385623" w:themeColor="accent6" w:themeShade="80"/>
          <w:sz w:val="24"/>
          <w:szCs w:val="24"/>
        </w:rPr>
        <w:t xml:space="preserve"> continue to</w:t>
      </w:r>
      <w:r w:rsidRPr="001A32A6">
        <w:rPr>
          <w:color w:val="385623" w:themeColor="accent6" w:themeShade="80"/>
          <w:sz w:val="24"/>
          <w:szCs w:val="24"/>
        </w:rPr>
        <w:t xml:space="preserve"> leave room for potential claims and lawsuits</w:t>
      </w:r>
      <w:r>
        <w:rPr>
          <w:sz w:val="24"/>
          <w:szCs w:val="24"/>
        </w:rPr>
        <w:t>.</w:t>
      </w:r>
    </w:p>
    <w:p w14:paraId="6FF41B2F" w14:textId="0E1105D9" w:rsidR="007D343F" w:rsidRDefault="00C73C1D" w:rsidP="00E520FA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Energy</w:t>
      </w:r>
      <w:r w:rsidR="007F204F">
        <w:rPr>
          <w:b/>
          <w:bCs/>
          <w:sz w:val="24"/>
          <w:szCs w:val="24"/>
        </w:rPr>
        <w:t xml:space="preserve"> Mainstay</w:t>
      </w:r>
    </w:p>
    <w:p w14:paraId="34AB6D99" w14:textId="5649DFB6" w:rsidR="007D343F" w:rsidRPr="00D90039" w:rsidRDefault="000E10D5" w:rsidP="00E520FA">
      <w:pPr>
        <w:jc w:val="both"/>
        <w:rPr>
          <w:sz w:val="24"/>
          <w:szCs w:val="24"/>
        </w:rPr>
      </w:pPr>
      <w:r w:rsidRPr="00D90039">
        <w:rPr>
          <w:sz w:val="24"/>
          <w:szCs w:val="24"/>
        </w:rPr>
        <w:t xml:space="preserve">Secondly, ESG approaches </w:t>
      </w:r>
      <w:r w:rsidR="00CD67B0" w:rsidRPr="00D90039">
        <w:rPr>
          <w:sz w:val="24"/>
          <w:szCs w:val="24"/>
        </w:rPr>
        <w:t xml:space="preserve">could </w:t>
      </w:r>
      <w:r w:rsidR="0001056B">
        <w:rPr>
          <w:sz w:val="24"/>
          <w:szCs w:val="24"/>
        </w:rPr>
        <w:t>shift the energy mainstay</w:t>
      </w:r>
      <w:r w:rsidR="00345353">
        <w:rPr>
          <w:sz w:val="24"/>
          <w:szCs w:val="24"/>
        </w:rPr>
        <w:t xml:space="preserve"> in most jurisdictions</w:t>
      </w:r>
      <w:r w:rsidR="00644E84" w:rsidRPr="00D90039">
        <w:rPr>
          <w:sz w:val="24"/>
          <w:szCs w:val="24"/>
        </w:rPr>
        <w:t>.</w:t>
      </w:r>
      <w:r w:rsidR="00453991" w:rsidRPr="00D90039">
        <w:rPr>
          <w:sz w:val="24"/>
          <w:szCs w:val="24"/>
        </w:rPr>
        <w:t xml:space="preserve"> </w:t>
      </w:r>
      <w:r w:rsidR="007E0353" w:rsidRPr="00D90039">
        <w:rPr>
          <w:sz w:val="24"/>
          <w:szCs w:val="24"/>
        </w:rPr>
        <w:t xml:space="preserve">Fossil fuels (including coal, oil, and natural gas) currently supply about </w:t>
      </w:r>
      <w:hyperlink r:id="rId10" w:anchor=":~:text=Overview,percent%20of%20the%20world's%20energy." w:history="1">
        <w:r w:rsidR="007E0353" w:rsidRPr="00D90039">
          <w:rPr>
            <w:rStyle w:val="Hyperlink"/>
            <w:sz w:val="24"/>
            <w:szCs w:val="24"/>
          </w:rPr>
          <w:t>80%</w:t>
        </w:r>
      </w:hyperlink>
      <w:r w:rsidR="007E0353" w:rsidRPr="00D90039">
        <w:rPr>
          <w:sz w:val="24"/>
          <w:szCs w:val="24"/>
        </w:rPr>
        <w:t xml:space="preserve"> of the world’s energy. </w:t>
      </w:r>
      <w:r w:rsidR="0002482F">
        <w:rPr>
          <w:sz w:val="24"/>
          <w:szCs w:val="24"/>
        </w:rPr>
        <w:t>For businesses, o</w:t>
      </w:r>
      <w:r w:rsidR="007E0353" w:rsidRPr="00D90039">
        <w:rPr>
          <w:sz w:val="24"/>
          <w:szCs w:val="24"/>
        </w:rPr>
        <w:t xml:space="preserve">ne constraint caused by ESG is that </w:t>
      </w:r>
      <w:r w:rsidR="00354E86">
        <w:rPr>
          <w:sz w:val="24"/>
          <w:szCs w:val="24"/>
        </w:rPr>
        <w:t>environmental</w:t>
      </w:r>
      <w:r w:rsidR="007E0353" w:rsidRPr="00D90039">
        <w:rPr>
          <w:sz w:val="24"/>
          <w:szCs w:val="24"/>
        </w:rPr>
        <w:t xml:space="preserve">-unfriendly businesses (such as those in fossil fuels industries) may be excluded </w:t>
      </w:r>
      <w:r w:rsidR="00D96C40" w:rsidRPr="00D90039">
        <w:rPr>
          <w:sz w:val="24"/>
          <w:szCs w:val="24"/>
        </w:rPr>
        <w:t xml:space="preserve">or disinvested </w:t>
      </w:r>
      <w:r w:rsidR="007E0353" w:rsidRPr="00D90039">
        <w:rPr>
          <w:sz w:val="24"/>
          <w:szCs w:val="24"/>
        </w:rPr>
        <w:t xml:space="preserve">by certain </w:t>
      </w:r>
      <w:r w:rsidR="00354E86">
        <w:rPr>
          <w:sz w:val="24"/>
          <w:szCs w:val="24"/>
        </w:rPr>
        <w:t>environmental</w:t>
      </w:r>
      <w:r w:rsidR="007E0353" w:rsidRPr="00D90039">
        <w:rPr>
          <w:sz w:val="24"/>
          <w:szCs w:val="24"/>
        </w:rPr>
        <w:t>-aware investors</w:t>
      </w:r>
      <w:r w:rsidR="005A0C1D">
        <w:rPr>
          <w:sz w:val="24"/>
          <w:szCs w:val="24"/>
        </w:rPr>
        <w:t>,</w:t>
      </w:r>
      <w:r w:rsidR="007E0353" w:rsidRPr="00D90039">
        <w:rPr>
          <w:sz w:val="24"/>
          <w:szCs w:val="24"/>
        </w:rPr>
        <w:t xml:space="preserve"> </w:t>
      </w:r>
      <w:r w:rsidR="00002FAC">
        <w:rPr>
          <w:sz w:val="24"/>
          <w:szCs w:val="24"/>
        </w:rPr>
        <w:t>worry</w:t>
      </w:r>
      <w:r w:rsidR="005A0C1D">
        <w:rPr>
          <w:sz w:val="24"/>
          <w:szCs w:val="24"/>
        </w:rPr>
        <w:t>ing</w:t>
      </w:r>
      <w:r w:rsidR="00002FAC">
        <w:rPr>
          <w:sz w:val="24"/>
          <w:szCs w:val="24"/>
        </w:rPr>
        <w:t xml:space="preserve"> such</w:t>
      </w:r>
      <w:r w:rsidR="007E0353" w:rsidRPr="00D90039">
        <w:rPr>
          <w:sz w:val="24"/>
          <w:szCs w:val="24"/>
        </w:rPr>
        <w:t xml:space="preserve"> assets</w:t>
      </w:r>
      <w:r w:rsidR="0048520C">
        <w:rPr>
          <w:sz w:val="24"/>
          <w:szCs w:val="24"/>
        </w:rPr>
        <w:t xml:space="preserve"> </w:t>
      </w:r>
      <w:r w:rsidR="00002FAC">
        <w:rPr>
          <w:sz w:val="24"/>
          <w:szCs w:val="24"/>
        </w:rPr>
        <w:t>would become</w:t>
      </w:r>
      <w:r w:rsidR="007E0353" w:rsidRPr="00D90039">
        <w:rPr>
          <w:sz w:val="24"/>
          <w:szCs w:val="24"/>
        </w:rPr>
        <w:t xml:space="preserve"> </w:t>
      </w:r>
      <w:hyperlink r:id="rId11" w:history="1">
        <w:r w:rsidR="007E0353" w:rsidRPr="00D90039">
          <w:rPr>
            <w:rStyle w:val="Hyperlink"/>
            <w:sz w:val="24"/>
            <w:szCs w:val="24"/>
          </w:rPr>
          <w:t>straddled assets</w:t>
        </w:r>
      </w:hyperlink>
      <w:r w:rsidR="007E0353" w:rsidRPr="00D90039">
        <w:rPr>
          <w:sz w:val="24"/>
          <w:szCs w:val="24"/>
        </w:rPr>
        <w:t>.</w:t>
      </w:r>
      <w:r w:rsidR="00345353">
        <w:rPr>
          <w:sz w:val="24"/>
          <w:szCs w:val="24"/>
        </w:rPr>
        <w:t xml:space="preserve"> For some local economies, fossil fuel industries remain their major sources of government revenues and employment opportunities.</w:t>
      </w:r>
      <w:r w:rsidR="007E0353" w:rsidRPr="00D90039">
        <w:rPr>
          <w:sz w:val="24"/>
          <w:szCs w:val="24"/>
        </w:rPr>
        <w:t xml:space="preserve"> </w:t>
      </w:r>
      <w:r w:rsidR="00D90039" w:rsidRPr="001A32A6">
        <w:rPr>
          <w:color w:val="385623" w:themeColor="accent6" w:themeShade="80"/>
          <w:sz w:val="24"/>
          <w:szCs w:val="24"/>
        </w:rPr>
        <w:t xml:space="preserve">It is important for the world to find </w:t>
      </w:r>
      <w:r w:rsidR="0002482F">
        <w:rPr>
          <w:color w:val="385623" w:themeColor="accent6" w:themeShade="80"/>
          <w:sz w:val="24"/>
          <w:szCs w:val="24"/>
        </w:rPr>
        <w:t xml:space="preserve">alternative </w:t>
      </w:r>
      <w:r w:rsidR="00D90039" w:rsidRPr="001A32A6">
        <w:rPr>
          <w:color w:val="385623" w:themeColor="accent6" w:themeShade="80"/>
          <w:sz w:val="24"/>
          <w:szCs w:val="24"/>
        </w:rPr>
        <w:t>solutions to make better use of fossil fuels and avoid them becoming straddled assets or being wasted</w:t>
      </w:r>
      <w:r w:rsidR="00D90039" w:rsidRPr="00D90039">
        <w:rPr>
          <w:sz w:val="24"/>
          <w:szCs w:val="24"/>
        </w:rPr>
        <w:t xml:space="preserve">. This would also </w:t>
      </w:r>
      <w:r w:rsidR="0002482F">
        <w:rPr>
          <w:sz w:val="24"/>
          <w:szCs w:val="24"/>
        </w:rPr>
        <w:t>motivate</w:t>
      </w:r>
      <w:r w:rsidR="00D90039" w:rsidRPr="00D90039">
        <w:rPr>
          <w:sz w:val="24"/>
          <w:szCs w:val="24"/>
        </w:rPr>
        <w:t xml:space="preserve"> </w:t>
      </w:r>
      <w:r w:rsidR="0002482F">
        <w:rPr>
          <w:sz w:val="24"/>
          <w:szCs w:val="24"/>
        </w:rPr>
        <w:lastRenderedPageBreak/>
        <w:t xml:space="preserve">fossil fuel </w:t>
      </w:r>
      <w:r w:rsidR="00D90039" w:rsidRPr="00D90039">
        <w:rPr>
          <w:sz w:val="24"/>
          <w:szCs w:val="24"/>
        </w:rPr>
        <w:t xml:space="preserve">businesses </w:t>
      </w:r>
      <w:r w:rsidR="00354E86">
        <w:rPr>
          <w:sz w:val="24"/>
          <w:szCs w:val="24"/>
        </w:rPr>
        <w:t>to push for</w:t>
      </w:r>
      <w:r w:rsidR="00D90039" w:rsidRPr="00D90039">
        <w:rPr>
          <w:sz w:val="24"/>
          <w:szCs w:val="24"/>
        </w:rPr>
        <w:t xml:space="preserve"> their energy transition</w:t>
      </w:r>
      <w:r w:rsidR="0002482F">
        <w:rPr>
          <w:sz w:val="24"/>
          <w:szCs w:val="24"/>
        </w:rPr>
        <w:t xml:space="preserve">, and </w:t>
      </w:r>
      <w:r w:rsidR="00354E86">
        <w:rPr>
          <w:sz w:val="24"/>
          <w:szCs w:val="24"/>
        </w:rPr>
        <w:t>empower fossil-fuel-rich</w:t>
      </w:r>
      <w:r w:rsidR="0002482F">
        <w:rPr>
          <w:sz w:val="24"/>
          <w:szCs w:val="24"/>
        </w:rPr>
        <w:t xml:space="preserve"> localities </w:t>
      </w:r>
      <w:r w:rsidR="00354E86">
        <w:rPr>
          <w:sz w:val="24"/>
          <w:szCs w:val="24"/>
        </w:rPr>
        <w:t>to play their part in the global process of decarbonization with their natural endowment.</w:t>
      </w:r>
    </w:p>
    <w:p w14:paraId="22E93AEB" w14:textId="07B0A9F6" w:rsidR="00B27591" w:rsidRDefault="00D96C40" w:rsidP="00E520FA">
      <w:pPr>
        <w:jc w:val="both"/>
        <w:rPr>
          <w:sz w:val="24"/>
          <w:szCs w:val="24"/>
        </w:rPr>
      </w:pPr>
      <w:r w:rsidRPr="00D90039">
        <w:rPr>
          <w:sz w:val="24"/>
          <w:szCs w:val="24"/>
        </w:rPr>
        <w:t xml:space="preserve">In the U.S., </w:t>
      </w:r>
      <w:r w:rsidR="00354E86">
        <w:rPr>
          <w:sz w:val="24"/>
          <w:szCs w:val="24"/>
        </w:rPr>
        <w:t xml:space="preserve">one added complexity is that </w:t>
      </w:r>
      <w:r w:rsidRPr="00D90039">
        <w:rPr>
          <w:sz w:val="24"/>
          <w:szCs w:val="24"/>
        </w:rPr>
        <w:t xml:space="preserve">ESG has been politicalized </w:t>
      </w:r>
      <w:r w:rsidR="0043023E">
        <w:rPr>
          <w:sz w:val="24"/>
          <w:szCs w:val="24"/>
        </w:rPr>
        <w:t>in certain circumstances</w:t>
      </w:r>
      <w:r w:rsidR="00E81BDC">
        <w:rPr>
          <w:sz w:val="24"/>
          <w:szCs w:val="24"/>
        </w:rPr>
        <w:t xml:space="preserve">. </w:t>
      </w:r>
      <w:r w:rsidR="00B27591" w:rsidRPr="00D90039">
        <w:rPr>
          <w:sz w:val="24"/>
          <w:szCs w:val="24"/>
        </w:rPr>
        <w:t xml:space="preserve">By contrast, other jurisdictions such as the EU </w:t>
      </w:r>
      <w:r w:rsidR="007F50A6">
        <w:rPr>
          <w:sz w:val="24"/>
          <w:szCs w:val="24"/>
        </w:rPr>
        <w:t xml:space="preserve">and </w:t>
      </w:r>
      <w:r w:rsidR="007F50A6" w:rsidRPr="00D90039">
        <w:rPr>
          <w:sz w:val="24"/>
          <w:szCs w:val="24"/>
        </w:rPr>
        <w:t>the UK</w:t>
      </w:r>
      <w:r w:rsidR="007F50A6">
        <w:rPr>
          <w:sz w:val="24"/>
          <w:szCs w:val="24"/>
        </w:rPr>
        <w:t xml:space="preserve"> </w:t>
      </w:r>
      <w:r w:rsidR="00B27591" w:rsidRPr="00D90039">
        <w:rPr>
          <w:sz w:val="24"/>
          <w:szCs w:val="24"/>
        </w:rPr>
        <w:t xml:space="preserve">have less internal debate </w:t>
      </w:r>
      <w:r w:rsidR="00D90039" w:rsidRPr="00D90039">
        <w:rPr>
          <w:sz w:val="24"/>
          <w:szCs w:val="24"/>
        </w:rPr>
        <w:t>on fossil fuel related ESG issues</w:t>
      </w:r>
      <w:r w:rsidR="0043023E">
        <w:rPr>
          <w:sz w:val="24"/>
          <w:szCs w:val="24"/>
        </w:rPr>
        <w:t xml:space="preserve"> and some </w:t>
      </w:r>
      <w:r w:rsidR="0043023E" w:rsidRPr="00D90039">
        <w:rPr>
          <w:sz w:val="24"/>
          <w:szCs w:val="24"/>
        </w:rPr>
        <w:t>have implemented concrete energy transition roadmaps</w:t>
      </w:r>
      <w:r w:rsidR="0043023E">
        <w:rPr>
          <w:rStyle w:val="FootnoteReference"/>
          <w:sz w:val="24"/>
          <w:szCs w:val="24"/>
        </w:rPr>
        <w:footnoteReference w:id="4"/>
      </w:r>
      <w:r w:rsidR="00D90039" w:rsidRPr="00D90039">
        <w:rPr>
          <w:sz w:val="24"/>
          <w:szCs w:val="24"/>
        </w:rPr>
        <w:t>.</w:t>
      </w:r>
    </w:p>
    <w:p w14:paraId="5BB7088B" w14:textId="1B5556D8" w:rsidR="00D661A8" w:rsidRPr="001C3300" w:rsidRDefault="001C3300" w:rsidP="00E520FA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1C3300">
        <w:rPr>
          <w:b/>
          <w:bCs/>
          <w:sz w:val="24"/>
          <w:szCs w:val="24"/>
        </w:rPr>
        <w:t>Businesses’ Externalities</w:t>
      </w:r>
    </w:p>
    <w:p w14:paraId="316EB8EB" w14:textId="5AE4D89A" w:rsidR="00A26B02" w:rsidRDefault="00AF5245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Thirdly, </w:t>
      </w:r>
      <w:r w:rsidR="005D132E">
        <w:rPr>
          <w:sz w:val="24"/>
          <w:szCs w:val="24"/>
        </w:rPr>
        <w:t xml:space="preserve">investors are becoming increasingly aware of </w:t>
      </w:r>
      <w:r w:rsidR="005F5DA6">
        <w:rPr>
          <w:sz w:val="24"/>
          <w:szCs w:val="24"/>
        </w:rPr>
        <w:t xml:space="preserve">businesses’ </w:t>
      </w:r>
      <w:r w:rsidR="00A26B02">
        <w:rPr>
          <w:sz w:val="24"/>
          <w:szCs w:val="24"/>
        </w:rPr>
        <w:t>externalities, because more and more investors</w:t>
      </w:r>
      <w:r w:rsidR="005F5DA6">
        <w:rPr>
          <w:sz w:val="24"/>
          <w:szCs w:val="24"/>
        </w:rPr>
        <w:t xml:space="preserve"> </w:t>
      </w:r>
      <w:r w:rsidR="005D132E">
        <w:rPr>
          <w:sz w:val="24"/>
          <w:szCs w:val="24"/>
        </w:rPr>
        <w:t xml:space="preserve">have </w:t>
      </w:r>
      <w:r w:rsidR="00A26B02">
        <w:rPr>
          <w:sz w:val="24"/>
          <w:szCs w:val="24"/>
        </w:rPr>
        <w:t>adopt</w:t>
      </w:r>
      <w:r w:rsidR="005D132E">
        <w:rPr>
          <w:sz w:val="24"/>
          <w:szCs w:val="24"/>
        </w:rPr>
        <w:t>ed</w:t>
      </w:r>
      <w:r w:rsidR="00A26B02">
        <w:rPr>
          <w:sz w:val="24"/>
          <w:szCs w:val="24"/>
        </w:rPr>
        <w:t xml:space="preserve"> responsible investing strategies. </w:t>
      </w:r>
      <w:r w:rsidR="005F5DA6">
        <w:rPr>
          <w:sz w:val="24"/>
          <w:szCs w:val="24"/>
        </w:rPr>
        <w:t xml:space="preserve">For example, </w:t>
      </w:r>
      <w:r w:rsidR="005F5DA6" w:rsidRPr="008572D2">
        <w:rPr>
          <w:sz w:val="24"/>
          <w:szCs w:val="24"/>
        </w:rPr>
        <w:t>those that are signatories of UN Principles for Responsible Investment (UNPRI) commit to</w:t>
      </w:r>
      <w:r w:rsidR="005F5DA6">
        <w:rPr>
          <w:sz w:val="24"/>
          <w:szCs w:val="24"/>
        </w:rPr>
        <w:t xml:space="preserve"> </w:t>
      </w:r>
      <w:r w:rsidR="005F5DA6" w:rsidRPr="005F5DA6">
        <w:rPr>
          <w:sz w:val="24"/>
          <w:szCs w:val="24"/>
        </w:rPr>
        <w:t>incorporat</w:t>
      </w:r>
      <w:r w:rsidR="005F5DA6">
        <w:rPr>
          <w:sz w:val="24"/>
          <w:szCs w:val="24"/>
        </w:rPr>
        <w:t>e</w:t>
      </w:r>
      <w:r w:rsidR="005F5DA6" w:rsidRPr="005F5DA6">
        <w:rPr>
          <w:sz w:val="24"/>
          <w:szCs w:val="24"/>
        </w:rPr>
        <w:t xml:space="preserve"> ESG issues into investment practice</w:t>
      </w:r>
      <w:r w:rsidR="00B70732">
        <w:rPr>
          <w:sz w:val="24"/>
          <w:szCs w:val="24"/>
        </w:rPr>
        <w:t xml:space="preserve">. As a result, </w:t>
      </w:r>
      <w:r w:rsidR="008572D2">
        <w:rPr>
          <w:sz w:val="24"/>
          <w:szCs w:val="24"/>
        </w:rPr>
        <w:t xml:space="preserve">to attract capital, </w:t>
      </w:r>
      <w:r w:rsidR="00B70732">
        <w:rPr>
          <w:sz w:val="24"/>
          <w:szCs w:val="24"/>
        </w:rPr>
        <w:t xml:space="preserve">more and more businesses </w:t>
      </w:r>
      <w:r w:rsidR="008572D2">
        <w:rPr>
          <w:sz w:val="24"/>
          <w:szCs w:val="24"/>
        </w:rPr>
        <w:t>have begun</w:t>
      </w:r>
      <w:r w:rsidR="00B70732">
        <w:rPr>
          <w:sz w:val="24"/>
          <w:szCs w:val="24"/>
        </w:rPr>
        <w:t xml:space="preserve"> to consider not only short</w:t>
      </w:r>
      <w:r w:rsidR="004935D3">
        <w:rPr>
          <w:sz w:val="24"/>
          <w:szCs w:val="24"/>
        </w:rPr>
        <w:t>-</w:t>
      </w:r>
      <w:r w:rsidR="00B70732">
        <w:rPr>
          <w:sz w:val="24"/>
          <w:szCs w:val="24"/>
        </w:rPr>
        <w:t>term profits, but also externalities and stakeholders affected by their businesses.</w:t>
      </w:r>
    </w:p>
    <w:p w14:paraId="569BFBDA" w14:textId="436D1178" w:rsidR="00353D4D" w:rsidRDefault="00353D4D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This raises two concerns:</w:t>
      </w:r>
    </w:p>
    <w:p w14:paraId="6D77A6CC" w14:textId="33F79A1A" w:rsidR="006133F3" w:rsidRDefault="00353D4D" w:rsidP="00353D4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Does a business’ license to operate include corporate social responsibilities (CSR)</w:t>
      </w:r>
      <w:r w:rsidR="004935D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4935D3">
        <w:rPr>
          <w:sz w:val="24"/>
          <w:szCs w:val="24"/>
        </w:rPr>
        <w:t>I</w:t>
      </w:r>
      <w:r>
        <w:rPr>
          <w:sz w:val="24"/>
          <w:szCs w:val="24"/>
        </w:rPr>
        <w:t xml:space="preserve">f so, </w:t>
      </w:r>
      <w:r w:rsidRPr="006F77B9">
        <w:rPr>
          <w:color w:val="385623" w:themeColor="accent6" w:themeShade="80"/>
          <w:sz w:val="24"/>
          <w:szCs w:val="24"/>
        </w:rPr>
        <w:t>what CSR are involved?</w:t>
      </w:r>
      <w:r w:rsidRPr="006F77B9">
        <w:rPr>
          <w:color w:val="00B050"/>
          <w:sz w:val="24"/>
          <w:szCs w:val="24"/>
        </w:rPr>
        <w:t xml:space="preserve"> </w:t>
      </w:r>
      <w:r w:rsidR="001702BA">
        <w:rPr>
          <w:sz w:val="24"/>
          <w:szCs w:val="24"/>
        </w:rPr>
        <w:t>T</w:t>
      </w:r>
      <w:r w:rsidRPr="00353D4D">
        <w:rPr>
          <w:sz w:val="24"/>
          <w:szCs w:val="24"/>
        </w:rPr>
        <w:t>he traditional “shareholder primacy model”</w:t>
      </w:r>
      <w:r>
        <w:rPr>
          <w:sz w:val="24"/>
          <w:szCs w:val="24"/>
        </w:rPr>
        <w:t xml:space="preserve"> </w:t>
      </w:r>
      <w:r w:rsidR="006965E1">
        <w:rPr>
          <w:sz w:val="24"/>
          <w:szCs w:val="24"/>
        </w:rPr>
        <w:t xml:space="preserve">referenced above is based on the assumption and belief </w:t>
      </w:r>
      <w:r>
        <w:rPr>
          <w:sz w:val="24"/>
          <w:szCs w:val="24"/>
        </w:rPr>
        <w:t xml:space="preserve">that to increase profits is </w:t>
      </w:r>
      <w:r w:rsidR="001702BA">
        <w:rPr>
          <w:sz w:val="24"/>
          <w:szCs w:val="24"/>
        </w:rPr>
        <w:t>the</w:t>
      </w:r>
      <w:r>
        <w:rPr>
          <w:sz w:val="24"/>
          <w:szCs w:val="24"/>
        </w:rPr>
        <w:t xml:space="preserve"> only one so</w:t>
      </w:r>
      <w:r w:rsidR="001702BA">
        <w:rPr>
          <w:sz w:val="24"/>
          <w:szCs w:val="24"/>
        </w:rPr>
        <w:t>cial responsibility of business.</w:t>
      </w:r>
      <w:r w:rsidR="00FD02F8">
        <w:rPr>
          <w:sz w:val="24"/>
          <w:szCs w:val="24"/>
        </w:rPr>
        <w:t xml:space="preserve"> </w:t>
      </w:r>
      <w:r w:rsidR="004935D3">
        <w:rPr>
          <w:sz w:val="24"/>
          <w:szCs w:val="24"/>
        </w:rPr>
        <w:t>However,</w:t>
      </w:r>
      <w:r w:rsidR="00FD02F8">
        <w:rPr>
          <w:sz w:val="24"/>
          <w:szCs w:val="24"/>
        </w:rPr>
        <w:t xml:space="preserve"> many investors </w:t>
      </w:r>
      <w:r w:rsidR="004935D3">
        <w:rPr>
          <w:sz w:val="24"/>
          <w:szCs w:val="24"/>
        </w:rPr>
        <w:t xml:space="preserve">concern </w:t>
      </w:r>
      <w:r w:rsidR="00FD02F8">
        <w:rPr>
          <w:sz w:val="24"/>
          <w:szCs w:val="24"/>
        </w:rPr>
        <w:t xml:space="preserve">not only a business’s short-term profits but also its long-term </w:t>
      </w:r>
      <w:r w:rsidR="009B0790">
        <w:rPr>
          <w:sz w:val="24"/>
          <w:szCs w:val="24"/>
        </w:rPr>
        <w:t>profitability. A business’ externalities may impact the latter or both.</w:t>
      </w:r>
    </w:p>
    <w:p w14:paraId="7BF9FCB3" w14:textId="48F9F9CE" w:rsidR="006E29D5" w:rsidRDefault="00FD02F8" w:rsidP="006E29D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A32A6">
        <w:rPr>
          <w:color w:val="385623" w:themeColor="accent6" w:themeShade="80"/>
          <w:sz w:val="24"/>
          <w:szCs w:val="24"/>
        </w:rPr>
        <w:t>Externalities</w:t>
      </w:r>
      <w:r w:rsidR="001702BA" w:rsidRPr="001A32A6">
        <w:rPr>
          <w:color w:val="385623" w:themeColor="accent6" w:themeShade="80"/>
          <w:sz w:val="24"/>
          <w:szCs w:val="24"/>
        </w:rPr>
        <w:t xml:space="preserve"> issues relate to “system” questions</w:t>
      </w:r>
      <w:r w:rsidR="001702BA" w:rsidRPr="001702BA">
        <w:rPr>
          <w:sz w:val="24"/>
          <w:szCs w:val="24"/>
        </w:rPr>
        <w:t xml:space="preserve">, where </w:t>
      </w:r>
      <w:r w:rsidR="001702BA" w:rsidRPr="001702BA">
        <w:rPr>
          <w:b/>
          <w:bCs/>
          <w:sz w:val="24"/>
          <w:szCs w:val="24"/>
        </w:rPr>
        <w:t>each</w:t>
      </w:r>
      <w:r w:rsidR="001702BA" w:rsidRPr="001702BA">
        <w:rPr>
          <w:sz w:val="24"/>
          <w:szCs w:val="24"/>
        </w:rPr>
        <w:t xml:space="preserve"> business </w:t>
      </w:r>
      <w:r w:rsidR="004074EF">
        <w:rPr>
          <w:sz w:val="24"/>
          <w:szCs w:val="24"/>
        </w:rPr>
        <w:t xml:space="preserve">is </w:t>
      </w:r>
      <w:r w:rsidR="002656B3">
        <w:rPr>
          <w:sz w:val="24"/>
          <w:szCs w:val="24"/>
        </w:rPr>
        <w:t>a component</w:t>
      </w:r>
      <w:r w:rsidR="004074EF">
        <w:rPr>
          <w:sz w:val="24"/>
          <w:szCs w:val="24"/>
        </w:rPr>
        <w:t xml:space="preserve"> of the </w:t>
      </w:r>
      <w:r w:rsidR="00CA78FA">
        <w:rPr>
          <w:sz w:val="24"/>
          <w:szCs w:val="24"/>
        </w:rPr>
        <w:t xml:space="preserve">entire </w:t>
      </w:r>
      <w:r w:rsidR="004074EF">
        <w:rPr>
          <w:sz w:val="24"/>
          <w:szCs w:val="24"/>
        </w:rPr>
        <w:t>system and a contributor to the system’s problem</w:t>
      </w:r>
      <w:r w:rsidR="005A0C1D">
        <w:rPr>
          <w:sz w:val="24"/>
          <w:szCs w:val="24"/>
        </w:rPr>
        <w:t>s</w:t>
      </w:r>
      <w:r w:rsidR="004074EF">
        <w:rPr>
          <w:sz w:val="24"/>
          <w:szCs w:val="24"/>
        </w:rPr>
        <w:t xml:space="preserve">. For example, a </w:t>
      </w:r>
      <w:r w:rsidR="006F77B9">
        <w:rPr>
          <w:sz w:val="24"/>
          <w:szCs w:val="24"/>
        </w:rPr>
        <w:t>single</w:t>
      </w:r>
      <w:r w:rsidR="004074EF">
        <w:rPr>
          <w:sz w:val="24"/>
          <w:szCs w:val="24"/>
        </w:rPr>
        <w:t xml:space="preserve"> business </w:t>
      </w:r>
      <w:r w:rsidR="001702BA" w:rsidRPr="001702BA">
        <w:rPr>
          <w:sz w:val="24"/>
          <w:szCs w:val="24"/>
        </w:rPr>
        <w:t xml:space="preserve">can be a </w:t>
      </w:r>
      <w:r w:rsidR="004074EF">
        <w:rPr>
          <w:sz w:val="24"/>
          <w:szCs w:val="24"/>
        </w:rPr>
        <w:t>drag</w:t>
      </w:r>
      <w:r w:rsidR="001702BA" w:rsidRPr="001702BA">
        <w:rPr>
          <w:sz w:val="24"/>
          <w:szCs w:val="24"/>
        </w:rPr>
        <w:t xml:space="preserve"> </w:t>
      </w:r>
      <w:r w:rsidR="004074EF">
        <w:rPr>
          <w:sz w:val="24"/>
          <w:szCs w:val="24"/>
        </w:rPr>
        <w:t>on</w:t>
      </w:r>
      <w:r w:rsidR="001702BA" w:rsidRPr="001702BA">
        <w:rPr>
          <w:sz w:val="24"/>
          <w:szCs w:val="24"/>
        </w:rPr>
        <w:t xml:space="preserve"> the </w:t>
      </w:r>
      <w:r w:rsidR="004074EF">
        <w:rPr>
          <w:sz w:val="24"/>
          <w:szCs w:val="24"/>
        </w:rPr>
        <w:t>global</w:t>
      </w:r>
      <w:r w:rsidR="001702BA" w:rsidRPr="001702BA">
        <w:rPr>
          <w:sz w:val="24"/>
          <w:szCs w:val="24"/>
        </w:rPr>
        <w:t xml:space="preserve"> </w:t>
      </w:r>
      <w:r w:rsidR="004074EF">
        <w:rPr>
          <w:sz w:val="24"/>
          <w:szCs w:val="24"/>
        </w:rPr>
        <w:t>efforts of combating climate change</w:t>
      </w:r>
      <w:r w:rsidR="001702BA" w:rsidRPr="001702BA">
        <w:rPr>
          <w:sz w:val="24"/>
          <w:szCs w:val="24"/>
        </w:rPr>
        <w:t xml:space="preserve"> if it</w:t>
      </w:r>
      <w:r w:rsidR="00CA78FA">
        <w:rPr>
          <w:sz w:val="24"/>
          <w:szCs w:val="24"/>
        </w:rPr>
        <w:t>s externalities of greenhouse gas emissions are legally or illegally let go</w:t>
      </w:r>
      <w:r w:rsidR="001702BA">
        <w:rPr>
          <w:sz w:val="24"/>
          <w:szCs w:val="24"/>
        </w:rPr>
        <w:t>.</w:t>
      </w:r>
      <w:r w:rsidR="00F41B49">
        <w:rPr>
          <w:sz w:val="24"/>
          <w:szCs w:val="24"/>
        </w:rPr>
        <w:t xml:space="preserve"> Global problems call for concerted efforts.</w:t>
      </w:r>
    </w:p>
    <w:p w14:paraId="715219CB" w14:textId="77777777" w:rsidR="00C61E80" w:rsidRPr="006E29D5" w:rsidRDefault="00C61E80" w:rsidP="00C61E80">
      <w:pPr>
        <w:pStyle w:val="ListParagraph"/>
        <w:ind w:left="1080"/>
        <w:jc w:val="both"/>
        <w:rPr>
          <w:sz w:val="24"/>
          <w:szCs w:val="24"/>
        </w:rPr>
      </w:pPr>
    </w:p>
    <w:p w14:paraId="03E47D38" w14:textId="4F5F9978" w:rsidR="00AF5245" w:rsidRPr="00AF5245" w:rsidRDefault="00AF5245" w:rsidP="00AF5245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AF5245">
        <w:rPr>
          <w:b/>
          <w:bCs/>
          <w:sz w:val="24"/>
          <w:szCs w:val="24"/>
        </w:rPr>
        <w:t>Alphabet Soup - Ambiguities of ESG Taxonomy</w:t>
      </w:r>
    </w:p>
    <w:p w14:paraId="1CCB3A38" w14:textId="443F5E75" w:rsidR="009B0790" w:rsidRDefault="00AF5245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C53C5">
        <w:rPr>
          <w:sz w:val="24"/>
          <w:szCs w:val="24"/>
        </w:rPr>
        <w:t>ourthly</w:t>
      </w:r>
      <w:r>
        <w:rPr>
          <w:sz w:val="24"/>
          <w:szCs w:val="24"/>
        </w:rPr>
        <w:t xml:space="preserve">, </w:t>
      </w:r>
      <w:r w:rsidR="009B0790">
        <w:rPr>
          <w:sz w:val="24"/>
          <w:szCs w:val="24"/>
        </w:rPr>
        <w:t xml:space="preserve">the alphabet soup of </w:t>
      </w:r>
      <w:r w:rsidR="009B0790" w:rsidRPr="009B0790">
        <w:rPr>
          <w:sz w:val="24"/>
          <w:szCs w:val="24"/>
        </w:rPr>
        <w:t>“E</w:t>
      </w:r>
      <w:r w:rsidR="00A95154" w:rsidRPr="009B0790">
        <w:rPr>
          <w:sz w:val="24"/>
          <w:szCs w:val="24"/>
        </w:rPr>
        <w:t>,”</w:t>
      </w:r>
      <w:r w:rsidR="009B0790" w:rsidRPr="009B0790">
        <w:rPr>
          <w:sz w:val="24"/>
          <w:szCs w:val="24"/>
        </w:rPr>
        <w:t xml:space="preserve"> “S” and “G”</w:t>
      </w:r>
      <w:r w:rsidR="009B0790">
        <w:rPr>
          <w:sz w:val="24"/>
          <w:szCs w:val="24"/>
        </w:rPr>
        <w:t xml:space="preserve"> poses various challenges for businesses.</w:t>
      </w:r>
    </w:p>
    <w:p w14:paraId="13341DE1" w14:textId="474B82D7" w:rsidR="00AF5245" w:rsidRDefault="009B0790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9B0790">
        <w:rPr>
          <w:sz w:val="24"/>
          <w:szCs w:val="24"/>
        </w:rPr>
        <w:t xml:space="preserve">ecause the concept of “ESG” encompasses </w:t>
      </w:r>
      <w:r w:rsidR="004935D3">
        <w:rPr>
          <w:sz w:val="24"/>
          <w:szCs w:val="24"/>
        </w:rPr>
        <w:t>multiple</w:t>
      </w:r>
      <w:r w:rsidRPr="009B0790">
        <w:rPr>
          <w:sz w:val="24"/>
          <w:szCs w:val="24"/>
        </w:rPr>
        <w:t xml:space="preserve"> aspects of “E”, “S” and “G” factors, even if a business considers ESG, its focus may not necessarily be aligned with the ESG </w:t>
      </w:r>
      <w:r w:rsidR="0010763D">
        <w:rPr>
          <w:sz w:val="24"/>
          <w:szCs w:val="24"/>
        </w:rPr>
        <w:t>factors that are most important to</w:t>
      </w:r>
      <w:r w:rsidR="007D0D8F">
        <w:rPr>
          <w:sz w:val="24"/>
          <w:szCs w:val="24"/>
        </w:rPr>
        <w:t xml:space="preserve"> </w:t>
      </w:r>
      <w:r w:rsidRPr="009B0790">
        <w:rPr>
          <w:sz w:val="24"/>
          <w:szCs w:val="24"/>
        </w:rPr>
        <w:t xml:space="preserve">its various shareholders and </w:t>
      </w:r>
      <w:hyperlink r:id="rId12" w:history="1">
        <w:r w:rsidRPr="009B0790">
          <w:rPr>
            <w:rStyle w:val="Hyperlink"/>
            <w:sz w:val="24"/>
            <w:szCs w:val="24"/>
          </w:rPr>
          <w:t>stakeholders</w:t>
        </w:r>
      </w:hyperlink>
      <w:r>
        <w:rPr>
          <w:sz w:val="24"/>
          <w:szCs w:val="24"/>
        </w:rPr>
        <w:t xml:space="preserve">. </w:t>
      </w:r>
      <w:r w:rsidR="00D75C87" w:rsidRPr="00D75C87">
        <w:rPr>
          <w:sz w:val="24"/>
          <w:szCs w:val="24"/>
        </w:rPr>
        <w:t>A business may have a mix of investors with divergent interests and priorities</w:t>
      </w:r>
      <w:r w:rsidR="00D75C87">
        <w:rPr>
          <w:sz w:val="24"/>
          <w:szCs w:val="24"/>
        </w:rPr>
        <w:t>.</w:t>
      </w:r>
      <w:r w:rsidR="00D75C87" w:rsidRPr="00D75C87">
        <w:rPr>
          <w:sz w:val="24"/>
          <w:szCs w:val="24"/>
        </w:rPr>
        <w:t xml:space="preserve"> </w:t>
      </w:r>
      <w:r w:rsidR="00D75C87">
        <w:rPr>
          <w:sz w:val="24"/>
          <w:szCs w:val="24"/>
        </w:rPr>
        <w:t xml:space="preserve">For example, institutional investors and individual investors may have different short-term and long-term priorities. Among institutional investors, asset managers and asset owners may have different level of fiduciary duties to their respective beneficial owners. </w:t>
      </w:r>
      <w:r w:rsidR="009E1CAC">
        <w:rPr>
          <w:sz w:val="24"/>
          <w:szCs w:val="24"/>
        </w:rPr>
        <w:t xml:space="preserve">A business’ stakeholders can include shareholders, employees, suppliers, customers, communities, governments, and the general public. There is no </w:t>
      </w:r>
      <w:r w:rsidR="004935D3">
        <w:rPr>
          <w:sz w:val="24"/>
          <w:szCs w:val="24"/>
        </w:rPr>
        <w:t>consensus</w:t>
      </w:r>
      <w:r w:rsidR="009E1CAC">
        <w:rPr>
          <w:sz w:val="24"/>
          <w:szCs w:val="24"/>
        </w:rPr>
        <w:t xml:space="preserve"> </w:t>
      </w:r>
      <w:r w:rsidR="009E1CAC">
        <w:rPr>
          <w:sz w:val="24"/>
          <w:szCs w:val="24"/>
        </w:rPr>
        <w:lastRenderedPageBreak/>
        <w:t xml:space="preserve">as to what stakeholders’ interests count and to what extent. </w:t>
      </w:r>
      <w:r>
        <w:rPr>
          <w:sz w:val="24"/>
          <w:szCs w:val="24"/>
        </w:rPr>
        <w:t xml:space="preserve">Although, the standardization of sustainability reporting such as SASB, ISSB and ESRS could help each business identify material ESG factors specific to its industry, </w:t>
      </w:r>
      <w:r w:rsidRPr="001A32A6">
        <w:rPr>
          <w:color w:val="385623" w:themeColor="accent6" w:themeShade="80"/>
          <w:sz w:val="24"/>
          <w:szCs w:val="24"/>
        </w:rPr>
        <w:t>each business still need</w:t>
      </w:r>
      <w:r w:rsidR="00F9217F" w:rsidRPr="001A32A6">
        <w:rPr>
          <w:color w:val="385623" w:themeColor="accent6" w:themeShade="80"/>
          <w:sz w:val="24"/>
          <w:szCs w:val="24"/>
        </w:rPr>
        <w:t>s</w:t>
      </w:r>
      <w:r w:rsidRPr="001A32A6">
        <w:rPr>
          <w:color w:val="385623" w:themeColor="accent6" w:themeShade="80"/>
          <w:sz w:val="24"/>
          <w:szCs w:val="24"/>
        </w:rPr>
        <w:t xml:space="preserve"> to build up a common understanding among its various shareholders and stakeholders</w:t>
      </w:r>
      <w:r w:rsidR="00163158" w:rsidRPr="001A32A6">
        <w:rPr>
          <w:color w:val="385623" w:themeColor="accent6" w:themeShade="80"/>
          <w:sz w:val="24"/>
          <w:szCs w:val="24"/>
        </w:rPr>
        <w:t xml:space="preserve"> about </w:t>
      </w:r>
      <w:r w:rsidR="00080FEC" w:rsidRPr="001A32A6">
        <w:rPr>
          <w:color w:val="385623" w:themeColor="accent6" w:themeShade="80"/>
          <w:sz w:val="24"/>
          <w:szCs w:val="24"/>
        </w:rPr>
        <w:t xml:space="preserve">specific </w:t>
      </w:r>
      <w:r w:rsidR="00163158" w:rsidRPr="001A32A6">
        <w:rPr>
          <w:color w:val="385623" w:themeColor="accent6" w:themeShade="80"/>
          <w:sz w:val="24"/>
          <w:szCs w:val="24"/>
        </w:rPr>
        <w:t xml:space="preserve">ESG factors </w:t>
      </w:r>
      <w:r w:rsidR="00080FEC">
        <w:rPr>
          <w:color w:val="385623" w:themeColor="accent6" w:themeShade="80"/>
          <w:sz w:val="24"/>
          <w:szCs w:val="24"/>
        </w:rPr>
        <w:t xml:space="preserve">material </w:t>
      </w:r>
      <w:r w:rsidR="00163158" w:rsidRPr="001A32A6">
        <w:rPr>
          <w:color w:val="385623" w:themeColor="accent6" w:themeShade="80"/>
          <w:sz w:val="24"/>
          <w:szCs w:val="24"/>
        </w:rPr>
        <w:t>to its unique business</w:t>
      </w:r>
      <w:r w:rsidR="00163158">
        <w:rPr>
          <w:sz w:val="24"/>
          <w:szCs w:val="24"/>
        </w:rPr>
        <w:t>.</w:t>
      </w:r>
    </w:p>
    <w:p w14:paraId="6CB69F78" w14:textId="348A182E" w:rsidR="009E1CAC" w:rsidRDefault="00080FEC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9217F">
        <w:rPr>
          <w:sz w:val="24"/>
          <w:szCs w:val="24"/>
        </w:rPr>
        <w:t xml:space="preserve">ustainability standards </w:t>
      </w:r>
      <w:r>
        <w:rPr>
          <w:sz w:val="24"/>
          <w:szCs w:val="24"/>
        </w:rPr>
        <w:t>also</w:t>
      </w:r>
      <w:r w:rsidR="00F9217F">
        <w:rPr>
          <w:sz w:val="24"/>
          <w:szCs w:val="24"/>
        </w:rPr>
        <w:t xml:space="preserve"> differ. </w:t>
      </w:r>
      <w:r w:rsidR="001A32A6">
        <w:rPr>
          <w:sz w:val="24"/>
          <w:szCs w:val="24"/>
        </w:rPr>
        <w:t xml:space="preserve">For example, </w:t>
      </w:r>
      <w:r w:rsidR="00F9217F">
        <w:rPr>
          <w:sz w:val="24"/>
          <w:szCs w:val="24"/>
        </w:rPr>
        <w:t>SASB and ISSB</w:t>
      </w:r>
      <w:r w:rsidR="000D59DE">
        <w:rPr>
          <w:sz w:val="24"/>
          <w:szCs w:val="24"/>
        </w:rPr>
        <w:t xml:space="preserve"> standards</w:t>
      </w:r>
      <w:r w:rsidR="00F9217F">
        <w:rPr>
          <w:sz w:val="24"/>
          <w:szCs w:val="24"/>
        </w:rPr>
        <w:t xml:space="preserve"> </w:t>
      </w:r>
      <w:r w:rsidR="000D59DE">
        <w:rPr>
          <w:sz w:val="24"/>
          <w:szCs w:val="24"/>
        </w:rPr>
        <w:t>focus on financial</w:t>
      </w:r>
      <w:r w:rsidR="00FC53C5">
        <w:rPr>
          <w:sz w:val="24"/>
          <w:szCs w:val="24"/>
        </w:rPr>
        <w:t xml:space="preserve"> materiality</w:t>
      </w:r>
      <w:r w:rsidR="000D59DE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0D59DE">
        <w:rPr>
          <w:sz w:val="24"/>
          <w:szCs w:val="24"/>
        </w:rPr>
        <w:t xml:space="preserve"> information mainly </w:t>
      </w:r>
      <w:r>
        <w:rPr>
          <w:sz w:val="24"/>
          <w:szCs w:val="24"/>
        </w:rPr>
        <w:t xml:space="preserve">intended </w:t>
      </w:r>
      <w:r w:rsidR="000D59DE">
        <w:rPr>
          <w:sz w:val="24"/>
          <w:szCs w:val="24"/>
        </w:rPr>
        <w:t>for investors</w:t>
      </w:r>
      <w:r w:rsidR="00F9217F">
        <w:rPr>
          <w:sz w:val="24"/>
          <w:szCs w:val="24"/>
        </w:rPr>
        <w:t xml:space="preserve">; while ESRS and GRI </w:t>
      </w:r>
      <w:r w:rsidR="000D59DE">
        <w:rPr>
          <w:sz w:val="24"/>
          <w:szCs w:val="24"/>
        </w:rPr>
        <w:t>standards focus on both financial</w:t>
      </w:r>
      <w:r w:rsidR="00FC53C5">
        <w:rPr>
          <w:sz w:val="24"/>
          <w:szCs w:val="24"/>
        </w:rPr>
        <w:t xml:space="preserve"> materiality</w:t>
      </w:r>
      <w:r w:rsidR="000D59DE">
        <w:rPr>
          <w:sz w:val="24"/>
          <w:szCs w:val="24"/>
        </w:rPr>
        <w:t xml:space="preserve"> and impact materiality</w:t>
      </w:r>
      <w:r w:rsidR="004935D3">
        <w:rPr>
          <w:sz w:val="24"/>
          <w:szCs w:val="24"/>
        </w:rPr>
        <w:t>,</w:t>
      </w:r>
      <w:r w:rsidR="000D59DE">
        <w:rPr>
          <w:sz w:val="24"/>
          <w:szCs w:val="24"/>
        </w:rPr>
        <w:t xml:space="preserve"> and provide information intended for not only investors but also other stakeholder</w:t>
      </w:r>
      <w:r w:rsidR="004935D3">
        <w:rPr>
          <w:sz w:val="24"/>
          <w:szCs w:val="24"/>
        </w:rPr>
        <w:t>s</w:t>
      </w:r>
      <w:r w:rsidR="00F9217F">
        <w:rPr>
          <w:sz w:val="24"/>
          <w:szCs w:val="24"/>
        </w:rPr>
        <w:t xml:space="preserve">. If a business operates in multiple jurisdictions that require different </w:t>
      </w:r>
      <w:r w:rsidR="004935D3">
        <w:rPr>
          <w:sz w:val="24"/>
          <w:szCs w:val="24"/>
        </w:rPr>
        <w:t xml:space="preserve">types of </w:t>
      </w:r>
      <w:r w:rsidR="00F9217F">
        <w:rPr>
          <w:sz w:val="24"/>
          <w:szCs w:val="24"/>
        </w:rPr>
        <w:t>sustainability reporting, it will not only</w:t>
      </w:r>
      <w:r w:rsidR="00F9217F" w:rsidRPr="00F9217F">
        <w:rPr>
          <w:sz w:val="24"/>
          <w:szCs w:val="24"/>
        </w:rPr>
        <w:t xml:space="preserve"> </w:t>
      </w:r>
      <w:r w:rsidR="00F9217F">
        <w:rPr>
          <w:sz w:val="24"/>
          <w:szCs w:val="24"/>
        </w:rPr>
        <w:t xml:space="preserve">have heavier reporting burden, but also </w:t>
      </w:r>
      <w:r w:rsidR="00F9217F" w:rsidRPr="001A32A6">
        <w:rPr>
          <w:color w:val="385623" w:themeColor="accent6" w:themeShade="80"/>
          <w:sz w:val="24"/>
          <w:szCs w:val="24"/>
        </w:rPr>
        <w:t>face challenges of interoperability of different standards and consistency of reporting</w:t>
      </w:r>
      <w:r w:rsidR="00F9217F">
        <w:rPr>
          <w:sz w:val="24"/>
          <w:szCs w:val="24"/>
        </w:rPr>
        <w:t>.</w:t>
      </w:r>
    </w:p>
    <w:p w14:paraId="5A4C438B" w14:textId="09D251AD" w:rsidR="00F9217F" w:rsidRPr="00937570" w:rsidRDefault="00937570" w:rsidP="00937570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937570">
        <w:rPr>
          <w:b/>
          <w:bCs/>
          <w:sz w:val="24"/>
          <w:szCs w:val="24"/>
        </w:rPr>
        <w:t>ESG Litigation and Enforcement Actions</w:t>
      </w:r>
    </w:p>
    <w:p w14:paraId="7640BD7E" w14:textId="317524E2" w:rsidR="00937570" w:rsidRDefault="00937570" w:rsidP="00937570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C53C5">
        <w:rPr>
          <w:sz w:val="24"/>
          <w:szCs w:val="24"/>
        </w:rPr>
        <w:t>inally, f</w:t>
      </w:r>
      <w:r>
        <w:rPr>
          <w:sz w:val="24"/>
          <w:szCs w:val="24"/>
        </w:rPr>
        <w:t xml:space="preserve">alse ESG information risks accusations and liability. </w:t>
      </w:r>
      <w:r w:rsidR="009448FD" w:rsidRPr="001A32A6">
        <w:rPr>
          <w:color w:val="385623" w:themeColor="accent6" w:themeShade="80"/>
          <w:sz w:val="24"/>
          <w:szCs w:val="24"/>
        </w:rPr>
        <w:t xml:space="preserve">ESG disclosure may exert extra duties and </w:t>
      </w:r>
      <w:hyperlink r:id="rId13" w:history="1">
        <w:r w:rsidR="009448FD" w:rsidRPr="001A32A6">
          <w:rPr>
            <w:rStyle w:val="Hyperlink"/>
            <w:color w:val="385623" w:themeColor="accent6" w:themeShade="80"/>
            <w:sz w:val="24"/>
            <w:szCs w:val="24"/>
          </w:rPr>
          <w:t>risks</w:t>
        </w:r>
      </w:hyperlink>
      <w:r w:rsidR="009448FD" w:rsidRPr="001A32A6">
        <w:rPr>
          <w:color w:val="385623" w:themeColor="accent6" w:themeShade="80"/>
          <w:sz w:val="24"/>
          <w:szCs w:val="24"/>
        </w:rPr>
        <w:t xml:space="preserve"> to businesses</w:t>
      </w:r>
      <w:r w:rsidR="009448FD">
        <w:rPr>
          <w:sz w:val="24"/>
          <w:szCs w:val="24"/>
        </w:rPr>
        <w:t xml:space="preserve">, because inaccurate disclosure may result in “greenwashing” </w:t>
      </w:r>
      <w:hyperlink r:id="rId14" w:history="1">
        <w:r w:rsidR="009448FD" w:rsidRPr="007D0D8F">
          <w:rPr>
            <w:rStyle w:val="Hyperlink"/>
            <w:sz w:val="24"/>
            <w:szCs w:val="24"/>
          </w:rPr>
          <w:t>enforcement actions and litigation claims</w:t>
        </w:r>
      </w:hyperlink>
      <w:r w:rsidR="009448FD">
        <w:rPr>
          <w:sz w:val="24"/>
          <w:szCs w:val="24"/>
        </w:rPr>
        <w:t xml:space="preserve">. </w:t>
      </w:r>
      <w:r w:rsidR="00AB4CC9">
        <w:rPr>
          <w:sz w:val="24"/>
          <w:szCs w:val="24"/>
        </w:rPr>
        <w:t>S</w:t>
      </w:r>
      <w:r w:rsidR="009448FD">
        <w:rPr>
          <w:sz w:val="24"/>
          <w:szCs w:val="24"/>
        </w:rPr>
        <w:t xml:space="preserve">ome </w:t>
      </w:r>
      <w:r w:rsidR="006F77B9">
        <w:rPr>
          <w:sz w:val="24"/>
          <w:szCs w:val="24"/>
        </w:rPr>
        <w:t>busines</w:t>
      </w:r>
      <w:r w:rsidR="009448FD">
        <w:rPr>
          <w:sz w:val="24"/>
          <w:szCs w:val="24"/>
        </w:rPr>
        <w:t>s</w:t>
      </w:r>
      <w:r w:rsidR="006F77B9">
        <w:rPr>
          <w:sz w:val="24"/>
          <w:szCs w:val="24"/>
        </w:rPr>
        <w:t>es</w:t>
      </w:r>
      <w:r w:rsidR="009448FD">
        <w:rPr>
          <w:sz w:val="24"/>
          <w:szCs w:val="24"/>
        </w:rPr>
        <w:t xml:space="preserve"> </w:t>
      </w:r>
      <w:r w:rsidR="00AB4CC9">
        <w:rPr>
          <w:sz w:val="24"/>
          <w:szCs w:val="24"/>
        </w:rPr>
        <w:t>took</w:t>
      </w:r>
      <w:r w:rsidR="009448FD">
        <w:rPr>
          <w:sz w:val="24"/>
          <w:szCs w:val="24"/>
        </w:rPr>
        <w:t xml:space="preserve"> a “green hushing” approach </w:t>
      </w:r>
      <w:r w:rsidR="00512345">
        <w:rPr>
          <w:sz w:val="24"/>
          <w:szCs w:val="24"/>
        </w:rPr>
        <w:t>but thereafter faced claims from activists</w:t>
      </w:r>
      <w:r w:rsidR="009448FD">
        <w:rPr>
          <w:sz w:val="24"/>
          <w:szCs w:val="24"/>
        </w:rPr>
        <w:t>.</w:t>
      </w:r>
    </w:p>
    <w:p w14:paraId="2AEC850C" w14:textId="4DBDF56B" w:rsidR="009448FD" w:rsidRPr="00937570" w:rsidRDefault="009448FD" w:rsidP="009375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addition, </w:t>
      </w:r>
      <w:r w:rsidR="00FC53C5">
        <w:rPr>
          <w:sz w:val="24"/>
          <w:szCs w:val="24"/>
        </w:rPr>
        <w:t xml:space="preserve">since </w:t>
      </w:r>
      <w:r w:rsidRPr="001809FE">
        <w:rPr>
          <w:sz w:val="24"/>
          <w:szCs w:val="24"/>
        </w:rPr>
        <w:t>investors increasingly use ESG disclosures</w:t>
      </w:r>
      <w:r w:rsidR="00AB4CC9">
        <w:rPr>
          <w:sz w:val="24"/>
          <w:szCs w:val="24"/>
        </w:rPr>
        <w:t>/concerns</w:t>
      </w:r>
      <w:r w:rsidRPr="001809FE">
        <w:rPr>
          <w:sz w:val="24"/>
          <w:szCs w:val="24"/>
        </w:rPr>
        <w:t xml:space="preserve"> in evaluating their investment decisions</w:t>
      </w:r>
      <w:r>
        <w:rPr>
          <w:sz w:val="24"/>
          <w:szCs w:val="24"/>
        </w:rPr>
        <w:t xml:space="preserve">, </w:t>
      </w:r>
      <w:hyperlink r:id="rId15" w:history="1">
        <w:r w:rsidRPr="009448FD">
          <w:rPr>
            <w:rStyle w:val="Hyperlink"/>
            <w:sz w:val="24"/>
            <w:szCs w:val="24"/>
          </w:rPr>
          <w:t>ESG-related litigations</w:t>
        </w:r>
      </w:hyperlink>
      <w:r>
        <w:rPr>
          <w:sz w:val="24"/>
          <w:szCs w:val="24"/>
        </w:rPr>
        <w:t xml:space="preserve"> and </w:t>
      </w:r>
      <w:hyperlink r:id="rId16" w:history="1">
        <w:r w:rsidRPr="009448FD">
          <w:rPr>
            <w:rStyle w:val="Hyperlink"/>
            <w:sz w:val="24"/>
            <w:szCs w:val="24"/>
          </w:rPr>
          <w:t>activism initiatives</w:t>
        </w:r>
      </w:hyperlink>
      <w:r>
        <w:rPr>
          <w:sz w:val="24"/>
          <w:szCs w:val="24"/>
        </w:rPr>
        <w:t xml:space="preserve"> have increased in recent years</w:t>
      </w:r>
      <w:r w:rsidR="00FC53C5">
        <w:rPr>
          <w:sz w:val="24"/>
          <w:szCs w:val="24"/>
        </w:rPr>
        <w:t>, which challenges businesses’ existing business models and marketing endeavors.</w:t>
      </w:r>
    </w:p>
    <w:p w14:paraId="1235907B" w14:textId="52EC1917" w:rsidR="00AF5245" w:rsidRPr="00AF5245" w:rsidRDefault="00AF5245" w:rsidP="00AF524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7E0353">
        <w:rPr>
          <w:b/>
          <w:bCs/>
          <w:sz w:val="24"/>
          <w:szCs w:val="24"/>
        </w:rPr>
        <w:t>Constraints for</w:t>
      </w:r>
      <w:r>
        <w:rPr>
          <w:b/>
          <w:bCs/>
          <w:sz w:val="24"/>
          <w:szCs w:val="24"/>
        </w:rPr>
        <w:t xml:space="preserve"> Investors</w:t>
      </w:r>
    </w:p>
    <w:p w14:paraId="5760EC2F" w14:textId="333840D2" w:rsidR="000E4C21" w:rsidRDefault="00124E55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For investors, ESG approaches challenge understanding of their fiduciary duty owed to beneficial owners</w:t>
      </w:r>
      <w:r w:rsidR="001B28B2">
        <w:rPr>
          <w:sz w:val="24"/>
          <w:szCs w:val="24"/>
        </w:rPr>
        <w:t xml:space="preserve"> of assets in their portfolio</w:t>
      </w:r>
      <w:r w:rsidR="00A21282">
        <w:rPr>
          <w:sz w:val="24"/>
          <w:szCs w:val="24"/>
        </w:rPr>
        <w:t>s</w:t>
      </w:r>
      <w:r>
        <w:rPr>
          <w:sz w:val="24"/>
          <w:szCs w:val="24"/>
        </w:rPr>
        <w:t xml:space="preserve">, especially for institutional investors that invest for long term. In addition, </w:t>
      </w:r>
      <w:r w:rsidR="00B15D83">
        <w:rPr>
          <w:sz w:val="24"/>
          <w:szCs w:val="24"/>
        </w:rPr>
        <w:t>ESG concerns impact their interactions with other investors. Their ESG endeavors may face political pressure and legal constraints. Also, ESG imposes extra compliance and reporting burden</w:t>
      </w:r>
      <w:r w:rsidR="00A21282">
        <w:rPr>
          <w:sz w:val="24"/>
          <w:szCs w:val="24"/>
        </w:rPr>
        <w:t>s</w:t>
      </w:r>
      <w:r w:rsidR="00B15D83">
        <w:rPr>
          <w:sz w:val="24"/>
          <w:szCs w:val="24"/>
        </w:rPr>
        <w:t xml:space="preserve"> on investors.</w:t>
      </w:r>
    </w:p>
    <w:p w14:paraId="02F700EC" w14:textId="06358B02" w:rsidR="00AF5245" w:rsidRPr="00AF5245" w:rsidRDefault="00AF5245" w:rsidP="00AF5245">
      <w:pPr>
        <w:pStyle w:val="ListParagraph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AF5245">
        <w:rPr>
          <w:b/>
          <w:bCs/>
          <w:sz w:val="24"/>
          <w:szCs w:val="24"/>
        </w:rPr>
        <w:t>Long Term Investments</w:t>
      </w:r>
    </w:p>
    <w:p w14:paraId="4A9BD1D6" w14:textId="7E40A256" w:rsidR="00AF5245" w:rsidRDefault="00C53DD3" w:rsidP="00C53DD3">
      <w:pPr>
        <w:jc w:val="both"/>
        <w:rPr>
          <w:sz w:val="24"/>
          <w:szCs w:val="24"/>
        </w:rPr>
      </w:pPr>
      <w:r w:rsidRPr="003C09F1">
        <w:rPr>
          <w:color w:val="385623" w:themeColor="accent6" w:themeShade="80"/>
          <w:sz w:val="24"/>
          <w:szCs w:val="24"/>
        </w:rPr>
        <w:t xml:space="preserve">Some investors still question whether their fiduciary duty </w:t>
      </w:r>
      <w:r w:rsidR="000B5183">
        <w:rPr>
          <w:color w:val="385623" w:themeColor="accent6" w:themeShade="80"/>
          <w:sz w:val="24"/>
          <w:szCs w:val="24"/>
        </w:rPr>
        <w:t>requires/</w:t>
      </w:r>
      <w:r w:rsidRPr="003C09F1">
        <w:rPr>
          <w:color w:val="385623" w:themeColor="accent6" w:themeShade="80"/>
          <w:sz w:val="24"/>
          <w:szCs w:val="24"/>
        </w:rPr>
        <w:t>allows them to implement ESG investing</w:t>
      </w:r>
      <w:r w:rsidRPr="00C53DD3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C53DD3">
        <w:rPr>
          <w:sz w:val="24"/>
          <w:szCs w:val="24"/>
        </w:rPr>
        <w:t xml:space="preserve">he </w:t>
      </w:r>
      <w:r w:rsidR="00FF3183">
        <w:rPr>
          <w:sz w:val="24"/>
          <w:szCs w:val="24"/>
        </w:rPr>
        <w:t>2005</w:t>
      </w:r>
      <w:r w:rsidRPr="00C53DD3">
        <w:rPr>
          <w:sz w:val="24"/>
          <w:szCs w:val="24"/>
        </w:rPr>
        <w:t xml:space="preserve"> UNEP FI</w:t>
      </w:r>
      <w:r w:rsidR="00FF3183">
        <w:rPr>
          <w:sz w:val="24"/>
          <w:szCs w:val="24"/>
        </w:rPr>
        <w:t xml:space="preserve"> report</w:t>
      </w:r>
      <w:r w:rsidR="00490966">
        <w:rPr>
          <w:rStyle w:val="FootnoteReference"/>
          <w:sz w:val="24"/>
          <w:szCs w:val="24"/>
        </w:rPr>
        <w:footnoteReference w:id="5"/>
      </w:r>
      <w:r>
        <w:rPr>
          <w:sz w:val="24"/>
          <w:szCs w:val="24"/>
        </w:rPr>
        <w:t xml:space="preserve"> </w:t>
      </w:r>
      <w:r w:rsidRPr="00C53DD3">
        <w:rPr>
          <w:sz w:val="24"/>
          <w:szCs w:val="24"/>
        </w:rPr>
        <w:t xml:space="preserve">showed that ESG issues are relevant for financial valuation and thus, </w:t>
      </w:r>
      <w:r w:rsidR="00FF3183">
        <w:rPr>
          <w:sz w:val="24"/>
          <w:szCs w:val="24"/>
        </w:rPr>
        <w:t xml:space="preserve">failing to consider ESG-related long-term value drivers is a failure of </w:t>
      </w:r>
      <w:r w:rsidRPr="00C53DD3">
        <w:rPr>
          <w:sz w:val="24"/>
          <w:szCs w:val="24"/>
        </w:rPr>
        <w:t>fiduciary</w:t>
      </w:r>
      <w:r>
        <w:rPr>
          <w:sz w:val="24"/>
          <w:szCs w:val="24"/>
        </w:rPr>
        <w:t xml:space="preserve"> </w:t>
      </w:r>
      <w:r w:rsidRPr="00C53DD3">
        <w:rPr>
          <w:sz w:val="24"/>
          <w:szCs w:val="24"/>
        </w:rPr>
        <w:t>duty</w:t>
      </w:r>
      <w:r>
        <w:rPr>
          <w:sz w:val="24"/>
          <w:szCs w:val="24"/>
        </w:rPr>
        <w:t>.</w:t>
      </w:r>
      <w:r w:rsidR="005E2F9D">
        <w:rPr>
          <w:sz w:val="24"/>
          <w:szCs w:val="24"/>
        </w:rPr>
        <w:t xml:space="preserve"> This is especially true for institutional investors that invest for long term, because their investment model</w:t>
      </w:r>
      <w:r w:rsidR="00AB4CC9">
        <w:rPr>
          <w:sz w:val="24"/>
          <w:szCs w:val="24"/>
        </w:rPr>
        <w:t>s</w:t>
      </w:r>
      <w:r w:rsidR="005E2F9D">
        <w:rPr>
          <w:sz w:val="24"/>
          <w:szCs w:val="24"/>
        </w:rPr>
        <w:t xml:space="preserve"> and </w:t>
      </w:r>
      <w:r w:rsidR="00AB4CC9">
        <w:rPr>
          <w:sz w:val="24"/>
          <w:szCs w:val="24"/>
        </w:rPr>
        <w:t>projections</w:t>
      </w:r>
      <w:r w:rsidR="005E2F9D">
        <w:rPr>
          <w:sz w:val="24"/>
          <w:szCs w:val="24"/>
        </w:rPr>
        <w:t xml:space="preserve"> need to factor in an investee’s long</w:t>
      </w:r>
      <w:r w:rsidR="00633493">
        <w:rPr>
          <w:sz w:val="24"/>
          <w:szCs w:val="24"/>
        </w:rPr>
        <w:t>-</w:t>
      </w:r>
      <w:r w:rsidR="005E2F9D">
        <w:rPr>
          <w:sz w:val="24"/>
          <w:szCs w:val="24"/>
        </w:rPr>
        <w:t>term sustainability.</w:t>
      </w:r>
      <w:r w:rsidR="00633493">
        <w:rPr>
          <w:sz w:val="24"/>
          <w:szCs w:val="24"/>
        </w:rPr>
        <w:t xml:space="preserve"> </w:t>
      </w:r>
      <w:r w:rsidR="000B5183">
        <w:rPr>
          <w:sz w:val="24"/>
          <w:szCs w:val="24"/>
        </w:rPr>
        <w:t xml:space="preserve">Also, megatrends such as energy transition </w:t>
      </w:r>
      <w:r w:rsidR="00AB4CC9">
        <w:rPr>
          <w:sz w:val="24"/>
          <w:szCs w:val="24"/>
        </w:rPr>
        <w:t xml:space="preserve">and human capital protection </w:t>
      </w:r>
      <w:r w:rsidR="000B5183">
        <w:rPr>
          <w:sz w:val="24"/>
          <w:szCs w:val="24"/>
        </w:rPr>
        <w:t xml:space="preserve">may impact investors’ invested capital in the long run if they are not properly planned for in advance. </w:t>
      </w:r>
      <w:r w:rsidR="00145AEF">
        <w:rPr>
          <w:sz w:val="24"/>
          <w:szCs w:val="24"/>
        </w:rPr>
        <w:t>However,</w:t>
      </w:r>
      <w:r w:rsidR="00145AEF" w:rsidRPr="00145AEF">
        <w:rPr>
          <w:sz w:val="24"/>
          <w:szCs w:val="24"/>
        </w:rPr>
        <w:t xml:space="preserve"> directors and managers</w:t>
      </w:r>
      <w:r w:rsidR="00145AEF">
        <w:rPr>
          <w:sz w:val="24"/>
          <w:szCs w:val="24"/>
        </w:rPr>
        <w:t xml:space="preserve"> of </w:t>
      </w:r>
      <w:r w:rsidR="00145AEF">
        <w:rPr>
          <w:sz w:val="24"/>
          <w:szCs w:val="24"/>
        </w:rPr>
        <w:lastRenderedPageBreak/>
        <w:t>investee</w:t>
      </w:r>
      <w:r w:rsidR="003C09F1">
        <w:rPr>
          <w:sz w:val="24"/>
          <w:szCs w:val="24"/>
        </w:rPr>
        <w:t xml:space="preserve"> companie</w:t>
      </w:r>
      <w:r w:rsidR="00145AEF">
        <w:rPr>
          <w:sz w:val="24"/>
          <w:szCs w:val="24"/>
        </w:rPr>
        <w:t>s do not always consider long term</w:t>
      </w:r>
      <w:r w:rsidR="000B5183">
        <w:rPr>
          <w:sz w:val="24"/>
          <w:szCs w:val="24"/>
        </w:rPr>
        <w:t>,</w:t>
      </w:r>
      <w:r w:rsidR="00145AEF">
        <w:rPr>
          <w:sz w:val="24"/>
          <w:szCs w:val="24"/>
        </w:rPr>
        <w:t xml:space="preserve"> and </w:t>
      </w:r>
      <w:r w:rsidR="00145AEF" w:rsidRPr="00145AEF">
        <w:rPr>
          <w:sz w:val="24"/>
          <w:szCs w:val="24"/>
        </w:rPr>
        <w:t xml:space="preserve">their interests </w:t>
      </w:r>
      <w:r w:rsidR="00E424E8">
        <w:rPr>
          <w:sz w:val="24"/>
          <w:szCs w:val="24"/>
        </w:rPr>
        <w:t xml:space="preserve">may diverge </w:t>
      </w:r>
      <w:r w:rsidR="00145AEF" w:rsidRPr="00145AEF">
        <w:rPr>
          <w:sz w:val="24"/>
          <w:szCs w:val="24"/>
        </w:rPr>
        <w:t>from shareholders’ interests</w:t>
      </w:r>
      <w:r w:rsidR="00145AEF">
        <w:rPr>
          <w:sz w:val="24"/>
          <w:szCs w:val="24"/>
        </w:rPr>
        <w:t>.</w:t>
      </w:r>
      <w:r w:rsidR="00145AEF" w:rsidRPr="00145AEF">
        <w:rPr>
          <w:sz w:val="24"/>
          <w:szCs w:val="24"/>
        </w:rPr>
        <w:t xml:space="preserve"> </w:t>
      </w:r>
    </w:p>
    <w:p w14:paraId="7B794869" w14:textId="25A6BF4C" w:rsidR="00AF5245" w:rsidRPr="00AF5245" w:rsidRDefault="00AF5245" w:rsidP="00AF5245">
      <w:pPr>
        <w:pStyle w:val="ListParagraph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AF5245">
        <w:rPr>
          <w:b/>
          <w:bCs/>
          <w:sz w:val="24"/>
          <w:szCs w:val="24"/>
        </w:rPr>
        <w:t>Your “ESG” is Not My “ESG”</w:t>
      </w:r>
    </w:p>
    <w:p w14:paraId="6B726BE9" w14:textId="1900985E" w:rsidR="00AF5245" w:rsidRDefault="0006423C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discussed above, </w:t>
      </w:r>
      <w:r w:rsidR="00490966">
        <w:rPr>
          <w:sz w:val="24"/>
          <w:szCs w:val="24"/>
        </w:rPr>
        <w:t>a</w:t>
      </w:r>
      <w:r w:rsidR="00145AEF">
        <w:rPr>
          <w:sz w:val="24"/>
          <w:szCs w:val="24"/>
        </w:rPr>
        <w:t>n investe</w:t>
      </w:r>
      <w:r w:rsidR="00486720">
        <w:rPr>
          <w:sz w:val="24"/>
          <w:szCs w:val="24"/>
        </w:rPr>
        <w:t>e</w:t>
      </w:r>
      <w:r w:rsidR="00145AEF">
        <w:rPr>
          <w:sz w:val="24"/>
          <w:szCs w:val="24"/>
        </w:rPr>
        <w:t xml:space="preserve"> company may have different types of investors. For example, controlling shareholders vs. minority shareholders; active investors vs. passive investors; </w:t>
      </w:r>
      <w:r w:rsidR="009C7397">
        <w:rPr>
          <w:sz w:val="24"/>
          <w:szCs w:val="24"/>
        </w:rPr>
        <w:t xml:space="preserve">investors with long-term strategies vs. short-term strategies. </w:t>
      </w:r>
      <w:r w:rsidR="003C09F1" w:rsidRPr="003C09F1">
        <w:rPr>
          <w:color w:val="385623" w:themeColor="accent6" w:themeShade="80"/>
          <w:sz w:val="24"/>
          <w:szCs w:val="24"/>
        </w:rPr>
        <w:t>Investors</w:t>
      </w:r>
      <w:r w:rsidR="009C7397" w:rsidRPr="003C09F1">
        <w:rPr>
          <w:color w:val="385623" w:themeColor="accent6" w:themeShade="80"/>
          <w:sz w:val="24"/>
          <w:szCs w:val="24"/>
        </w:rPr>
        <w:t xml:space="preserve"> may have divergent ESG </w:t>
      </w:r>
      <w:r w:rsidR="00724943" w:rsidRPr="003C09F1">
        <w:rPr>
          <w:color w:val="385623" w:themeColor="accent6" w:themeShade="80"/>
          <w:sz w:val="24"/>
          <w:szCs w:val="24"/>
        </w:rPr>
        <w:t xml:space="preserve">interpretations, </w:t>
      </w:r>
      <w:r w:rsidR="009C7397" w:rsidRPr="003C09F1">
        <w:rPr>
          <w:color w:val="385623" w:themeColor="accent6" w:themeShade="80"/>
          <w:sz w:val="24"/>
          <w:szCs w:val="24"/>
        </w:rPr>
        <w:t>focuses and priorities</w:t>
      </w:r>
      <w:r w:rsidR="009C7397">
        <w:rPr>
          <w:sz w:val="24"/>
          <w:szCs w:val="24"/>
        </w:rPr>
        <w:t>.</w:t>
      </w:r>
      <w:r w:rsidR="004672D4">
        <w:rPr>
          <w:sz w:val="24"/>
          <w:szCs w:val="24"/>
        </w:rPr>
        <w:t xml:space="preserve"> </w:t>
      </w:r>
      <w:r w:rsidR="00505468">
        <w:rPr>
          <w:sz w:val="24"/>
          <w:szCs w:val="24"/>
        </w:rPr>
        <w:t xml:space="preserve">For example, </w:t>
      </w:r>
      <w:r w:rsidR="00F40BCA">
        <w:rPr>
          <w:sz w:val="24"/>
          <w:szCs w:val="24"/>
        </w:rPr>
        <w:t>pension and endowment investors of a fossil fuel company may worry about the company’s long-term prospect</w:t>
      </w:r>
      <w:r w:rsidR="00F41B49">
        <w:rPr>
          <w:sz w:val="24"/>
          <w:szCs w:val="24"/>
        </w:rPr>
        <w:t>s</w:t>
      </w:r>
      <w:r w:rsidR="00F40BCA">
        <w:rPr>
          <w:sz w:val="24"/>
          <w:szCs w:val="24"/>
        </w:rPr>
        <w:t xml:space="preserve"> due to climate change and may therefore push for the company’s energy transition; however, investors that </w:t>
      </w:r>
      <w:r w:rsidR="00E81BDC">
        <w:rPr>
          <w:sz w:val="24"/>
          <w:szCs w:val="24"/>
        </w:rPr>
        <w:t>invest for short term may be attracted by the fossil fuel company’s current lucrative profits an</w:t>
      </w:r>
      <w:r w:rsidR="00F41B49">
        <w:rPr>
          <w:sz w:val="24"/>
          <w:szCs w:val="24"/>
        </w:rPr>
        <w:t>d/or</w:t>
      </w:r>
      <w:r w:rsidR="00906260">
        <w:rPr>
          <w:sz w:val="24"/>
          <w:szCs w:val="24"/>
        </w:rPr>
        <w:t xml:space="preserve"> </w:t>
      </w:r>
      <w:r w:rsidR="00C54650">
        <w:rPr>
          <w:sz w:val="24"/>
          <w:szCs w:val="24"/>
        </w:rPr>
        <w:t xml:space="preserve">other </w:t>
      </w:r>
      <w:r w:rsidR="00906260">
        <w:rPr>
          <w:sz w:val="24"/>
          <w:szCs w:val="24"/>
        </w:rPr>
        <w:t>“E</w:t>
      </w:r>
      <w:r w:rsidR="00F75A5D">
        <w:rPr>
          <w:sz w:val="24"/>
          <w:szCs w:val="24"/>
        </w:rPr>
        <w:t>,</w:t>
      </w:r>
      <w:r w:rsidR="00906260">
        <w:rPr>
          <w:sz w:val="24"/>
          <w:szCs w:val="24"/>
        </w:rPr>
        <w:t>” “S</w:t>
      </w:r>
      <w:r w:rsidR="00F75A5D">
        <w:rPr>
          <w:sz w:val="24"/>
          <w:szCs w:val="24"/>
        </w:rPr>
        <w:t>,</w:t>
      </w:r>
      <w:r w:rsidR="00906260">
        <w:rPr>
          <w:sz w:val="24"/>
          <w:szCs w:val="24"/>
        </w:rPr>
        <w:t>” or “G” strengt</w:t>
      </w:r>
      <w:r w:rsidR="00C54650">
        <w:rPr>
          <w:sz w:val="24"/>
          <w:szCs w:val="24"/>
        </w:rPr>
        <w:t>hs</w:t>
      </w:r>
      <w:r w:rsidR="00E81BDC">
        <w:rPr>
          <w:sz w:val="24"/>
          <w:szCs w:val="24"/>
        </w:rPr>
        <w:t>.</w:t>
      </w:r>
    </w:p>
    <w:p w14:paraId="15443FD9" w14:textId="2E3818F7" w:rsidR="00AF5245" w:rsidRPr="00AE75D0" w:rsidRDefault="00AE75D0" w:rsidP="00AE75D0">
      <w:pPr>
        <w:pStyle w:val="ListParagraph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AE75D0">
        <w:rPr>
          <w:b/>
          <w:bCs/>
          <w:sz w:val="24"/>
          <w:szCs w:val="24"/>
        </w:rPr>
        <w:t>Legal Constraints</w:t>
      </w:r>
      <w:r w:rsidR="00971B8A">
        <w:rPr>
          <w:b/>
          <w:bCs/>
          <w:sz w:val="24"/>
          <w:szCs w:val="24"/>
        </w:rPr>
        <w:t xml:space="preserve"> and </w:t>
      </w:r>
      <w:r w:rsidR="00971B8A" w:rsidRPr="00AE75D0">
        <w:rPr>
          <w:b/>
          <w:bCs/>
          <w:sz w:val="24"/>
          <w:szCs w:val="24"/>
        </w:rPr>
        <w:t>Political Pressure</w:t>
      </w:r>
    </w:p>
    <w:p w14:paraId="1FE6F836" w14:textId="7FBB2D05" w:rsidR="00CA37AA" w:rsidRDefault="003C09F1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Many institutional investors</w:t>
      </w:r>
      <w:r w:rsidR="00CA37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CA37AA">
        <w:rPr>
          <w:sz w:val="24"/>
          <w:szCs w:val="24"/>
        </w:rPr>
        <w:t>signatories of UNPRI</w:t>
      </w:r>
      <w:r w:rsidR="00621269">
        <w:rPr>
          <w:sz w:val="24"/>
          <w:szCs w:val="24"/>
        </w:rPr>
        <w:t xml:space="preserve">, which obligates them to invest responsibly under </w:t>
      </w:r>
      <w:hyperlink r:id="rId17" w:history="1">
        <w:r w:rsidR="00621269" w:rsidRPr="00621269">
          <w:rPr>
            <w:rStyle w:val="Hyperlink"/>
            <w:sz w:val="24"/>
            <w:szCs w:val="24"/>
          </w:rPr>
          <w:t>six principles</w:t>
        </w:r>
      </w:hyperlink>
      <w:r w:rsidR="0062359F">
        <w:rPr>
          <w:sz w:val="24"/>
          <w:szCs w:val="24"/>
        </w:rPr>
        <w:t>. Also,</w:t>
      </w:r>
      <w:r w:rsidR="00CA37AA">
        <w:rPr>
          <w:sz w:val="24"/>
          <w:szCs w:val="24"/>
        </w:rPr>
        <w:t xml:space="preserve"> out of their fiduciary duty to </w:t>
      </w:r>
      <w:r w:rsidR="003C11AF">
        <w:rPr>
          <w:sz w:val="24"/>
          <w:szCs w:val="24"/>
        </w:rPr>
        <w:t xml:space="preserve">their </w:t>
      </w:r>
      <w:r w:rsidR="00CA37AA">
        <w:rPr>
          <w:sz w:val="24"/>
          <w:szCs w:val="24"/>
        </w:rPr>
        <w:t xml:space="preserve">beneficial owners, </w:t>
      </w:r>
      <w:r w:rsidR="0062359F">
        <w:rPr>
          <w:sz w:val="24"/>
          <w:szCs w:val="24"/>
        </w:rPr>
        <w:t xml:space="preserve">they </w:t>
      </w:r>
      <w:r w:rsidR="00CA37AA">
        <w:rPr>
          <w:sz w:val="24"/>
          <w:szCs w:val="24"/>
        </w:rPr>
        <w:t xml:space="preserve">have developed different levels of ESG engagement and stewardship during the lifetime of their investee companies. </w:t>
      </w:r>
      <w:r w:rsidR="00971B8A">
        <w:rPr>
          <w:sz w:val="24"/>
          <w:szCs w:val="24"/>
        </w:rPr>
        <w:t xml:space="preserve">However, </w:t>
      </w:r>
      <w:r w:rsidR="00971B8A" w:rsidRPr="0062359F">
        <w:rPr>
          <w:color w:val="385623" w:themeColor="accent6" w:themeShade="80"/>
          <w:sz w:val="24"/>
          <w:szCs w:val="24"/>
        </w:rPr>
        <w:t xml:space="preserve">some of </w:t>
      </w:r>
      <w:r w:rsidR="0062359F" w:rsidRPr="0062359F">
        <w:rPr>
          <w:color w:val="385623" w:themeColor="accent6" w:themeShade="80"/>
          <w:sz w:val="24"/>
          <w:szCs w:val="24"/>
        </w:rPr>
        <w:t xml:space="preserve">their ESG engagement and stewardship </w:t>
      </w:r>
      <w:r w:rsidR="00971B8A" w:rsidRPr="0062359F">
        <w:rPr>
          <w:color w:val="385623" w:themeColor="accent6" w:themeShade="80"/>
          <w:sz w:val="24"/>
          <w:szCs w:val="24"/>
        </w:rPr>
        <w:t>endeavors may face legal constraints and political pressure</w:t>
      </w:r>
      <w:r w:rsidR="00971B8A">
        <w:rPr>
          <w:sz w:val="24"/>
          <w:szCs w:val="24"/>
        </w:rPr>
        <w:t xml:space="preserve">. For example, in </w:t>
      </w:r>
      <w:r w:rsidR="00BF45F0">
        <w:rPr>
          <w:sz w:val="24"/>
          <w:szCs w:val="24"/>
        </w:rPr>
        <w:t>some</w:t>
      </w:r>
      <w:r w:rsidR="00971B8A">
        <w:rPr>
          <w:sz w:val="24"/>
          <w:szCs w:val="24"/>
        </w:rPr>
        <w:t xml:space="preserve"> jurisdictions, collective engagement may face regulatory constraints against acting in concert</w:t>
      </w:r>
      <w:r w:rsidR="00E6359C">
        <w:rPr>
          <w:sz w:val="24"/>
          <w:szCs w:val="24"/>
        </w:rPr>
        <w:t>,</w:t>
      </w:r>
      <w:r w:rsidR="00BF45F0">
        <w:rPr>
          <w:sz w:val="24"/>
          <w:szCs w:val="24"/>
        </w:rPr>
        <w:t xml:space="preserve"> </w:t>
      </w:r>
      <w:r w:rsidR="00FD1A46">
        <w:rPr>
          <w:sz w:val="24"/>
          <w:szCs w:val="24"/>
        </w:rPr>
        <w:t>if</w:t>
      </w:r>
      <w:r w:rsidR="00BF45F0">
        <w:rPr>
          <w:sz w:val="24"/>
          <w:szCs w:val="24"/>
        </w:rPr>
        <w:t xml:space="preserve"> several investors work together to use their shareholdings as a single bloc</w:t>
      </w:r>
      <w:r w:rsidR="00971B8A">
        <w:rPr>
          <w:sz w:val="24"/>
          <w:szCs w:val="24"/>
        </w:rPr>
        <w:t xml:space="preserve">. </w:t>
      </w:r>
    </w:p>
    <w:p w14:paraId="3D2DA63F" w14:textId="644E00AB" w:rsidR="00081A6D" w:rsidRDefault="00CA37AA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In the U.S., a</w:t>
      </w:r>
      <w:r w:rsidR="00E6482B">
        <w:rPr>
          <w:sz w:val="24"/>
          <w:szCs w:val="24"/>
        </w:rPr>
        <w:t>sset managers</w:t>
      </w:r>
      <w:r w:rsidR="00012D86">
        <w:rPr>
          <w:sz w:val="24"/>
          <w:szCs w:val="24"/>
        </w:rPr>
        <w:t xml:space="preserve"> </w:t>
      </w:r>
      <w:r w:rsidR="00E6482B">
        <w:rPr>
          <w:sz w:val="24"/>
          <w:szCs w:val="24"/>
        </w:rPr>
        <w:t xml:space="preserve">such as BlackRock, Vanguard and State Street are facing a dilemma. On the one hand, </w:t>
      </w:r>
      <w:r w:rsidR="00E6359C">
        <w:rPr>
          <w:sz w:val="24"/>
          <w:szCs w:val="24"/>
        </w:rPr>
        <w:t xml:space="preserve">certain </w:t>
      </w:r>
      <w:r w:rsidR="00244DA2">
        <w:rPr>
          <w:sz w:val="24"/>
          <w:szCs w:val="24"/>
        </w:rPr>
        <w:t xml:space="preserve">states </w:t>
      </w:r>
      <w:hyperlink r:id="rId18" w:history="1">
        <w:r w:rsidR="00244DA2" w:rsidRPr="00071EB6">
          <w:rPr>
            <w:rStyle w:val="Hyperlink"/>
            <w:sz w:val="24"/>
            <w:szCs w:val="24"/>
          </w:rPr>
          <w:t>tried to prevent</w:t>
        </w:r>
      </w:hyperlink>
      <w:r w:rsidR="00244DA2">
        <w:rPr>
          <w:sz w:val="24"/>
          <w:szCs w:val="24"/>
        </w:rPr>
        <w:t xml:space="preserve"> them from imposing sustainable investing practices on utilities companies</w:t>
      </w:r>
      <w:r w:rsidR="00071EB6">
        <w:rPr>
          <w:sz w:val="24"/>
          <w:szCs w:val="24"/>
        </w:rPr>
        <w:t xml:space="preserve">, and </w:t>
      </w:r>
      <w:r w:rsidR="00E6359C">
        <w:rPr>
          <w:sz w:val="24"/>
          <w:szCs w:val="24"/>
        </w:rPr>
        <w:t>certain</w:t>
      </w:r>
      <w:r w:rsidR="00071EB6">
        <w:rPr>
          <w:sz w:val="24"/>
          <w:szCs w:val="24"/>
        </w:rPr>
        <w:t xml:space="preserve"> states </w:t>
      </w:r>
      <w:hyperlink r:id="rId19" w:history="1">
        <w:r w:rsidR="00071EB6" w:rsidRPr="00071EB6">
          <w:rPr>
            <w:rStyle w:val="Hyperlink"/>
            <w:sz w:val="24"/>
            <w:szCs w:val="24"/>
          </w:rPr>
          <w:t>divested</w:t>
        </w:r>
      </w:hyperlink>
      <w:r w:rsidR="00071EB6">
        <w:rPr>
          <w:sz w:val="24"/>
          <w:szCs w:val="24"/>
        </w:rPr>
        <w:t xml:space="preserve"> from them because of their support of sustainable investing. </w:t>
      </w:r>
      <w:r w:rsidR="00244DA2">
        <w:rPr>
          <w:sz w:val="24"/>
          <w:szCs w:val="24"/>
        </w:rPr>
        <w:t>On the other hand,</w:t>
      </w:r>
      <w:r w:rsidR="00071EB6">
        <w:rPr>
          <w:sz w:val="24"/>
          <w:szCs w:val="24"/>
        </w:rPr>
        <w:t xml:space="preserve"> they </w:t>
      </w:r>
      <w:r w:rsidR="00071EB6" w:rsidRPr="00071EB6">
        <w:rPr>
          <w:sz w:val="24"/>
          <w:szCs w:val="24"/>
        </w:rPr>
        <w:t>scramble</w:t>
      </w:r>
      <w:r w:rsidR="00071EB6">
        <w:rPr>
          <w:sz w:val="24"/>
          <w:szCs w:val="24"/>
        </w:rPr>
        <w:t>d</w:t>
      </w:r>
      <w:r w:rsidR="00071EB6" w:rsidRPr="00071EB6">
        <w:rPr>
          <w:sz w:val="24"/>
          <w:szCs w:val="24"/>
        </w:rPr>
        <w:t xml:space="preserve"> to manage </w:t>
      </w:r>
      <w:hyperlink r:id="rId20" w:history="1">
        <w:r w:rsidR="00071EB6" w:rsidRPr="00071EB6">
          <w:rPr>
            <w:rStyle w:val="Hyperlink"/>
            <w:sz w:val="24"/>
            <w:szCs w:val="24"/>
          </w:rPr>
          <w:t>greenwashing risk</w:t>
        </w:r>
      </w:hyperlink>
      <w:r w:rsidR="00071EB6">
        <w:rPr>
          <w:sz w:val="24"/>
          <w:szCs w:val="24"/>
        </w:rPr>
        <w:t xml:space="preserve"> and pressure from </w:t>
      </w:r>
      <w:hyperlink r:id="rId21" w:history="1">
        <w:r w:rsidR="00071EB6" w:rsidRPr="00071EB6">
          <w:rPr>
            <w:rStyle w:val="Hyperlink"/>
            <w:sz w:val="24"/>
            <w:szCs w:val="24"/>
          </w:rPr>
          <w:t>activist investors</w:t>
        </w:r>
      </w:hyperlink>
      <w:r w:rsidR="00071EB6">
        <w:rPr>
          <w:sz w:val="24"/>
          <w:szCs w:val="24"/>
        </w:rPr>
        <w:t>.</w:t>
      </w:r>
      <w:r w:rsidR="00BF45F0">
        <w:rPr>
          <w:sz w:val="24"/>
          <w:szCs w:val="24"/>
        </w:rPr>
        <w:t xml:space="preserve"> </w:t>
      </w:r>
      <w:r w:rsidR="00562E91">
        <w:rPr>
          <w:sz w:val="24"/>
          <w:szCs w:val="24"/>
        </w:rPr>
        <w:t>To better suit different local dynamics, s</w:t>
      </w:r>
      <w:r w:rsidR="00BF45F0">
        <w:rPr>
          <w:sz w:val="24"/>
          <w:szCs w:val="24"/>
        </w:rPr>
        <w:t xml:space="preserve">ome asset managers have designed different ESG investment </w:t>
      </w:r>
      <w:r w:rsidR="00FD1A46">
        <w:rPr>
          <w:sz w:val="24"/>
          <w:szCs w:val="24"/>
        </w:rPr>
        <w:t>focuses</w:t>
      </w:r>
      <w:r w:rsidR="00BF45F0">
        <w:rPr>
          <w:sz w:val="24"/>
          <w:szCs w:val="24"/>
        </w:rPr>
        <w:t xml:space="preserve"> for different </w:t>
      </w:r>
      <w:r w:rsidR="007C56C8">
        <w:rPr>
          <w:sz w:val="24"/>
          <w:szCs w:val="24"/>
        </w:rPr>
        <w:t>localities</w:t>
      </w:r>
      <w:r w:rsidR="00BF45F0">
        <w:rPr>
          <w:sz w:val="24"/>
          <w:szCs w:val="24"/>
        </w:rPr>
        <w:t>.</w:t>
      </w:r>
    </w:p>
    <w:p w14:paraId="74CBABC8" w14:textId="5AFD02D9" w:rsidR="00AE75D0" w:rsidRPr="00AE75D0" w:rsidRDefault="00AE75D0" w:rsidP="00AE75D0">
      <w:pPr>
        <w:pStyle w:val="ListParagraph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AE75D0">
        <w:rPr>
          <w:b/>
          <w:bCs/>
          <w:sz w:val="24"/>
          <w:szCs w:val="24"/>
        </w:rPr>
        <w:t>Compliance and Reporting Burden</w:t>
      </w:r>
    </w:p>
    <w:p w14:paraId="19A0392B" w14:textId="17E98205" w:rsidR="00AF5245" w:rsidRDefault="00FF3183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investors do not have enough resources to effectively build ESG into </w:t>
      </w:r>
      <w:r w:rsidR="00562E65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investment process, which may create </w:t>
      </w:r>
      <w:r w:rsidRPr="0062359F">
        <w:rPr>
          <w:color w:val="385623" w:themeColor="accent6" w:themeShade="80"/>
          <w:sz w:val="24"/>
          <w:szCs w:val="24"/>
        </w:rPr>
        <w:t>non-compliance or “greenwashing” issues</w:t>
      </w:r>
      <w:r>
        <w:rPr>
          <w:sz w:val="24"/>
          <w:szCs w:val="24"/>
        </w:rPr>
        <w:t xml:space="preserve">. </w:t>
      </w:r>
      <w:r w:rsidR="008A2C90">
        <w:rPr>
          <w:sz w:val="24"/>
          <w:szCs w:val="24"/>
        </w:rPr>
        <w:t>In</w:t>
      </w:r>
      <w:r w:rsidR="00284BCF">
        <w:rPr>
          <w:sz w:val="24"/>
          <w:szCs w:val="24"/>
        </w:rPr>
        <w:t>stitutional in</w:t>
      </w:r>
      <w:r w:rsidR="008A2C90">
        <w:rPr>
          <w:sz w:val="24"/>
          <w:szCs w:val="24"/>
        </w:rPr>
        <w:t xml:space="preserve">vestors </w:t>
      </w:r>
      <w:r w:rsidR="00284BCF">
        <w:rPr>
          <w:sz w:val="24"/>
          <w:szCs w:val="24"/>
        </w:rPr>
        <w:t>may</w:t>
      </w:r>
      <w:r w:rsidR="008A2C90">
        <w:rPr>
          <w:sz w:val="24"/>
          <w:szCs w:val="24"/>
        </w:rPr>
        <w:t xml:space="preserve"> be burdened with </w:t>
      </w:r>
      <w:r w:rsidR="008A2C90" w:rsidRPr="0062359F">
        <w:rPr>
          <w:color w:val="385623" w:themeColor="accent6" w:themeShade="80"/>
          <w:sz w:val="24"/>
          <w:szCs w:val="24"/>
        </w:rPr>
        <w:t xml:space="preserve">ESG reporting </w:t>
      </w:r>
      <w:r>
        <w:rPr>
          <w:sz w:val="24"/>
          <w:szCs w:val="24"/>
        </w:rPr>
        <w:t>like</w:t>
      </w:r>
      <w:r w:rsidR="008A2C90">
        <w:rPr>
          <w:sz w:val="24"/>
          <w:szCs w:val="24"/>
        </w:rPr>
        <w:t xml:space="preserve"> businesses, as detailed in part I.D. above, especially for investors obligated to report in different jurisdictions. In particular, the ISSB standards require asset managers disclose specific information about its Scope 3 “financed emissions” in connection with its portfolio companies and counterparties.</w:t>
      </w:r>
    </w:p>
    <w:p w14:paraId="23F53531" w14:textId="0C4B2A14" w:rsidR="00AE75D0" w:rsidRDefault="00AE75D0" w:rsidP="00E520FA">
      <w:pPr>
        <w:jc w:val="both"/>
        <w:rPr>
          <w:b/>
          <w:bCs/>
          <w:sz w:val="24"/>
          <w:szCs w:val="24"/>
        </w:rPr>
      </w:pPr>
      <w:r w:rsidRPr="00AE75D0">
        <w:rPr>
          <w:b/>
          <w:bCs/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>Opportunities</w:t>
      </w:r>
      <w:r w:rsidRPr="0067575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 w:rsidRPr="00675759">
        <w:rPr>
          <w:b/>
          <w:bCs/>
          <w:sz w:val="24"/>
          <w:szCs w:val="24"/>
        </w:rPr>
        <w:t xml:space="preserve">resented by ESG </w:t>
      </w:r>
      <w:r>
        <w:rPr>
          <w:b/>
          <w:bCs/>
          <w:sz w:val="24"/>
          <w:szCs w:val="24"/>
        </w:rPr>
        <w:t>A</w:t>
      </w:r>
      <w:r w:rsidRPr="00675759">
        <w:rPr>
          <w:b/>
          <w:bCs/>
          <w:sz w:val="24"/>
          <w:szCs w:val="24"/>
        </w:rPr>
        <w:t>pproaches</w:t>
      </w:r>
    </w:p>
    <w:p w14:paraId="3DE972D9" w14:textId="6D522E65" w:rsidR="00AE75D0" w:rsidRPr="008D4580" w:rsidRDefault="008D4580" w:rsidP="008D4580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8D4580">
        <w:rPr>
          <w:b/>
          <w:bCs/>
          <w:sz w:val="24"/>
          <w:szCs w:val="24"/>
        </w:rPr>
        <w:t>Opportunities For Businesses</w:t>
      </w:r>
    </w:p>
    <w:p w14:paraId="32C97560" w14:textId="092DE9C4" w:rsidR="003A35A5" w:rsidRPr="003A35A5" w:rsidRDefault="003A35A5" w:rsidP="003A35A5">
      <w:pPr>
        <w:jc w:val="both"/>
        <w:rPr>
          <w:sz w:val="24"/>
          <w:szCs w:val="24"/>
        </w:rPr>
      </w:pPr>
      <w:r>
        <w:rPr>
          <w:sz w:val="24"/>
          <w:szCs w:val="24"/>
        </w:rPr>
        <w:t>ESG approaches could help business better manage sustainability related risks, identify long term opportunities, and shape sustainable strategies.</w:t>
      </w:r>
    </w:p>
    <w:p w14:paraId="6F6C8FB0" w14:textId="31F22D88" w:rsidR="008D4580" w:rsidRPr="00784B09" w:rsidRDefault="00784B09" w:rsidP="008D4580">
      <w:pPr>
        <w:pStyle w:val="ListParagraph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784B09">
        <w:rPr>
          <w:b/>
          <w:bCs/>
          <w:sz w:val="24"/>
          <w:szCs w:val="24"/>
        </w:rPr>
        <w:lastRenderedPageBreak/>
        <w:t>Risk Management</w:t>
      </w:r>
    </w:p>
    <w:p w14:paraId="22ABE69F" w14:textId="25DB12C6" w:rsidR="008D4580" w:rsidRDefault="00A665C1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ESG has become a potent </w:t>
      </w:r>
      <w:hyperlink r:id="rId22" w:history="1">
        <w:r w:rsidRPr="00A665C1">
          <w:rPr>
            <w:rStyle w:val="Hyperlink"/>
            <w:sz w:val="24"/>
            <w:szCs w:val="24"/>
          </w:rPr>
          <w:t>tool</w:t>
        </w:r>
      </w:hyperlink>
      <w:r>
        <w:rPr>
          <w:sz w:val="24"/>
          <w:szCs w:val="24"/>
        </w:rPr>
        <w:t xml:space="preserve"> to </w:t>
      </w:r>
      <w:r w:rsidRPr="004A0E72">
        <w:rPr>
          <w:color w:val="385623" w:themeColor="accent6" w:themeShade="80"/>
          <w:sz w:val="24"/>
          <w:szCs w:val="24"/>
        </w:rPr>
        <w:t>help businesses identify and manage potential and actual sustainability-related risks</w:t>
      </w:r>
      <w:r>
        <w:rPr>
          <w:sz w:val="24"/>
          <w:szCs w:val="24"/>
        </w:rPr>
        <w:t xml:space="preserve">. </w:t>
      </w:r>
      <w:r w:rsidR="00B357DD">
        <w:rPr>
          <w:sz w:val="24"/>
          <w:szCs w:val="24"/>
        </w:rPr>
        <w:t>So far</w:t>
      </w:r>
      <w:r>
        <w:rPr>
          <w:sz w:val="24"/>
          <w:szCs w:val="24"/>
        </w:rPr>
        <w:t>, n</w:t>
      </w:r>
      <w:r w:rsidRPr="009237ED">
        <w:rPr>
          <w:sz w:val="24"/>
          <w:szCs w:val="24"/>
        </w:rPr>
        <w:t xml:space="preserve">o jurisdiction in the world requires </w:t>
      </w:r>
      <w:r>
        <w:rPr>
          <w:sz w:val="24"/>
          <w:szCs w:val="24"/>
        </w:rPr>
        <w:t xml:space="preserve">businesses </w:t>
      </w:r>
      <w:r w:rsidRPr="009237ED">
        <w:rPr>
          <w:sz w:val="24"/>
          <w:szCs w:val="24"/>
        </w:rPr>
        <w:t>to disclose sustainability-related information in financial statements</w:t>
      </w:r>
      <w:r>
        <w:rPr>
          <w:sz w:val="24"/>
          <w:szCs w:val="24"/>
        </w:rPr>
        <w:t xml:space="preserve">. </w:t>
      </w:r>
      <w:r w:rsidR="0012153B">
        <w:rPr>
          <w:sz w:val="24"/>
          <w:szCs w:val="24"/>
        </w:rPr>
        <w:t xml:space="preserve">However, </w:t>
      </w:r>
      <w:r w:rsidR="009261FF">
        <w:rPr>
          <w:sz w:val="24"/>
          <w:szCs w:val="24"/>
        </w:rPr>
        <w:t>b</w:t>
      </w:r>
      <w:r>
        <w:rPr>
          <w:sz w:val="24"/>
          <w:szCs w:val="24"/>
        </w:rPr>
        <w:t xml:space="preserve">oth ISSB Standards and ESRS </w:t>
      </w:r>
      <w:r w:rsidR="00852F83">
        <w:rPr>
          <w:sz w:val="24"/>
          <w:szCs w:val="24"/>
        </w:rPr>
        <w:t xml:space="preserve">are </w:t>
      </w:r>
      <w:r>
        <w:rPr>
          <w:sz w:val="24"/>
          <w:szCs w:val="24"/>
        </w:rPr>
        <w:t>effectively internaliz</w:t>
      </w:r>
      <w:r w:rsidR="00852F83">
        <w:rPr>
          <w:sz w:val="24"/>
          <w:szCs w:val="24"/>
        </w:rPr>
        <w:t>ing</w:t>
      </w:r>
      <w:r>
        <w:rPr>
          <w:sz w:val="24"/>
          <w:szCs w:val="24"/>
        </w:rPr>
        <w:t xml:space="preserve"> a business’ externalities by factoring in ESG-related risks and opportunities into general purpose financial statements reporting. </w:t>
      </w:r>
      <w:r w:rsidR="00661EAA">
        <w:rPr>
          <w:sz w:val="24"/>
          <w:szCs w:val="24"/>
        </w:rPr>
        <w:t xml:space="preserve">This </w:t>
      </w:r>
      <w:r w:rsidR="00373229">
        <w:rPr>
          <w:sz w:val="24"/>
          <w:szCs w:val="24"/>
        </w:rPr>
        <w:t>c</w:t>
      </w:r>
      <w:r w:rsidR="00661EAA">
        <w:rPr>
          <w:sz w:val="24"/>
          <w:szCs w:val="24"/>
        </w:rPr>
        <w:t>ould help businesses better manage their long-term and sustainability related risks.</w:t>
      </w:r>
    </w:p>
    <w:p w14:paraId="21E51768" w14:textId="602E0BF6" w:rsidR="008D4580" w:rsidRPr="00784B09" w:rsidRDefault="00784B09" w:rsidP="00784B09">
      <w:pPr>
        <w:pStyle w:val="ListParagraph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784B09">
        <w:rPr>
          <w:b/>
          <w:bCs/>
          <w:sz w:val="24"/>
          <w:szCs w:val="24"/>
        </w:rPr>
        <w:t>Sustainability-Related Opportunities</w:t>
      </w:r>
    </w:p>
    <w:p w14:paraId="452256FA" w14:textId="385572A9" w:rsidR="00784B09" w:rsidRDefault="00187333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ESG approaches have created </w:t>
      </w:r>
      <w:r w:rsidR="00620C0B">
        <w:rPr>
          <w:sz w:val="24"/>
          <w:szCs w:val="24"/>
        </w:rPr>
        <w:t xml:space="preserve">various </w:t>
      </w:r>
      <w:r>
        <w:rPr>
          <w:sz w:val="24"/>
          <w:szCs w:val="24"/>
        </w:rPr>
        <w:t xml:space="preserve">opportunities for businesses. For example, </w:t>
      </w:r>
      <w:r w:rsidR="00012D86">
        <w:rPr>
          <w:sz w:val="24"/>
          <w:szCs w:val="24"/>
        </w:rPr>
        <w:t xml:space="preserve">ESG initiatives have helped some </w:t>
      </w:r>
      <w:hyperlink r:id="rId23" w:history="1">
        <w:r w:rsidR="00012D86" w:rsidRPr="00201505">
          <w:rPr>
            <w:rStyle w:val="Hyperlink"/>
            <w:sz w:val="24"/>
            <w:szCs w:val="24"/>
          </w:rPr>
          <w:t>fossil fuel companies</w:t>
        </w:r>
      </w:hyperlink>
      <w:r w:rsidR="00012D86">
        <w:rPr>
          <w:sz w:val="24"/>
          <w:szCs w:val="24"/>
        </w:rPr>
        <w:t xml:space="preserve"> transform their business models. F</w:t>
      </w:r>
      <w:r>
        <w:rPr>
          <w:sz w:val="24"/>
          <w:szCs w:val="24"/>
        </w:rPr>
        <w:t xml:space="preserve">or </w:t>
      </w:r>
      <w:r w:rsidR="003B0197">
        <w:rPr>
          <w:sz w:val="24"/>
          <w:szCs w:val="24"/>
        </w:rPr>
        <w:t>companies</w:t>
      </w:r>
      <w:r w:rsidR="00B357DD">
        <w:rPr>
          <w:sz w:val="24"/>
          <w:szCs w:val="24"/>
        </w:rPr>
        <w:t xml:space="preserve"> like </w:t>
      </w:r>
      <w:hyperlink r:id="rId24" w:history="1">
        <w:r w:rsidR="003B0197" w:rsidRPr="003B0197">
          <w:rPr>
            <w:rStyle w:val="Hyperlink"/>
            <w:sz w:val="24"/>
            <w:szCs w:val="24"/>
          </w:rPr>
          <w:t>Subaru</w:t>
        </w:r>
      </w:hyperlink>
      <w:r w:rsidR="003B0197">
        <w:rPr>
          <w:sz w:val="24"/>
          <w:szCs w:val="24"/>
        </w:rPr>
        <w:t>,</w:t>
      </w:r>
      <w:r>
        <w:rPr>
          <w:sz w:val="24"/>
          <w:szCs w:val="24"/>
        </w:rPr>
        <w:t xml:space="preserve"> their ESG initiatives enhanced their differential competitiveness and translated brand love into profits. ESG </w:t>
      </w:r>
      <w:r w:rsidRPr="00187333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also </w:t>
      </w:r>
      <w:r w:rsidRPr="00187333">
        <w:rPr>
          <w:sz w:val="24"/>
          <w:szCs w:val="24"/>
        </w:rPr>
        <w:t xml:space="preserve">aroused management’s awareness of the importance of </w:t>
      </w:r>
      <w:hyperlink r:id="rId25" w:history="1">
        <w:r w:rsidRPr="00187333">
          <w:rPr>
            <w:rStyle w:val="Hyperlink"/>
            <w:sz w:val="24"/>
            <w:szCs w:val="24"/>
          </w:rPr>
          <w:t>corporate culture</w:t>
        </w:r>
      </w:hyperlink>
      <w:r w:rsidRPr="00187333">
        <w:rPr>
          <w:sz w:val="24"/>
          <w:szCs w:val="24"/>
        </w:rPr>
        <w:t xml:space="preserve"> and governance</w:t>
      </w:r>
      <w:r w:rsidR="00620C0B">
        <w:rPr>
          <w:sz w:val="24"/>
          <w:szCs w:val="24"/>
        </w:rPr>
        <w:t>, which could raise employee loyalty and reduce corporate politics</w:t>
      </w:r>
      <w:r>
        <w:rPr>
          <w:sz w:val="24"/>
          <w:szCs w:val="24"/>
        </w:rPr>
        <w:t xml:space="preserve">. B corporation certification </w:t>
      </w:r>
      <w:r w:rsidR="00620C0B">
        <w:rPr>
          <w:sz w:val="24"/>
          <w:szCs w:val="24"/>
        </w:rPr>
        <w:t>could improve businesses’ accountability and transparency and help businesses doing well while doing good.</w:t>
      </w:r>
      <w:r w:rsidR="00201505">
        <w:rPr>
          <w:sz w:val="24"/>
          <w:szCs w:val="24"/>
        </w:rPr>
        <w:t xml:space="preserve"> Globally, ESG approaches have also created sustainability</w:t>
      </w:r>
      <w:r w:rsidR="003B0197">
        <w:rPr>
          <w:sz w:val="24"/>
          <w:szCs w:val="24"/>
        </w:rPr>
        <w:t>-</w:t>
      </w:r>
      <w:r w:rsidR="00201505">
        <w:rPr>
          <w:sz w:val="24"/>
          <w:szCs w:val="24"/>
        </w:rPr>
        <w:t xml:space="preserve">related </w:t>
      </w:r>
      <w:r w:rsidR="003B0197">
        <w:rPr>
          <w:sz w:val="24"/>
          <w:szCs w:val="24"/>
        </w:rPr>
        <w:t xml:space="preserve">new </w:t>
      </w:r>
      <w:r w:rsidR="00201505">
        <w:rPr>
          <w:sz w:val="24"/>
          <w:szCs w:val="24"/>
        </w:rPr>
        <w:t xml:space="preserve">business sectors and </w:t>
      </w:r>
      <w:r w:rsidR="003B0197">
        <w:rPr>
          <w:sz w:val="24"/>
          <w:szCs w:val="24"/>
        </w:rPr>
        <w:t xml:space="preserve">employment </w:t>
      </w:r>
      <w:r w:rsidR="00201505">
        <w:rPr>
          <w:sz w:val="24"/>
          <w:szCs w:val="24"/>
        </w:rPr>
        <w:t>opportunities for existing and future businesses.</w:t>
      </w:r>
      <w:r w:rsidR="003B0197">
        <w:rPr>
          <w:sz w:val="24"/>
          <w:szCs w:val="24"/>
        </w:rPr>
        <w:t xml:space="preserve"> Admittedly, however, challenges still exist. For example, US auto companies </w:t>
      </w:r>
      <w:r w:rsidR="006E4F66">
        <w:rPr>
          <w:sz w:val="24"/>
          <w:szCs w:val="24"/>
        </w:rPr>
        <w:t xml:space="preserve">are confronting the impact of transitioning to electronic vehicles in </w:t>
      </w:r>
      <w:hyperlink r:id="rId26" w:history="1">
        <w:r w:rsidR="006E4F66" w:rsidRPr="006E4F66">
          <w:rPr>
            <w:rStyle w:val="Hyperlink"/>
            <w:sz w:val="24"/>
            <w:szCs w:val="24"/>
          </w:rPr>
          <w:t>negotiations</w:t>
        </w:r>
      </w:hyperlink>
      <w:r w:rsidR="006E4F66">
        <w:rPr>
          <w:sz w:val="24"/>
          <w:szCs w:val="24"/>
        </w:rPr>
        <w:t xml:space="preserve"> with their workers.  </w:t>
      </w:r>
    </w:p>
    <w:p w14:paraId="6541511D" w14:textId="2BBFCDB2" w:rsidR="00784B09" w:rsidRPr="00784B09" w:rsidRDefault="00784B09" w:rsidP="00784B09">
      <w:pPr>
        <w:pStyle w:val="ListParagraph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Sustainable </w:t>
      </w:r>
      <w:r w:rsidRPr="00784B09">
        <w:rPr>
          <w:b/>
          <w:bCs/>
          <w:sz w:val="24"/>
          <w:szCs w:val="24"/>
        </w:rPr>
        <w:t>Strategies Shaping and Shifting</w:t>
      </w:r>
    </w:p>
    <w:p w14:paraId="75A6594D" w14:textId="38F1323F" w:rsidR="00784B09" w:rsidRDefault="00DD09E5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ESG approaches could help businesses shape </w:t>
      </w:r>
      <w:r w:rsidR="001074CC"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hyperlink r:id="rId27" w:history="1">
        <w:r w:rsidRPr="00B007A3">
          <w:rPr>
            <w:rStyle w:val="Hyperlink"/>
            <w:sz w:val="24"/>
            <w:szCs w:val="24"/>
          </w:rPr>
          <w:t>sustainable strategies</w:t>
        </w:r>
      </w:hyperlink>
      <w:r>
        <w:rPr>
          <w:sz w:val="24"/>
          <w:szCs w:val="24"/>
        </w:rPr>
        <w:t xml:space="preserve">. For example, </w:t>
      </w:r>
      <w:r w:rsidR="00E81180">
        <w:rPr>
          <w:sz w:val="24"/>
          <w:szCs w:val="24"/>
        </w:rPr>
        <w:t xml:space="preserve">shifting </w:t>
      </w:r>
      <w:r>
        <w:rPr>
          <w:sz w:val="24"/>
          <w:szCs w:val="24"/>
        </w:rPr>
        <w:t xml:space="preserve">from short-term profit driven to </w:t>
      </w:r>
      <w:hyperlink r:id="rId28" w:history="1">
        <w:r w:rsidRPr="00B007A3">
          <w:rPr>
            <w:rStyle w:val="Hyperlink"/>
            <w:sz w:val="24"/>
            <w:szCs w:val="24"/>
          </w:rPr>
          <w:t>long-term</w:t>
        </w:r>
      </w:hyperlink>
      <w:r w:rsidRPr="00B007A3">
        <w:rPr>
          <w:sz w:val="24"/>
          <w:szCs w:val="24"/>
        </w:rPr>
        <w:t xml:space="preserve"> sustainability</w:t>
      </w:r>
      <w:r>
        <w:rPr>
          <w:sz w:val="24"/>
          <w:szCs w:val="24"/>
        </w:rPr>
        <w:t xml:space="preserve"> </w:t>
      </w:r>
      <w:hyperlink r:id="rId29" w:history="1">
        <w:r w:rsidR="00B007A3" w:rsidRPr="00B007A3">
          <w:rPr>
            <w:rStyle w:val="Hyperlink"/>
            <w:sz w:val="24"/>
            <w:szCs w:val="24"/>
          </w:rPr>
          <w:t>foresighted</w:t>
        </w:r>
      </w:hyperlink>
      <w:r>
        <w:rPr>
          <w:sz w:val="24"/>
          <w:szCs w:val="24"/>
        </w:rPr>
        <w:t xml:space="preserve">; from individual business </w:t>
      </w:r>
      <w:r w:rsidR="001074CC">
        <w:rPr>
          <w:sz w:val="24"/>
          <w:szCs w:val="24"/>
        </w:rPr>
        <w:t>centric to systematic strategy</w:t>
      </w:r>
      <w:r w:rsidR="007F50A6">
        <w:rPr>
          <w:rStyle w:val="FootnoteReference"/>
          <w:sz w:val="24"/>
          <w:szCs w:val="24"/>
        </w:rPr>
        <w:footnoteReference w:id="6"/>
      </w:r>
      <w:r w:rsidR="001074CC">
        <w:rPr>
          <w:sz w:val="24"/>
          <w:szCs w:val="24"/>
        </w:rPr>
        <w:t>; from “win-lose” to “win-win” mindset</w:t>
      </w:r>
      <w:r w:rsidR="007F50A6">
        <w:rPr>
          <w:rStyle w:val="FootnoteReference"/>
          <w:sz w:val="24"/>
          <w:szCs w:val="24"/>
        </w:rPr>
        <w:footnoteReference w:id="7"/>
      </w:r>
      <w:r w:rsidR="001074CC">
        <w:rPr>
          <w:sz w:val="24"/>
          <w:szCs w:val="24"/>
        </w:rPr>
        <w:t xml:space="preserve">; from linear development to </w:t>
      </w:r>
      <w:hyperlink r:id="rId30" w:history="1">
        <w:r w:rsidR="001074CC" w:rsidRPr="001074CC">
          <w:rPr>
            <w:rStyle w:val="Hyperlink"/>
            <w:sz w:val="24"/>
            <w:szCs w:val="24"/>
          </w:rPr>
          <w:t>circular economy</w:t>
        </w:r>
      </w:hyperlink>
      <w:r w:rsidR="001074CC">
        <w:rPr>
          <w:sz w:val="24"/>
          <w:szCs w:val="24"/>
        </w:rPr>
        <w:t>.</w:t>
      </w:r>
      <w:r w:rsidR="00CD228C">
        <w:rPr>
          <w:sz w:val="24"/>
          <w:szCs w:val="24"/>
        </w:rPr>
        <w:t xml:space="preserve"> </w:t>
      </w:r>
      <w:r w:rsidR="00CF2E2B">
        <w:rPr>
          <w:sz w:val="24"/>
          <w:szCs w:val="24"/>
        </w:rPr>
        <w:t xml:space="preserve">Companies like </w:t>
      </w:r>
      <w:hyperlink r:id="rId31" w:history="1">
        <w:r w:rsidR="00CF2E2B" w:rsidRPr="00CF2E2B">
          <w:rPr>
            <w:rStyle w:val="Hyperlink"/>
            <w:sz w:val="24"/>
            <w:szCs w:val="24"/>
          </w:rPr>
          <w:t>Veolia</w:t>
        </w:r>
      </w:hyperlink>
      <w:r w:rsidR="00CF2E2B" w:rsidRPr="00CF2E2B">
        <w:rPr>
          <w:sz w:val="24"/>
          <w:szCs w:val="24"/>
        </w:rPr>
        <w:t xml:space="preserve"> </w:t>
      </w:r>
      <w:r w:rsidR="00CF2E2B">
        <w:rPr>
          <w:sz w:val="24"/>
          <w:szCs w:val="24"/>
        </w:rPr>
        <w:t xml:space="preserve">are providing </w:t>
      </w:r>
      <w:r w:rsidR="00CF2E2B" w:rsidRPr="00CF2E2B">
        <w:rPr>
          <w:sz w:val="24"/>
          <w:szCs w:val="24"/>
        </w:rPr>
        <w:t>game-changing solutions for ecological transformation</w:t>
      </w:r>
      <w:r w:rsidR="00CF2E2B">
        <w:rPr>
          <w:sz w:val="24"/>
          <w:szCs w:val="24"/>
        </w:rPr>
        <w:t xml:space="preserve"> by changing wastes into reusable resources in the global recycling ecosystem.</w:t>
      </w:r>
    </w:p>
    <w:p w14:paraId="26CA8CD1" w14:textId="2C0BB1B6" w:rsidR="00784B09" w:rsidRPr="001074CC" w:rsidRDefault="00784B09" w:rsidP="00784B0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8D4580">
        <w:rPr>
          <w:b/>
          <w:bCs/>
          <w:sz w:val="24"/>
          <w:szCs w:val="24"/>
        </w:rPr>
        <w:t xml:space="preserve">Opportunities For </w:t>
      </w:r>
      <w:r>
        <w:rPr>
          <w:b/>
          <w:bCs/>
          <w:sz w:val="24"/>
          <w:szCs w:val="24"/>
        </w:rPr>
        <w:t>Investors</w:t>
      </w:r>
    </w:p>
    <w:p w14:paraId="67573E1C" w14:textId="39AF0215" w:rsidR="001074CC" w:rsidRPr="001074CC" w:rsidRDefault="001074CC" w:rsidP="001074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ESG approaches could help investors </w:t>
      </w:r>
      <w:r w:rsidR="000175A6">
        <w:rPr>
          <w:sz w:val="24"/>
          <w:szCs w:val="24"/>
        </w:rPr>
        <w:t>measure investee risks and opportunities, enhance stewardship, and develop alternative investment approaches.</w:t>
      </w:r>
    </w:p>
    <w:p w14:paraId="38B91E6E" w14:textId="6A8A5425" w:rsidR="00784B09" w:rsidRPr="00784B09" w:rsidRDefault="00784B09" w:rsidP="00784B09">
      <w:pPr>
        <w:pStyle w:val="ListParagraph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784B09">
        <w:rPr>
          <w:b/>
          <w:bCs/>
          <w:sz w:val="24"/>
          <w:szCs w:val="24"/>
        </w:rPr>
        <w:t xml:space="preserve">Better Measurement of </w:t>
      </w:r>
      <w:r w:rsidR="000175A6">
        <w:rPr>
          <w:b/>
          <w:bCs/>
          <w:sz w:val="24"/>
          <w:szCs w:val="24"/>
        </w:rPr>
        <w:t>Investee</w:t>
      </w:r>
      <w:r w:rsidRPr="00784B09">
        <w:rPr>
          <w:b/>
          <w:bCs/>
          <w:sz w:val="24"/>
          <w:szCs w:val="24"/>
        </w:rPr>
        <w:t xml:space="preserve"> Risks and Opportunities</w:t>
      </w:r>
    </w:p>
    <w:p w14:paraId="5EA3C800" w14:textId="2C1F298B" w:rsidR="00784B09" w:rsidRDefault="00CB628E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B628E">
        <w:rPr>
          <w:sz w:val="24"/>
          <w:szCs w:val="24"/>
        </w:rPr>
        <w:t>nvestors</w:t>
      </w:r>
      <w:r>
        <w:rPr>
          <w:sz w:val="24"/>
          <w:szCs w:val="24"/>
        </w:rPr>
        <w:t xml:space="preserve"> </w:t>
      </w:r>
      <w:r w:rsidR="00C05E4E">
        <w:rPr>
          <w:sz w:val="24"/>
          <w:szCs w:val="24"/>
        </w:rPr>
        <w:t>can better</w:t>
      </w:r>
      <w:r w:rsidRPr="00CB628E">
        <w:rPr>
          <w:sz w:val="24"/>
          <w:szCs w:val="24"/>
        </w:rPr>
        <w:t xml:space="preserve"> assess a </w:t>
      </w:r>
      <w:r>
        <w:rPr>
          <w:sz w:val="24"/>
          <w:szCs w:val="24"/>
        </w:rPr>
        <w:t>business</w:t>
      </w:r>
      <w:r w:rsidRPr="00CB628E">
        <w:rPr>
          <w:sz w:val="24"/>
          <w:szCs w:val="24"/>
        </w:rPr>
        <w:t xml:space="preserve">' risk exposure </w:t>
      </w:r>
      <w:r>
        <w:rPr>
          <w:sz w:val="24"/>
          <w:szCs w:val="24"/>
        </w:rPr>
        <w:t>and ESG-factored</w:t>
      </w:r>
      <w:r w:rsidRPr="00CB628E">
        <w:rPr>
          <w:sz w:val="24"/>
          <w:szCs w:val="24"/>
        </w:rPr>
        <w:t xml:space="preserve"> future financial performance</w:t>
      </w:r>
      <w:r>
        <w:rPr>
          <w:sz w:val="24"/>
          <w:szCs w:val="24"/>
        </w:rPr>
        <w:t xml:space="preserve"> according to </w:t>
      </w:r>
      <w:r w:rsidRPr="00CB628E">
        <w:rPr>
          <w:sz w:val="24"/>
          <w:szCs w:val="24"/>
        </w:rPr>
        <w:t xml:space="preserve">ESG data, </w:t>
      </w:r>
      <w:r w:rsidR="000175A6">
        <w:rPr>
          <w:sz w:val="24"/>
          <w:szCs w:val="24"/>
        </w:rPr>
        <w:t>such as</w:t>
      </w:r>
      <w:r w:rsidRPr="00CB628E">
        <w:rPr>
          <w:sz w:val="24"/>
          <w:szCs w:val="24"/>
        </w:rPr>
        <w:t xml:space="preserve"> ESG scores</w:t>
      </w:r>
      <w:r w:rsidR="00134786">
        <w:rPr>
          <w:sz w:val="24"/>
          <w:szCs w:val="24"/>
        </w:rPr>
        <w:t>,</w:t>
      </w:r>
      <w:r w:rsidRPr="00CB628E">
        <w:rPr>
          <w:sz w:val="24"/>
          <w:szCs w:val="24"/>
        </w:rPr>
        <w:t xml:space="preserve"> </w:t>
      </w:r>
      <w:r w:rsidR="00A665C1">
        <w:rPr>
          <w:sz w:val="24"/>
          <w:szCs w:val="24"/>
        </w:rPr>
        <w:t xml:space="preserve">sustainability </w:t>
      </w:r>
      <w:r w:rsidRPr="00CB628E">
        <w:rPr>
          <w:sz w:val="24"/>
          <w:szCs w:val="24"/>
        </w:rPr>
        <w:t>ratings</w:t>
      </w:r>
      <w:r w:rsidR="00134786">
        <w:rPr>
          <w:sz w:val="24"/>
          <w:szCs w:val="24"/>
        </w:rPr>
        <w:t>, and ESG disclosures</w:t>
      </w:r>
      <w:r>
        <w:rPr>
          <w:sz w:val="24"/>
          <w:szCs w:val="24"/>
        </w:rPr>
        <w:t>.</w:t>
      </w:r>
      <w:r w:rsidR="00A665C1">
        <w:rPr>
          <w:sz w:val="24"/>
          <w:szCs w:val="24"/>
        </w:rPr>
        <w:t xml:space="preserve"> </w:t>
      </w:r>
    </w:p>
    <w:p w14:paraId="4B1C8672" w14:textId="22C5073F" w:rsidR="00784B09" w:rsidRPr="00B6383F" w:rsidRDefault="00B6383F" w:rsidP="00B6383F">
      <w:pPr>
        <w:pStyle w:val="ListParagraph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B6383F">
        <w:rPr>
          <w:b/>
          <w:bCs/>
          <w:sz w:val="24"/>
          <w:szCs w:val="24"/>
        </w:rPr>
        <w:t>ESG Stewardship</w:t>
      </w:r>
    </w:p>
    <w:p w14:paraId="7F21D1AF" w14:textId="04CD35E0" w:rsidR="00B6383F" w:rsidRDefault="00FD2421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F14183">
        <w:rPr>
          <w:sz w:val="24"/>
          <w:szCs w:val="24"/>
        </w:rPr>
        <w:t>S</w:t>
      </w:r>
      <w:r>
        <w:rPr>
          <w:sz w:val="24"/>
          <w:szCs w:val="24"/>
        </w:rPr>
        <w:t xml:space="preserve">G initiatives encourage or require investors to </w:t>
      </w:r>
      <w:r w:rsidR="00F14183">
        <w:rPr>
          <w:sz w:val="24"/>
          <w:szCs w:val="24"/>
        </w:rPr>
        <w:t>be active owners and responsible investors. This pushes investors to enhance their stewardship endeavors</w:t>
      </w:r>
      <w:r w:rsidR="00D33763">
        <w:rPr>
          <w:sz w:val="24"/>
          <w:szCs w:val="24"/>
        </w:rPr>
        <w:t xml:space="preserve"> through efforts such as dialogues, monitoring, </w:t>
      </w:r>
      <w:r w:rsidR="00A95154">
        <w:rPr>
          <w:sz w:val="24"/>
          <w:szCs w:val="24"/>
        </w:rPr>
        <w:t>engagement,</w:t>
      </w:r>
      <w:r w:rsidR="00D33763">
        <w:rPr>
          <w:sz w:val="24"/>
          <w:szCs w:val="24"/>
        </w:rPr>
        <w:t xml:space="preserve"> and voting</w:t>
      </w:r>
      <w:r w:rsidR="00F14183">
        <w:rPr>
          <w:sz w:val="24"/>
          <w:szCs w:val="24"/>
        </w:rPr>
        <w:t xml:space="preserve">. </w:t>
      </w:r>
    </w:p>
    <w:p w14:paraId="1F8E5893" w14:textId="51674C3F" w:rsidR="00784B09" w:rsidRPr="00784B09" w:rsidRDefault="00784B09" w:rsidP="00784B09">
      <w:pPr>
        <w:pStyle w:val="ListParagraph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784B09">
        <w:rPr>
          <w:b/>
          <w:bCs/>
          <w:sz w:val="24"/>
          <w:szCs w:val="24"/>
        </w:rPr>
        <w:t>Alternative Investment Approaches</w:t>
      </w:r>
    </w:p>
    <w:p w14:paraId="276A8DA6" w14:textId="29194B21" w:rsidR="00784B09" w:rsidRDefault="007C57D7" w:rsidP="00E520FA">
      <w:pPr>
        <w:jc w:val="both"/>
        <w:rPr>
          <w:sz w:val="24"/>
          <w:szCs w:val="24"/>
        </w:rPr>
      </w:pPr>
      <w:r>
        <w:rPr>
          <w:sz w:val="24"/>
          <w:szCs w:val="24"/>
        </w:rPr>
        <w:t>ESG has become an approach of alternative investment in terms of ESG-based investment selection</w:t>
      </w:r>
      <w:r w:rsidR="00154F86">
        <w:rPr>
          <w:sz w:val="24"/>
          <w:szCs w:val="24"/>
        </w:rPr>
        <w:t xml:space="preserve"> and impact investing</w:t>
      </w:r>
      <w:r>
        <w:rPr>
          <w:sz w:val="24"/>
          <w:szCs w:val="24"/>
        </w:rPr>
        <w:t xml:space="preserve">. </w:t>
      </w:r>
      <w:r w:rsidR="00A665C1">
        <w:rPr>
          <w:sz w:val="24"/>
          <w:szCs w:val="24"/>
        </w:rPr>
        <w:t>Sustainability ratings have been used by some investors in selecting “best-in-class” stocks in terms of ESG.</w:t>
      </w:r>
      <w:r>
        <w:rPr>
          <w:sz w:val="24"/>
          <w:szCs w:val="24"/>
        </w:rPr>
        <w:t xml:space="preserve"> New investment products/opportunities such as opportunity zone funds, green bonds, </w:t>
      </w:r>
      <w:r w:rsidR="00A94112">
        <w:rPr>
          <w:sz w:val="24"/>
          <w:szCs w:val="24"/>
        </w:rPr>
        <w:t xml:space="preserve">green loans, </w:t>
      </w:r>
      <w:r>
        <w:rPr>
          <w:sz w:val="24"/>
          <w:szCs w:val="24"/>
        </w:rPr>
        <w:t xml:space="preserve">and social impact bonds emerged. New investment techniques </w:t>
      </w:r>
      <w:r w:rsidR="00BC1C14">
        <w:rPr>
          <w:sz w:val="24"/>
          <w:szCs w:val="24"/>
        </w:rPr>
        <w:t>such as</w:t>
      </w:r>
      <w:r>
        <w:rPr>
          <w:sz w:val="24"/>
          <w:szCs w:val="24"/>
        </w:rPr>
        <w:t xml:space="preserve"> “green alpha</w:t>
      </w:r>
      <w:r w:rsidR="00A94112">
        <w:rPr>
          <w:sz w:val="24"/>
          <w:szCs w:val="24"/>
        </w:rPr>
        <w:t>,”</w:t>
      </w:r>
      <w:r>
        <w:rPr>
          <w:sz w:val="24"/>
          <w:szCs w:val="24"/>
        </w:rPr>
        <w:t xml:space="preserve"> portfolio decarbonization, and sustainability-themed investing have been developed</w:t>
      </w:r>
      <w:r w:rsidRPr="009364BD">
        <w:rPr>
          <w:sz w:val="24"/>
          <w:szCs w:val="24"/>
        </w:rPr>
        <w:t>.</w:t>
      </w:r>
      <w:r w:rsidR="007B57BB" w:rsidRPr="009364BD">
        <w:rPr>
          <w:sz w:val="24"/>
          <w:szCs w:val="24"/>
        </w:rPr>
        <w:t xml:space="preserve"> </w:t>
      </w:r>
      <w:r w:rsidR="00205AB1" w:rsidRPr="009364BD">
        <w:rPr>
          <w:sz w:val="24"/>
          <w:szCs w:val="24"/>
        </w:rPr>
        <w:t>Innovative investment</w:t>
      </w:r>
      <w:r w:rsidR="00D26980" w:rsidRPr="009364BD">
        <w:rPr>
          <w:sz w:val="24"/>
          <w:szCs w:val="24"/>
        </w:rPr>
        <w:t xml:space="preserve"> model</w:t>
      </w:r>
      <w:r w:rsidR="00205AB1" w:rsidRPr="009364BD">
        <w:rPr>
          <w:sz w:val="24"/>
          <w:szCs w:val="24"/>
        </w:rPr>
        <w:t>s like social finance, mission-related investments (MRIs) and public-private partnerships (PPP</w:t>
      </w:r>
      <w:r w:rsidR="001341D7" w:rsidRPr="009364BD">
        <w:rPr>
          <w:sz w:val="24"/>
          <w:szCs w:val="24"/>
        </w:rPr>
        <w:t>s</w:t>
      </w:r>
      <w:r w:rsidR="00205AB1" w:rsidRPr="009364BD">
        <w:rPr>
          <w:sz w:val="24"/>
          <w:szCs w:val="24"/>
        </w:rPr>
        <w:t xml:space="preserve">) </w:t>
      </w:r>
      <w:r w:rsidR="009364BD" w:rsidRPr="009364BD">
        <w:rPr>
          <w:sz w:val="24"/>
          <w:szCs w:val="24"/>
        </w:rPr>
        <w:t xml:space="preserve">are </w:t>
      </w:r>
      <w:r w:rsidR="00D26980" w:rsidRPr="009364BD">
        <w:rPr>
          <w:sz w:val="24"/>
          <w:szCs w:val="24"/>
        </w:rPr>
        <w:t>mak</w:t>
      </w:r>
      <w:r w:rsidR="009364BD" w:rsidRPr="009364BD">
        <w:rPr>
          <w:sz w:val="24"/>
          <w:szCs w:val="24"/>
        </w:rPr>
        <w:t>ing</w:t>
      </w:r>
      <w:r w:rsidR="00D26980" w:rsidRPr="009364BD">
        <w:rPr>
          <w:sz w:val="24"/>
          <w:szCs w:val="24"/>
        </w:rPr>
        <w:t xml:space="preserve"> bigger impacts by linking governments </w:t>
      </w:r>
      <w:r w:rsidR="009364BD" w:rsidRPr="009364BD">
        <w:rPr>
          <w:sz w:val="24"/>
          <w:szCs w:val="24"/>
        </w:rPr>
        <w:t>and/</w:t>
      </w:r>
      <w:r w:rsidR="00D26980" w:rsidRPr="009364BD">
        <w:rPr>
          <w:sz w:val="24"/>
          <w:szCs w:val="24"/>
        </w:rPr>
        <w:t xml:space="preserve">or </w:t>
      </w:r>
      <w:r w:rsidR="009364BD">
        <w:rPr>
          <w:sz w:val="24"/>
          <w:szCs w:val="24"/>
        </w:rPr>
        <w:t>non-profit organizations</w:t>
      </w:r>
      <w:r w:rsidR="00D26980" w:rsidRPr="009364BD">
        <w:rPr>
          <w:sz w:val="24"/>
          <w:szCs w:val="24"/>
        </w:rPr>
        <w:t xml:space="preserve"> in</w:t>
      </w:r>
      <w:r w:rsidR="00E66E64">
        <w:rPr>
          <w:sz w:val="24"/>
          <w:szCs w:val="24"/>
        </w:rPr>
        <w:t>to</w:t>
      </w:r>
      <w:r w:rsidR="00D26980" w:rsidRPr="009364BD">
        <w:rPr>
          <w:sz w:val="24"/>
          <w:szCs w:val="24"/>
        </w:rPr>
        <w:t xml:space="preserve"> investment chains.</w:t>
      </w:r>
      <w:r w:rsidR="00D26980">
        <w:rPr>
          <w:sz w:val="24"/>
          <w:szCs w:val="24"/>
        </w:rPr>
        <w:t xml:space="preserve"> Many g</w:t>
      </w:r>
      <w:r w:rsidR="007B57BB">
        <w:rPr>
          <w:sz w:val="24"/>
          <w:szCs w:val="24"/>
        </w:rPr>
        <w:t>overnments</w:t>
      </w:r>
      <w:r w:rsidR="00E66E64">
        <w:rPr>
          <w:sz w:val="24"/>
          <w:szCs w:val="24"/>
        </w:rPr>
        <w:t>, international organizations,</w:t>
      </w:r>
      <w:r w:rsidR="007B57BB">
        <w:rPr>
          <w:sz w:val="24"/>
          <w:szCs w:val="24"/>
        </w:rPr>
        <w:t xml:space="preserve"> and financial institutions</w:t>
      </w:r>
      <w:r w:rsidR="00D26980">
        <w:rPr>
          <w:sz w:val="24"/>
          <w:szCs w:val="24"/>
        </w:rPr>
        <w:t xml:space="preserve"> also</w:t>
      </w:r>
      <w:r w:rsidR="007B57BB">
        <w:rPr>
          <w:sz w:val="24"/>
          <w:szCs w:val="24"/>
        </w:rPr>
        <w:t xml:space="preserve"> incenti</w:t>
      </w:r>
      <w:r w:rsidR="00154F86">
        <w:rPr>
          <w:sz w:val="24"/>
          <w:szCs w:val="24"/>
        </w:rPr>
        <w:t>vi</w:t>
      </w:r>
      <w:r w:rsidR="00D26980">
        <w:rPr>
          <w:sz w:val="24"/>
          <w:szCs w:val="24"/>
        </w:rPr>
        <w:t>ze</w:t>
      </w:r>
      <w:r w:rsidR="007B57BB">
        <w:rPr>
          <w:sz w:val="24"/>
          <w:szCs w:val="24"/>
        </w:rPr>
        <w:t xml:space="preserve"> </w:t>
      </w:r>
      <w:r w:rsidR="00D26980">
        <w:rPr>
          <w:sz w:val="24"/>
          <w:szCs w:val="24"/>
        </w:rPr>
        <w:t xml:space="preserve">ESG </w:t>
      </w:r>
      <w:r w:rsidR="007B57BB">
        <w:rPr>
          <w:sz w:val="24"/>
          <w:szCs w:val="24"/>
        </w:rPr>
        <w:t>invest</w:t>
      </w:r>
      <w:r w:rsidR="00D26980">
        <w:rPr>
          <w:sz w:val="24"/>
          <w:szCs w:val="24"/>
        </w:rPr>
        <w:t>ing</w:t>
      </w:r>
      <w:r w:rsidR="007B57BB">
        <w:rPr>
          <w:sz w:val="24"/>
          <w:szCs w:val="24"/>
        </w:rPr>
        <w:t>.</w:t>
      </w:r>
    </w:p>
    <w:p w14:paraId="7DC04E52" w14:textId="20BCC64F" w:rsidR="00FF2081" w:rsidRPr="00D90039" w:rsidRDefault="00FF2081" w:rsidP="00E520FA">
      <w:pPr>
        <w:jc w:val="both"/>
        <w:rPr>
          <w:sz w:val="24"/>
          <w:szCs w:val="24"/>
        </w:rPr>
      </w:pPr>
    </w:p>
    <w:sectPr w:rsidR="00FF2081" w:rsidRPr="00D9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C25A" w14:textId="77777777" w:rsidR="008A5445" w:rsidRDefault="008A5445" w:rsidP="00D007F6">
      <w:pPr>
        <w:spacing w:after="0" w:line="240" w:lineRule="auto"/>
      </w:pPr>
      <w:r>
        <w:separator/>
      </w:r>
    </w:p>
  </w:endnote>
  <w:endnote w:type="continuationSeparator" w:id="0">
    <w:p w14:paraId="31A29681" w14:textId="77777777" w:rsidR="008A5445" w:rsidRDefault="008A5445" w:rsidP="00D0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8549" w14:textId="77777777" w:rsidR="008A5445" w:rsidRDefault="008A5445" w:rsidP="00D007F6">
      <w:pPr>
        <w:spacing w:after="0" w:line="240" w:lineRule="auto"/>
      </w:pPr>
      <w:r>
        <w:separator/>
      </w:r>
    </w:p>
  </w:footnote>
  <w:footnote w:type="continuationSeparator" w:id="0">
    <w:p w14:paraId="7551959A" w14:textId="77777777" w:rsidR="008A5445" w:rsidRDefault="008A5445" w:rsidP="00D007F6">
      <w:pPr>
        <w:spacing w:after="0" w:line="240" w:lineRule="auto"/>
      </w:pPr>
      <w:r>
        <w:continuationSeparator/>
      </w:r>
    </w:p>
  </w:footnote>
  <w:footnote w:id="1">
    <w:p w14:paraId="4ED86622" w14:textId="10467CA2" w:rsidR="00FB41B1" w:rsidRDefault="00FB41B1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B41B1">
        <w:rPr>
          <w:i/>
          <w:iCs/>
        </w:rPr>
        <w:t>In re Caremark Int'l Derivative Litigation</w:t>
      </w:r>
      <w:r w:rsidRPr="00FB41B1">
        <w:t>, 698 A.2d 959 (Del. Ch. 1996)</w:t>
      </w:r>
      <w:r>
        <w:t>.</w:t>
      </w:r>
    </w:p>
  </w:footnote>
  <w:footnote w:id="2">
    <w:p w14:paraId="7607A84E" w14:textId="54F5305D" w:rsidR="0001056B" w:rsidRDefault="000105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056B">
        <w:t>https://www.nytimes.com/1970/09/13/archives/a-friedman-doctrine-the-social-responsibility-of-business-is-to.html</w:t>
      </w:r>
    </w:p>
  </w:footnote>
  <w:footnote w:id="3">
    <w:p w14:paraId="7E26F5C0" w14:textId="0B3A334A" w:rsidR="00DE5F63" w:rsidRPr="00DE5F63" w:rsidRDefault="00DE5F63" w:rsidP="00DE5F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CD7EEF" w:rsidRPr="00694685">
          <w:rPr>
            <w:rStyle w:val="Hyperlink"/>
          </w:rPr>
          <w:t>https://papers.ssrn.com/sol3/papers.cfm?abstract_id=3899528</w:t>
        </w:r>
      </w:hyperlink>
    </w:p>
    <w:p w14:paraId="37AEB113" w14:textId="77777777" w:rsidR="00DE5F63" w:rsidRPr="00DE5F63" w:rsidRDefault="00000000" w:rsidP="00DE5F63">
      <w:pPr>
        <w:pStyle w:val="FootnoteText"/>
      </w:pPr>
      <w:hyperlink r:id="rId2" w:history="1">
        <w:r w:rsidR="00DE5F63" w:rsidRPr="00DE5F63">
          <w:t>https://heinonline.org/HOL/LandingPage?handle=hein.journals/busl77&amp;div=51&amp;id=&amp;page=</w:t>
        </w:r>
      </w:hyperlink>
    </w:p>
    <w:p w14:paraId="08A03987" w14:textId="02AEFE41" w:rsidR="00DE5F63" w:rsidRPr="00DE5F63" w:rsidRDefault="00000000" w:rsidP="00DE5F63">
      <w:pPr>
        <w:pStyle w:val="FootnoteText"/>
        <w:rPr>
          <w:sz w:val="24"/>
          <w:szCs w:val="24"/>
        </w:rPr>
      </w:pPr>
      <w:hyperlink r:id="rId3" w:history="1">
        <w:r w:rsidR="00DE5F63" w:rsidRPr="00DE5F63">
          <w:t>https://corpgov.law.harvard.edu/2022/05/09/does-enlightened-shareholder-value-add-value/</w:t>
        </w:r>
      </w:hyperlink>
    </w:p>
  </w:footnote>
  <w:footnote w:id="4">
    <w:p w14:paraId="1C941445" w14:textId="77777777" w:rsidR="0043023E" w:rsidRDefault="0043023E" w:rsidP="0043023E">
      <w:pPr>
        <w:pStyle w:val="FootnoteText"/>
      </w:pPr>
      <w:r>
        <w:rPr>
          <w:rStyle w:val="FootnoteReference"/>
        </w:rPr>
        <w:footnoteRef/>
      </w:r>
      <w:r>
        <w:t xml:space="preserve"> For example, the</w:t>
      </w:r>
      <w:r w:rsidRPr="00B9540E">
        <w:t xml:space="preserve"> European Green Deal</w:t>
      </w:r>
      <w:r>
        <w:t xml:space="preserve">, the EU Paris-Aligned Benchmarks, the EU Climate Transition Benchmarks, and the UK’s </w:t>
      </w:r>
      <w:r w:rsidRPr="00B9540E">
        <w:t>Carbon Budget Delivery Plan</w:t>
      </w:r>
      <w:r>
        <w:t xml:space="preserve"> and Ten Point Plan.</w:t>
      </w:r>
    </w:p>
  </w:footnote>
  <w:footnote w:id="5">
    <w:p w14:paraId="0452CC64" w14:textId="585BA58D" w:rsidR="00490966" w:rsidRDefault="004909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0966">
        <w:t>https://www.unepfi.org/fileadmin/documents/freshfields_legal_resp_20051123.pdf</w:t>
      </w:r>
    </w:p>
  </w:footnote>
  <w:footnote w:id="6">
    <w:p w14:paraId="18216FA2" w14:textId="7F0E8571" w:rsidR="007F50A6" w:rsidRDefault="007F50A6">
      <w:pPr>
        <w:pStyle w:val="FootnoteText"/>
      </w:pPr>
      <w:r>
        <w:rPr>
          <w:rStyle w:val="FootnoteReference"/>
        </w:rPr>
        <w:footnoteRef/>
      </w:r>
      <w:r>
        <w:t xml:space="preserve"> See Donella H. Meadows, </w:t>
      </w:r>
      <w:r w:rsidRPr="000620BD">
        <w:rPr>
          <w:i/>
          <w:iCs/>
        </w:rPr>
        <w:t>Thinking in Systems</w:t>
      </w:r>
      <w:r>
        <w:t>.</w:t>
      </w:r>
    </w:p>
  </w:footnote>
  <w:footnote w:id="7">
    <w:p w14:paraId="66B75DBD" w14:textId="27661BDA" w:rsidR="007F50A6" w:rsidRDefault="007F50A6">
      <w:pPr>
        <w:pStyle w:val="FootnoteText"/>
      </w:pPr>
      <w:r>
        <w:rPr>
          <w:rStyle w:val="FootnoteReference"/>
        </w:rPr>
        <w:footnoteRef/>
      </w:r>
      <w:r>
        <w:t xml:space="preserve"> See Alex Edmans, </w:t>
      </w:r>
      <w:r w:rsidRPr="007F50A6">
        <w:rPr>
          <w:i/>
          <w:iCs/>
        </w:rPr>
        <w:t>Grow the Pie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08D"/>
    <w:multiLevelType w:val="hybridMultilevel"/>
    <w:tmpl w:val="1734967E"/>
    <w:lvl w:ilvl="0" w:tplc="FCF61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3724"/>
    <w:multiLevelType w:val="hybridMultilevel"/>
    <w:tmpl w:val="A59006C0"/>
    <w:lvl w:ilvl="0" w:tplc="359AC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4D2"/>
    <w:multiLevelType w:val="hybridMultilevel"/>
    <w:tmpl w:val="89807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830"/>
    <w:multiLevelType w:val="hybridMultilevel"/>
    <w:tmpl w:val="3600F2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9F28C5"/>
    <w:multiLevelType w:val="hybridMultilevel"/>
    <w:tmpl w:val="035AE0FC"/>
    <w:lvl w:ilvl="0" w:tplc="2DEAD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E2ACB"/>
    <w:multiLevelType w:val="hybridMultilevel"/>
    <w:tmpl w:val="71821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BF34E1"/>
    <w:multiLevelType w:val="hybridMultilevel"/>
    <w:tmpl w:val="17F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979A4"/>
    <w:multiLevelType w:val="hybridMultilevel"/>
    <w:tmpl w:val="F5B6D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744F7"/>
    <w:multiLevelType w:val="hybridMultilevel"/>
    <w:tmpl w:val="7A0A7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545F"/>
    <w:multiLevelType w:val="hybridMultilevel"/>
    <w:tmpl w:val="CD668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81253"/>
    <w:multiLevelType w:val="multilevel"/>
    <w:tmpl w:val="6884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F640B"/>
    <w:multiLevelType w:val="hybridMultilevel"/>
    <w:tmpl w:val="8B360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F7168"/>
    <w:multiLevelType w:val="hybridMultilevel"/>
    <w:tmpl w:val="17FEDC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E259B"/>
    <w:multiLevelType w:val="hybridMultilevel"/>
    <w:tmpl w:val="1E807AFC"/>
    <w:lvl w:ilvl="0" w:tplc="8924C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22767"/>
    <w:multiLevelType w:val="hybridMultilevel"/>
    <w:tmpl w:val="9C806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7D0B01"/>
    <w:multiLevelType w:val="hybridMultilevel"/>
    <w:tmpl w:val="9AAE92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2E520B"/>
    <w:multiLevelType w:val="hybridMultilevel"/>
    <w:tmpl w:val="8B1087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56268198">
    <w:abstractNumId w:val="6"/>
  </w:num>
  <w:num w:numId="2" w16cid:durableId="1564678793">
    <w:abstractNumId w:val="5"/>
  </w:num>
  <w:num w:numId="3" w16cid:durableId="1888180422">
    <w:abstractNumId w:val="15"/>
  </w:num>
  <w:num w:numId="4" w16cid:durableId="207038422">
    <w:abstractNumId w:val="16"/>
  </w:num>
  <w:num w:numId="5" w16cid:durableId="1531845637">
    <w:abstractNumId w:val="3"/>
  </w:num>
  <w:num w:numId="6" w16cid:durableId="929240878">
    <w:abstractNumId w:val="14"/>
  </w:num>
  <w:num w:numId="7" w16cid:durableId="84542156">
    <w:abstractNumId w:val="0"/>
  </w:num>
  <w:num w:numId="8" w16cid:durableId="49379541">
    <w:abstractNumId w:val="12"/>
  </w:num>
  <w:num w:numId="9" w16cid:durableId="1428885313">
    <w:abstractNumId w:val="11"/>
  </w:num>
  <w:num w:numId="10" w16cid:durableId="1390228404">
    <w:abstractNumId w:val="1"/>
  </w:num>
  <w:num w:numId="11" w16cid:durableId="2064936838">
    <w:abstractNumId w:val="8"/>
  </w:num>
  <w:num w:numId="12" w16cid:durableId="1685353618">
    <w:abstractNumId w:val="2"/>
  </w:num>
  <w:num w:numId="13" w16cid:durableId="1293172659">
    <w:abstractNumId w:val="13"/>
  </w:num>
  <w:num w:numId="14" w16cid:durableId="1225600005">
    <w:abstractNumId w:val="9"/>
  </w:num>
  <w:num w:numId="15" w16cid:durableId="369572687">
    <w:abstractNumId w:val="7"/>
  </w:num>
  <w:num w:numId="16" w16cid:durableId="1992833701">
    <w:abstractNumId w:val="4"/>
  </w:num>
  <w:num w:numId="17" w16cid:durableId="1465469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A5"/>
    <w:rsid w:val="00002FAC"/>
    <w:rsid w:val="0001056B"/>
    <w:rsid w:val="0001278B"/>
    <w:rsid w:val="00012D86"/>
    <w:rsid w:val="000175A6"/>
    <w:rsid w:val="0002482F"/>
    <w:rsid w:val="00030E71"/>
    <w:rsid w:val="000511A5"/>
    <w:rsid w:val="000522DE"/>
    <w:rsid w:val="000620BD"/>
    <w:rsid w:val="00063007"/>
    <w:rsid w:val="0006423C"/>
    <w:rsid w:val="00071EB6"/>
    <w:rsid w:val="000729AB"/>
    <w:rsid w:val="000751F2"/>
    <w:rsid w:val="00080FEC"/>
    <w:rsid w:val="00081A6D"/>
    <w:rsid w:val="000845A6"/>
    <w:rsid w:val="00093C30"/>
    <w:rsid w:val="000A375C"/>
    <w:rsid w:val="000B5183"/>
    <w:rsid w:val="000C6F79"/>
    <w:rsid w:val="000D59DE"/>
    <w:rsid w:val="000E10D5"/>
    <w:rsid w:val="000E4C21"/>
    <w:rsid w:val="0010104D"/>
    <w:rsid w:val="001074CC"/>
    <w:rsid w:val="0010763D"/>
    <w:rsid w:val="00117837"/>
    <w:rsid w:val="0012153B"/>
    <w:rsid w:val="0012442B"/>
    <w:rsid w:val="00124E55"/>
    <w:rsid w:val="001341D7"/>
    <w:rsid w:val="00134786"/>
    <w:rsid w:val="00137F8D"/>
    <w:rsid w:val="00145AEF"/>
    <w:rsid w:val="001529A0"/>
    <w:rsid w:val="00152BD0"/>
    <w:rsid w:val="00154F86"/>
    <w:rsid w:val="00161E3A"/>
    <w:rsid w:val="00163158"/>
    <w:rsid w:val="00166B5F"/>
    <w:rsid w:val="001702BA"/>
    <w:rsid w:val="00171E89"/>
    <w:rsid w:val="001722BF"/>
    <w:rsid w:val="00177327"/>
    <w:rsid w:val="001809FE"/>
    <w:rsid w:val="0018398A"/>
    <w:rsid w:val="00187333"/>
    <w:rsid w:val="00187A3A"/>
    <w:rsid w:val="0019644F"/>
    <w:rsid w:val="001A2008"/>
    <w:rsid w:val="001A25F4"/>
    <w:rsid w:val="001A2A85"/>
    <w:rsid w:val="001A32A6"/>
    <w:rsid w:val="001B28B2"/>
    <w:rsid w:val="001C3300"/>
    <w:rsid w:val="001D2788"/>
    <w:rsid w:val="00201505"/>
    <w:rsid w:val="00205AB1"/>
    <w:rsid w:val="00211EE3"/>
    <w:rsid w:val="00244DA2"/>
    <w:rsid w:val="002512C8"/>
    <w:rsid w:val="002542A5"/>
    <w:rsid w:val="002656B3"/>
    <w:rsid w:val="00271E95"/>
    <w:rsid w:val="00281C61"/>
    <w:rsid w:val="00284BCF"/>
    <w:rsid w:val="002A6F40"/>
    <w:rsid w:val="002B25D6"/>
    <w:rsid w:val="002B6999"/>
    <w:rsid w:val="002D4B14"/>
    <w:rsid w:val="002E424B"/>
    <w:rsid w:val="003005A3"/>
    <w:rsid w:val="0032129B"/>
    <w:rsid w:val="00345353"/>
    <w:rsid w:val="00346484"/>
    <w:rsid w:val="00353CE4"/>
    <w:rsid w:val="00353D4D"/>
    <w:rsid w:val="00354E86"/>
    <w:rsid w:val="00357B2F"/>
    <w:rsid w:val="00373229"/>
    <w:rsid w:val="0038039F"/>
    <w:rsid w:val="00397533"/>
    <w:rsid w:val="003A35A5"/>
    <w:rsid w:val="003B0197"/>
    <w:rsid w:val="003B14D7"/>
    <w:rsid w:val="003B2815"/>
    <w:rsid w:val="003C09F1"/>
    <w:rsid w:val="003C11AF"/>
    <w:rsid w:val="003D37E7"/>
    <w:rsid w:val="003F2193"/>
    <w:rsid w:val="003F6768"/>
    <w:rsid w:val="00401892"/>
    <w:rsid w:val="004074EF"/>
    <w:rsid w:val="00410E2F"/>
    <w:rsid w:val="004132F8"/>
    <w:rsid w:val="0042252E"/>
    <w:rsid w:val="0043023E"/>
    <w:rsid w:val="00453991"/>
    <w:rsid w:val="004672D4"/>
    <w:rsid w:val="00475376"/>
    <w:rsid w:val="0048520C"/>
    <w:rsid w:val="00486720"/>
    <w:rsid w:val="00490966"/>
    <w:rsid w:val="004935D3"/>
    <w:rsid w:val="00497C92"/>
    <w:rsid w:val="004A0E72"/>
    <w:rsid w:val="004B1A97"/>
    <w:rsid w:val="004D64BC"/>
    <w:rsid w:val="00505468"/>
    <w:rsid w:val="0050570D"/>
    <w:rsid w:val="00512345"/>
    <w:rsid w:val="00521B30"/>
    <w:rsid w:val="005442AD"/>
    <w:rsid w:val="00546C9E"/>
    <w:rsid w:val="005546BA"/>
    <w:rsid w:val="00555CED"/>
    <w:rsid w:val="0055631C"/>
    <w:rsid w:val="00562E65"/>
    <w:rsid w:val="00562E91"/>
    <w:rsid w:val="00584060"/>
    <w:rsid w:val="005A0C1D"/>
    <w:rsid w:val="005C4836"/>
    <w:rsid w:val="005D132E"/>
    <w:rsid w:val="005D1AE3"/>
    <w:rsid w:val="005E2F9D"/>
    <w:rsid w:val="005F5DA6"/>
    <w:rsid w:val="006133F3"/>
    <w:rsid w:val="00620C0B"/>
    <w:rsid w:val="00621269"/>
    <w:rsid w:val="0062359F"/>
    <w:rsid w:val="00633493"/>
    <w:rsid w:val="00644E84"/>
    <w:rsid w:val="00661EAA"/>
    <w:rsid w:val="00666E79"/>
    <w:rsid w:val="00675759"/>
    <w:rsid w:val="006856A3"/>
    <w:rsid w:val="00685EAB"/>
    <w:rsid w:val="006965E1"/>
    <w:rsid w:val="006A02A3"/>
    <w:rsid w:val="006A3FB4"/>
    <w:rsid w:val="006B1C6B"/>
    <w:rsid w:val="006D07D7"/>
    <w:rsid w:val="006E29D5"/>
    <w:rsid w:val="006E4F66"/>
    <w:rsid w:val="006E52EB"/>
    <w:rsid w:val="006E539F"/>
    <w:rsid w:val="006F727E"/>
    <w:rsid w:val="006F77B9"/>
    <w:rsid w:val="00701E53"/>
    <w:rsid w:val="00707934"/>
    <w:rsid w:val="00724943"/>
    <w:rsid w:val="007267D9"/>
    <w:rsid w:val="007557E1"/>
    <w:rsid w:val="00784B09"/>
    <w:rsid w:val="0078616F"/>
    <w:rsid w:val="007901E7"/>
    <w:rsid w:val="007909C0"/>
    <w:rsid w:val="007A1A4D"/>
    <w:rsid w:val="007A646C"/>
    <w:rsid w:val="007B184A"/>
    <w:rsid w:val="007B57BB"/>
    <w:rsid w:val="007C56C8"/>
    <w:rsid w:val="007C57D7"/>
    <w:rsid w:val="007D0D8F"/>
    <w:rsid w:val="007D1DA3"/>
    <w:rsid w:val="007D343F"/>
    <w:rsid w:val="007E0353"/>
    <w:rsid w:val="007F204F"/>
    <w:rsid w:val="007F50A6"/>
    <w:rsid w:val="007F5AFB"/>
    <w:rsid w:val="00834EFA"/>
    <w:rsid w:val="008418F9"/>
    <w:rsid w:val="00852F83"/>
    <w:rsid w:val="008572D2"/>
    <w:rsid w:val="00861B61"/>
    <w:rsid w:val="00875058"/>
    <w:rsid w:val="0087644F"/>
    <w:rsid w:val="008862CC"/>
    <w:rsid w:val="008A1B6D"/>
    <w:rsid w:val="008A2C90"/>
    <w:rsid w:val="008A5445"/>
    <w:rsid w:val="008B1A39"/>
    <w:rsid w:val="008D070C"/>
    <w:rsid w:val="008D4580"/>
    <w:rsid w:val="00906260"/>
    <w:rsid w:val="009237ED"/>
    <w:rsid w:val="009261FF"/>
    <w:rsid w:val="00933B37"/>
    <w:rsid w:val="009341E2"/>
    <w:rsid w:val="009364BD"/>
    <w:rsid w:val="00937570"/>
    <w:rsid w:val="009448FD"/>
    <w:rsid w:val="00971B8A"/>
    <w:rsid w:val="009B0790"/>
    <w:rsid w:val="009B5836"/>
    <w:rsid w:val="009C7397"/>
    <w:rsid w:val="009E1CAC"/>
    <w:rsid w:val="009F38C4"/>
    <w:rsid w:val="00A21282"/>
    <w:rsid w:val="00A25793"/>
    <w:rsid w:val="00A26B02"/>
    <w:rsid w:val="00A31232"/>
    <w:rsid w:val="00A5020D"/>
    <w:rsid w:val="00A61A95"/>
    <w:rsid w:val="00A665C1"/>
    <w:rsid w:val="00A72014"/>
    <w:rsid w:val="00A81981"/>
    <w:rsid w:val="00A94112"/>
    <w:rsid w:val="00A95154"/>
    <w:rsid w:val="00AA4273"/>
    <w:rsid w:val="00AB128E"/>
    <w:rsid w:val="00AB4CC9"/>
    <w:rsid w:val="00AC701A"/>
    <w:rsid w:val="00AE75D0"/>
    <w:rsid w:val="00AF5245"/>
    <w:rsid w:val="00B007A3"/>
    <w:rsid w:val="00B03252"/>
    <w:rsid w:val="00B038DD"/>
    <w:rsid w:val="00B15D83"/>
    <w:rsid w:val="00B20B18"/>
    <w:rsid w:val="00B27591"/>
    <w:rsid w:val="00B357DD"/>
    <w:rsid w:val="00B52FF3"/>
    <w:rsid w:val="00B6383F"/>
    <w:rsid w:val="00B70732"/>
    <w:rsid w:val="00B753BB"/>
    <w:rsid w:val="00B81C68"/>
    <w:rsid w:val="00B8257B"/>
    <w:rsid w:val="00B9540E"/>
    <w:rsid w:val="00BB5F32"/>
    <w:rsid w:val="00BC1C14"/>
    <w:rsid w:val="00BD6CEE"/>
    <w:rsid w:val="00BE0095"/>
    <w:rsid w:val="00BE6FCB"/>
    <w:rsid w:val="00BF45F0"/>
    <w:rsid w:val="00C00BA5"/>
    <w:rsid w:val="00C05E4E"/>
    <w:rsid w:val="00C118B3"/>
    <w:rsid w:val="00C20DD1"/>
    <w:rsid w:val="00C53DD3"/>
    <w:rsid w:val="00C54650"/>
    <w:rsid w:val="00C61E80"/>
    <w:rsid w:val="00C62CB9"/>
    <w:rsid w:val="00C733BA"/>
    <w:rsid w:val="00C73C1D"/>
    <w:rsid w:val="00CA37AA"/>
    <w:rsid w:val="00CA78FA"/>
    <w:rsid w:val="00CB0D68"/>
    <w:rsid w:val="00CB628E"/>
    <w:rsid w:val="00CC2B8F"/>
    <w:rsid w:val="00CD228C"/>
    <w:rsid w:val="00CD4D08"/>
    <w:rsid w:val="00CD67B0"/>
    <w:rsid w:val="00CD7B2F"/>
    <w:rsid w:val="00CD7EEF"/>
    <w:rsid w:val="00CE3C09"/>
    <w:rsid w:val="00CF0FB0"/>
    <w:rsid w:val="00CF2E2B"/>
    <w:rsid w:val="00CF3B57"/>
    <w:rsid w:val="00CF5A53"/>
    <w:rsid w:val="00D007F6"/>
    <w:rsid w:val="00D26980"/>
    <w:rsid w:val="00D33763"/>
    <w:rsid w:val="00D47BE0"/>
    <w:rsid w:val="00D627B0"/>
    <w:rsid w:val="00D661A8"/>
    <w:rsid w:val="00D74365"/>
    <w:rsid w:val="00D75C87"/>
    <w:rsid w:val="00D90039"/>
    <w:rsid w:val="00D95916"/>
    <w:rsid w:val="00D96C40"/>
    <w:rsid w:val="00DC2ED1"/>
    <w:rsid w:val="00DC57E0"/>
    <w:rsid w:val="00DD09E5"/>
    <w:rsid w:val="00DE5F63"/>
    <w:rsid w:val="00E042A7"/>
    <w:rsid w:val="00E051C0"/>
    <w:rsid w:val="00E26DA9"/>
    <w:rsid w:val="00E3173F"/>
    <w:rsid w:val="00E3426A"/>
    <w:rsid w:val="00E4126F"/>
    <w:rsid w:val="00E424E8"/>
    <w:rsid w:val="00E520FA"/>
    <w:rsid w:val="00E521ED"/>
    <w:rsid w:val="00E5444B"/>
    <w:rsid w:val="00E54540"/>
    <w:rsid w:val="00E6359C"/>
    <w:rsid w:val="00E6482B"/>
    <w:rsid w:val="00E66E64"/>
    <w:rsid w:val="00E72A9C"/>
    <w:rsid w:val="00E76CB2"/>
    <w:rsid w:val="00E81180"/>
    <w:rsid w:val="00E81BDC"/>
    <w:rsid w:val="00EC0ECC"/>
    <w:rsid w:val="00ED6F9B"/>
    <w:rsid w:val="00F06D7E"/>
    <w:rsid w:val="00F13BCF"/>
    <w:rsid w:val="00F14183"/>
    <w:rsid w:val="00F20AB4"/>
    <w:rsid w:val="00F307F7"/>
    <w:rsid w:val="00F40BCA"/>
    <w:rsid w:val="00F41B49"/>
    <w:rsid w:val="00F615B8"/>
    <w:rsid w:val="00F63B1F"/>
    <w:rsid w:val="00F718DF"/>
    <w:rsid w:val="00F75A5D"/>
    <w:rsid w:val="00F9217F"/>
    <w:rsid w:val="00F952EC"/>
    <w:rsid w:val="00FB41B1"/>
    <w:rsid w:val="00FC53C5"/>
    <w:rsid w:val="00FD02F8"/>
    <w:rsid w:val="00FD1A46"/>
    <w:rsid w:val="00FD2421"/>
    <w:rsid w:val="00FE4199"/>
    <w:rsid w:val="00FE7183"/>
    <w:rsid w:val="00FF2081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54A99"/>
  <w15:chartTrackingRefBased/>
  <w15:docId w15:val="{B88E52F5-A55A-42F5-889E-BC5C3E91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F6"/>
  </w:style>
  <w:style w:type="paragraph" w:styleId="Footer">
    <w:name w:val="footer"/>
    <w:basedOn w:val="Normal"/>
    <w:link w:val="FooterChar"/>
    <w:uiPriority w:val="99"/>
    <w:unhideWhenUsed/>
    <w:rsid w:val="00D0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F6"/>
  </w:style>
  <w:style w:type="paragraph" w:styleId="ListParagraph">
    <w:name w:val="List Paragraph"/>
    <w:basedOn w:val="Normal"/>
    <w:uiPriority w:val="34"/>
    <w:qFormat/>
    <w:rsid w:val="004D6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F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648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F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F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F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1B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ericanbar.org/groups/business_law/resources/business-lawyer/2022-summer/the-unintended-consequences-of-mandatory-esg-disclosures/" TargetMode="External"/><Relationship Id="rId18" Type="http://schemas.openxmlformats.org/officeDocument/2006/relationships/hyperlink" Target="https://thehill.com/policy/energy-environment/3998234-republican-states-move-to-block-giant-asset-managers-esg-push-for-utility-companies/" TargetMode="External"/><Relationship Id="rId26" Type="http://schemas.openxmlformats.org/officeDocument/2006/relationships/hyperlink" Target="https://www.wsj.com/business/autos/uaw-says-costly-ev-transition-wont-change-unions-demands-1561a72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nbc.com/2022/12/07/activist-investor-calls-for-blackrock-ceo-fink-to-step-down-over-esg-hypocrisy.html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corpgov.law.harvard.edu/2022/04/26/how-would-directors-make-business-decisions-under-a-stakeholder-model/" TargetMode="External"/><Relationship Id="rId17" Type="http://schemas.openxmlformats.org/officeDocument/2006/relationships/hyperlink" Target="https://www.unpri.org/about-us/what-are-the-principles-for-responsible-investment" TargetMode="External"/><Relationship Id="rId25" Type="http://schemas.openxmlformats.org/officeDocument/2006/relationships/hyperlink" Target="https://corpgov.law.harvard.edu/2021/03/29/integrating-esg-into-corporate-culture-not-elsewhere-but-everywher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rpgov.law.harvard.edu/2021/05/29/shareholder-activism-and-esg-what-comes-next-and-how-to-prepare/" TargetMode="External"/><Relationship Id="rId20" Type="http://schemas.openxmlformats.org/officeDocument/2006/relationships/hyperlink" Target="https://www.afr.com/companies/financial-services/blackrock-state-street-scramble-to-manage-greenwashing-risk-20230802-p5dt78" TargetMode="External"/><Relationship Id="rId29" Type="http://schemas.openxmlformats.org/officeDocument/2006/relationships/hyperlink" Target="https://www2.deloitte.com/xe/en/insights/topics/strategy/sustainability-in-business-staying-ahead-of-the-curv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e.com/articles/s41558-022-01356-y" TargetMode="External"/><Relationship Id="rId24" Type="http://schemas.openxmlformats.org/officeDocument/2006/relationships/hyperlink" Target="https://www.forbes.com/sites/steveolenski/2017/06/29/subaru-the-50-year-old-brand-built-on-love/?sh=24499f3d872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rpgov.law.harvard.edu/2023/08/10/trends-in-esg-litigation-and-enforcement/" TargetMode="External"/><Relationship Id="rId23" Type="http://schemas.openxmlformats.org/officeDocument/2006/relationships/hyperlink" Target="https://totalenergies.com/transformation" TargetMode="External"/><Relationship Id="rId28" Type="http://schemas.openxmlformats.org/officeDocument/2006/relationships/hyperlink" Target="https://www.theguardian.com/sustainable-business/short-term-profit-long-term-losses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s://www.eesi.org/topics/fossil-fuels/description" TargetMode="External"/><Relationship Id="rId19" Type="http://schemas.openxmlformats.org/officeDocument/2006/relationships/hyperlink" Target="https://www.investopedia.com/blackrock-florida-esg-divestment-6835428" TargetMode="External"/><Relationship Id="rId31" Type="http://schemas.openxmlformats.org/officeDocument/2006/relationships/hyperlink" Target="https://www.veolia.com/en/poll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bloomberglaw.com/esg/esg-pressure-raises-ante-on-board-duty-breach-claims-in-delaware" TargetMode="External"/><Relationship Id="rId14" Type="http://schemas.openxmlformats.org/officeDocument/2006/relationships/hyperlink" Target="https://corpgov.law.harvard.edu/2023/08/10/trends-in-esg-litigation-and-enforcement/" TargetMode="External"/><Relationship Id="rId22" Type="http://schemas.openxmlformats.org/officeDocument/2006/relationships/hyperlink" Target="https://www.sustainalytics.com/esg-research/resource/corporate-esg-blog/what-is-esg-why-important-risk-management" TargetMode="External"/><Relationship Id="rId27" Type="http://schemas.openxmlformats.org/officeDocument/2006/relationships/hyperlink" Target="https://www.mckinsey.com/~/media/McKinsey/Business%20Functions/Sustainability/Our%20Insights/Profits%20with%20purpose/Profits%20with%20Purpose.ashx" TargetMode="External"/><Relationship Id="rId30" Type="http://schemas.openxmlformats.org/officeDocument/2006/relationships/hyperlink" Target="https://circulareconomy.europa.eu/platform/sites/default/files/17037circulaireeconomie_en.pdf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s://www.reuters.com/legal/judge-dismisses-lawsuit-vs-mcdonalds-board-over-firing-ex-ceo-2023-03-01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rpgov.law.harvard.edu/2022/05/09/does-enlightened-shareholder-value-add-value/" TargetMode="External"/><Relationship Id="rId2" Type="http://schemas.openxmlformats.org/officeDocument/2006/relationships/hyperlink" Target="https://heinonline.org/HOL/LandingPage?handle=hein.journals/busl77&amp;div=51&amp;id=&amp;page=" TargetMode="External"/><Relationship Id="rId1" Type="http://schemas.openxmlformats.org/officeDocument/2006/relationships/hyperlink" Target="https://papers.ssrn.com/sol3/papers.cfm?abstract_id=3899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10" ma:contentTypeDescription="Create a new document." ma:contentTypeScope="" ma:versionID="e768454c1c95fe8a9e98764537a50d9c">
  <xsd:schema xmlns:xsd="http://www.w3.org/2001/XMLSchema" xmlns:xs="http://www.w3.org/2001/XMLSchema" xmlns:p="http://schemas.microsoft.com/office/2006/metadata/properties" xmlns:ns1="89040124-3724-453e-9e0f-d53a96d17322" xmlns:ns3="a35e5363-379b-4480-9448-73efe99cab00" targetNamespace="http://schemas.microsoft.com/office/2006/metadata/properties" ma:root="true" ma:fieldsID="aeb17c3e3a8a31bbae2be52e8535f8cc" ns1:_="" ns3:_="">
    <xsd:import namespace="89040124-3724-453e-9e0f-d53a96d17322"/>
    <xsd:import namespace="a35e5363-379b-4480-9448-73efe99cab00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63-379b-4480-9448-73efe99ca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BD82232C-B65F-4E03-8313-EF9D3DF7C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A7AFD-D685-4E1A-8306-121E4B726420}"/>
</file>

<file path=customXml/itemProps3.xml><?xml version="1.0" encoding="utf-8"?>
<ds:datastoreItem xmlns:ds="http://schemas.openxmlformats.org/officeDocument/2006/customXml" ds:itemID="{5C620735-6EED-4AE8-8585-7CA2D5C2D6F9}"/>
</file>

<file path=customXml/itemProps4.xml><?xml version="1.0" encoding="utf-8"?>
<ds:datastoreItem xmlns:ds="http://schemas.openxmlformats.org/officeDocument/2006/customXml" ds:itemID="{D382C503-D1F8-40D7-A7A8-947374677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7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Karen</dc:creator>
  <cp:keywords/>
  <dc:description/>
  <cp:lastModifiedBy>author</cp:lastModifiedBy>
  <cp:revision>195</cp:revision>
  <dcterms:created xsi:type="dcterms:W3CDTF">2023-09-16T17:41:00Z</dcterms:created>
  <dcterms:modified xsi:type="dcterms:W3CDTF">2023-09-29T03:13:00Z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