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4830" w14:textId="4BF721C0" w:rsidR="004C437B" w:rsidRDefault="009649E1" w:rsidP="00B552C8">
      <w:pPr>
        <w:rPr>
          <w:b/>
          <w:bCs/>
          <w:sz w:val="28"/>
          <w:szCs w:val="28"/>
        </w:rPr>
      </w:pPr>
      <w:r>
        <w:rPr>
          <w:b/>
          <w:bCs/>
          <w:noProof/>
          <w:sz w:val="28"/>
          <w:szCs w:val="28"/>
        </w:rPr>
        <w:drawing>
          <wp:inline distT="0" distB="0" distL="0" distR="0" wp14:anchorId="41D4FB6A" wp14:editId="3261837E">
            <wp:extent cx="1173726" cy="952500"/>
            <wp:effectExtent l="0" t="0" r="7620" b="0"/>
            <wp:docPr id="1170733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553" cy="956417"/>
                    </a:xfrm>
                    <a:prstGeom prst="rect">
                      <a:avLst/>
                    </a:prstGeom>
                    <a:noFill/>
                    <a:ln>
                      <a:noFill/>
                    </a:ln>
                  </pic:spPr>
                </pic:pic>
              </a:graphicData>
            </a:graphic>
          </wp:inline>
        </w:drawing>
      </w:r>
    </w:p>
    <w:p w14:paraId="2EE21FC9" w14:textId="33EA3005" w:rsidR="003A5C57" w:rsidRDefault="003A5C57" w:rsidP="00B552C8">
      <w:pPr>
        <w:rPr>
          <w:b/>
          <w:bCs/>
          <w:sz w:val="28"/>
          <w:szCs w:val="28"/>
        </w:rPr>
      </w:pPr>
    </w:p>
    <w:p w14:paraId="423893BF" w14:textId="38778691" w:rsidR="00D30BA0" w:rsidRDefault="005F24E0" w:rsidP="003A5C57">
      <w:pPr>
        <w:jc w:val="both"/>
        <w:rPr>
          <w:b/>
          <w:bCs/>
          <w:color w:val="7030A0"/>
          <w:sz w:val="60"/>
          <w:szCs w:val="60"/>
        </w:rPr>
      </w:pPr>
      <w:r>
        <w:rPr>
          <w:b/>
          <w:bCs/>
          <w:noProof/>
          <w:color w:val="7030A0"/>
          <w:sz w:val="80"/>
          <w:szCs w:val="80"/>
          <w:lang w:val="en-US"/>
        </w:rPr>
        <w:t xml:space="preserve">United Nations and </w:t>
      </w:r>
      <w:r w:rsidRPr="005F24E0">
        <w:rPr>
          <w:b/>
          <w:bCs/>
          <w:noProof/>
          <w:color w:val="7030A0"/>
          <w:sz w:val="80"/>
          <w:szCs w:val="80"/>
          <w:lang w:val="en-US"/>
        </w:rPr>
        <w:t>UN Human Rights Office</w:t>
      </w:r>
      <w:r w:rsidR="009649E1">
        <w:rPr>
          <w:b/>
          <w:bCs/>
          <w:noProof/>
          <w:color w:val="7030A0"/>
          <w:sz w:val="80"/>
          <w:szCs w:val="80"/>
          <w:lang w:val="en-US"/>
        </w:rPr>
        <w:t xml:space="preserve"> of the High Commissioner</w:t>
      </w:r>
      <w:r>
        <w:rPr>
          <w:b/>
          <w:bCs/>
          <w:noProof/>
          <w:color w:val="7030A0"/>
          <w:sz w:val="80"/>
          <w:szCs w:val="80"/>
          <w:lang w:val="en-US"/>
        </w:rPr>
        <w:t xml:space="preserve"> - </w:t>
      </w:r>
      <w:r w:rsidRPr="005F24E0">
        <w:rPr>
          <w:b/>
          <w:bCs/>
          <w:noProof/>
          <w:color w:val="7030A0"/>
          <w:sz w:val="80"/>
          <w:szCs w:val="80"/>
          <w:lang w:val="en-US"/>
        </w:rPr>
        <w:t>Working Group on Business and Human Rights</w:t>
      </w:r>
    </w:p>
    <w:p w14:paraId="45BE6B68" w14:textId="77777777" w:rsidR="004153DC" w:rsidRDefault="004153DC" w:rsidP="00B552C8">
      <w:pPr>
        <w:rPr>
          <w:b/>
          <w:bCs/>
          <w:color w:val="7030A0"/>
          <w:sz w:val="60"/>
          <w:szCs w:val="60"/>
        </w:rPr>
      </w:pPr>
    </w:p>
    <w:p w14:paraId="31112FC9" w14:textId="05EB1BC3" w:rsidR="004153DC" w:rsidRDefault="005F24E0" w:rsidP="00B552C8">
      <w:pPr>
        <w:rPr>
          <w:b/>
          <w:bCs/>
          <w:color w:val="7030A0"/>
          <w:sz w:val="60"/>
          <w:szCs w:val="60"/>
        </w:rPr>
      </w:pPr>
      <w:r>
        <w:rPr>
          <w:b/>
          <w:bCs/>
          <w:color w:val="7030A0"/>
          <w:sz w:val="60"/>
          <w:szCs w:val="60"/>
        </w:rPr>
        <w:t xml:space="preserve">Call for inputs. </w:t>
      </w:r>
      <w:r w:rsidR="00A4619B" w:rsidRPr="00A4619B">
        <w:rPr>
          <w:b/>
          <w:bCs/>
          <w:color w:val="7030A0"/>
          <w:sz w:val="60"/>
          <w:szCs w:val="60"/>
        </w:rPr>
        <w:t xml:space="preserve"> </w:t>
      </w:r>
      <w:r w:rsidRPr="005F24E0">
        <w:rPr>
          <w:b/>
          <w:bCs/>
          <w:color w:val="7030A0"/>
          <w:sz w:val="60"/>
          <w:szCs w:val="60"/>
        </w:rPr>
        <w:t>Investors, ESG and Human Rights</w:t>
      </w:r>
    </w:p>
    <w:p w14:paraId="6408C37C" w14:textId="77777777" w:rsidR="005F24E0" w:rsidRDefault="005F24E0" w:rsidP="00B552C8">
      <w:pPr>
        <w:rPr>
          <w:b/>
          <w:bCs/>
          <w:sz w:val="28"/>
          <w:szCs w:val="28"/>
        </w:rPr>
      </w:pPr>
    </w:p>
    <w:p w14:paraId="4D9B6446" w14:textId="5D62BBFA" w:rsidR="003A5C57" w:rsidRDefault="003A5C57" w:rsidP="00B552C8">
      <w:pPr>
        <w:rPr>
          <w:b/>
          <w:bCs/>
          <w:sz w:val="28"/>
          <w:szCs w:val="28"/>
        </w:rPr>
      </w:pPr>
    </w:p>
    <w:p w14:paraId="2FD24AE6" w14:textId="319034AB" w:rsidR="003A5C57" w:rsidRDefault="003A5C57" w:rsidP="00B552C8">
      <w:pPr>
        <w:rPr>
          <w:b/>
          <w:bCs/>
          <w:sz w:val="28"/>
          <w:szCs w:val="28"/>
        </w:rPr>
      </w:pPr>
    </w:p>
    <w:p w14:paraId="0441592B" w14:textId="2FD7D8F9" w:rsidR="003A5C57" w:rsidRDefault="009649E1" w:rsidP="00D30BA0">
      <w:pPr>
        <w:jc w:val="center"/>
        <w:rPr>
          <w:b/>
          <w:bCs/>
          <w:sz w:val="28"/>
          <w:szCs w:val="28"/>
        </w:rPr>
      </w:pPr>
      <w:r>
        <w:rPr>
          <w:noProof/>
        </w:rPr>
        <w:drawing>
          <wp:inline distT="0" distB="0" distL="0" distR="0" wp14:anchorId="1AADF484" wp14:editId="1A0B7913">
            <wp:extent cx="3670300" cy="2446867"/>
            <wp:effectExtent l="0" t="0" r="6350" b="0"/>
            <wp:docPr id="564589881" name="Picture 2" descr="Human rights due diligence spots investment risks earlier than ESG - ESG  C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rights due diligence spots investment risks earlier than ESG - ESG  Clar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2759" cy="2455173"/>
                    </a:xfrm>
                    <a:prstGeom prst="rect">
                      <a:avLst/>
                    </a:prstGeom>
                    <a:noFill/>
                    <a:ln>
                      <a:noFill/>
                    </a:ln>
                  </pic:spPr>
                </pic:pic>
              </a:graphicData>
            </a:graphic>
          </wp:inline>
        </w:drawing>
      </w:r>
    </w:p>
    <w:p w14:paraId="0D5F7EF3" w14:textId="3A550D4F" w:rsidR="003A5C57" w:rsidRDefault="003A5C57" w:rsidP="00A4619B">
      <w:pPr>
        <w:jc w:val="both"/>
        <w:rPr>
          <w:rFonts w:ascii="Arial" w:hAnsi="Arial" w:cs="Arial"/>
          <w:b/>
          <w:bCs/>
          <w:color w:val="0070C0"/>
          <w:sz w:val="32"/>
          <w:szCs w:val="32"/>
        </w:rPr>
      </w:pPr>
      <w:r w:rsidRPr="003A5C57">
        <w:rPr>
          <w:rFonts w:ascii="Arial" w:hAnsi="Arial" w:cs="Arial"/>
          <w:b/>
          <w:bCs/>
          <w:color w:val="0070C0"/>
          <w:sz w:val="32"/>
          <w:szCs w:val="32"/>
        </w:rPr>
        <w:lastRenderedPageBreak/>
        <w:t>Written evidence submitted to</w:t>
      </w:r>
      <w:r w:rsidR="0032790E" w:rsidRPr="0032790E">
        <w:t xml:space="preserve"> </w:t>
      </w:r>
      <w:r w:rsidR="00A4619B">
        <w:rPr>
          <w:rFonts w:ascii="Arial" w:hAnsi="Arial" w:cs="Arial"/>
          <w:b/>
          <w:bCs/>
          <w:color w:val="0070C0"/>
          <w:sz w:val="32"/>
          <w:szCs w:val="32"/>
        </w:rPr>
        <w:t>t</w:t>
      </w:r>
      <w:r w:rsidR="00A4619B" w:rsidRPr="00A4619B">
        <w:rPr>
          <w:rFonts w:ascii="Arial" w:hAnsi="Arial" w:cs="Arial"/>
          <w:b/>
          <w:bCs/>
          <w:color w:val="0070C0"/>
          <w:sz w:val="32"/>
          <w:szCs w:val="32"/>
        </w:rPr>
        <w:t xml:space="preserve">he </w:t>
      </w:r>
      <w:r w:rsidR="009649E1" w:rsidRPr="009649E1">
        <w:rPr>
          <w:rFonts w:ascii="Arial" w:hAnsi="Arial" w:cs="Arial"/>
          <w:b/>
          <w:bCs/>
          <w:color w:val="0070C0"/>
          <w:sz w:val="32"/>
          <w:szCs w:val="32"/>
        </w:rPr>
        <w:t>Working Group on Business and Human Rights</w:t>
      </w:r>
      <w:r w:rsidR="00A4619B">
        <w:rPr>
          <w:rFonts w:ascii="Arial" w:hAnsi="Arial" w:cs="Arial"/>
          <w:b/>
          <w:bCs/>
          <w:color w:val="0070C0"/>
          <w:sz w:val="32"/>
          <w:szCs w:val="32"/>
        </w:rPr>
        <w:t xml:space="preserve"> - </w:t>
      </w:r>
      <w:r w:rsidR="009649E1" w:rsidRPr="009649E1">
        <w:rPr>
          <w:rFonts w:ascii="Arial" w:hAnsi="Arial" w:cs="Arial"/>
          <w:b/>
          <w:bCs/>
          <w:color w:val="0070C0"/>
          <w:sz w:val="32"/>
          <w:szCs w:val="32"/>
        </w:rPr>
        <w:t>Investors, ESG and Human Rights</w:t>
      </w:r>
      <w:r w:rsidRPr="003A5C57">
        <w:rPr>
          <w:rFonts w:ascii="Arial" w:hAnsi="Arial" w:cs="Arial"/>
          <w:b/>
          <w:bCs/>
          <w:color w:val="0070C0"/>
          <w:sz w:val="32"/>
          <w:szCs w:val="32"/>
        </w:rPr>
        <w:t>.</w:t>
      </w:r>
    </w:p>
    <w:p w14:paraId="33420664" w14:textId="77777777" w:rsidR="003A5C57" w:rsidRDefault="003A5C57" w:rsidP="003A5C57">
      <w:pPr>
        <w:jc w:val="both"/>
        <w:rPr>
          <w:rFonts w:ascii="Arial" w:hAnsi="Arial" w:cs="Arial"/>
          <w:color w:val="0070C0"/>
          <w:sz w:val="32"/>
          <w:szCs w:val="32"/>
        </w:rPr>
      </w:pPr>
    </w:p>
    <w:p w14:paraId="13FB48A5" w14:textId="4446FA93" w:rsidR="003A5C57" w:rsidRDefault="003A5C57" w:rsidP="003A5C57">
      <w:pPr>
        <w:jc w:val="both"/>
        <w:rPr>
          <w:rFonts w:ascii="Arial" w:hAnsi="Arial" w:cs="Arial"/>
        </w:rPr>
      </w:pPr>
      <w:r w:rsidRPr="009B2CAB">
        <w:rPr>
          <w:rFonts w:ascii="Arial" w:hAnsi="Arial" w:cs="Arial"/>
        </w:rPr>
        <w:t>The Institution of Occupational Safety and Health (IOSH),</w:t>
      </w:r>
      <w:r w:rsidR="00AF5DA7">
        <w:rPr>
          <w:rFonts w:ascii="Arial" w:hAnsi="Arial" w:cs="Arial"/>
        </w:rPr>
        <w:t xml:space="preserve"> </w:t>
      </w:r>
      <w:r w:rsidRPr="009B2CAB">
        <w:rPr>
          <w:rFonts w:ascii="Arial" w:hAnsi="Arial" w:cs="Arial"/>
        </w:rPr>
        <w:t>the Chartered body for occupational safety and health professionals, with approximately 4</w:t>
      </w:r>
      <w:r w:rsidR="006E106C" w:rsidRPr="009B2CAB">
        <w:rPr>
          <w:rFonts w:ascii="Arial" w:hAnsi="Arial" w:cs="Arial"/>
        </w:rPr>
        <w:t>9</w:t>
      </w:r>
      <w:r w:rsidRPr="009B2CAB">
        <w:rPr>
          <w:rFonts w:ascii="Arial" w:hAnsi="Arial" w:cs="Arial"/>
        </w:rPr>
        <w:t>,000 members in more than 130 countries, has a vision of ‘</w:t>
      </w:r>
      <w:r w:rsidRPr="009B2CAB">
        <w:rPr>
          <w:rFonts w:ascii="Arial" w:hAnsi="Arial" w:cs="Arial"/>
          <w:i/>
          <w:iCs/>
        </w:rPr>
        <w:t>A safe and healthy world of work</w:t>
      </w:r>
      <w:r w:rsidRPr="009B2CAB">
        <w:rPr>
          <w:rFonts w:ascii="Arial" w:hAnsi="Arial" w:cs="Arial"/>
        </w:rPr>
        <w:t xml:space="preserve">’. As an international </w:t>
      </w:r>
      <w:r w:rsidR="00186896">
        <w:rPr>
          <w:rFonts w:ascii="Arial" w:hAnsi="Arial" w:cs="Arial"/>
        </w:rPr>
        <w:t xml:space="preserve">non-governmental </w:t>
      </w:r>
      <w:r w:rsidRPr="009B2CAB">
        <w:rPr>
          <w:rFonts w:ascii="Arial" w:hAnsi="Arial" w:cs="Arial"/>
        </w:rPr>
        <w:t>organisation</w:t>
      </w:r>
      <w:r w:rsidR="0064777E">
        <w:rPr>
          <w:rFonts w:ascii="Arial" w:hAnsi="Arial" w:cs="Arial"/>
        </w:rPr>
        <w:t xml:space="preserve"> (</w:t>
      </w:r>
      <w:r w:rsidR="00824E8A">
        <w:rPr>
          <w:rFonts w:ascii="Arial" w:hAnsi="Arial" w:cs="Arial"/>
        </w:rPr>
        <w:t>NGO)</w:t>
      </w:r>
      <w:r w:rsidRPr="009B2CAB">
        <w:rPr>
          <w:rFonts w:ascii="Arial" w:hAnsi="Arial" w:cs="Arial"/>
        </w:rPr>
        <w:t xml:space="preserve">, </w:t>
      </w:r>
      <w:r w:rsidR="00F24407" w:rsidRPr="00F24407">
        <w:rPr>
          <w:rFonts w:ascii="Arial" w:hAnsi="Arial" w:cs="Arial"/>
        </w:rPr>
        <w:t>in special consultative status with the Economic and Social Council since 2023</w:t>
      </w:r>
      <w:r w:rsidR="0082475C">
        <w:rPr>
          <w:rFonts w:ascii="Arial" w:hAnsi="Arial" w:cs="Arial"/>
        </w:rPr>
        <w:t>,</w:t>
      </w:r>
      <w:r w:rsidR="0031680B">
        <w:rPr>
          <w:rFonts w:ascii="Arial" w:hAnsi="Arial" w:cs="Arial"/>
        </w:rPr>
        <w:t xml:space="preserve"> and on the Special List of the International Labour Organisation since</w:t>
      </w:r>
      <w:r w:rsidR="00002A4D">
        <w:rPr>
          <w:rFonts w:ascii="Arial" w:hAnsi="Arial" w:cs="Arial"/>
        </w:rPr>
        <w:t xml:space="preserve"> 2006</w:t>
      </w:r>
      <w:r w:rsidR="003B21CE">
        <w:rPr>
          <w:rFonts w:ascii="Arial" w:hAnsi="Arial" w:cs="Arial"/>
        </w:rPr>
        <w:t>,</w:t>
      </w:r>
      <w:r w:rsidR="008D5127">
        <w:rPr>
          <w:rFonts w:ascii="Arial" w:hAnsi="Arial" w:cs="Arial"/>
        </w:rPr>
        <w:t xml:space="preserve"> </w:t>
      </w:r>
      <w:r w:rsidRPr="009B2CAB">
        <w:rPr>
          <w:rFonts w:ascii="Arial" w:hAnsi="Arial" w:cs="Arial"/>
        </w:rPr>
        <w:t>IOSH ethically influences important decisions that affect the safety, health and wellbeing of people at work worldwide. We responsibly collaborate with governments, advise policymakers, commission research, set standards, engage with global, regional and local organisations and run high-profile campaigns to promote awareness of occupational safety and health (OSH) issues. The IOSH Policy and Regulatory Engagement function provides a strong foundation for key policy responses and public policy initiatives that focus on the crucial role of OSH.</w:t>
      </w:r>
    </w:p>
    <w:p w14:paraId="7BBC2FE4" w14:textId="77777777" w:rsidR="00660C2E" w:rsidRDefault="00660C2E" w:rsidP="003A5C57">
      <w:pPr>
        <w:jc w:val="both"/>
        <w:rPr>
          <w:rFonts w:ascii="Arial" w:hAnsi="Arial" w:cs="Arial"/>
        </w:rPr>
      </w:pPr>
    </w:p>
    <w:p w14:paraId="25E16DB5" w14:textId="40A36CA7" w:rsidR="00660C2E" w:rsidRPr="003A3601" w:rsidRDefault="00660C2E" w:rsidP="00660C2E">
      <w:pPr>
        <w:jc w:val="both"/>
        <w:rPr>
          <w:rFonts w:ascii="Arial" w:hAnsi="Arial" w:cs="Arial"/>
        </w:rPr>
      </w:pPr>
      <w:r w:rsidRPr="00660C2E">
        <w:rPr>
          <w:rFonts w:ascii="Arial" w:hAnsi="Arial" w:cs="Arial"/>
        </w:rPr>
        <w:t xml:space="preserve">As the largest </w:t>
      </w:r>
      <w:r w:rsidR="00011854">
        <w:rPr>
          <w:rFonts w:ascii="Arial" w:hAnsi="Arial" w:cs="Arial"/>
        </w:rPr>
        <w:t>professional body</w:t>
      </w:r>
      <w:r w:rsidRPr="00660C2E">
        <w:rPr>
          <w:rFonts w:ascii="Arial" w:hAnsi="Arial" w:cs="Arial"/>
        </w:rPr>
        <w:t xml:space="preserve"> for OSH professionals, we support them in their work to advise businesses on the </w:t>
      </w:r>
      <w:r w:rsidR="00381E7D">
        <w:rPr>
          <w:rFonts w:ascii="Arial" w:hAnsi="Arial" w:cs="Arial"/>
        </w:rPr>
        <w:t xml:space="preserve">measurement of, and </w:t>
      </w:r>
      <w:r w:rsidRPr="00660C2E">
        <w:rPr>
          <w:rFonts w:ascii="Arial" w:hAnsi="Arial" w:cs="Arial"/>
        </w:rPr>
        <w:t>impact of</w:t>
      </w:r>
      <w:r w:rsidR="00381E7D">
        <w:rPr>
          <w:rFonts w:ascii="Arial" w:hAnsi="Arial" w:cs="Arial"/>
        </w:rPr>
        <w:t>,</w:t>
      </w:r>
      <w:r w:rsidRPr="00660C2E">
        <w:rPr>
          <w:rFonts w:ascii="Arial" w:hAnsi="Arial" w:cs="Arial"/>
        </w:rPr>
        <w:t xml:space="preserve"> OSH performance on human capital management and sustainability. We champion and advocate policy to ‘put people back into sustainability’, with OSH integral to sustainable business performance.</w:t>
      </w:r>
      <w:r w:rsidR="00BB28B6">
        <w:rPr>
          <w:rFonts w:ascii="Arial" w:hAnsi="Arial" w:cs="Arial"/>
        </w:rPr>
        <w:t xml:space="preserve"> </w:t>
      </w:r>
      <w:r w:rsidRPr="003A3601">
        <w:rPr>
          <w:rFonts w:ascii="Arial" w:hAnsi="Arial" w:cs="Arial"/>
        </w:rPr>
        <w:t xml:space="preserve">On corporate transparency we advocate for, promote and influence principles of good OSH globally which includes OSH metric frameworks from international standards (for example, ISO 45001: 2018 Occupational Safety and Health Management systems – Requirements with guidance for use and GRI 403: Occupational Health and Safety 2018). IOSH advocates a transparent, human-centred approach that properly recognises and values the role of OSH in the development and protection of human and relationship capital where workers are recognised as material to organisational success and sustainability. Where ‘people’ are positioned at the heart of the </w:t>
      </w:r>
      <w:r w:rsidR="00BB72A4" w:rsidRPr="003A3601">
        <w:rPr>
          <w:rFonts w:ascii="Arial" w:hAnsi="Arial" w:cs="Arial"/>
        </w:rPr>
        <w:t>agenda and</w:t>
      </w:r>
      <w:r w:rsidRPr="003A3601">
        <w:rPr>
          <w:rFonts w:ascii="Arial" w:hAnsi="Arial" w:cs="Arial"/>
        </w:rPr>
        <w:t xml:space="preserve"> is reflected in national and corporate governance </w:t>
      </w:r>
      <w:r w:rsidR="0022781E">
        <w:rPr>
          <w:rFonts w:ascii="Arial" w:hAnsi="Arial" w:cs="Arial"/>
        </w:rPr>
        <w:t xml:space="preserve">transparency, </w:t>
      </w:r>
      <w:r w:rsidRPr="003A3601">
        <w:rPr>
          <w:rFonts w:ascii="Arial" w:hAnsi="Arial" w:cs="Arial"/>
        </w:rPr>
        <w:t>reporting and disclosure. We joined the UN Global Compact as a ‘</w:t>
      </w:r>
      <w:r w:rsidR="0077311D">
        <w:rPr>
          <w:rFonts w:ascii="Arial" w:hAnsi="Arial" w:cs="Arial"/>
        </w:rPr>
        <w:t xml:space="preserve">non-business </w:t>
      </w:r>
      <w:r w:rsidRPr="003A3601">
        <w:rPr>
          <w:rFonts w:ascii="Arial" w:hAnsi="Arial" w:cs="Arial"/>
        </w:rPr>
        <w:t xml:space="preserve">participant’, </w:t>
      </w:r>
      <w:r w:rsidR="00294BE1">
        <w:rPr>
          <w:rFonts w:ascii="Arial" w:hAnsi="Arial" w:cs="Arial"/>
        </w:rPr>
        <w:t xml:space="preserve">committed to support </w:t>
      </w:r>
      <w:r w:rsidRPr="003A3601">
        <w:rPr>
          <w:rFonts w:ascii="Arial" w:hAnsi="Arial" w:cs="Arial"/>
        </w:rPr>
        <w:t xml:space="preserve">more than </w:t>
      </w:r>
      <w:r w:rsidR="00E96391" w:rsidRPr="00E96391">
        <w:rPr>
          <w:rFonts w:ascii="Arial" w:hAnsi="Arial" w:cs="Arial"/>
        </w:rPr>
        <w:t>17,000</w:t>
      </w:r>
      <w:r w:rsidR="00E96391">
        <w:rPr>
          <w:rFonts w:ascii="Arial" w:hAnsi="Arial" w:cs="Arial"/>
        </w:rPr>
        <w:t xml:space="preserve"> business</w:t>
      </w:r>
      <w:r w:rsidR="00E96391" w:rsidRPr="00E96391">
        <w:rPr>
          <w:rFonts w:ascii="Arial" w:hAnsi="Arial" w:cs="Arial"/>
        </w:rPr>
        <w:t xml:space="preserve"> participants in over 160 countries, both developed and developing, representing nearly every sector and size</w:t>
      </w:r>
      <w:r w:rsidRPr="003A3601">
        <w:rPr>
          <w:rFonts w:ascii="Arial" w:hAnsi="Arial" w:cs="Arial"/>
        </w:rPr>
        <w:t xml:space="preserve">, all of whom are committing to align their operations with universal principles on human rights, labour, the </w:t>
      </w:r>
      <w:r w:rsidR="00BB72A4" w:rsidRPr="003A3601">
        <w:rPr>
          <w:rFonts w:ascii="Arial" w:hAnsi="Arial" w:cs="Arial"/>
        </w:rPr>
        <w:t>environment,</w:t>
      </w:r>
      <w:r w:rsidRPr="003A3601">
        <w:rPr>
          <w:rFonts w:ascii="Arial" w:hAnsi="Arial" w:cs="Arial"/>
        </w:rPr>
        <w:t xml:space="preserve"> and anti-corruption — and to take actions that advance societal goals.</w:t>
      </w:r>
    </w:p>
    <w:p w14:paraId="543A8122" w14:textId="77777777" w:rsidR="00660C2E" w:rsidRDefault="00660C2E" w:rsidP="00660C2E">
      <w:pPr>
        <w:jc w:val="both"/>
        <w:rPr>
          <w:rFonts w:ascii="Arial" w:hAnsi="Arial" w:cs="Arial"/>
        </w:rPr>
      </w:pPr>
    </w:p>
    <w:p w14:paraId="6378E106" w14:textId="4976AD3D" w:rsidR="00660C2E" w:rsidRDefault="00660C2E" w:rsidP="00660C2E">
      <w:pPr>
        <w:jc w:val="both"/>
        <w:rPr>
          <w:rFonts w:ascii="Arial" w:hAnsi="Arial" w:cs="Arial"/>
        </w:rPr>
      </w:pPr>
      <w:r w:rsidRPr="003A3601">
        <w:rPr>
          <w:rFonts w:ascii="Arial" w:hAnsi="Arial" w:cs="Arial"/>
        </w:rPr>
        <w:t xml:space="preserve">IOSH’s recently launched </w:t>
      </w:r>
      <w:r w:rsidR="00D42427">
        <w:rPr>
          <w:rFonts w:ascii="Arial" w:hAnsi="Arial" w:cs="Arial"/>
        </w:rPr>
        <w:t xml:space="preserve">our </w:t>
      </w:r>
      <w:r w:rsidRPr="003A3601">
        <w:rPr>
          <w:rFonts w:ascii="Arial" w:hAnsi="Arial" w:cs="Arial"/>
        </w:rPr>
        <w:t>‘Catch the Wave’ campaign</w:t>
      </w:r>
      <w:r w:rsidR="00BB28B6">
        <w:rPr>
          <w:rStyle w:val="FootnoteReference"/>
          <w:rFonts w:ascii="Arial" w:hAnsi="Arial" w:cs="Arial"/>
        </w:rPr>
        <w:footnoteReference w:id="1"/>
      </w:r>
      <w:r w:rsidRPr="003A3601">
        <w:rPr>
          <w:rFonts w:ascii="Arial" w:hAnsi="Arial" w:cs="Arial"/>
        </w:rPr>
        <w:t xml:space="preserve"> </w:t>
      </w:r>
      <w:r w:rsidR="00D42427">
        <w:rPr>
          <w:rFonts w:ascii="Arial" w:hAnsi="Arial" w:cs="Arial"/>
        </w:rPr>
        <w:t xml:space="preserve">which promote the contribution of OSH to social sustainability and seeks to </w:t>
      </w:r>
      <w:r w:rsidRPr="003A3601">
        <w:rPr>
          <w:rFonts w:ascii="Arial" w:hAnsi="Arial" w:cs="Arial"/>
        </w:rPr>
        <w:t>stimulat</w:t>
      </w:r>
      <w:r w:rsidR="00D42427">
        <w:rPr>
          <w:rFonts w:ascii="Arial" w:hAnsi="Arial" w:cs="Arial"/>
        </w:rPr>
        <w:t>e</w:t>
      </w:r>
      <w:r w:rsidRPr="003A3601">
        <w:rPr>
          <w:rFonts w:ascii="Arial" w:hAnsi="Arial" w:cs="Arial"/>
        </w:rPr>
        <w:t xml:space="preserve"> commitment from capital markets, businesses and employers to </w:t>
      </w:r>
      <w:r w:rsidR="000554B3">
        <w:rPr>
          <w:rFonts w:ascii="Arial" w:hAnsi="Arial" w:cs="Arial"/>
        </w:rPr>
        <w:t>ensure</w:t>
      </w:r>
      <w:r w:rsidR="000554B3" w:rsidRPr="003A3601">
        <w:rPr>
          <w:rFonts w:ascii="Arial" w:hAnsi="Arial" w:cs="Arial"/>
        </w:rPr>
        <w:t xml:space="preserve"> </w:t>
      </w:r>
      <w:r w:rsidRPr="003A3601">
        <w:rPr>
          <w:rFonts w:ascii="Arial" w:hAnsi="Arial" w:cs="Arial"/>
        </w:rPr>
        <w:t>that the operations they support are socially sustainable</w:t>
      </w:r>
      <w:r w:rsidR="000554B3">
        <w:rPr>
          <w:rFonts w:ascii="Arial" w:hAnsi="Arial" w:cs="Arial"/>
        </w:rPr>
        <w:t>,</w:t>
      </w:r>
      <w:r w:rsidRPr="003A3601">
        <w:rPr>
          <w:rFonts w:ascii="Arial" w:hAnsi="Arial" w:cs="Arial"/>
        </w:rPr>
        <w:t xml:space="preserve"> and to give profile to the social pillar of sustainability and the role of OSH within it. Sound social management </w:t>
      </w:r>
      <w:r w:rsidR="000554B3">
        <w:rPr>
          <w:rFonts w:ascii="Arial" w:hAnsi="Arial" w:cs="Arial"/>
        </w:rPr>
        <w:t>is critical</w:t>
      </w:r>
      <w:r w:rsidRPr="003A3601">
        <w:rPr>
          <w:rFonts w:ascii="Arial" w:hAnsi="Arial" w:cs="Arial"/>
        </w:rPr>
        <w:t xml:space="preserve"> to our vision </w:t>
      </w:r>
      <w:r w:rsidR="000554B3">
        <w:rPr>
          <w:rFonts w:ascii="Arial" w:hAnsi="Arial" w:cs="Arial"/>
        </w:rPr>
        <w:t>for</w:t>
      </w:r>
      <w:r w:rsidRPr="003A3601">
        <w:rPr>
          <w:rFonts w:ascii="Arial" w:hAnsi="Arial" w:cs="Arial"/>
        </w:rPr>
        <w:t xml:space="preserve"> a safer, healthier and sustainable future of work, more equitable markets and inclusive societies.</w:t>
      </w:r>
    </w:p>
    <w:p w14:paraId="48E575B5" w14:textId="77777777" w:rsidR="00660C2E" w:rsidRPr="009B2CAB" w:rsidRDefault="00660C2E" w:rsidP="003A5C57">
      <w:pPr>
        <w:jc w:val="both"/>
        <w:rPr>
          <w:rFonts w:ascii="Arial" w:hAnsi="Arial" w:cs="Arial"/>
        </w:rPr>
      </w:pPr>
    </w:p>
    <w:p w14:paraId="6F69AD15" w14:textId="77777777" w:rsidR="005C0C38" w:rsidRDefault="005C0C38" w:rsidP="003A5C57">
      <w:pPr>
        <w:jc w:val="both"/>
        <w:rPr>
          <w:rFonts w:ascii="Arial" w:hAnsi="Arial" w:cs="Arial"/>
          <w:sz w:val="20"/>
          <w:szCs w:val="20"/>
        </w:rPr>
      </w:pPr>
    </w:p>
    <w:p w14:paraId="370420CE" w14:textId="77777777" w:rsidR="00F23E90" w:rsidRDefault="00F23E90" w:rsidP="003D20A3">
      <w:pPr>
        <w:jc w:val="both"/>
        <w:rPr>
          <w:rFonts w:ascii="Arial" w:hAnsi="Arial" w:cs="Arial"/>
          <w:b/>
          <w:bCs/>
          <w:color w:val="7030A0"/>
          <w:sz w:val="36"/>
          <w:szCs w:val="36"/>
        </w:rPr>
      </w:pPr>
    </w:p>
    <w:p w14:paraId="1297F4A8" w14:textId="77777777" w:rsidR="00F23E90" w:rsidRDefault="00F23E90" w:rsidP="003D20A3">
      <w:pPr>
        <w:jc w:val="both"/>
        <w:rPr>
          <w:rFonts w:ascii="Arial" w:hAnsi="Arial" w:cs="Arial"/>
          <w:b/>
          <w:bCs/>
          <w:color w:val="7030A0"/>
          <w:sz w:val="36"/>
          <w:szCs w:val="36"/>
        </w:rPr>
      </w:pPr>
    </w:p>
    <w:p w14:paraId="6BAF1FBB" w14:textId="77777777" w:rsidR="00F23E90" w:rsidRDefault="00F23E90" w:rsidP="003D20A3">
      <w:pPr>
        <w:jc w:val="both"/>
        <w:rPr>
          <w:rFonts w:ascii="Arial" w:hAnsi="Arial" w:cs="Arial"/>
          <w:b/>
          <w:bCs/>
          <w:color w:val="7030A0"/>
          <w:sz w:val="36"/>
          <w:szCs w:val="36"/>
        </w:rPr>
      </w:pPr>
    </w:p>
    <w:p w14:paraId="075F341E" w14:textId="77777777" w:rsidR="00F23E90" w:rsidRDefault="00F23E90" w:rsidP="003D20A3">
      <w:pPr>
        <w:jc w:val="both"/>
        <w:rPr>
          <w:rFonts w:ascii="Arial" w:hAnsi="Arial" w:cs="Arial"/>
          <w:b/>
          <w:bCs/>
          <w:color w:val="7030A0"/>
          <w:sz w:val="36"/>
          <w:szCs w:val="36"/>
        </w:rPr>
      </w:pPr>
    </w:p>
    <w:p w14:paraId="5DE4474B" w14:textId="77777777" w:rsidR="00F23E90" w:rsidRDefault="00F23E90" w:rsidP="003D20A3">
      <w:pPr>
        <w:jc w:val="both"/>
        <w:rPr>
          <w:rFonts w:ascii="Arial" w:hAnsi="Arial" w:cs="Arial"/>
          <w:b/>
          <w:bCs/>
          <w:color w:val="7030A0"/>
          <w:sz w:val="36"/>
          <w:szCs w:val="36"/>
        </w:rPr>
      </w:pPr>
    </w:p>
    <w:p w14:paraId="2763A110" w14:textId="198FFABD" w:rsidR="005E6BFA" w:rsidRDefault="003D20A3" w:rsidP="003D20A3">
      <w:pPr>
        <w:jc w:val="both"/>
        <w:rPr>
          <w:rFonts w:ascii="Arial" w:hAnsi="Arial" w:cs="Arial"/>
          <w:color w:val="000000"/>
          <w:sz w:val="20"/>
          <w:szCs w:val="20"/>
        </w:rPr>
      </w:pPr>
      <w:r w:rsidRPr="003D20A3">
        <w:rPr>
          <w:rFonts w:ascii="Arial" w:hAnsi="Arial" w:cs="Arial"/>
          <w:b/>
          <w:bCs/>
          <w:color w:val="7030A0"/>
          <w:sz w:val="36"/>
          <w:szCs w:val="36"/>
        </w:rPr>
        <w:t>Written evidence submitted by</w:t>
      </w:r>
      <w:r>
        <w:rPr>
          <w:rFonts w:ascii="Arial" w:hAnsi="Arial" w:cs="Arial"/>
          <w:b/>
          <w:bCs/>
          <w:color w:val="7030A0"/>
          <w:sz w:val="36"/>
          <w:szCs w:val="36"/>
        </w:rPr>
        <w:t xml:space="preserve"> the Institution of Occupational Safety and Health.</w:t>
      </w:r>
    </w:p>
    <w:p w14:paraId="550458E5" w14:textId="77777777" w:rsidR="003D20A3" w:rsidRDefault="003D20A3" w:rsidP="00B552C8">
      <w:pPr>
        <w:rPr>
          <w:rFonts w:ascii="Arial" w:hAnsi="Arial" w:cs="Arial"/>
          <w:b/>
          <w:bCs/>
          <w:color w:val="0070C0"/>
          <w:sz w:val="24"/>
          <w:szCs w:val="24"/>
        </w:rPr>
      </w:pPr>
    </w:p>
    <w:p w14:paraId="0A6647EA" w14:textId="77777777" w:rsidR="005F24E0" w:rsidRPr="005F24E0" w:rsidRDefault="005F24E0" w:rsidP="005F24E0">
      <w:pPr>
        <w:pStyle w:val="NormalWeb"/>
        <w:jc w:val="both"/>
        <w:rPr>
          <w:rFonts w:ascii="Arial" w:hAnsi="Arial" w:cs="Arial"/>
          <w:color w:val="0070C0"/>
          <w:sz w:val="22"/>
          <w:szCs w:val="22"/>
        </w:rPr>
      </w:pPr>
      <w:r w:rsidRPr="005F24E0">
        <w:rPr>
          <w:rStyle w:val="Strong"/>
          <w:rFonts w:ascii="Arial" w:hAnsi="Arial" w:cs="Arial"/>
          <w:color w:val="0070C0"/>
          <w:sz w:val="22"/>
          <w:szCs w:val="22"/>
        </w:rPr>
        <w:t>General</w:t>
      </w:r>
    </w:p>
    <w:p w14:paraId="10E18080" w14:textId="77777777" w:rsidR="005F24E0" w:rsidRDefault="005F24E0" w:rsidP="005F24E0">
      <w:pPr>
        <w:numPr>
          <w:ilvl w:val="0"/>
          <w:numId w:val="12"/>
        </w:numPr>
        <w:spacing w:before="100" w:beforeAutospacing="1" w:after="100" w:afterAutospacing="1"/>
        <w:jc w:val="both"/>
        <w:rPr>
          <w:rFonts w:ascii="Arial" w:hAnsi="Arial" w:cs="Arial"/>
          <w:color w:val="0070C0"/>
        </w:rPr>
      </w:pPr>
      <w:r w:rsidRPr="005F24E0">
        <w:rPr>
          <w:rFonts w:ascii="Arial" w:hAnsi="Arial" w:cs="Arial"/>
          <w:color w:val="0070C0"/>
        </w:rPr>
        <w:t>What do you understand Environmental, Social, and Governance (ESG) in finance to mean? How are human rights standards and frameworks considered by investors, if at all, in ESG?</w:t>
      </w:r>
    </w:p>
    <w:p w14:paraId="183430C3" w14:textId="00CA802C" w:rsidR="00042B88" w:rsidRDefault="00A23878" w:rsidP="00A23878">
      <w:pPr>
        <w:spacing w:before="100" w:beforeAutospacing="1" w:after="100" w:afterAutospacing="1"/>
        <w:jc w:val="both"/>
        <w:rPr>
          <w:rFonts w:ascii="Arial" w:hAnsi="Arial" w:cs="Arial"/>
        </w:rPr>
      </w:pPr>
      <w:r>
        <w:rPr>
          <w:rFonts w:ascii="Arial" w:hAnsi="Arial" w:cs="Arial"/>
        </w:rPr>
        <w:t>I</w:t>
      </w:r>
      <w:r w:rsidRPr="00A23878">
        <w:rPr>
          <w:rFonts w:ascii="Arial" w:hAnsi="Arial" w:cs="Arial"/>
        </w:rPr>
        <w:t>n response to growing concerns among their employees, customers, investors, and impacted communities, many firms are making themselves accountable for their Environmental, Social, and Governance (ESG) practices</w:t>
      </w:r>
      <w:r>
        <w:rPr>
          <w:rFonts w:ascii="Arial" w:hAnsi="Arial" w:cs="Arial"/>
        </w:rPr>
        <w:t>, with s</w:t>
      </w:r>
      <w:r w:rsidR="00042B88" w:rsidRPr="00042B88">
        <w:rPr>
          <w:rFonts w:ascii="Arial" w:hAnsi="Arial" w:cs="Arial"/>
        </w:rPr>
        <w:t>ocial issues such as</w:t>
      </w:r>
      <w:r w:rsidR="00042B88">
        <w:rPr>
          <w:rFonts w:ascii="Arial" w:hAnsi="Arial" w:cs="Arial"/>
        </w:rPr>
        <w:t xml:space="preserve"> </w:t>
      </w:r>
      <w:r>
        <w:rPr>
          <w:rFonts w:ascii="Arial" w:hAnsi="Arial" w:cs="Arial"/>
        </w:rPr>
        <w:t xml:space="preserve">human rights, </w:t>
      </w:r>
      <w:r w:rsidR="00042B88" w:rsidRPr="00042B88">
        <w:rPr>
          <w:rFonts w:ascii="Arial" w:hAnsi="Arial" w:cs="Arial"/>
        </w:rPr>
        <w:t>occupational safety and health (OSH), labour rights and</w:t>
      </w:r>
      <w:r w:rsidR="00042B88">
        <w:rPr>
          <w:rFonts w:ascii="Arial" w:hAnsi="Arial" w:cs="Arial"/>
        </w:rPr>
        <w:t xml:space="preserve"> </w:t>
      </w:r>
      <w:r w:rsidR="00042B88" w:rsidRPr="00042B88">
        <w:rPr>
          <w:rFonts w:ascii="Arial" w:hAnsi="Arial" w:cs="Arial"/>
        </w:rPr>
        <w:t xml:space="preserve">human capital </w:t>
      </w:r>
      <w:r w:rsidR="000554B3">
        <w:rPr>
          <w:rFonts w:ascii="Arial" w:hAnsi="Arial" w:cs="Arial"/>
        </w:rPr>
        <w:t xml:space="preserve">management </w:t>
      </w:r>
      <w:r w:rsidR="00042B88" w:rsidRPr="00042B88">
        <w:rPr>
          <w:rFonts w:ascii="Arial" w:hAnsi="Arial" w:cs="Arial"/>
        </w:rPr>
        <w:t xml:space="preserve">increasingly recognised as </w:t>
      </w:r>
      <w:r w:rsidR="000554B3">
        <w:rPr>
          <w:rFonts w:ascii="Arial" w:hAnsi="Arial" w:cs="Arial"/>
        </w:rPr>
        <w:t>key to sustainable business</w:t>
      </w:r>
      <w:r w:rsidR="00042B88">
        <w:rPr>
          <w:rFonts w:ascii="Arial" w:hAnsi="Arial" w:cs="Arial"/>
        </w:rPr>
        <w:t>.</w:t>
      </w:r>
      <w:r>
        <w:rPr>
          <w:rFonts w:ascii="Arial" w:hAnsi="Arial" w:cs="Arial"/>
        </w:rPr>
        <w:t xml:space="preserve"> While th</w:t>
      </w:r>
      <w:r w:rsidRPr="00A23878">
        <w:rPr>
          <w:rFonts w:ascii="Arial" w:hAnsi="Arial" w:cs="Arial"/>
        </w:rPr>
        <w:t xml:space="preserve">e </w:t>
      </w:r>
      <w:r>
        <w:rPr>
          <w:rFonts w:ascii="Arial" w:hAnsi="Arial" w:cs="Arial"/>
        </w:rPr>
        <w:t>promotion of ESG</w:t>
      </w:r>
      <w:r w:rsidRPr="00A23878">
        <w:rPr>
          <w:rFonts w:ascii="Arial" w:hAnsi="Arial" w:cs="Arial"/>
        </w:rPr>
        <w:t xml:space="preserve"> factors in making investment decisions has </w:t>
      </w:r>
      <w:r w:rsidR="008539D9">
        <w:rPr>
          <w:rFonts w:ascii="Arial" w:hAnsi="Arial" w:cs="Arial"/>
        </w:rPr>
        <w:t xml:space="preserve">recently </w:t>
      </w:r>
      <w:r w:rsidRPr="00A23878">
        <w:rPr>
          <w:rFonts w:ascii="Arial" w:hAnsi="Arial" w:cs="Arial"/>
        </w:rPr>
        <w:t>faced</w:t>
      </w:r>
      <w:r w:rsidR="008539D9">
        <w:rPr>
          <w:rFonts w:ascii="Arial" w:hAnsi="Arial" w:cs="Arial"/>
        </w:rPr>
        <w:t xml:space="preserve"> </w:t>
      </w:r>
      <w:r w:rsidRPr="00A23878">
        <w:rPr>
          <w:rFonts w:ascii="Arial" w:hAnsi="Arial" w:cs="Arial"/>
        </w:rPr>
        <w:t xml:space="preserve">negative scrutiny </w:t>
      </w:r>
      <w:r>
        <w:rPr>
          <w:rFonts w:ascii="Arial" w:hAnsi="Arial" w:cs="Arial"/>
        </w:rPr>
        <w:t>and criticism</w:t>
      </w:r>
      <w:r w:rsidR="002F7D53">
        <w:rPr>
          <w:rStyle w:val="FootnoteReference"/>
          <w:rFonts w:ascii="Arial" w:hAnsi="Arial" w:cs="Arial"/>
        </w:rPr>
        <w:footnoteReference w:id="2"/>
      </w:r>
      <w:r>
        <w:rPr>
          <w:rFonts w:ascii="Arial" w:hAnsi="Arial" w:cs="Arial"/>
        </w:rPr>
        <w:t xml:space="preserve">, </w:t>
      </w:r>
      <w:r w:rsidRPr="00A23878">
        <w:rPr>
          <w:rFonts w:ascii="Arial" w:hAnsi="Arial" w:cs="Arial"/>
        </w:rPr>
        <w:t xml:space="preserve">incorporating ESG analysis alongside traditional financial factors </w:t>
      </w:r>
      <w:r w:rsidR="00CB7B67">
        <w:rPr>
          <w:rFonts w:ascii="Arial" w:hAnsi="Arial" w:cs="Arial"/>
        </w:rPr>
        <w:t xml:space="preserve">provides a more </w:t>
      </w:r>
      <w:r w:rsidRPr="00A23878">
        <w:rPr>
          <w:rFonts w:ascii="Arial" w:hAnsi="Arial" w:cs="Arial"/>
        </w:rPr>
        <w:t xml:space="preserve">holistic understanding of risk and opportunities and long-term value </w:t>
      </w:r>
      <w:r w:rsidR="000554B3">
        <w:rPr>
          <w:rFonts w:ascii="Arial" w:hAnsi="Arial" w:cs="Arial"/>
        </w:rPr>
        <w:t>creation</w:t>
      </w:r>
      <w:r w:rsidR="00E83A8C">
        <w:rPr>
          <w:rStyle w:val="FootnoteReference"/>
          <w:rFonts w:ascii="Arial" w:hAnsi="Arial" w:cs="Arial"/>
        </w:rPr>
        <w:footnoteReference w:id="3"/>
      </w:r>
      <w:r w:rsidR="00D03A71">
        <w:rPr>
          <w:rStyle w:val="FootnoteReference"/>
          <w:rFonts w:ascii="Arial" w:hAnsi="Arial" w:cs="Arial"/>
        </w:rPr>
        <w:footnoteReference w:id="4"/>
      </w:r>
      <w:r w:rsidR="008539D9">
        <w:rPr>
          <w:rFonts w:ascii="Arial" w:hAnsi="Arial" w:cs="Arial"/>
        </w:rPr>
        <w:t xml:space="preserve"> in today’s business ecosystem</w:t>
      </w:r>
      <w:r w:rsidRPr="00A23878">
        <w:rPr>
          <w:rFonts w:ascii="Arial" w:hAnsi="Arial" w:cs="Arial"/>
        </w:rPr>
        <w:t>.</w:t>
      </w:r>
    </w:p>
    <w:p w14:paraId="61C8091F" w14:textId="3E1D9207" w:rsidR="003A1259" w:rsidRDefault="003A1259" w:rsidP="004C0AD3">
      <w:pPr>
        <w:spacing w:before="100" w:beforeAutospacing="1" w:after="100" w:afterAutospacing="1"/>
        <w:jc w:val="both"/>
        <w:rPr>
          <w:rFonts w:ascii="Arial" w:hAnsi="Arial" w:cs="Arial"/>
        </w:rPr>
      </w:pPr>
      <w:r>
        <w:rPr>
          <w:rFonts w:ascii="Arial" w:hAnsi="Arial" w:cs="Arial"/>
        </w:rPr>
        <w:t xml:space="preserve">Existing </w:t>
      </w:r>
      <w:r w:rsidRPr="003A1259">
        <w:rPr>
          <w:rFonts w:ascii="Arial" w:hAnsi="Arial" w:cs="Arial"/>
        </w:rPr>
        <w:t xml:space="preserve">ESG frameworks </w:t>
      </w:r>
      <w:r>
        <w:rPr>
          <w:rFonts w:ascii="Arial" w:hAnsi="Arial" w:cs="Arial"/>
        </w:rPr>
        <w:t>aren’t yet effectively u</w:t>
      </w:r>
      <w:r w:rsidRPr="003A1259">
        <w:rPr>
          <w:rFonts w:ascii="Arial" w:hAnsi="Arial" w:cs="Arial"/>
        </w:rPr>
        <w:t>nderpinned by robust diligence on the social elements such a</w:t>
      </w:r>
      <w:r>
        <w:rPr>
          <w:rFonts w:ascii="Arial" w:hAnsi="Arial" w:cs="Arial"/>
        </w:rPr>
        <w:t xml:space="preserve">s </w:t>
      </w:r>
      <w:r w:rsidRPr="003A1259">
        <w:rPr>
          <w:rFonts w:ascii="Arial" w:hAnsi="Arial" w:cs="Arial"/>
        </w:rPr>
        <w:t>human rights</w:t>
      </w:r>
      <w:r>
        <w:rPr>
          <w:rFonts w:ascii="Arial" w:hAnsi="Arial" w:cs="Arial"/>
        </w:rPr>
        <w:t xml:space="preserve"> (including labour and OSH risks)</w:t>
      </w:r>
      <w:r w:rsidR="000554B3">
        <w:rPr>
          <w:rFonts w:ascii="Arial" w:hAnsi="Arial" w:cs="Arial"/>
        </w:rPr>
        <w:t>. As such, a</w:t>
      </w:r>
      <w:r w:rsidRPr="003A1259">
        <w:rPr>
          <w:rFonts w:ascii="Arial" w:hAnsi="Arial" w:cs="Arial"/>
        </w:rPr>
        <w:t xml:space="preserve"> </w:t>
      </w:r>
      <w:r w:rsidR="008539D9">
        <w:rPr>
          <w:rFonts w:ascii="Arial" w:hAnsi="Arial" w:cs="Arial"/>
        </w:rPr>
        <w:t>harmonised</w:t>
      </w:r>
      <w:r w:rsidRPr="003A1259">
        <w:rPr>
          <w:rFonts w:ascii="Arial" w:hAnsi="Arial" w:cs="Arial"/>
        </w:rPr>
        <w:t xml:space="preserve"> </w:t>
      </w:r>
      <w:r w:rsidR="008539D9">
        <w:rPr>
          <w:rFonts w:ascii="Arial" w:hAnsi="Arial" w:cs="Arial"/>
        </w:rPr>
        <w:t>and</w:t>
      </w:r>
      <w:r w:rsidRPr="003A1259">
        <w:rPr>
          <w:rFonts w:ascii="Arial" w:hAnsi="Arial" w:cs="Arial"/>
        </w:rPr>
        <w:t xml:space="preserve"> robust governance system</w:t>
      </w:r>
      <w:r w:rsidR="00114E14">
        <w:rPr>
          <w:rFonts w:ascii="Arial" w:hAnsi="Arial" w:cs="Arial"/>
        </w:rPr>
        <w:t xml:space="preserve"> </w:t>
      </w:r>
      <w:r w:rsidR="008539D9">
        <w:rPr>
          <w:rFonts w:ascii="Arial" w:hAnsi="Arial" w:cs="Arial"/>
        </w:rPr>
        <w:t>is needed</w:t>
      </w:r>
      <w:r w:rsidR="000554B3">
        <w:rPr>
          <w:rFonts w:ascii="Arial" w:hAnsi="Arial" w:cs="Arial"/>
        </w:rPr>
        <w:t>,</w:t>
      </w:r>
      <w:r w:rsidR="008539D9">
        <w:rPr>
          <w:rFonts w:ascii="Arial" w:hAnsi="Arial" w:cs="Arial"/>
        </w:rPr>
        <w:t xml:space="preserve"> </w:t>
      </w:r>
      <w:r w:rsidR="00114E14">
        <w:rPr>
          <w:rFonts w:ascii="Arial" w:hAnsi="Arial" w:cs="Arial"/>
        </w:rPr>
        <w:t xml:space="preserve">despite the availability of standards that </w:t>
      </w:r>
      <w:r w:rsidR="000554B3">
        <w:rPr>
          <w:rFonts w:ascii="Arial" w:hAnsi="Arial" w:cs="Arial"/>
        </w:rPr>
        <w:t>oblige</w:t>
      </w:r>
      <w:r w:rsidR="00114E14" w:rsidRPr="00114E14">
        <w:rPr>
          <w:rFonts w:ascii="Arial" w:hAnsi="Arial" w:cs="Arial"/>
        </w:rPr>
        <w:t xml:space="preserve"> companies</w:t>
      </w:r>
      <w:r w:rsidR="000554B3">
        <w:rPr>
          <w:rFonts w:ascii="Arial" w:hAnsi="Arial" w:cs="Arial"/>
        </w:rPr>
        <w:t xml:space="preserve"> and</w:t>
      </w:r>
      <w:r w:rsidR="00114E14" w:rsidRPr="00114E14">
        <w:rPr>
          <w:rFonts w:ascii="Arial" w:hAnsi="Arial" w:cs="Arial"/>
        </w:rPr>
        <w:t xml:space="preserve"> investors to respect human rights throughout their </w:t>
      </w:r>
      <w:r w:rsidR="008539D9">
        <w:rPr>
          <w:rFonts w:ascii="Arial" w:hAnsi="Arial" w:cs="Arial"/>
        </w:rPr>
        <w:t xml:space="preserve">workforce, </w:t>
      </w:r>
      <w:r w:rsidR="00114E14" w:rsidRPr="00114E14">
        <w:rPr>
          <w:rFonts w:ascii="Arial" w:hAnsi="Arial" w:cs="Arial"/>
        </w:rPr>
        <w:t>operations and broader value chains.</w:t>
      </w:r>
    </w:p>
    <w:p w14:paraId="360B7396" w14:textId="77777777" w:rsidR="005F24E0" w:rsidRDefault="005F24E0" w:rsidP="005F24E0">
      <w:pPr>
        <w:numPr>
          <w:ilvl w:val="0"/>
          <w:numId w:val="12"/>
        </w:numPr>
        <w:spacing w:before="100" w:beforeAutospacing="1" w:after="100" w:afterAutospacing="1"/>
        <w:jc w:val="both"/>
        <w:rPr>
          <w:rFonts w:ascii="Arial" w:hAnsi="Arial" w:cs="Arial"/>
          <w:color w:val="0070C0"/>
        </w:rPr>
      </w:pPr>
      <w:r w:rsidRPr="005F24E0">
        <w:rPr>
          <w:rFonts w:ascii="Arial" w:hAnsi="Arial" w:cs="Arial"/>
          <w:color w:val="0070C0"/>
        </w:rPr>
        <w:t>Which are the main types of investors using ESG approaches, for example, in decision-making or engagements? On what basis are they making decisions on human rights, climate change and other related matters?</w:t>
      </w:r>
    </w:p>
    <w:p w14:paraId="2C9D0207" w14:textId="604304FC" w:rsidR="00EB4775" w:rsidRDefault="00EB4775" w:rsidP="00C5342A">
      <w:pPr>
        <w:spacing w:before="100" w:beforeAutospacing="1" w:after="100" w:afterAutospacing="1"/>
        <w:jc w:val="both"/>
        <w:rPr>
          <w:rFonts w:ascii="Arial" w:hAnsi="Arial" w:cs="Arial"/>
        </w:rPr>
      </w:pPr>
      <w:r w:rsidRPr="00EB4775">
        <w:rPr>
          <w:rFonts w:ascii="Arial" w:hAnsi="Arial" w:cs="Arial"/>
        </w:rPr>
        <w:t>Institutional investors</w:t>
      </w:r>
      <w:r w:rsidR="002276A8">
        <w:rPr>
          <w:rFonts w:ascii="Arial" w:hAnsi="Arial" w:cs="Arial"/>
        </w:rPr>
        <w:t>,</w:t>
      </w:r>
      <w:r>
        <w:rPr>
          <w:rFonts w:ascii="Arial" w:hAnsi="Arial" w:cs="Arial"/>
        </w:rPr>
        <w:t xml:space="preserve"> namely</w:t>
      </w:r>
      <w:r w:rsidRPr="00EB4775">
        <w:rPr>
          <w:rFonts w:ascii="Arial" w:hAnsi="Arial" w:cs="Arial"/>
        </w:rPr>
        <w:t xml:space="preserve"> pension funds, mutual funds, hedge funds, banks, insurance companies, and endowment funds</w:t>
      </w:r>
      <w:r>
        <w:rPr>
          <w:rFonts w:ascii="Arial" w:hAnsi="Arial" w:cs="Arial"/>
        </w:rPr>
        <w:t xml:space="preserve"> play a significant</w:t>
      </w:r>
      <w:r w:rsidRPr="00EB4775">
        <w:rPr>
          <w:rFonts w:ascii="Arial" w:hAnsi="Arial" w:cs="Arial"/>
        </w:rPr>
        <w:t xml:space="preserve"> role in</w:t>
      </w:r>
      <w:r>
        <w:rPr>
          <w:rFonts w:ascii="Arial" w:hAnsi="Arial" w:cs="Arial"/>
        </w:rPr>
        <w:t xml:space="preserve"> promoting</w:t>
      </w:r>
      <w:r w:rsidRPr="00EB4775">
        <w:rPr>
          <w:rFonts w:ascii="Arial" w:hAnsi="Arial" w:cs="Arial"/>
        </w:rPr>
        <w:t xml:space="preserve"> corporate</w:t>
      </w:r>
      <w:r>
        <w:rPr>
          <w:rFonts w:ascii="Arial" w:hAnsi="Arial" w:cs="Arial"/>
        </w:rPr>
        <w:t xml:space="preserve"> </w:t>
      </w:r>
      <w:r w:rsidRPr="00EB4775">
        <w:rPr>
          <w:rFonts w:ascii="Arial" w:hAnsi="Arial" w:cs="Arial"/>
        </w:rPr>
        <w:t>ESG.</w:t>
      </w:r>
      <w:r>
        <w:rPr>
          <w:rFonts w:ascii="Arial" w:hAnsi="Arial" w:cs="Arial"/>
        </w:rPr>
        <w:t xml:space="preserve"> If we consider the type of </w:t>
      </w:r>
      <w:r w:rsidRPr="00EB4775">
        <w:rPr>
          <w:rFonts w:ascii="Arial" w:hAnsi="Arial" w:cs="Arial"/>
        </w:rPr>
        <w:t>investors</w:t>
      </w:r>
      <w:r>
        <w:rPr>
          <w:rFonts w:ascii="Arial" w:hAnsi="Arial" w:cs="Arial"/>
        </w:rPr>
        <w:t xml:space="preserve"> based on their strategic aims, we see that </w:t>
      </w:r>
      <w:r w:rsidRPr="00EB4775">
        <w:rPr>
          <w:rFonts w:ascii="Arial" w:hAnsi="Arial" w:cs="Arial"/>
        </w:rPr>
        <w:t>long-term investors</w:t>
      </w:r>
      <w:r w:rsidR="003F52A8">
        <w:rPr>
          <w:rFonts w:ascii="Arial" w:hAnsi="Arial" w:cs="Arial"/>
        </w:rPr>
        <w:t xml:space="preserve"> tend to </w:t>
      </w:r>
      <w:r w:rsidR="003F52A8" w:rsidRPr="003F52A8">
        <w:rPr>
          <w:rFonts w:ascii="Arial" w:hAnsi="Arial" w:cs="Arial"/>
        </w:rPr>
        <w:t>perceive</w:t>
      </w:r>
      <w:r w:rsidR="003F52A8">
        <w:rPr>
          <w:rFonts w:ascii="Arial" w:hAnsi="Arial" w:cs="Arial"/>
        </w:rPr>
        <w:t xml:space="preserve"> </w:t>
      </w:r>
      <w:r w:rsidR="003F52A8" w:rsidRPr="003F52A8">
        <w:rPr>
          <w:rFonts w:ascii="Arial" w:hAnsi="Arial" w:cs="Arial"/>
        </w:rPr>
        <w:t>environmental and climate risks as important</w:t>
      </w:r>
      <w:r w:rsidR="003F52A8">
        <w:rPr>
          <w:rFonts w:ascii="Arial" w:hAnsi="Arial" w:cs="Arial"/>
        </w:rPr>
        <w:t>.</w:t>
      </w:r>
      <w:r w:rsidR="00CA00A1">
        <w:rPr>
          <w:rFonts w:ascii="Arial" w:hAnsi="Arial" w:cs="Arial"/>
        </w:rPr>
        <w:t xml:space="preserve"> On the contrary, t</w:t>
      </w:r>
      <w:r w:rsidR="003F52A8">
        <w:rPr>
          <w:rFonts w:ascii="Arial" w:hAnsi="Arial" w:cs="Arial"/>
        </w:rPr>
        <w:t xml:space="preserve">he focus on human rights </w:t>
      </w:r>
      <w:r w:rsidR="00CA00A1">
        <w:rPr>
          <w:rFonts w:ascii="Arial" w:hAnsi="Arial" w:cs="Arial"/>
        </w:rPr>
        <w:t xml:space="preserve">and workforce issues </w:t>
      </w:r>
      <w:r w:rsidR="003F52A8">
        <w:rPr>
          <w:rFonts w:ascii="Arial" w:hAnsi="Arial" w:cs="Arial"/>
        </w:rPr>
        <w:t>is less apparent</w:t>
      </w:r>
      <w:r w:rsidR="00EE1627">
        <w:rPr>
          <w:rFonts w:ascii="Arial" w:hAnsi="Arial" w:cs="Arial"/>
        </w:rPr>
        <w:t>, with s</w:t>
      </w:r>
      <w:r w:rsidR="00EE1627" w:rsidRPr="00EE1627">
        <w:rPr>
          <w:rFonts w:ascii="Arial" w:hAnsi="Arial" w:cs="Arial"/>
        </w:rPr>
        <w:t>ocial and human capital risks</w:t>
      </w:r>
      <w:r w:rsidR="00EE1627">
        <w:rPr>
          <w:rFonts w:ascii="Arial" w:hAnsi="Arial" w:cs="Arial"/>
        </w:rPr>
        <w:t xml:space="preserve"> often</w:t>
      </w:r>
      <w:r w:rsidR="00EE1627" w:rsidRPr="00EE1627">
        <w:rPr>
          <w:rFonts w:ascii="Arial" w:hAnsi="Arial" w:cs="Arial"/>
        </w:rPr>
        <w:t xml:space="preserve"> missing from the financial data. Some investors have however moved to an impact investment approach which looks at positive effects to planet and people. </w:t>
      </w:r>
      <w:r w:rsidR="00C5342A">
        <w:rPr>
          <w:rFonts w:ascii="Arial" w:hAnsi="Arial" w:cs="Arial"/>
        </w:rPr>
        <w:t>Consideration needs to be given to ‘s</w:t>
      </w:r>
      <w:r w:rsidR="00C5342A" w:rsidRPr="00C5342A">
        <w:rPr>
          <w:rFonts w:ascii="Arial" w:hAnsi="Arial" w:cs="Arial"/>
        </w:rPr>
        <w:t>ocial washing</w:t>
      </w:r>
      <w:r w:rsidR="00C5342A">
        <w:rPr>
          <w:rFonts w:ascii="Arial" w:hAnsi="Arial" w:cs="Arial"/>
        </w:rPr>
        <w:t>’</w:t>
      </w:r>
      <w:r w:rsidR="00C5342A" w:rsidRPr="00C5342A">
        <w:rPr>
          <w:rFonts w:ascii="Arial" w:hAnsi="Arial" w:cs="Arial"/>
        </w:rPr>
        <w:t xml:space="preserve"> </w:t>
      </w:r>
      <w:r w:rsidR="00C5342A">
        <w:rPr>
          <w:rFonts w:ascii="Arial" w:hAnsi="Arial" w:cs="Arial"/>
        </w:rPr>
        <w:t xml:space="preserve">that </w:t>
      </w:r>
      <w:r w:rsidR="00C5342A" w:rsidRPr="00C5342A">
        <w:rPr>
          <w:rFonts w:ascii="Arial" w:hAnsi="Arial" w:cs="Arial"/>
        </w:rPr>
        <w:t xml:space="preserve">involves </w:t>
      </w:r>
      <w:r w:rsidR="00C5342A">
        <w:rPr>
          <w:rFonts w:ascii="Arial" w:hAnsi="Arial" w:cs="Arial"/>
        </w:rPr>
        <w:t>organisations engaging in allegedly</w:t>
      </w:r>
      <w:r w:rsidR="00C5342A" w:rsidRPr="00C5342A">
        <w:rPr>
          <w:rFonts w:ascii="Arial" w:hAnsi="Arial" w:cs="Arial"/>
        </w:rPr>
        <w:t xml:space="preserve"> allyship towards </w:t>
      </w:r>
      <w:r w:rsidR="00C5342A">
        <w:rPr>
          <w:rFonts w:ascii="Arial" w:hAnsi="Arial" w:cs="Arial"/>
        </w:rPr>
        <w:t>socially-related challenges</w:t>
      </w:r>
      <w:r w:rsidR="00C5342A" w:rsidRPr="00C5342A">
        <w:rPr>
          <w:rFonts w:ascii="Arial" w:hAnsi="Arial" w:cs="Arial"/>
        </w:rPr>
        <w:t>, rather than actively helping them.</w:t>
      </w:r>
    </w:p>
    <w:p w14:paraId="0E44AFC2" w14:textId="039083A5" w:rsidR="00E867B4" w:rsidRDefault="000745D1" w:rsidP="00042B88">
      <w:pPr>
        <w:spacing w:before="100" w:beforeAutospacing="1" w:after="100" w:afterAutospacing="1"/>
        <w:jc w:val="both"/>
        <w:rPr>
          <w:rFonts w:ascii="Arial" w:hAnsi="Arial" w:cs="Arial"/>
        </w:rPr>
      </w:pPr>
      <w:r>
        <w:rPr>
          <w:rFonts w:ascii="Arial" w:hAnsi="Arial" w:cs="Arial"/>
        </w:rPr>
        <w:t xml:space="preserve">Improved levels of transparency in reporting practices </w:t>
      </w:r>
      <w:r w:rsidR="00EB4775" w:rsidRPr="000745D1">
        <w:rPr>
          <w:rFonts w:ascii="Arial" w:hAnsi="Arial" w:cs="Arial"/>
        </w:rPr>
        <w:t>are</w:t>
      </w:r>
      <w:r w:rsidRPr="000745D1">
        <w:rPr>
          <w:rFonts w:ascii="Arial" w:hAnsi="Arial" w:cs="Arial"/>
        </w:rPr>
        <w:t xml:space="preserve"> crucial </w:t>
      </w:r>
      <w:r>
        <w:rPr>
          <w:rFonts w:ascii="Arial" w:hAnsi="Arial" w:cs="Arial"/>
        </w:rPr>
        <w:t xml:space="preserve">for </w:t>
      </w:r>
      <w:r w:rsidRPr="000745D1">
        <w:rPr>
          <w:rFonts w:ascii="Arial" w:hAnsi="Arial" w:cs="Arial"/>
        </w:rPr>
        <w:t>investors</w:t>
      </w:r>
      <w:r>
        <w:rPr>
          <w:rFonts w:ascii="Arial" w:hAnsi="Arial" w:cs="Arial"/>
        </w:rPr>
        <w:t xml:space="preserve"> to</w:t>
      </w:r>
      <w:r w:rsidRPr="000745D1">
        <w:rPr>
          <w:rFonts w:ascii="Arial" w:hAnsi="Arial" w:cs="Arial"/>
        </w:rPr>
        <w:t xml:space="preserve"> have access to</w:t>
      </w:r>
      <w:r>
        <w:rPr>
          <w:rFonts w:ascii="Arial" w:hAnsi="Arial" w:cs="Arial"/>
        </w:rPr>
        <w:t xml:space="preserve"> more meaningful </w:t>
      </w:r>
      <w:r w:rsidRPr="000745D1">
        <w:rPr>
          <w:rFonts w:ascii="Arial" w:hAnsi="Arial" w:cs="Arial"/>
        </w:rPr>
        <w:t>and comparable social data from businesses to help inform investment decisions.</w:t>
      </w:r>
      <w:r>
        <w:rPr>
          <w:rFonts w:ascii="Arial" w:hAnsi="Arial" w:cs="Arial"/>
        </w:rPr>
        <w:t xml:space="preserve"> </w:t>
      </w:r>
      <w:r w:rsidR="00E867B4">
        <w:rPr>
          <w:rFonts w:ascii="Arial" w:hAnsi="Arial" w:cs="Arial"/>
        </w:rPr>
        <w:t xml:space="preserve">The last decade has seen a renewed impetus (including from global investors) </w:t>
      </w:r>
      <w:r w:rsidR="00E867B4" w:rsidRPr="00E867B4">
        <w:rPr>
          <w:rFonts w:ascii="Arial" w:hAnsi="Arial" w:cs="Arial"/>
        </w:rPr>
        <w:t>call</w:t>
      </w:r>
      <w:r w:rsidR="00E867B4">
        <w:rPr>
          <w:rFonts w:ascii="Arial" w:hAnsi="Arial" w:cs="Arial"/>
        </w:rPr>
        <w:t>ing</w:t>
      </w:r>
      <w:r w:rsidR="00E867B4" w:rsidRPr="00E867B4">
        <w:rPr>
          <w:rFonts w:ascii="Arial" w:hAnsi="Arial" w:cs="Arial"/>
        </w:rPr>
        <w:t xml:space="preserve"> for enhanced due diligence to address environmental, social and governance risks, including human rights risks, throughout the investment lifecycle</w:t>
      </w:r>
      <w:r w:rsidR="002276A8">
        <w:rPr>
          <w:rFonts w:ascii="Arial" w:hAnsi="Arial" w:cs="Arial"/>
        </w:rPr>
        <w:t xml:space="preserve"> –</w:t>
      </w:r>
      <w:r w:rsidR="00CA00A1">
        <w:rPr>
          <w:rFonts w:ascii="Arial" w:hAnsi="Arial" w:cs="Arial"/>
        </w:rPr>
        <w:t xml:space="preserve"> and this is an agenda we would like to be further pursued by the investment </w:t>
      </w:r>
      <w:r w:rsidR="004F6CE3">
        <w:rPr>
          <w:rFonts w:ascii="Arial" w:hAnsi="Arial" w:cs="Arial"/>
        </w:rPr>
        <w:t>community</w:t>
      </w:r>
      <w:r w:rsidR="00E867B4" w:rsidRPr="00E867B4">
        <w:rPr>
          <w:rFonts w:ascii="Arial" w:hAnsi="Arial" w:cs="Arial"/>
        </w:rPr>
        <w:t>.</w:t>
      </w:r>
    </w:p>
    <w:p w14:paraId="38304B85" w14:textId="0623246C" w:rsidR="00CC0326" w:rsidRPr="00CC0326" w:rsidRDefault="00BA7E66" w:rsidP="00042B88">
      <w:pPr>
        <w:spacing w:before="100" w:beforeAutospacing="1" w:after="100" w:afterAutospacing="1"/>
        <w:jc w:val="both"/>
        <w:rPr>
          <w:rFonts w:ascii="Arial" w:hAnsi="Arial" w:cs="Arial"/>
        </w:rPr>
      </w:pPr>
      <w:r w:rsidRPr="00CC0326">
        <w:rPr>
          <w:rFonts w:ascii="Arial" w:hAnsi="Arial" w:cs="Arial"/>
        </w:rPr>
        <w:t>In terms of the most common</w:t>
      </w:r>
      <w:r w:rsidR="00B05FA5" w:rsidRPr="00CC0326">
        <w:rPr>
          <w:rFonts w:ascii="Arial" w:hAnsi="Arial" w:cs="Arial"/>
        </w:rPr>
        <w:t>ly adopted</w:t>
      </w:r>
      <w:r w:rsidRPr="00CC0326">
        <w:rPr>
          <w:rFonts w:ascii="Arial" w:hAnsi="Arial" w:cs="Arial"/>
        </w:rPr>
        <w:t xml:space="preserve"> practices</w:t>
      </w:r>
      <w:r w:rsidR="00B05FA5" w:rsidRPr="00CC0326">
        <w:rPr>
          <w:rFonts w:ascii="Arial" w:hAnsi="Arial" w:cs="Arial"/>
        </w:rPr>
        <w:t xml:space="preserve"> to embed ESG factors into investment portfolios</w:t>
      </w:r>
      <w:r w:rsidRPr="00CC0326">
        <w:rPr>
          <w:rFonts w:ascii="Arial" w:hAnsi="Arial" w:cs="Arial"/>
        </w:rPr>
        <w:t xml:space="preserve">, </w:t>
      </w:r>
      <w:r w:rsidR="004752AD">
        <w:rPr>
          <w:rFonts w:ascii="Arial" w:hAnsi="Arial" w:cs="Arial"/>
          <w:color w:val="333333"/>
          <w:shd w:val="clear" w:color="auto" w:fill="FFFFFF"/>
        </w:rPr>
        <w:t>s</w:t>
      </w:r>
      <w:r w:rsidR="00CC0326" w:rsidRPr="00CC0326">
        <w:rPr>
          <w:rFonts w:ascii="Arial" w:hAnsi="Arial" w:cs="Arial"/>
          <w:color w:val="333333"/>
          <w:shd w:val="clear" w:color="auto" w:fill="FFFFFF"/>
        </w:rPr>
        <w:t>ome institutional investors may include ESG factors in their overall risk assessment and management (e.g.</w:t>
      </w:r>
      <w:r w:rsidR="002276A8">
        <w:rPr>
          <w:rFonts w:ascii="Arial" w:hAnsi="Arial" w:cs="Arial"/>
          <w:color w:val="333333"/>
          <w:shd w:val="clear" w:color="auto" w:fill="FFFFFF"/>
        </w:rPr>
        <w:t>,</w:t>
      </w:r>
      <w:r w:rsidR="00CC0326" w:rsidRPr="00CC0326">
        <w:rPr>
          <w:rFonts w:ascii="Arial" w:hAnsi="Arial" w:cs="Arial"/>
          <w:color w:val="333333"/>
          <w:shd w:val="clear" w:color="auto" w:fill="FFFFFF"/>
        </w:rPr>
        <w:t xml:space="preserve"> ESG or </w:t>
      </w:r>
      <w:r w:rsidR="002276A8">
        <w:rPr>
          <w:rFonts w:ascii="Arial" w:hAnsi="Arial" w:cs="Arial"/>
          <w:color w:val="333333"/>
          <w:shd w:val="clear" w:color="auto" w:fill="FFFFFF"/>
        </w:rPr>
        <w:t>c</w:t>
      </w:r>
      <w:r w:rsidR="00CC0326" w:rsidRPr="00CC0326">
        <w:rPr>
          <w:rFonts w:ascii="Arial" w:hAnsi="Arial" w:cs="Arial"/>
          <w:color w:val="333333"/>
          <w:shd w:val="clear" w:color="auto" w:fill="FFFFFF"/>
        </w:rPr>
        <w:t>limate strategy), while others will consider ESG factors as an integral part of the traditional analysis performed when examining the risks for specific investments</w:t>
      </w:r>
      <w:r w:rsidR="00CC0326" w:rsidRPr="00CC0326">
        <w:rPr>
          <w:rStyle w:val="FootnoteReference"/>
          <w:rFonts w:ascii="Arial" w:hAnsi="Arial" w:cs="Arial"/>
          <w:color w:val="333333"/>
          <w:shd w:val="clear" w:color="auto" w:fill="FFFFFF"/>
        </w:rPr>
        <w:footnoteReference w:id="5"/>
      </w:r>
      <w:r w:rsidR="00CC0326" w:rsidRPr="00CC0326">
        <w:rPr>
          <w:rFonts w:ascii="Arial" w:hAnsi="Arial" w:cs="Arial"/>
          <w:color w:val="333333"/>
          <w:shd w:val="clear" w:color="auto" w:fill="FFFFFF"/>
        </w:rPr>
        <w:t xml:space="preserve">. </w:t>
      </w:r>
      <w:r w:rsidR="004752AD">
        <w:rPr>
          <w:rFonts w:ascii="Arial" w:hAnsi="Arial" w:cs="Arial"/>
          <w:color w:val="333333"/>
          <w:shd w:val="clear" w:color="auto" w:fill="FFFFFF"/>
        </w:rPr>
        <w:t xml:space="preserve">A similar formula to bring the attention to emerging human rights abuses is </w:t>
      </w:r>
      <w:r w:rsidR="004752AD" w:rsidRPr="004752AD">
        <w:rPr>
          <w:rFonts w:ascii="Arial" w:hAnsi="Arial" w:cs="Arial"/>
          <w:color w:val="333333"/>
          <w:shd w:val="clear" w:color="auto" w:fill="FFFFFF"/>
        </w:rPr>
        <w:t xml:space="preserve">through shareholder proposals </w:t>
      </w:r>
      <w:r w:rsidR="004752AD">
        <w:rPr>
          <w:rFonts w:ascii="Arial" w:hAnsi="Arial" w:cs="Arial"/>
          <w:color w:val="333333"/>
          <w:shd w:val="clear" w:color="auto" w:fill="FFFFFF"/>
        </w:rPr>
        <w:t xml:space="preserve">and discussions </w:t>
      </w:r>
      <w:r w:rsidR="004752AD" w:rsidRPr="004752AD">
        <w:rPr>
          <w:rFonts w:ascii="Arial" w:hAnsi="Arial" w:cs="Arial"/>
          <w:color w:val="333333"/>
          <w:shd w:val="clear" w:color="auto" w:fill="FFFFFF"/>
        </w:rPr>
        <w:t xml:space="preserve">at their annual meetings. </w:t>
      </w:r>
      <w:r w:rsidR="008E6D0C">
        <w:rPr>
          <w:rFonts w:ascii="Arial" w:hAnsi="Arial" w:cs="Arial"/>
          <w:color w:val="333333"/>
          <w:shd w:val="clear" w:color="auto" w:fill="FFFFFF"/>
        </w:rPr>
        <w:t>Other</w:t>
      </w:r>
      <w:r w:rsidR="00CC0326" w:rsidRPr="00CC0326">
        <w:rPr>
          <w:rFonts w:ascii="Arial" w:hAnsi="Arial" w:cs="Arial"/>
          <w:color w:val="333333"/>
          <w:shd w:val="clear" w:color="auto" w:fill="FFFFFF"/>
        </w:rPr>
        <w:t xml:space="preserve"> institutional investors follow the lead of board</w:t>
      </w:r>
      <w:r w:rsidR="002276A8">
        <w:rPr>
          <w:rFonts w:ascii="Arial" w:hAnsi="Arial" w:cs="Arial"/>
          <w:color w:val="333333"/>
          <w:shd w:val="clear" w:color="auto" w:fill="FFFFFF"/>
        </w:rPr>
        <w:t>s</w:t>
      </w:r>
      <w:r w:rsidR="00CC0326" w:rsidRPr="00CC0326">
        <w:rPr>
          <w:rFonts w:ascii="Arial" w:hAnsi="Arial" w:cs="Arial"/>
          <w:color w:val="333333"/>
          <w:shd w:val="clear" w:color="auto" w:fill="FFFFFF"/>
        </w:rPr>
        <w:t>, CEO</w:t>
      </w:r>
      <w:r w:rsidR="002276A8">
        <w:rPr>
          <w:rFonts w:ascii="Arial" w:hAnsi="Arial" w:cs="Arial"/>
          <w:color w:val="333333"/>
          <w:shd w:val="clear" w:color="auto" w:fill="FFFFFF"/>
        </w:rPr>
        <w:t>s</w:t>
      </w:r>
      <w:r w:rsidR="00CC0326" w:rsidRPr="00CC0326">
        <w:rPr>
          <w:rFonts w:ascii="Arial" w:hAnsi="Arial" w:cs="Arial"/>
          <w:color w:val="333333"/>
          <w:shd w:val="clear" w:color="auto" w:fill="FFFFFF"/>
        </w:rPr>
        <w:t>, CIO</w:t>
      </w:r>
      <w:r w:rsidR="002276A8">
        <w:rPr>
          <w:rFonts w:ascii="Arial" w:hAnsi="Arial" w:cs="Arial"/>
          <w:color w:val="333333"/>
          <w:shd w:val="clear" w:color="auto" w:fill="FFFFFF"/>
        </w:rPr>
        <w:t>s</w:t>
      </w:r>
      <w:r w:rsidR="00CC0326" w:rsidRPr="00CC0326">
        <w:rPr>
          <w:rFonts w:ascii="Arial" w:hAnsi="Arial" w:cs="Arial"/>
          <w:color w:val="333333"/>
          <w:shd w:val="clear" w:color="auto" w:fill="FFFFFF"/>
        </w:rPr>
        <w:t>, investment committee</w:t>
      </w:r>
      <w:r w:rsidR="002276A8">
        <w:rPr>
          <w:rFonts w:ascii="Arial" w:hAnsi="Arial" w:cs="Arial"/>
          <w:color w:val="333333"/>
          <w:shd w:val="clear" w:color="auto" w:fill="FFFFFF"/>
        </w:rPr>
        <w:t>s</w:t>
      </w:r>
      <w:r w:rsidR="00CC0326" w:rsidRPr="00CC0326">
        <w:rPr>
          <w:rFonts w:ascii="Arial" w:hAnsi="Arial" w:cs="Arial"/>
          <w:color w:val="333333"/>
          <w:shd w:val="clear" w:color="auto" w:fill="FFFFFF"/>
        </w:rPr>
        <w:t>, or lower levels</w:t>
      </w:r>
      <w:r w:rsidR="008E6D0C">
        <w:rPr>
          <w:rFonts w:ascii="Arial" w:hAnsi="Arial" w:cs="Arial"/>
          <w:color w:val="333333"/>
          <w:shd w:val="clear" w:color="auto" w:fill="FFFFFF"/>
        </w:rPr>
        <w:t xml:space="preserve"> to decide whether or not to invest in responsible portfolios.</w:t>
      </w:r>
      <w:r w:rsidR="004752AD">
        <w:rPr>
          <w:rFonts w:ascii="Arial" w:hAnsi="Arial" w:cs="Arial"/>
          <w:color w:val="333333"/>
          <w:shd w:val="clear" w:color="auto" w:fill="FFFFFF"/>
        </w:rPr>
        <w:t xml:space="preserve"> </w:t>
      </w:r>
    </w:p>
    <w:p w14:paraId="705E0719" w14:textId="77777777" w:rsidR="005F24E0" w:rsidRDefault="005F24E0" w:rsidP="005F24E0">
      <w:pPr>
        <w:numPr>
          <w:ilvl w:val="0"/>
          <w:numId w:val="12"/>
        </w:numPr>
        <w:spacing w:before="100" w:beforeAutospacing="1" w:after="100" w:afterAutospacing="1"/>
        <w:jc w:val="both"/>
        <w:rPr>
          <w:rFonts w:ascii="Arial" w:hAnsi="Arial" w:cs="Arial"/>
          <w:color w:val="0070C0"/>
        </w:rPr>
      </w:pPr>
      <w:r w:rsidRPr="005F24E0">
        <w:rPr>
          <w:rFonts w:ascii="Arial" w:hAnsi="Arial" w:cs="Arial"/>
          <w:color w:val="0070C0"/>
        </w:rPr>
        <w:t>To what extent do ESG approaches present constraints or opportunities for investors and businesses overall?</w:t>
      </w:r>
    </w:p>
    <w:p w14:paraId="58892846" w14:textId="2139F938" w:rsidR="004F6CE3" w:rsidRDefault="004F6CE3" w:rsidP="004F6CE3">
      <w:pPr>
        <w:spacing w:before="100" w:beforeAutospacing="1" w:after="100" w:afterAutospacing="1"/>
        <w:jc w:val="both"/>
        <w:rPr>
          <w:rFonts w:ascii="Arial" w:hAnsi="Arial" w:cs="Arial"/>
        </w:rPr>
      </w:pPr>
      <w:r w:rsidRPr="004F6CE3">
        <w:rPr>
          <w:rFonts w:ascii="Arial" w:hAnsi="Arial" w:cs="Arial"/>
        </w:rPr>
        <w:t>We see human rights abuses as one of the most concerning sustainability risks in the context of net-zero energy transition</w:t>
      </w:r>
      <w:r w:rsidR="002276A8">
        <w:rPr>
          <w:rFonts w:ascii="Arial" w:hAnsi="Arial" w:cs="Arial"/>
        </w:rPr>
        <w:t>,</w:t>
      </w:r>
      <w:r w:rsidRPr="004F6CE3">
        <w:rPr>
          <w:rFonts w:ascii="Arial" w:hAnsi="Arial" w:cs="Arial"/>
        </w:rPr>
        <w:t xml:space="preserve"> due to poor levels of public disclosure and corporate reporting on how high-risk industries manage human rights risks</w:t>
      </w:r>
      <w:r>
        <w:rPr>
          <w:rStyle w:val="FootnoteReference"/>
          <w:rFonts w:ascii="Arial" w:hAnsi="Arial" w:cs="Arial"/>
        </w:rPr>
        <w:footnoteReference w:id="6"/>
      </w:r>
      <w:r w:rsidRPr="004F6CE3">
        <w:rPr>
          <w:rFonts w:ascii="Arial" w:hAnsi="Arial" w:cs="Arial"/>
        </w:rPr>
        <w:t>, or struggle to inform accurately about the nature-related disclosure and risks associated with their activity</w:t>
      </w:r>
      <w:r>
        <w:rPr>
          <w:rStyle w:val="FootnoteReference"/>
          <w:rFonts w:ascii="Arial" w:hAnsi="Arial" w:cs="Arial"/>
        </w:rPr>
        <w:footnoteReference w:id="7"/>
      </w:r>
      <w:r w:rsidRPr="004F6CE3">
        <w:rPr>
          <w:rFonts w:ascii="Arial" w:hAnsi="Arial" w:cs="Arial"/>
        </w:rPr>
        <w:t>. It is for this reason that robust corporate social due diligence systems and practices that address human rights impacts need to be better integrated into companies and supply chains, while</w:t>
      </w:r>
      <w:r w:rsidR="002276A8">
        <w:rPr>
          <w:rFonts w:ascii="Arial" w:hAnsi="Arial" w:cs="Arial"/>
        </w:rPr>
        <w:t xml:space="preserve"> simultaneously</w:t>
      </w:r>
      <w:r w:rsidRPr="004F6CE3">
        <w:rPr>
          <w:rFonts w:ascii="Arial" w:hAnsi="Arial" w:cs="Arial"/>
        </w:rPr>
        <w:t xml:space="preserve"> </w:t>
      </w:r>
      <w:r w:rsidR="006D1D38">
        <w:rPr>
          <w:rFonts w:ascii="Arial" w:hAnsi="Arial" w:cs="Arial"/>
        </w:rPr>
        <w:t xml:space="preserve">considering fundamental principles and rights at work and thus </w:t>
      </w:r>
      <w:r w:rsidRPr="004F6CE3">
        <w:rPr>
          <w:rFonts w:ascii="Arial" w:hAnsi="Arial" w:cs="Arial"/>
        </w:rPr>
        <w:t xml:space="preserve">minimising potential </w:t>
      </w:r>
      <w:r w:rsidR="006D1D38">
        <w:rPr>
          <w:rFonts w:ascii="Arial" w:hAnsi="Arial" w:cs="Arial"/>
        </w:rPr>
        <w:t xml:space="preserve">forced labour, child labour, </w:t>
      </w:r>
      <w:r w:rsidRPr="004F6CE3">
        <w:rPr>
          <w:rFonts w:ascii="Arial" w:hAnsi="Arial" w:cs="Arial"/>
        </w:rPr>
        <w:t>modern slavery and occupational safety and health impacts. To this extent, we see a trend</w:t>
      </w:r>
      <w:r>
        <w:rPr>
          <w:rStyle w:val="FootnoteReference"/>
          <w:rFonts w:ascii="Arial" w:hAnsi="Arial" w:cs="Arial"/>
        </w:rPr>
        <w:footnoteReference w:id="8"/>
      </w:r>
      <w:r w:rsidRPr="004F6CE3">
        <w:rPr>
          <w:rFonts w:ascii="Arial" w:hAnsi="Arial" w:cs="Arial"/>
          <w:sz w:val="14"/>
          <w:szCs w:val="14"/>
        </w:rPr>
        <w:t xml:space="preserve"> </w:t>
      </w:r>
      <w:r w:rsidRPr="004F6CE3">
        <w:rPr>
          <w:rFonts w:ascii="Arial" w:hAnsi="Arial" w:cs="Arial"/>
        </w:rPr>
        <w:t>in how more countries are enacting or reviewing modern slavery standards (e.g.</w:t>
      </w:r>
      <w:r w:rsidR="002276A8">
        <w:rPr>
          <w:rFonts w:ascii="Arial" w:hAnsi="Arial" w:cs="Arial"/>
        </w:rPr>
        <w:t>,</w:t>
      </w:r>
      <w:r w:rsidRPr="004F6CE3">
        <w:rPr>
          <w:rFonts w:ascii="Arial" w:hAnsi="Arial" w:cs="Arial"/>
        </w:rPr>
        <w:t xml:space="preserve"> Canada or Australia).</w:t>
      </w:r>
    </w:p>
    <w:p w14:paraId="4A9DC1FC" w14:textId="0D38F3CB" w:rsidR="00F03927" w:rsidRDefault="00F03927" w:rsidP="00F03927">
      <w:pPr>
        <w:spacing w:before="100" w:beforeAutospacing="1" w:after="100" w:afterAutospacing="1"/>
        <w:jc w:val="both"/>
        <w:rPr>
          <w:rFonts w:ascii="Arial" w:hAnsi="Arial" w:cs="Arial"/>
        </w:rPr>
      </w:pPr>
      <w:r>
        <w:rPr>
          <w:rFonts w:ascii="Arial" w:hAnsi="Arial" w:cs="Arial"/>
        </w:rPr>
        <w:t>Social sustainability approaches can also result in major barriers for investors and businesses to achieve their long-term goals. For example,</w:t>
      </w:r>
      <w:r w:rsidRPr="00F03927">
        <w:rPr>
          <w:rFonts w:ascii="Arial" w:hAnsi="Arial" w:cs="Arial"/>
        </w:rPr>
        <w:t xml:space="preserve"> human capital practices</w:t>
      </w:r>
      <w:r>
        <w:rPr>
          <w:rStyle w:val="FootnoteReference"/>
          <w:rFonts w:ascii="Arial" w:hAnsi="Arial" w:cs="Arial"/>
        </w:rPr>
        <w:footnoteReference w:id="9"/>
      </w:r>
      <w:r w:rsidRPr="00F03927">
        <w:rPr>
          <w:rFonts w:ascii="Arial" w:hAnsi="Arial" w:cs="Arial"/>
        </w:rPr>
        <w:t xml:space="preserve"> may lead to worker protests, stakeholder</w:t>
      </w:r>
      <w:r>
        <w:rPr>
          <w:rFonts w:ascii="Arial" w:hAnsi="Arial" w:cs="Arial"/>
        </w:rPr>
        <w:t xml:space="preserve"> </w:t>
      </w:r>
      <w:r w:rsidRPr="00F03927">
        <w:rPr>
          <w:rFonts w:ascii="Arial" w:hAnsi="Arial" w:cs="Arial"/>
        </w:rPr>
        <w:t>activism, or a breach in international standards</w:t>
      </w:r>
      <w:r>
        <w:rPr>
          <w:rFonts w:ascii="Arial" w:hAnsi="Arial" w:cs="Arial"/>
        </w:rPr>
        <w:t xml:space="preserve">, which ultimately could </w:t>
      </w:r>
      <w:r w:rsidRPr="00F03927">
        <w:rPr>
          <w:rFonts w:ascii="Arial" w:hAnsi="Arial" w:cs="Arial"/>
        </w:rPr>
        <w:t>result in potential declines in production, regulatory action, and/or</w:t>
      </w:r>
      <w:r>
        <w:rPr>
          <w:rFonts w:ascii="Arial" w:hAnsi="Arial" w:cs="Arial"/>
        </w:rPr>
        <w:t xml:space="preserve"> </w:t>
      </w:r>
      <w:r w:rsidRPr="00F03927">
        <w:rPr>
          <w:rFonts w:ascii="Arial" w:hAnsi="Arial" w:cs="Arial"/>
        </w:rPr>
        <w:t>damage to a company’s reputation</w:t>
      </w:r>
      <w:r>
        <w:rPr>
          <w:rFonts w:ascii="Arial" w:hAnsi="Arial" w:cs="Arial"/>
        </w:rPr>
        <w:t>.</w:t>
      </w:r>
    </w:p>
    <w:p w14:paraId="6A1FA36C" w14:textId="50A974A2" w:rsidR="005C5D8D" w:rsidRDefault="005C5D8D" w:rsidP="00F03927">
      <w:pPr>
        <w:spacing w:before="100" w:beforeAutospacing="1" w:after="100" w:afterAutospacing="1"/>
        <w:jc w:val="both"/>
      </w:pPr>
      <w:r>
        <w:rPr>
          <w:rFonts w:ascii="Arial" w:hAnsi="Arial" w:cs="Arial"/>
        </w:rPr>
        <w:t xml:space="preserve">Other constraints are complex to identify. This is the case when mapping human rights </w:t>
      </w:r>
      <w:r w:rsidRPr="005C5D8D">
        <w:rPr>
          <w:rFonts w:ascii="Arial" w:hAnsi="Arial" w:cs="Arial"/>
        </w:rPr>
        <w:t xml:space="preserve">risks in a company’s value chain </w:t>
      </w:r>
      <w:r>
        <w:rPr>
          <w:rFonts w:ascii="Arial" w:hAnsi="Arial" w:cs="Arial"/>
        </w:rPr>
        <w:t xml:space="preserve">with </w:t>
      </w:r>
      <w:r w:rsidRPr="005C5D8D">
        <w:rPr>
          <w:rFonts w:ascii="Arial" w:hAnsi="Arial" w:cs="Arial"/>
        </w:rPr>
        <w:t xml:space="preserve">suppliers </w:t>
      </w:r>
      <w:r>
        <w:rPr>
          <w:rFonts w:ascii="Arial" w:hAnsi="Arial" w:cs="Arial"/>
        </w:rPr>
        <w:t>operating in different regions</w:t>
      </w:r>
      <w:r w:rsidR="00A80321">
        <w:rPr>
          <w:rFonts w:ascii="Arial" w:hAnsi="Arial" w:cs="Arial"/>
        </w:rPr>
        <w:t xml:space="preserve"> where </w:t>
      </w:r>
      <w:r w:rsidR="00A80321" w:rsidRPr="00A80321">
        <w:rPr>
          <w:rFonts w:ascii="Arial" w:hAnsi="Arial" w:cs="Arial"/>
        </w:rPr>
        <w:t xml:space="preserve">impacts </w:t>
      </w:r>
      <w:r w:rsidR="00A80321">
        <w:rPr>
          <w:rFonts w:ascii="Arial" w:hAnsi="Arial" w:cs="Arial"/>
        </w:rPr>
        <w:t xml:space="preserve">may </w:t>
      </w:r>
      <w:r w:rsidR="00A80321" w:rsidRPr="00A80321">
        <w:rPr>
          <w:rFonts w:ascii="Arial" w:hAnsi="Arial" w:cs="Arial"/>
        </w:rPr>
        <w:t>vary according to local and regional realities</w:t>
      </w:r>
      <w:r w:rsidR="00A80321">
        <w:rPr>
          <w:rFonts w:ascii="Arial" w:hAnsi="Arial" w:cs="Arial"/>
        </w:rPr>
        <w:t>,</w:t>
      </w:r>
      <w:r>
        <w:rPr>
          <w:rFonts w:ascii="Arial" w:hAnsi="Arial" w:cs="Arial"/>
        </w:rPr>
        <w:t xml:space="preserve"> and with </w:t>
      </w:r>
      <w:r w:rsidRPr="005C5D8D">
        <w:rPr>
          <w:rFonts w:ascii="Arial" w:hAnsi="Arial" w:cs="Arial"/>
        </w:rPr>
        <w:t xml:space="preserve">global supply chains </w:t>
      </w:r>
      <w:r>
        <w:rPr>
          <w:rFonts w:ascii="Arial" w:hAnsi="Arial" w:cs="Arial"/>
        </w:rPr>
        <w:t>growing in complexity.</w:t>
      </w:r>
      <w:r w:rsidR="00A80321">
        <w:rPr>
          <w:rFonts w:ascii="Arial" w:hAnsi="Arial" w:cs="Arial"/>
        </w:rPr>
        <w:t xml:space="preserve"> </w:t>
      </w:r>
    </w:p>
    <w:p w14:paraId="6446D476" w14:textId="5CED5AD5" w:rsidR="00C04E3D" w:rsidRDefault="00C04E3D" w:rsidP="00C04E3D">
      <w:pPr>
        <w:pStyle w:val="Default"/>
        <w:jc w:val="both"/>
        <w:rPr>
          <w:color w:val="auto"/>
          <w:sz w:val="22"/>
          <w:szCs w:val="22"/>
        </w:rPr>
      </w:pPr>
      <w:r w:rsidRPr="00C04E3D">
        <w:rPr>
          <w:color w:val="auto"/>
          <w:sz w:val="22"/>
          <w:szCs w:val="22"/>
        </w:rPr>
        <w:t xml:space="preserve">Corporate performance on human rights is a central component of the </w:t>
      </w:r>
      <w:r w:rsidR="002276A8">
        <w:rPr>
          <w:color w:val="auto"/>
          <w:sz w:val="22"/>
          <w:szCs w:val="22"/>
        </w:rPr>
        <w:t>social aspect of</w:t>
      </w:r>
      <w:r w:rsidRPr="00C04E3D">
        <w:rPr>
          <w:color w:val="auto"/>
          <w:sz w:val="22"/>
          <w:szCs w:val="22"/>
        </w:rPr>
        <w:t xml:space="preserve"> ESG, though one often overlooked by both those in </w:t>
      </w:r>
      <w:r w:rsidR="00AE4E9F" w:rsidRPr="00C04E3D">
        <w:rPr>
          <w:color w:val="auto"/>
          <w:sz w:val="22"/>
          <w:szCs w:val="22"/>
        </w:rPr>
        <w:t>favour</w:t>
      </w:r>
      <w:r w:rsidRPr="00C04E3D">
        <w:rPr>
          <w:color w:val="auto"/>
          <w:sz w:val="22"/>
          <w:szCs w:val="22"/>
        </w:rPr>
        <w:t xml:space="preserve"> and those opposed to ESG investing. While the diversity, equity, and inclusion (DEI) component of the social indicator has been the focus of much of the debate on ESG, other human rights issues, including worker health and safety, forced and child </w:t>
      </w:r>
      <w:r w:rsidR="00AE4E9F" w:rsidRPr="00C04E3D">
        <w:rPr>
          <w:color w:val="auto"/>
          <w:sz w:val="22"/>
          <w:szCs w:val="22"/>
        </w:rPr>
        <w:t>labour</w:t>
      </w:r>
      <w:r w:rsidRPr="00C04E3D">
        <w:rPr>
          <w:color w:val="auto"/>
          <w:sz w:val="22"/>
          <w:szCs w:val="22"/>
        </w:rPr>
        <w:t xml:space="preserve">, and attacks on human rights activists are all areas where investor influence has been critical in changing corporate </w:t>
      </w:r>
      <w:r w:rsidR="0006614B" w:rsidRPr="00C04E3D">
        <w:rPr>
          <w:color w:val="auto"/>
          <w:sz w:val="22"/>
          <w:szCs w:val="22"/>
        </w:rPr>
        <w:t>behaviour</w:t>
      </w:r>
      <w:r w:rsidRPr="00C04E3D">
        <w:rPr>
          <w:color w:val="auto"/>
          <w:sz w:val="22"/>
          <w:szCs w:val="22"/>
        </w:rPr>
        <w:t>.</w:t>
      </w:r>
    </w:p>
    <w:p w14:paraId="50672DB2" w14:textId="77777777" w:rsidR="00C04E3D" w:rsidRDefault="00C04E3D" w:rsidP="00C04E3D">
      <w:pPr>
        <w:pStyle w:val="Default"/>
        <w:jc w:val="both"/>
        <w:rPr>
          <w:color w:val="auto"/>
          <w:sz w:val="22"/>
          <w:szCs w:val="22"/>
        </w:rPr>
      </w:pPr>
    </w:p>
    <w:p w14:paraId="61E8221C" w14:textId="57762D48" w:rsidR="004C0AD3" w:rsidRPr="004C0AD3" w:rsidRDefault="00F03927" w:rsidP="004C0AD3">
      <w:pPr>
        <w:pStyle w:val="Default"/>
        <w:numPr>
          <w:ilvl w:val="0"/>
          <w:numId w:val="16"/>
        </w:numPr>
        <w:jc w:val="both"/>
        <w:rPr>
          <w:color w:val="auto"/>
          <w:sz w:val="22"/>
          <w:szCs w:val="22"/>
        </w:rPr>
      </w:pPr>
      <w:r>
        <w:rPr>
          <w:color w:val="auto"/>
          <w:sz w:val="22"/>
          <w:szCs w:val="22"/>
        </w:rPr>
        <w:t xml:space="preserve">IOSH believes that </w:t>
      </w:r>
      <w:r w:rsidRPr="00F03927">
        <w:rPr>
          <w:color w:val="auto"/>
          <w:sz w:val="22"/>
          <w:szCs w:val="22"/>
        </w:rPr>
        <w:t>human capital</w:t>
      </w:r>
      <w:r w:rsidR="002276A8">
        <w:rPr>
          <w:color w:val="auto"/>
          <w:sz w:val="22"/>
          <w:szCs w:val="22"/>
        </w:rPr>
        <w:t xml:space="preserve"> topics</w:t>
      </w:r>
      <w:r w:rsidRPr="00F03927">
        <w:rPr>
          <w:color w:val="auto"/>
          <w:sz w:val="22"/>
          <w:szCs w:val="22"/>
        </w:rPr>
        <w:t xml:space="preserve"> should be a key driver for the portfolio needs of an investor</w:t>
      </w:r>
      <w:r>
        <w:rPr>
          <w:color w:val="auto"/>
          <w:sz w:val="22"/>
          <w:szCs w:val="22"/>
        </w:rPr>
        <w:t>.</w:t>
      </w:r>
      <w:r w:rsidRPr="00F03927">
        <w:rPr>
          <w:color w:val="auto"/>
          <w:sz w:val="22"/>
          <w:szCs w:val="22"/>
        </w:rPr>
        <w:t xml:space="preserve"> </w:t>
      </w:r>
      <w:r w:rsidR="00DE60CE">
        <w:rPr>
          <w:color w:val="auto"/>
          <w:sz w:val="22"/>
          <w:szCs w:val="22"/>
        </w:rPr>
        <w:t>We strongly promote this</w:t>
      </w:r>
      <w:r w:rsidR="003E16A7">
        <w:rPr>
          <w:color w:val="auto"/>
          <w:sz w:val="22"/>
          <w:szCs w:val="22"/>
        </w:rPr>
        <w:t xml:space="preserve"> </w:t>
      </w:r>
      <w:r w:rsidR="00896133">
        <w:rPr>
          <w:color w:val="auto"/>
          <w:sz w:val="22"/>
          <w:szCs w:val="22"/>
        </w:rPr>
        <w:t>position</w:t>
      </w:r>
      <w:r w:rsidR="00DE60CE">
        <w:rPr>
          <w:color w:val="auto"/>
          <w:sz w:val="22"/>
          <w:szCs w:val="22"/>
        </w:rPr>
        <w:t xml:space="preserve"> through our </w:t>
      </w:r>
      <w:r w:rsidR="006C133B">
        <w:rPr>
          <w:color w:val="auto"/>
          <w:sz w:val="22"/>
          <w:szCs w:val="22"/>
        </w:rPr>
        <w:t>seat on</w:t>
      </w:r>
      <w:r w:rsidR="00DE60CE">
        <w:rPr>
          <w:color w:val="auto"/>
          <w:sz w:val="22"/>
          <w:szCs w:val="22"/>
        </w:rPr>
        <w:t xml:space="preserve"> the Human Capital Committee of the International Corporate Governance Network (ICGN)</w:t>
      </w:r>
      <w:r w:rsidR="00F56A3A">
        <w:rPr>
          <w:color w:val="auto"/>
          <w:sz w:val="22"/>
          <w:szCs w:val="22"/>
        </w:rPr>
        <w:t>.</w:t>
      </w:r>
      <w:r w:rsidR="00DE60CE">
        <w:rPr>
          <w:color w:val="auto"/>
          <w:sz w:val="22"/>
          <w:szCs w:val="22"/>
        </w:rPr>
        <w:t xml:space="preserve"> </w:t>
      </w:r>
      <w:r w:rsidR="002276A8">
        <w:rPr>
          <w:color w:val="auto"/>
          <w:sz w:val="22"/>
          <w:szCs w:val="22"/>
        </w:rPr>
        <w:t>Good</w:t>
      </w:r>
      <w:r w:rsidR="009E035E">
        <w:rPr>
          <w:color w:val="auto"/>
          <w:sz w:val="22"/>
          <w:szCs w:val="22"/>
        </w:rPr>
        <w:t xml:space="preserve"> </w:t>
      </w:r>
      <w:r w:rsidR="002276A8">
        <w:rPr>
          <w:color w:val="auto"/>
          <w:sz w:val="22"/>
          <w:szCs w:val="22"/>
        </w:rPr>
        <w:t>h</w:t>
      </w:r>
      <w:r w:rsidR="004C0AD3" w:rsidRPr="004C0AD3">
        <w:rPr>
          <w:color w:val="auto"/>
          <w:sz w:val="22"/>
          <w:szCs w:val="22"/>
        </w:rPr>
        <w:t>uman capital</w:t>
      </w:r>
      <w:r w:rsidR="002276A8">
        <w:rPr>
          <w:color w:val="auto"/>
          <w:sz w:val="22"/>
          <w:szCs w:val="22"/>
        </w:rPr>
        <w:t xml:space="preserve"> management</w:t>
      </w:r>
      <w:r w:rsidR="004C0AD3" w:rsidRPr="004C0AD3">
        <w:rPr>
          <w:color w:val="auto"/>
          <w:sz w:val="22"/>
          <w:szCs w:val="22"/>
        </w:rPr>
        <w:t xml:space="preserve"> is fundamental to the people element of the ‘people, planet, profit’ triad in sustainability management and to the ‘social’ pillar of ESG and the United Nations Global Compact. It </w:t>
      </w:r>
      <w:r w:rsidR="002276A8">
        <w:rPr>
          <w:color w:val="auto"/>
          <w:sz w:val="22"/>
          <w:szCs w:val="22"/>
        </w:rPr>
        <w:t>emphasises the benefit of</w:t>
      </w:r>
      <w:r w:rsidR="002276A8" w:rsidRPr="004C0AD3">
        <w:rPr>
          <w:color w:val="auto"/>
          <w:sz w:val="22"/>
          <w:szCs w:val="22"/>
        </w:rPr>
        <w:t xml:space="preserve"> </w:t>
      </w:r>
      <w:r w:rsidR="004C0AD3" w:rsidRPr="004C0AD3">
        <w:rPr>
          <w:color w:val="auto"/>
          <w:sz w:val="22"/>
          <w:szCs w:val="22"/>
        </w:rPr>
        <w:t xml:space="preserve">realising the value and potential of people at work </w:t>
      </w:r>
      <w:r w:rsidR="002276A8">
        <w:rPr>
          <w:color w:val="auto"/>
          <w:sz w:val="22"/>
          <w:szCs w:val="22"/>
        </w:rPr>
        <w:t>(</w:t>
      </w:r>
      <w:r w:rsidR="004C0AD3" w:rsidRPr="004C0AD3">
        <w:rPr>
          <w:color w:val="auto"/>
          <w:sz w:val="22"/>
          <w:szCs w:val="22"/>
        </w:rPr>
        <w:t>which includes the occupational safety and health needs and rights of workers</w:t>
      </w:r>
      <w:r w:rsidR="002276A8">
        <w:rPr>
          <w:color w:val="auto"/>
          <w:sz w:val="22"/>
          <w:szCs w:val="22"/>
        </w:rPr>
        <w:t>),</w:t>
      </w:r>
      <w:r w:rsidR="004C0AD3" w:rsidRPr="004C0AD3">
        <w:rPr>
          <w:color w:val="auto"/>
          <w:sz w:val="22"/>
          <w:szCs w:val="22"/>
        </w:rPr>
        <w:t xml:space="preserve"> and</w:t>
      </w:r>
      <w:r w:rsidR="002276A8">
        <w:rPr>
          <w:color w:val="auto"/>
          <w:sz w:val="22"/>
          <w:szCs w:val="22"/>
        </w:rPr>
        <w:t xml:space="preserve"> </w:t>
      </w:r>
      <w:r w:rsidR="004C0AD3" w:rsidRPr="004C0AD3">
        <w:rPr>
          <w:color w:val="auto"/>
          <w:sz w:val="22"/>
          <w:szCs w:val="22"/>
        </w:rPr>
        <w:t xml:space="preserve">how </w:t>
      </w:r>
      <w:r w:rsidR="009A0E82">
        <w:rPr>
          <w:color w:val="auto"/>
          <w:sz w:val="22"/>
          <w:szCs w:val="22"/>
        </w:rPr>
        <w:t>this impact</w:t>
      </w:r>
      <w:r w:rsidR="004C0AD3" w:rsidRPr="004C0AD3">
        <w:rPr>
          <w:color w:val="auto"/>
          <w:sz w:val="22"/>
          <w:szCs w:val="22"/>
        </w:rPr>
        <w:t xml:space="preserve"> and influence organisational performance and social licence to operate. </w:t>
      </w:r>
    </w:p>
    <w:p w14:paraId="62434078" w14:textId="27BCCC62" w:rsidR="005F24E0" w:rsidRDefault="005F24E0" w:rsidP="005F24E0">
      <w:pPr>
        <w:numPr>
          <w:ilvl w:val="0"/>
          <w:numId w:val="12"/>
        </w:numPr>
        <w:spacing w:before="100" w:beforeAutospacing="1" w:after="100" w:afterAutospacing="1"/>
        <w:jc w:val="both"/>
        <w:rPr>
          <w:rFonts w:ascii="Arial" w:hAnsi="Arial" w:cs="Arial"/>
          <w:color w:val="0070C0"/>
        </w:rPr>
      </w:pPr>
      <w:r w:rsidRPr="005F24E0">
        <w:rPr>
          <w:rFonts w:ascii="Arial" w:hAnsi="Arial" w:cs="Arial"/>
          <w:color w:val="0070C0"/>
        </w:rPr>
        <w:t xml:space="preserve">What responsibilities and capacity do ESG index and data providers have regarding the assessment of adverse human rights and environmental impacts, and how can </w:t>
      </w:r>
      <w:r w:rsidR="009F472A">
        <w:rPr>
          <w:rFonts w:ascii="Arial" w:hAnsi="Arial" w:cs="Arial"/>
          <w:color w:val="0070C0"/>
        </w:rPr>
        <w:t xml:space="preserve"> </w:t>
      </w:r>
      <w:r w:rsidRPr="005F24E0">
        <w:rPr>
          <w:rFonts w:ascii="Arial" w:hAnsi="Arial" w:cs="Arial"/>
          <w:color w:val="0070C0"/>
        </w:rPr>
        <w:t>ESG indexes and research products be improved to align with the UNGPs approach?</w:t>
      </w:r>
    </w:p>
    <w:p w14:paraId="3EDE23FE" w14:textId="291B5801" w:rsidR="009F472A" w:rsidRDefault="00DF3720" w:rsidP="009F472A">
      <w:pPr>
        <w:spacing w:before="100" w:beforeAutospacing="1" w:after="100" w:afterAutospacing="1"/>
        <w:jc w:val="both"/>
        <w:rPr>
          <w:rFonts w:ascii="Arial" w:hAnsi="Arial" w:cs="Arial"/>
        </w:rPr>
      </w:pPr>
      <w:r>
        <w:rPr>
          <w:rFonts w:ascii="Arial" w:hAnsi="Arial" w:cs="Arial"/>
        </w:rPr>
        <w:t>E</w:t>
      </w:r>
      <w:r w:rsidRPr="00DF3720">
        <w:rPr>
          <w:rFonts w:ascii="Arial" w:hAnsi="Arial" w:cs="Arial"/>
        </w:rPr>
        <w:t xml:space="preserve">SG index and data providers are slowly starting </w:t>
      </w:r>
      <w:r w:rsidR="002276A8">
        <w:rPr>
          <w:rFonts w:ascii="Arial" w:hAnsi="Arial" w:cs="Arial"/>
        </w:rPr>
        <w:t>to acknowledge and embrace</w:t>
      </w:r>
      <w:r w:rsidRPr="00DF3720">
        <w:rPr>
          <w:rFonts w:ascii="Arial" w:hAnsi="Arial" w:cs="Arial"/>
        </w:rPr>
        <w:t xml:space="preserve"> human rights principles</w:t>
      </w:r>
      <w:r w:rsidR="002276A8">
        <w:rPr>
          <w:rFonts w:ascii="Arial" w:hAnsi="Arial" w:cs="Arial"/>
        </w:rPr>
        <w:t>,</w:t>
      </w:r>
      <w:r w:rsidRPr="00DF3720">
        <w:rPr>
          <w:rFonts w:ascii="Arial" w:hAnsi="Arial" w:cs="Arial"/>
        </w:rPr>
        <w:t xml:space="preserve"> but there is still a strong misalignment between ESG </w:t>
      </w:r>
      <w:r w:rsidR="009A0E82" w:rsidRPr="00DF3720">
        <w:rPr>
          <w:rFonts w:ascii="Arial" w:hAnsi="Arial" w:cs="Arial"/>
        </w:rPr>
        <w:t>indexes,</w:t>
      </w:r>
      <w:r w:rsidRPr="00DF3720">
        <w:rPr>
          <w:rFonts w:ascii="Arial" w:hAnsi="Arial" w:cs="Arial"/>
        </w:rPr>
        <w:t xml:space="preserve"> and the principles derived from UNGPs on the issue of human rights.</w:t>
      </w:r>
      <w:r>
        <w:rPr>
          <w:rFonts w:ascii="Arial" w:hAnsi="Arial" w:cs="Arial"/>
        </w:rPr>
        <w:t xml:space="preserve"> </w:t>
      </w:r>
      <w:r w:rsidR="002C1F8E">
        <w:rPr>
          <w:rFonts w:ascii="Arial" w:hAnsi="Arial" w:cs="Arial"/>
        </w:rPr>
        <w:t xml:space="preserve">On many occasions it is still the case that </w:t>
      </w:r>
      <w:r w:rsidR="002C1F8E" w:rsidRPr="002C1F8E">
        <w:rPr>
          <w:rFonts w:ascii="Arial" w:hAnsi="Arial" w:cs="Arial"/>
        </w:rPr>
        <w:t>companies implicated in human rights abuses</w:t>
      </w:r>
      <w:r w:rsidR="002C1F8E">
        <w:rPr>
          <w:rFonts w:ascii="Arial" w:hAnsi="Arial" w:cs="Arial"/>
        </w:rPr>
        <w:t xml:space="preserve"> are</w:t>
      </w:r>
      <w:r w:rsidR="002C1F8E" w:rsidRPr="002C1F8E">
        <w:rPr>
          <w:rFonts w:ascii="Arial" w:hAnsi="Arial" w:cs="Arial"/>
        </w:rPr>
        <w:t xml:space="preserve"> included in key ESG indices and funds</w:t>
      </w:r>
      <w:r w:rsidR="009F472A" w:rsidRPr="00681102">
        <w:rPr>
          <w:rFonts w:ascii="Arial" w:hAnsi="Arial" w:cs="Arial"/>
        </w:rPr>
        <w:t>.</w:t>
      </w:r>
      <w:r w:rsidR="004D2183">
        <w:rPr>
          <w:rFonts w:ascii="Arial" w:hAnsi="Arial" w:cs="Arial"/>
        </w:rPr>
        <w:t xml:space="preserve"> A clear example of this can be seen on the disconnection </w:t>
      </w:r>
      <w:r w:rsidR="004D2183" w:rsidRPr="004D2183">
        <w:rPr>
          <w:rFonts w:ascii="Arial" w:hAnsi="Arial" w:cs="Arial"/>
        </w:rPr>
        <w:t xml:space="preserve">between companies’ ESG risk ratings and the actual risks they generate for </w:t>
      </w:r>
      <w:r w:rsidR="004D2183">
        <w:rPr>
          <w:rFonts w:ascii="Arial" w:hAnsi="Arial" w:cs="Arial"/>
        </w:rPr>
        <w:t>workers, communities</w:t>
      </w:r>
      <w:r w:rsidR="00F169B4">
        <w:rPr>
          <w:rFonts w:ascii="Arial" w:hAnsi="Arial" w:cs="Arial"/>
        </w:rPr>
        <w:t>,</w:t>
      </w:r>
      <w:r w:rsidR="004D2183">
        <w:rPr>
          <w:rFonts w:ascii="Arial" w:hAnsi="Arial" w:cs="Arial"/>
        </w:rPr>
        <w:t xml:space="preserve"> and </w:t>
      </w:r>
      <w:r w:rsidR="004D2183" w:rsidRPr="004D2183">
        <w:rPr>
          <w:rFonts w:ascii="Arial" w:hAnsi="Arial" w:cs="Arial"/>
        </w:rPr>
        <w:t>societies.</w:t>
      </w:r>
    </w:p>
    <w:p w14:paraId="490D1522" w14:textId="70BC5E5A" w:rsidR="005F24E0" w:rsidRPr="005F24E0" w:rsidRDefault="005F24E0" w:rsidP="005F24E0">
      <w:pPr>
        <w:pStyle w:val="NormalWeb"/>
        <w:jc w:val="both"/>
        <w:rPr>
          <w:rFonts w:ascii="Arial" w:hAnsi="Arial" w:cs="Arial"/>
          <w:color w:val="0070C0"/>
          <w:sz w:val="22"/>
          <w:szCs w:val="22"/>
        </w:rPr>
      </w:pPr>
      <w:r w:rsidRPr="005F24E0">
        <w:rPr>
          <w:rStyle w:val="Strong"/>
          <w:rFonts w:ascii="Arial" w:hAnsi="Arial" w:cs="Arial"/>
          <w:color w:val="0070C0"/>
          <w:sz w:val="22"/>
          <w:szCs w:val="22"/>
        </w:rPr>
        <w:t>State duty to protect human rights</w:t>
      </w:r>
    </w:p>
    <w:p w14:paraId="15F09584" w14:textId="77777777" w:rsidR="005F24E0" w:rsidRDefault="005F24E0" w:rsidP="005F24E0">
      <w:pPr>
        <w:numPr>
          <w:ilvl w:val="0"/>
          <w:numId w:val="13"/>
        </w:numPr>
        <w:spacing w:before="100" w:beforeAutospacing="1" w:after="100" w:afterAutospacing="1"/>
        <w:jc w:val="both"/>
        <w:rPr>
          <w:rFonts w:ascii="Arial" w:hAnsi="Arial" w:cs="Arial"/>
          <w:color w:val="0070C0"/>
        </w:rPr>
      </w:pPr>
      <w:r w:rsidRPr="005F24E0">
        <w:rPr>
          <w:rFonts w:ascii="Arial" w:hAnsi="Arial" w:cs="Arial"/>
          <w:color w:val="0070C0"/>
        </w:rPr>
        <w:t>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p>
    <w:p w14:paraId="0BD29B4F" w14:textId="6F4F6D4D" w:rsidR="00EB4775" w:rsidRPr="00EB4775" w:rsidRDefault="00EB4775" w:rsidP="00EB4775">
      <w:pPr>
        <w:spacing w:before="100" w:beforeAutospacing="1" w:after="100" w:afterAutospacing="1"/>
        <w:jc w:val="both"/>
        <w:rPr>
          <w:rFonts w:ascii="Arial" w:hAnsi="Arial" w:cs="Arial"/>
        </w:rPr>
      </w:pPr>
      <w:r w:rsidRPr="00EB4775">
        <w:rPr>
          <w:rFonts w:ascii="Arial" w:hAnsi="Arial" w:cs="Arial"/>
        </w:rPr>
        <w:t xml:space="preserve">IOSH expects legislative developments on this matter to </w:t>
      </w:r>
      <w:r w:rsidR="00707C0E">
        <w:rPr>
          <w:rFonts w:ascii="Arial" w:hAnsi="Arial" w:cs="Arial"/>
        </w:rPr>
        <w:t>embed the social elements of E</w:t>
      </w:r>
      <w:r w:rsidR="00FE15B8">
        <w:rPr>
          <w:rFonts w:ascii="Arial" w:hAnsi="Arial" w:cs="Arial"/>
        </w:rPr>
        <w:t>SG due diligence</w:t>
      </w:r>
      <w:r w:rsidRPr="00EB4775">
        <w:rPr>
          <w:rFonts w:ascii="Arial" w:hAnsi="Arial" w:cs="Arial"/>
        </w:rPr>
        <w:t xml:space="preserve"> (</w:t>
      </w:r>
      <w:r w:rsidR="00FE15B8">
        <w:rPr>
          <w:rFonts w:ascii="Arial" w:hAnsi="Arial" w:cs="Arial"/>
        </w:rPr>
        <w:t xml:space="preserve">i.e., </w:t>
      </w:r>
      <w:r w:rsidRPr="00EB4775">
        <w:rPr>
          <w:rFonts w:ascii="Arial" w:hAnsi="Arial" w:cs="Arial"/>
        </w:rPr>
        <w:t xml:space="preserve">modern slavery, corporate social responsibility, occupational safety and health, decent working conditions, and supply chain sustainability) </w:t>
      </w:r>
      <w:r w:rsidR="00FE15B8">
        <w:rPr>
          <w:rFonts w:ascii="Arial" w:hAnsi="Arial" w:cs="Arial"/>
        </w:rPr>
        <w:t xml:space="preserve">to be </w:t>
      </w:r>
      <w:r w:rsidRPr="00EB4775">
        <w:rPr>
          <w:rFonts w:ascii="Arial" w:hAnsi="Arial" w:cs="Arial"/>
        </w:rPr>
        <w:t>at the very top of the policy agenda. We see this as a logic</w:t>
      </w:r>
      <w:r w:rsidR="000F1696">
        <w:rPr>
          <w:rFonts w:ascii="Arial" w:hAnsi="Arial" w:cs="Arial"/>
        </w:rPr>
        <w:t>al</w:t>
      </w:r>
      <w:r w:rsidRPr="00EB4775">
        <w:rPr>
          <w:rFonts w:ascii="Arial" w:hAnsi="Arial" w:cs="Arial"/>
        </w:rPr>
        <w:t xml:space="preserve"> step forward considering that the financial materiality associated to these risks is becoming increasingly clear. </w:t>
      </w:r>
    </w:p>
    <w:p w14:paraId="0A2E013E" w14:textId="50D2F5C4" w:rsidR="00F965A4" w:rsidRDefault="00F965A4" w:rsidP="00C347F6">
      <w:pPr>
        <w:spacing w:before="100" w:beforeAutospacing="1" w:after="100" w:afterAutospacing="1"/>
        <w:jc w:val="both"/>
        <w:rPr>
          <w:rFonts w:ascii="Arial" w:hAnsi="Arial" w:cs="Arial"/>
        </w:rPr>
      </w:pPr>
      <w:r>
        <w:rPr>
          <w:rFonts w:ascii="Arial" w:hAnsi="Arial" w:cs="Arial"/>
        </w:rPr>
        <w:t>Human rights</w:t>
      </w:r>
      <w:r w:rsidR="00DE2381" w:rsidRPr="00DE2381">
        <w:rPr>
          <w:rFonts w:ascii="Arial" w:hAnsi="Arial" w:cs="Arial"/>
        </w:rPr>
        <w:t xml:space="preserve"> issues </w:t>
      </w:r>
      <w:r w:rsidR="009A0E82">
        <w:rPr>
          <w:rFonts w:ascii="Arial" w:hAnsi="Arial" w:cs="Arial"/>
        </w:rPr>
        <w:t>remain</w:t>
      </w:r>
      <w:r w:rsidR="00DE2381" w:rsidRPr="00DE2381">
        <w:rPr>
          <w:rFonts w:ascii="Arial" w:hAnsi="Arial" w:cs="Arial"/>
        </w:rPr>
        <w:t xml:space="preserve"> an issue to be properly covered in trade-related</w:t>
      </w:r>
      <w:r>
        <w:rPr>
          <w:rFonts w:ascii="Arial" w:hAnsi="Arial" w:cs="Arial"/>
        </w:rPr>
        <w:t xml:space="preserve"> </w:t>
      </w:r>
      <w:r w:rsidR="00DE2381" w:rsidRPr="00DE2381">
        <w:rPr>
          <w:rFonts w:ascii="Arial" w:hAnsi="Arial" w:cs="Arial"/>
        </w:rPr>
        <w:t>public policy agendas</w:t>
      </w:r>
      <w:r w:rsidR="00DE2381">
        <w:rPr>
          <w:rStyle w:val="FootnoteReference"/>
          <w:rFonts w:ascii="Arial" w:hAnsi="Arial" w:cs="Arial"/>
        </w:rPr>
        <w:footnoteReference w:id="10"/>
      </w:r>
      <w:r>
        <w:rPr>
          <w:rFonts w:ascii="Arial" w:hAnsi="Arial" w:cs="Arial"/>
        </w:rPr>
        <w:t xml:space="preserve">. For that reason, </w:t>
      </w:r>
      <w:r w:rsidRPr="00F965A4">
        <w:rPr>
          <w:rFonts w:ascii="Arial" w:hAnsi="Arial" w:cs="Arial"/>
        </w:rPr>
        <w:t>a possible route for global policy on world trade</w:t>
      </w:r>
      <w:r>
        <w:rPr>
          <w:rFonts w:ascii="Arial" w:hAnsi="Arial" w:cs="Arial"/>
        </w:rPr>
        <w:t xml:space="preserve"> </w:t>
      </w:r>
      <w:r w:rsidRPr="00F965A4">
        <w:rPr>
          <w:rFonts w:ascii="Arial" w:hAnsi="Arial" w:cs="Arial"/>
        </w:rPr>
        <w:t>would entail the formal review of fundamental principles and rights at work framework on free</w:t>
      </w:r>
      <w:r>
        <w:rPr>
          <w:rFonts w:ascii="Arial" w:hAnsi="Arial" w:cs="Arial"/>
        </w:rPr>
        <w:t xml:space="preserve"> </w:t>
      </w:r>
      <w:r w:rsidRPr="00F965A4">
        <w:rPr>
          <w:rFonts w:ascii="Arial" w:hAnsi="Arial" w:cs="Arial"/>
        </w:rPr>
        <w:t>trade agreements,</w:t>
      </w:r>
      <w:r w:rsidR="002F6BFE">
        <w:rPr>
          <w:rFonts w:ascii="Arial" w:hAnsi="Arial" w:cs="Arial"/>
        </w:rPr>
        <w:t xml:space="preserve"> and</w:t>
      </w:r>
      <w:r w:rsidRPr="00F965A4">
        <w:rPr>
          <w:rFonts w:ascii="Arial" w:hAnsi="Arial" w:cs="Arial"/>
        </w:rPr>
        <w:t xml:space="preserve"> the integration of a legally binding instrument </w:t>
      </w:r>
      <w:r w:rsidR="002F6BFE">
        <w:rPr>
          <w:rFonts w:ascii="Arial" w:hAnsi="Arial" w:cs="Arial"/>
        </w:rPr>
        <w:t>for</w:t>
      </w:r>
      <w:r w:rsidRPr="00F965A4">
        <w:rPr>
          <w:rFonts w:ascii="Arial" w:hAnsi="Arial" w:cs="Arial"/>
        </w:rPr>
        <w:t xml:space="preserve"> transnational corporations</w:t>
      </w:r>
      <w:r>
        <w:rPr>
          <w:rFonts w:ascii="Arial" w:hAnsi="Arial" w:cs="Arial"/>
        </w:rPr>
        <w:t xml:space="preserve"> </w:t>
      </w:r>
      <w:r w:rsidRPr="00F965A4">
        <w:rPr>
          <w:rFonts w:ascii="Arial" w:hAnsi="Arial" w:cs="Arial"/>
        </w:rPr>
        <w:t>and other business enterprises with respect to human rights and decent work</w:t>
      </w:r>
      <w:r>
        <w:rPr>
          <w:rFonts w:ascii="Arial" w:hAnsi="Arial" w:cs="Arial"/>
        </w:rPr>
        <w:t>.</w:t>
      </w:r>
      <w:r w:rsidRPr="00F965A4">
        <w:rPr>
          <w:rFonts w:ascii="Arial" w:hAnsi="Arial" w:cs="Arial"/>
        </w:rPr>
        <w:t xml:space="preserve"> </w:t>
      </w:r>
      <w:r w:rsidR="00C347F6">
        <w:rPr>
          <w:rFonts w:ascii="Arial" w:hAnsi="Arial" w:cs="Arial"/>
        </w:rPr>
        <w:t>Similarly</w:t>
      </w:r>
      <w:r w:rsidR="00FF79A8">
        <w:rPr>
          <w:rFonts w:ascii="Arial" w:hAnsi="Arial" w:cs="Arial"/>
        </w:rPr>
        <w:t>,</w:t>
      </w:r>
      <w:r w:rsidR="00C347F6" w:rsidRPr="00C347F6">
        <w:rPr>
          <w:rFonts w:ascii="Arial" w:hAnsi="Arial" w:cs="Arial"/>
        </w:rPr>
        <w:t xml:space="preserve"> human rights </w:t>
      </w:r>
      <w:r w:rsidR="00A80C54">
        <w:rPr>
          <w:rFonts w:ascii="Arial" w:hAnsi="Arial" w:cs="Arial"/>
        </w:rPr>
        <w:t xml:space="preserve">and fundamental principles and rights at work </w:t>
      </w:r>
      <w:r w:rsidR="00C347F6" w:rsidRPr="00C347F6">
        <w:rPr>
          <w:rFonts w:ascii="Arial" w:hAnsi="Arial" w:cs="Arial"/>
        </w:rPr>
        <w:t xml:space="preserve">clauses </w:t>
      </w:r>
      <w:r w:rsidR="00C347F6">
        <w:rPr>
          <w:rFonts w:ascii="Arial" w:hAnsi="Arial" w:cs="Arial"/>
        </w:rPr>
        <w:t>can</w:t>
      </w:r>
      <w:r w:rsidR="00C347F6" w:rsidRPr="00C347F6">
        <w:rPr>
          <w:rFonts w:ascii="Arial" w:hAnsi="Arial" w:cs="Arial"/>
        </w:rPr>
        <w:t xml:space="preserve"> be firmly embedded into</w:t>
      </w:r>
      <w:r w:rsidR="00C347F6">
        <w:rPr>
          <w:rFonts w:ascii="Arial" w:hAnsi="Arial" w:cs="Arial"/>
        </w:rPr>
        <w:t xml:space="preserve"> national</w:t>
      </w:r>
      <w:r w:rsidR="00C347F6" w:rsidRPr="00C347F6">
        <w:rPr>
          <w:rFonts w:ascii="Arial" w:hAnsi="Arial" w:cs="Arial"/>
        </w:rPr>
        <w:t xml:space="preserve"> implementation plans for</w:t>
      </w:r>
      <w:r w:rsidR="00C347F6">
        <w:rPr>
          <w:rFonts w:ascii="Arial" w:hAnsi="Arial" w:cs="Arial"/>
        </w:rPr>
        <w:t xml:space="preserve"> </w:t>
      </w:r>
      <w:r w:rsidR="00C347F6" w:rsidRPr="00C347F6">
        <w:rPr>
          <w:rFonts w:ascii="Arial" w:hAnsi="Arial" w:cs="Arial"/>
        </w:rPr>
        <w:t>net-zero emission and energy transition programs</w:t>
      </w:r>
      <w:r w:rsidR="00C347F6">
        <w:rPr>
          <w:rFonts w:ascii="Arial" w:hAnsi="Arial" w:cs="Arial"/>
        </w:rPr>
        <w:t xml:space="preserve">, </w:t>
      </w:r>
      <w:r w:rsidR="00C347F6" w:rsidRPr="00C347F6">
        <w:rPr>
          <w:rFonts w:ascii="Arial" w:hAnsi="Arial" w:cs="Arial"/>
        </w:rPr>
        <w:t>climate regulations, mitigation policies,</w:t>
      </w:r>
      <w:r w:rsidR="00C347F6">
        <w:rPr>
          <w:rFonts w:ascii="Arial" w:hAnsi="Arial" w:cs="Arial"/>
        </w:rPr>
        <w:t xml:space="preserve"> </w:t>
      </w:r>
      <w:r w:rsidR="00C347F6" w:rsidRPr="00C347F6">
        <w:rPr>
          <w:rFonts w:ascii="Arial" w:hAnsi="Arial" w:cs="Arial"/>
        </w:rPr>
        <w:t>adaptation policies and compensation policies</w:t>
      </w:r>
      <w:r w:rsidR="00C347F6">
        <w:rPr>
          <w:rFonts w:ascii="Arial" w:hAnsi="Arial" w:cs="Arial"/>
        </w:rPr>
        <w:t xml:space="preserve"> </w:t>
      </w:r>
      <w:r w:rsidR="00C347F6" w:rsidRPr="00C347F6">
        <w:rPr>
          <w:rFonts w:ascii="Arial" w:hAnsi="Arial" w:cs="Arial"/>
        </w:rPr>
        <w:t>that target the groups most affected by the</w:t>
      </w:r>
      <w:r w:rsidR="00C347F6">
        <w:rPr>
          <w:rFonts w:ascii="Arial" w:hAnsi="Arial" w:cs="Arial"/>
        </w:rPr>
        <w:t xml:space="preserve"> </w:t>
      </w:r>
      <w:r w:rsidR="009A0E82" w:rsidRPr="00C347F6">
        <w:rPr>
          <w:rFonts w:ascii="Arial" w:hAnsi="Arial" w:cs="Arial"/>
        </w:rPr>
        <w:t>transition</w:t>
      </w:r>
      <w:r w:rsidR="009A0E82">
        <w:rPr>
          <w:rFonts w:ascii="Arial" w:hAnsi="Arial" w:cs="Arial"/>
        </w:rPr>
        <w:t>.</w:t>
      </w:r>
    </w:p>
    <w:p w14:paraId="0D72662E" w14:textId="43AD6E4D" w:rsidR="00DA4E6A" w:rsidRPr="00F965A4" w:rsidRDefault="00DA4E6A" w:rsidP="00DA4E6A">
      <w:pPr>
        <w:spacing w:before="100" w:beforeAutospacing="1" w:after="100" w:afterAutospacing="1"/>
        <w:jc w:val="both"/>
        <w:rPr>
          <w:rFonts w:ascii="Arial" w:hAnsi="Arial" w:cs="Arial"/>
        </w:rPr>
      </w:pPr>
      <w:r>
        <w:rPr>
          <w:rFonts w:ascii="Arial" w:hAnsi="Arial" w:cs="Arial"/>
        </w:rPr>
        <w:t xml:space="preserve">Another route </w:t>
      </w:r>
      <w:r w:rsidR="00205DE7">
        <w:rPr>
          <w:rFonts w:ascii="Arial" w:hAnsi="Arial" w:cs="Arial"/>
        </w:rPr>
        <w:t xml:space="preserve">entails integrating human rights requirements into broader sustainability and ESG investing clauses present </w:t>
      </w:r>
      <w:r w:rsidR="00B47052">
        <w:rPr>
          <w:rFonts w:ascii="Arial" w:hAnsi="Arial" w:cs="Arial"/>
        </w:rPr>
        <w:t xml:space="preserve">in </w:t>
      </w:r>
      <w:r w:rsidR="005D7DD9">
        <w:rPr>
          <w:rFonts w:ascii="Arial" w:hAnsi="Arial" w:cs="Arial"/>
        </w:rPr>
        <w:t>n</w:t>
      </w:r>
      <w:r>
        <w:rPr>
          <w:rFonts w:ascii="Arial" w:hAnsi="Arial" w:cs="Arial"/>
        </w:rPr>
        <w:t xml:space="preserve">ational </w:t>
      </w:r>
      <w:r w:rsidR="005D7DD9">
        <w:rPr>
          <w:rFonts w:ascii="Arial" w:hAnsi="Arial" w:cs="Arial"/>
        </w:rPr>
        <w:t>a</w:t>
      </w:r>
      <w:r>
        <w:rPr>
          <w:rFonts w:ascii="Arial" w:hAnsi="Arial" w:cs="Arial"/>
        </w:rPr>
        <w:t xml:space="preserve">ction </w:t>
      </w:r>
      <w:r w:rsidR="005D7DD9">
        <w:rPr>
          <w:rFonts w:ascii="Arial" w:hAnsi="Arial" w:cs="Arial"/>
        </w:rPr>
        <w:t>p</w:t>
      </w:r>
      <w:r>
        <w:rPr>
          <w:rFonts w:ascii="Arial" w:hAnsi="Arial" w:cs="Arial"/>
        </w:rPr>
        <w:t xml:space="preserve">lans on </w:t>
      </w:r>
      <w:r w:rsidR="005D7DD9">
        <w:rPr>
          <w:rFonts w:ascii="Arial" w:hAnsi="Arial" w:cs="Arial"/>
        </w:rPr>
        <w:t>b</w:t>
      </w:r>
      <w:r>
        <w:rPr>
          <w:rFonts w:ascii="Arial" w:hAnsi="Arial" w:cs="Arial"/>
        </w:rPr>
        <w:t xml:space="preserve">usiness and </w:t>
      </w:r>
      <w:r w:rsidR="005D7DD9">
        <w:rPr>
          <w:rFonts w:ascii="Arial" w:hAnsi="Arial" w:cs="Arial"/>
        </w:rPr>
        <w:t>h</w:t>
      </w:r>
      <w:r>
        <w:rPr>
          <w:rFonts w:ascii="Arial" w:hAnsi="Arial" w:cs="Arial"/>
        </w:rPr>
        <w:t xml:space="preserve">uman </w:t>
      </w:r>
      <w:r w:rsidR="00FE1C9A">
        <w:rPr>
          <w:rFonts w:ascii="Arial" w:hAnsi="Arial" w:cs="Arial"/>
        </w:rPr>
        <w:t>r</w:t>
      </w:r>
      <w:r>
        <w:rPr>
          <w:rFonts w:ascii="Arial" w:hAnsi="Arial" w:cs="Arial"/>
        </w:rPr>
        <w:t xml:space="preserve">ights </w:t>
      </w:r>
      <w:r w:rsidR="00B47052">
        <w:rPr>
          <w:rFonts w:ascii="Arial" w:hAnsi="Arial" w:cs="Arial"/>
        </w:rPr>
        <w:t xml:space="preserve">or </w:t>
      </w:r>
      <w:r w:rsidR="00FE1C9A">
        <w:rPr>
          <w:rFonts w:ascii="Arial" w:hAnsi="Arial" w:cs="Arial"/>
        </w:rPr>
        <w:t>n</w:t>
      </w:r>
      <w:r w:rsidRPr="00DA4E6A">
        <w:rPr>
          <w:rFonts w:ascii="Arial" w:hAnsi="Arial" w:cs="Arial"/>
        </w:rPr>
        <w:t xml:space="preserve">ational </w:t>
      </w:r>
      <w:r w:rsidR="00FE1C9A">
        <w:rPr>
          <w:rFonts w:ascii="Arial" w:hAnsi="Arial" w:cs="Arial"/>
        </w:rPr>
        <w:t>a</w:t>
      </w:r>
      <w:r w:rsidRPr="00DA4E6A">
        <w:rPr>
          <w:rFonts w:ascii="Arial" w:hAnsi="Arial" w:cs="Arial"/>
        </w:rPr>
        <w:t xml:space="preserve">ction </w:t>
      </w:r>
      <w:r w:rsidR="00FE1C9A">
        <w:rPr>
          <w:rFonts w:ascii="Arial" w:hAnsi="Arial" w:cs="Arial"/>
        </w:rPr>
        <w:t>p</w:t>
      </w:r>
      <w:r w:rsidRPr="00DA4E6A">
        <w:rPr>
          <w:rFonts w:ascii="Arial" w:hAnsi="Arial" w:cs="Arial"/>
        </w:rPr>
        <w:t>lan</w:t>
      </w:r>
      <w:r>
        <w:rPr>
          <w:rFonts w:ascii="Arial" w:hAnsi="Arial" w:cs="Arial"/>
        </w:rPr>
        <w:t>s</w:t>
      </w:r>
      <w:r w:rsidRPr="00DA4E6A">
        <w:rPr>
          <w:rFonts w:ascii="Arial" w:hAnsi="Arial" w:cs="Arial"/>
        </w:rPr>
        <w:t xml:space="preserve"> </w:t>
      </w:r>
      <w:r>
        <w:rPr>
          <w:rFonts w:ascii="Arial" w:hAnsi="Arial" w:cs="Arial"/>
        </w:rPr>
        <w:t xml:space="preserve">on </w:t>
      </w:r>
      <w:r w:rsidR="00FE1C9A">
        <w:rPr>
          <w:rFonts w:ascii="Arial" w:hAnsi="Arial" w:cs="Arial"/>
        </w:rPr>
        <w:t>r</w:t>
      </w:r>
      <w:r>
        <w:rPr>
          <w:rFonts w:ascii="Arial" w:hAnsi="Arial" w:cs="Arial"/>
        </w:rPr>
        <w:t xml:space="preserve">esponsible </w:t>
      </w:r>
      <w:r w:rsidR="00FE1C9A">
        <w:rPr>
          <w:rFonts w:ascii="Arial" w:hAnsi="Arial" w:cs="Arial"/>
        </w:rPr>
        <w:t>b</w:t>
      </w:r>
      <w:r>
        <w:rPr>
          <w:rFonts w:ascii="Arial" w:hAnsi="Arial" w:cs="Arial"/>
        </w:rPr>
        <w:t xml:space="preserve">usiness </w:t>
      </w:r>
      <w:r w:rsidR="00FE1C9A">
        <w:rPr>
          <w:rFonts w:ascii="Arial" w:hAnsi="Arial" w:cs="Arial"/>
        </w:rPr>
        <w:t>c</w:t>
      </w:r>
      <w:r>
        <w:rPr>
          <w:rFonts w:ascii="Arial" w:hAnsi="Arial" w:cs="Arial"/>
        </w:rPr>
        <w:t>onduct</w:t>
      </w:r>
      <w:r w:rsidR="00205DE7">
        <w:rPr>
          <w:rFonts w:ascii="Arial" w:hAnsi="Arial" w:cs="Arial"/>
        </w:rPr>
        <w:t>.</w:t>
      </w:r>
    </w:p>
    <w:p w14:paraId="49A4AC77" w14:textId="77777777" w:rsidR="005F24E0" w:rsidRDefault="005F24E0" w:rsidP="005F24E0">
      <w:pPr>
        <w:numPr>
          <w:ilvl w:val="0"/>
          <w:numId w:val="13"/>
        </w:numPr>
        <w:spacing w:before="100" w:beforeAutospacing="1" w:after="100" w:afterAutospacing="1"/>
        <w:jc w:val="both"/>
        <w:rPr>
          <w:rFonts w:ascii="Arial" w:hAnsi="Arial" w:cs="Arial"/>
          <w:color w:val="0070C0"/>
        </w:rPr>
      </w:pPr>
      <w:r w:rsidRPr="005F24E0">
        <w:rPr>
          <w:rFonts w:ascii="Arial" w:hAnsi="Arial" w:cs="Arial"/>
          <w:color w:val="0070C0"/>
        </w:rPr>
        <w:t>To what extent do current regulations ensure adequate information and disclosure for investors adopting an ESG approach to understand human rights impacts of businesses?</w:t>
      </w:r>
    </w:p>
    <w:p w14:paraId="699B9BEC" w14:textId="77777777" w:rsidR="0021638E" w:rsidRDefault="00E511D3" w:rsidP="00A61F85">
      <w:pPr>
        <w:spacing w:before="100" w:beforeAutospacing="1" w:after="100" w:afterAutospacing="1"/>
        <w:jc w:val="both"/>
        <w:rPr>
          <w:rFonts w:ascii="Arial" w:hAnsi="Arial" w:cs="Arial"/>
        </w:rPr>
      </w:pPr>
      <w:r>
        <w:rPr>
          <w:rFonts w:ascii="Arial" w:hAnsi="Arial" w:cs="Arial"/>
        </w:rPr>
        <w:t>Stat</w:t>
      </w:r>
      <w:r w:rsidRPr="00E511D3">
        <w:rPr>
          <w:rFonts w:ascii="Arial" w:hAnsi="Arial" w:cs="Arial"/>
        </w:rPr>
        <w:t>es have a</w:t>
      </w:r>
      <w:r>
        <w:rPr>
          <w:rFonts w:ascii="Arial" w:hAnsi="Arial" w:cs="Arial"/>
        </w:rPr>
        <w:t>n active</w:t>
      </w:r>
      <w:r w:rsidRPr="00E511D3">
        <w:rPr>
          <w:rFonts w:ascii="Arial" w:hAnsi="Arial" w:cs="Arial"/>
        </w:rPr>
        <w:t xml:space="preserve"> key role to play in advancing corporate respect for human rights, including by taking all appropriate</w:t>
      </w:r>
      <w:r>
        <w:rPr>
          <w:rFonts w:ascii="Arial" w:hAnsi="Arial" w:cs="Arial"/>
        </w:rPr>
        <w:t xml:space="preserve"> </w:t>
      </w:r>
      <w:r w:rsidRPr="00E511D3">
        <w:rPr>
          <w:rFonts w:ascii="Arial" w:hAnsi="Arial" w:cs="Arial"/>
        </w:rPr>
        <w:t>steps to prevent, investigate, punish, and redress abuses connected to corporate and investment value chains</w:t>
      </w:r>
      <w:r w:rsidR="00342B82">
        <w:rPr>
          <w:rFonts w:ascii="Arial" w:hAnsi="Arial" w:cs="Arial"/>
        </w:rPr>
        <w:t xml:space="preserve"> </w:t>
      </w:r>
      <w:r w:rsidRPr="00E511D3">
        <w:rPr>
          <w:rFonts w:ascii="Arial" w:hAnsi="Arial" w:cs="Arial"/>
        </w:rPr>
        <w:t>through effective policies, legislation, regulations, and adjudication.</w:t>
      </w:r>
      <w:r w:rsidR="00342B82">
        <w:rPr>
          <w:rFonts w:ascii="Arial" w:hAnsi="Arial" w:cs="Arial"/>
        </w:rPr>
        <w:t xml:space="preserve"> It is for that reason that I</w:t>
      </w:r>
      <w:r w:rsidR="00EB4775" w:rsidRPr="00042B88">
        <w:rPr>
          <w:rFonts w:ascii="Arial" w:hAnsi="Arial" w:cs="Arial"/>
        </w:rPr>
        <w:t>OSH welcomes recent developments towards a harmonised agreement on business and human rights that would set a strong emphasis on mandatory corporate human rights due diligence laws, corporate accountability</w:t>
      </w:r>
      <w:r w:rsidR="000411D4">
        <w:rPr>
          <w:rFonts w:ascii="Arial" w:hAnsi="Arial" w:cs="Arial"/>
        </w:rPr>
        <w:t>,</w:t>
      </w:r>
      <w:r w:rsidR="00EB4775" w:rsidRPr="00042B88">
        <w:rPr>
          <w:rFonts w:ascii="Arial" w:hAnsi="Arial" w:cs="Arial"/>
        </w:rPr>
        <w:t xml:space="preserve"> and the need for increased efforts on corporate transparency around ESG and human rights.</w:t>
      </w:r>
      <w:r w:rsidR="00246932">
        <w:rPr>
          <w:rFonts w:ascii="Arial" w:hAnsi="Arial" w:cs="Arial"/>
        </w:rPr>
        <w:t xml:space="preserve"> </w:t>
      </w:r>
      <w:r w:rsidR="004D2183">
        <w:rPr>
          <w:rFonts w:ascii="Arial" w:hAnsi="Arial" w:cs="Arial"/>
        </w:rPr>
        <w:t xml:space="preserve">This is a trend being </w:t>
      </w:r>
      <w:r w:rsidR="007046FB">
        <w:rPr>
          <w:rFonts w:ascii="Arial" w:hAnsi="Arial" w:cs="Arial"/>
        </w:rPr>
        <w:t xml:space="preserve">followed </w:t>
      </w:r>
      <w:r w:rsidR="004D2183">
        <w:rPr>
          <w:rFonts w:ascii="Arial" w:hAnsi="Arial" w:cs="Arial"/>
        </w:rPr>
        <w:t xml:space="preserve">by </w:t>
      </w:r>
      <w:r w:rsidR="008C7B77">
        <w:rPr>
          <w:rFonts w:ascii="Arial" w:hAnsi="Arial" w:cs="Arial"/>
        </w:rPr>
        <w:t xml:space="preserve">15 </w:t>
      </w:r>
      <w:r w:rsidR="00EB72F3">
        <w:rPr>
          <w:rFonts w:ascii="Arial" w:hAnsi="Arial" w:cs="Arial"/>
        </w:rPr>
        <w:t xml:space="preserve">countries </w:t>
      </w:r>
      <w:r w:rsidR="007046FB">
        <w:rPr>
          <w:rFonts w:ascii="Arial" w:hAnsi="Arial" w:cs="Arial"/>
        </w:rPr>
        <w:t xml:space="preserve">including </w:t>
      </w:r>
      <w:r w:rsidR="00EB72F3">
        <w:rPr>
          <w:rFonts w:ascii="Arial" w:hAnsi="Arial" w:cs="Arial"/>
        </w:rPr>
        <w:t>the</w:t>
      </w:r>
      <w:r w:rsidR="00246932" w:rsidRPr="00246932">
        <w:rPr>
          <w:rFonts w:ascii="Arial" w:hAnsi="Arial" w:cs="Arial"/>
        </w:rPr>
        <w:t xml:space="preserve"> UK, France, Germany, Norway and Switzerland</w:t>
      </w:r>
      <w:r w:rsidR="00F73439">
        <w:rPr>
          <w:rFonts w:ascii="Arial" w:hAnsi="Arial" w:cs="Arial"/>
        </w:rPr>
        <w:t>, all of which</w:t>
      </w:r>
      <w:r w:rsidR="00613189">
        <w:rPr>
          <w:rFonts w:ascii="Arial" w:hAnsi="Arial" w:cs="Arial"/>
        </w:rPr>
        <w:t xml:space="preserve"> </w:t>
      </w:r>
      <w:r w:rsidR="00246932" w:rsidRPr="00246932">
        <w:rPr>
          <w:rFonts w:ascii="Arial" w:hAnsi="Arial" w:cs="Arial"/>
        </w:rPr>
        <w:t>have</w:t>
      </w:r>
      <w:r w:rsidR="00EB72F3">
        <w:rPr>
          <w:rFonts w:ascii="Arial" w:hAnsi="Arial" w:cs="Arial"/>
        </w:rPr>
        <w:t xml:space="preserve"> recently </w:t>
      </w:r>
      <w:r w:rsidR="00246932" w:rsidRPr="00246932">
        <w:rPr>
          <w:rFonts w:ascii="Arial" w:hAnsi="Arial" w:cs="Arial"/>
        </w:rPr>
        <w:t>introduced mandatory human rights due diligence</w:t>
      </w:r>
      <w:r w:rsidR="00DD15A7">
        <w:rPr>
          <w:rFonts w:ascii="Arial" w:hAnsi="Arial" w:cs="Arial"/>
        </w:rPr>
        <w:t xml:space="preserve"> (MHRDD)</w:t>
      </w:r>
      <w:r w:rsidR="00246932" w:rsidRPr="00246932">
        <w:rPr>
          <w:rFonts w:ascii="Arial" w:hAnsi="Arial" w:cs="Arial"/>
        </w:rPr>
        <w:t xml:space="preserve"> and reporting obligations on companies.</w:t>
      </w:r>
      <w:r w:rsidR="005C5D8D">
        <w:rPr>
          <w:rFonts w:ascii="Arial" w:hAnsi="Arial" w:cs="Arial"/>
        </w:rPr>
        <w:t xml:space="preserve"> </w:t>
      </w:r>
      <w:r w:rsidR="00EB72F3">
        <w:rPr>
          <w:rFonts w:ascii="Arial" w:hAnsi="Arial" w:cs="Arial"/>
        </w:rPr>
        <w:t xml:space="preserve">A more balanced and overarching framework will be enacted by the </w:t>
      </w:r>
      <w:r w:rsidR="004D2183">
        <w:rPr>
          <w:rFonts w:ascii="Arial" w:hAnsi="Arial" w:cs="Arial"/>
        </w:rPr>
        <w:t>Eu</w:t>
      </w:r>
      <w:r w:rsidR="005C5D8D" w:rsidRPr="005C5D8D">
        <w:rPr>
          <w:rFonts w:ascii="Arial" w:hAnsi="Arial" w:cs="Arial"/>
        </w:rPr>
        <w:t>ropean Union</w:t>
      </w:r>
      <w:r w:rsidR="00EB72F3">
        <w:rPr>
          <w:rFonts w:ascii="Arial" w:hAnsi="Arial" w:cs="Arial"/>
        </w:rPr>
        <w:t>, requiring</w:t>
      </w:r>
      <w:r w:rsidR="005C5D8D" w:rsidRPr="005C5D8D">
        <w:rPr>
          <w:rFonts w:ascii="Arial" w:hAnsi="Arial" w:cs="Arial"/>
        </w:rPr>
        <w:t xml:space="preserve"> thousands of large companies to actively look for and reduce human rights abuses and environmental damage in their supply chains</w:t>
      </w:r>
      <w:r w:rsidR="00F56F4F">
        <w:rPr>
          <w:rFonts w:ascii="Arial" w:hAnsi="Arial" w:cs="Arial"/>
        </w:rPr>
        <w:t>.</w:t>
      </w:r>
      <w:r w:rsidR="00EB72F3">
        <w:rPr>
          <w:rFonts w:ascii="Arial" w:hAnsi="Arial" w:cs="Arial"/>
        </w:rPr>
        <w:t xml:space="preserve"> (</w:t>
      </w:r>
      <w:r w:rsidR="00F56F4F">
        <w:rPr>
          <w:rFonts w:ascii="Arial" w:hAnsi="Arial" w:cs="Arial"/>
        </w:rPr>
        <w:t xml:space="preserve">This will </w:t>
      </w:r>
      <w:r w:rsidR="00EB72F3">
        <w:rPr>
          <w:rFonts w:ascii="Arial" w:hAnsi="Arial" w:cs="Arial"/>
        </w:rPr>
        <w:t xml:space="preserve">also </w:t>
      </w:r>
      <w:r w:rsidR="00F56F4F">
        <w:rPr>
          <w:rFonts w:ascii="Arial" w:hAnsi="Arial" w:cs="Arial"/>
        </w:rPr>
        <w:t>cover</w:t>
      </w:r>
      <w:r w:rsidR="00EB72F3">
        <w:rPr>
          <w:rFonts w:ascii="Arial" w:hAnsi="Arial" w:cs="Arial"/>
        </w:rPr>
        <w:t xml:space="preserve"> non-EU </w:t>
      </w:r>
      <w:r w:rsidR="005C5D8D" w:rsidRPr="005C5D8D">
        <w:rPr>
          <w:rFonts w:ascii="Arial" w:hAnsi="Arial" w:cs="Arial"/>
        </w:rPr>
        <w:t xml:space="preserve">businesses </w:t>
      </w:r>
      <w:r w:rsidR="00EB72F3">
        <w:rPr>
          <w:rFonts w:ascii="Arial" w:hAnsi="Arial" w:cs="Arial"/>
        </w:rPr>
        <w:t>operating</w:t>
      </w:r>
      <w:r w:rsidR="005C5D8D" w:rsidRPr="005C5D8D">
        <w:rPr>
          <w:rFonts w:ascii="Arial" w:hAnsi="Arial" w:cs="Arial"/>
        </w:rPr>
        <w:t xml:space="preserve"> in the region</w:t>
      </w:r>
      <w:r w:rsidR="00EB72F3">
        <w:rPr>
          <w:rFonts w:ascii="Arial" w:hAnsi="Arial" w:cs="Arial"/>
        </w:rPr>
        <w:t>)</w:t>
      </w:r>
      <w:r w:rsidR="005C5D8D" w:rsidRPr="005C5D8D">
        <w:rPr>
          <w:rFonts w:ascii="Arial" w:hAnsi="Arial" w:cs="Arial"/>
        </w:rPr>
        <w:t>.</w:t>
      </w:r>
      <w:r w:rsidR="005C5D8D">
        <w:rPr>
          <w:rFonts w:ascii="Arial" w:hAnsi="Arial" w:cs="Arial"/>
        </w:rPr>
        <w:t xml:space="preserve"> </w:t>
      </w:r>
      <w:r w:rsidR="00714E87" w:rsidRPr="00714E87">
        <w:rPr>
          <w:rFonts w:ascii="Arial" w:hAnsi="Arial" w:cs="Arial"/>
        </w:rPr>
        <w:t>Despite th</w:t>
      </w:r>
      <w:r w:rsidR="00714E87">
        <w:rPr>
          <w:rFonts w:ascii="Arial" w:hAnsi="Arial" w:cs="Arial"/>
        </w:rPr>
        <w:t>ese upcoming regulations</w:t>
      </w:r>
      <w:r w:rsidR="00714E87" w:rsidRPr="00714E87">
        <w:rPr>
          <w:rFonts w:ascii="Arial" w:hAnsi="Arial" w:cs="Arial"/>
        </w:rPr>
        <w:t>, economic, social, cultural, civil, political, labo</w:t>
      </w:r>
      <w:r w:rsidR="00714E87">
        <w:rPr>
          <w:rFonts w:ascii="Arial" w:hAnsi="Arial" w:cs="Arial"/>
        </w:rPr>
        <w:t>ur</w:t>
      </w:r>
      <w:r w:rsidR="00714E87" w:rsidRPr="00714E87">
        <w:rPr>
          <w:rFonts w:ascii="Arial" w:hAnsi="Arial" w:cs="Arial"/>
        </w:rPr>
        <w:t>,</w:t>
      </w:r>
      <w:r w:rsidR="00714E87">
        <w:rPr>
          <w:rFonts w:ascii="Arial" w:hAnsi="Arial" w:cs="Arial"/>
        </w:rPr>
        <w:t xml:space="preserve"> health and safety </w:t>
      </w:r>
      <w:r w:rsidR="00714E87" w:rsidRPr="00714E87">
        <w:rPr>
          <w:rFonts w:ascii="Arial" w:hAnsi="Arial" w:cs="Arial"/>
        </w:rPr>
        <w:t>or environmental rights risks</w:t>
      </w:r>
      <w:r w:rsidR="00714E87">
        <w:rPr>
          <w:rFonts w:ascii="Arial" w:hAnsi="Arial" w:cs="Arial"/>
        </w:rPr>
        <w:t xml:space="preserve"> </w:t>
      </w:r>
      <w:r w:rsidR="00714E87" w:rsidRPr="00714E87">
        <w:rPr>
          <w:rFonts w:ascii="Arial" w:hAnsi="Arial" w:cs="Arial"/>
        </w:rPr>
        <w:t>remain widely neglected or underestimated among business and financial actors in</w:t>
      </w:r>
      <w:r w:rsidR="00714E87">
        <w:rPr>
          <w:rFonts w:ascii="Arial" w:hAnsi="Arial" w:cs="Arial"/>
        </w:rPr>
        <w:t xml:space="preserve"> </w:t>
      </w:r>
      <w:r w:rsidR="006137A4">
        <w:rPr>
          <w:rFonts w:ascii="Arial" w:hAnsi="Arial" w:cs="Arial"/>
        </w:rPr>
        <w:t xml:space="preserve">many </w:t>
      </w:r>
      <w:r w:rsidR="00714E87">
        <w:rPr>
          <w:rFonts w:ascii="Arial" w:hAnsi="Arial" w:cs="Arial"/>
        </w:rPr>
        <w:t>countries</w:t>
      </w:r>
      <w:r w:rsidR="00714E87" w:rsidRPr="00714E87">
        <w:rPr>
          <w:rFonts w:ascii="Arial" w:hAnsi="Arial" w:cs="Arial"/>
        </w:rPr>
        <w:t>, even among those who consider ESG in investment decisions and stewardship.</w:t>
      </w:r>
      <w:r w:rsidR="00714E87" w:rsidRPr="00714E87">
        <w:rPr>
          <w:rFonts w:ascii="Arial" w:hAnsi="Arial" w:cs="Arial"/>
        </w:rPr>
        <w:cr/>
      </w:r>
    </w:p>
    <w:p w14:paraId="6F20FEAD" w14:textId="481F08A6" w:rsidR="004C0AD3" w:rsidRDefault="004C0AD3" w:rsidP="00A61F85">
      <w:pPr>
        <w:spacing w:before="100" w:beforeAutospacing="1" w:after="100" w:afterAutospacing="1"/>
        <w:jc w:val="both"/>
        <w:rPr>
          <w:rFonts w:ascii="Arial" w:hAnsi="Arial" w:cs="Arial"/>
        </w:rPr>
      </w:pPr>
      <w:r w:rsidRPr="004C0AD3">
        <w:rPr>
          <w:rFonts w:ascii="Arial" w:hAnsi="Arial" w:cs="Arial"/>
        </w:rPr>
        <w:t xml:space="preserve">Climate-related issues can impact business operations, supply chains, workers, communities, and wider society. Strengthening </w:t>
      </w:r>
      <w:r w:rsidR="00E847B8">
        <w:rPr>
          <w:rFonts w:ascii="Arial" w:hAnsi="Arial" w:cs="Arial"/>
        </w:rPr>
        <w:t xml:space="preserve">regulatory scrutiny </w:t>
      </w:r>
      <w:r w:rsidRPr="004C0AD3">
        <w:rPr>
          <w:rFonts w:ascii="Arial" w:hAnsi="Arial" w:cs="Arial"/>
        </w:rPr>
        <w:t xml:space="preserve">to tackle climate-related risks </w:t>
      </w:r>
      <w:r w:rsidR="00E847B8">
        <w:rPr>
          <w:rFonts w:ascii="Arial" w:hAnsi="Arial" w:cs="Arial"/>
        </w:rPr>
        <w:t>c</w:t>
      </w:r>
      <w:r w:rsidR="00A61F85">
        <w:rPr>
          <w:rFonts w:ascii="Arial" w:hAnsi="Arial" w:cs="Arial"/>
        </w:rPr>
        <w:t>an</w:t>
      </w:r>
      <w:r w:rsidRPr="004C0AD3">
        <w:rPr>
          <w:rFonts w:ascii="Arial" w:hAnsi="Arial" w:cs="Arial"/>
        </w:rPr>
        <w:t xml:space="preserve"> be a pivotal element in achieving socially and environmentally responsible business. </w:t>
      </w:r>
      <w:r w:rsidR="002C1F8E" w:rsidRPr="002C1F8E">
        <w:rPr>
          <w:rFonts w:ascii="Arial" w:hAnsi="Arial" w:cs="Arial"/>
        </w:rPr>
        <w:t xml:space="preserve">Because climate change is a global problem with a local impact, emerging occupational </w:t>
      </w:r>
      <w:r w:rsidR="004E4BB1">
        <w:rPr>
          <w:rFonts w:ascii="Arial" w:hAnsi="Arial" w:cs="Arial"/>
        </w:rPr>
        <w:t xml:space="preserve">safety and health </w:t>
      </w:r>
      <w:r w:rsidR="002C1F8E" w:rsidRPr="002C1F8E">
        <w:rPr>
          <w:rFonts w:ascii="Arial" w:hAnsi="Arial" w:cs="Arial"/>
        </w:rPr>
        <w:t xml:space="preserve">threats bring an imperative to strengthen national </w:t>
      </w:r>
      <w:r w:rsidR="00CB2F96">
        <w:rPr>
          <w:rFonts w:ascii="Arial" w:hAnsi="Arial" w:cs="Arial"/>
        </w:rPr>
        <w:t xml:space="preserve">climate </w:t>
      </w:r>
      <w:r w:rsidR="002C1F8E" w:rsidRPr="002C1F8E">
        <w:rPr>
          <w:rFonts w:ascii="Arial" w:hAnsi="Arial" w:cs="Arial"/>
        </w:rPr>
        <w:t>adaptation and mitigation policies</w:t>
      </w:r>
      <w:r w:rsidR="002C1F8E">
        <w:rPr>
          <w:rFonts w:ascii="Arial" w:hAnsi="Arial" w:cs="Arial"/>
        </w:rPr>
        <w:t xml:space="preserve"> and programs</w:t>
      </w:r>
      <w:r w:rsidR="002C1F8E" w:rsidRPr="002C1F8E">
        <w:rPr>
          <w:rFonts w:ascii="Arial" w:hAnsi="Arial" w:cs="Arial"/>
        </w:rPr>
        <w:t xml:space="preserve">. Yet </w:t>
      </w:r>
      <w:r w:rsidR="003D628F">
        <w:rPr>
          <w:rFonts w:ascii="Arial" w:hAnsi="Arial" w:cs="Arial"/>
        </w:rPr>
        <w:t>occupational safety and health</w:t>
      </w:r>
      <w:r w:rsidR="002C1F8E" w:rsidRPr="002C1F8E">
        <w:rPr>
          <w:rFonts w:ascii="Arial" w:hAnsi="Arial" w:cs="Arial"/>
        </w:rPr>
        <w:t xml:space="preserve"> rulemaking can be rather slow and most national climate, employment and OSH policies do not address the impact of climate change on </w:t>
      </w:r>
      <w:r w:rsidR="000D5230">
        <w:rPr>
          <w:rFonts w:ascii="Arial" w:hAnsi="Arial" w:cs="Arial"/>
        </w:rPr>
        <w:t xml:space="preserve">human </w:t>
      </w:r>
      <w:r w:rsidR="002C1F8E" w:rsidRPr="002C1F8E">
        <w:rPr>
          <w:rFonts w:ascii="Arial" w:hAnsi="Arial" w:cs="Arial"/>
        </w:rPr>
        <w:t>health</w:t>
      </w:r>
      <w:r w:rsidRPr="004C0AD3">
        <w:rPr>
          <w:rFonts w:ascii="Arial" w:hAnsi="Arial" w:cs="Arial"/>
        </w:rPr>
        <w:t>.</w:t>
      </w:r>
    </w:p>
    <w:p w14:paraId="4A4DB7FF" w14:textId="39B43C14" w:rsidR="00C439E5" w:rsidRDefault="000461CE" w:rsidP="00FD3F72">
      <w:pPr>
        <w:spacing w:before="100" w:beforeAutospacing="1" w:after="100" w:afterAutospacing="1"/>
        <w:jc w:val="both"/>
        <w:rPr>
          <w:rFonts w:ascii="Arial" w:hAnsi="Arial" w:cs="Arial"/>
        </w:rPr>
      </w:pPr>
      <w:r>
        <w:rPr>
          <w:rFonts w:ascii="Arial" w:hAnsi="Arial" w:cs="Arial"/>
        </w:rPr>
        <w:t>Aside from environmental threa</w:t>
      </w:r>
      <w:r w:rsidR="001A791B">
        <w:rPr>
          <w:rFonts w:ascii="Arial" w:hAnsi="Arial" w:cs="Arial"/>
        </w:rPr>
        <w:t>t</w:t>
      </w:r>
      <w:r>
        <w:rPr>
          <w:rFonts w:ascii="Arial" w:hAnsi="Arial" w:cs="Arial"/>
        </w:rPr>
        <w:t xml:space="preserve">s, another area </w:t>
      </w:r>
      <w:r w:rsidR="00F17E55">
        <w:rPr>
          <w:rFonts w:ascii="Arial" w:hAnsi="Arial" w:cs="Arial"/>
        </w:rPr>
        <w:t xml:space="preserve">in need of greater consideration </w:t>
      </w:r>
      <w:r w:rsidR="00B71ECA">
        <w:rPr>
          <w:rFonts w:ascii="Arial" w:hAnsi="Arial" w:cs="Arial"/>
        </w:rPr>
        <w:t xml:space="preserve">is </w:t>
      </w:r>
      <w:r w:rsidR="001A791B">
        <w:rPr>
          <w:rFonts w:ascii="Arial" w:hAnsi="Arial" w:cs="Arial"/>
        </w:rPr>
        <w:t>technolog</w:t>
      </w:r>
      <w:r w:rsidR="00F17E55">
        <w:rPr>
          <w:rFonts w:ascii="Arial" w:hAnsi="Arial" w:cs="Arial"/>
        </w:rPr>
        <w:t>y and the advancement</w:t>
      </w:r>
      <w:r w:rsidRPr="000461CE">
        <w:rPr>
          <w:rFonts w:ascii="Arial" w:hAnsi="Arial" w:cs="Arial"/>
        </w:rPr>
        <w:t xml:space="preserve"> in artificial intelligence,</w:t>
      </w:r>
      <w:r w:rsidR="00FD3F72">
        <w:rPr>
          <w:rFonts w:ascii="Arial" w:hAnsi="Arial" w:cs="Arial"/>
        </w:rPr>
        <w:t xml:space="preserve"> automation,</w:t>
      </w:r>
      <w:r w:rsidRPr="000461CE">
        <w:rPr>
          <w:rFonts w:ascii="Arial" w:hAnsi="Arial" w:cs="Arial"/>
        </w:rPr>
        <w:t xml:space="preserve"> machine learning, and biometrics</w:t>
      </w:r>
      <w:r w:rsidR="00F17E55">
        <w:rPr>
          <w:rFonts w:ascii="Arial" w:hAnsi="Arial" w:cs="Arial"/>
        </w:rPr>
        <w:t>. These</w:t>
      </w:r>
      <w:r w:rsidRPr="000461CE">
        <w:rPr>
          <w:rFonts w:ascii="Arial" w:hAnsi="Arial" w:cs="Arial"/>
        </w:rPr>
        <w:t xml:space="preserve"> have brought</w:t>
      </w:r>
      <w:r w:rsidR="00A35E29">
        <w:rPr>
          <w:rFonts w:ascii="Arial" w:hAnsi="Arial" w:cs="Arial"/>
        </w:rPr>
        <w:t xml:space="preserve"> about</w:t>
      </w:r>
      <w:r>
        <w:rPr>
          <w:rFonts w:ascii="Arial" w:hAnsi="Arial" w:cs="Arial"/>
        </w:rPr>
        <w:t xml:space="preserve"> </w:t>
      </w:r>
      <w:r w:rsidRPr="000461CE">
        <w:rPr>
          <w:rFonts w:ascii="Arial" w:hAnsi="Arial" w:cs="Arial"/>
        </w:rPr>
        <w:t xml:space="preserve">new </w:t>
      </w:r>
      <w:r w:rsidR="005842E3">
        <w:rPr>
          <w:rFonts w:ascii="Arial" w:hAnsi="Arial" w:cs="Arial"/>
        </w:rPr>
        <w:t xml:space="preserve">and emerging </w:t>
      </w:r>
      <w:r w:rsidRPr="000461CE">
        <w:rPr>
          <w:rFonts w:ascii="Arial" w:hAnsi="Arial" w:cs="Arial"/>
        </w:rPr>
        <w:t>risks to non-discrimination</w:t>
      </w:r>
      <w:r>
        <w:rPr>
          <w:rFonts w:ascii="Arial" w:hAnsi="Arial" w:cs="Arial"/>
        </w:rPr>
        <w:t>, working practices</w:t>
      </w:r>
      <w:r w:rsidR="00A35E29">
        <w:rPr>
          <w:rFonts w:ascii="Arial" w:hAnsi="Arial" w:cs="Arial"/>
        </w:rPr>
        <w:t>,</w:t>
      </w:r>
      <w:r w:rsidRPr="000461CE">
        <w:rPr>
          <w:rFonts w:ascii="Arial" w:hAnsi="Arial" w:cs="Arial"/>
        </w:rPr>
        <w:t xml:space="preserve"> and </w:t>
      </w:r>
      <w:r w:rsidR="00FD3F72">
        <w:rPr>
          <w:rFonts w:ascii="Arial" w:hAnsi="Arial" w:cs="Arial"/>
        </w:rPr>
        <w:t xml:space="preserve">more generally to </w:t>
      </w:r>
      <w:r w:rsidRPr="000461CE">
        <w:rPr>
          <w:rFonts w:ascii="Arial" w:hAnsi="Arial" w:cs="Arial"/>
        </w:rPr>
        <w:t>the rule</w:t>
      </w:r>
      <w:r w:rsidR="00A35E29">
        <w:rPr>
          <w:rFonts w:ascii="Arial" w:hAnsi="Arial" w:cs="Arial"/>
        </w:rPr>
        <w:t xml:space="preserve"> and application</w:t>
      </w:r>
      <w:r w:rsidRPr="000461CE">
        <w:rPr>
          <w:rFonts w:ascii="Arial" w:hAnsi="Arial" w:cs="Arial"/>
        </w:rPr>
        <w:t xml:space="preserve"> of law</w:t>
      </w:r>
      <w:r w:rsidR="00C439E5">
        <w:rPr>
          <w:rFonts w:ascii="Arial" w:hAnsi="Arial" w:cs="Arial"/>
        </w:rPr>
        <w:t xml:space="preserve">. </w:t>
      </w:r>
      <w:r w:rsidR="00C439E5" w:rsidRPr="005307FB">
        <w:rPr>
          <w:rFonts w:ascii="Arial" w:hAnsi="Arial" w:cs="Arial"/>
        </w:rPr>
        <w:t xml:space="preserve">Amnesty International </w:t>
      </w:r>
      <w:r w:rsidR="00A35E29">
        <w:rPr>
          <w:rFonts w:ascii="Arial" w:hAnsi="Arial" w:cs="Arial"/>
        </w:rPr>
        <w:t xml:space="preserve">previously </w:t>
      </w:r>
      <w:r w:rsidR="00C439E5" w:rsidRPr="005307FB">
        <w:rPr>
          <w:rFonts w:ascii="Arial" w:hAnsi="Arial" w:cs="Arial"/>
        </w:rPr>
        <w:t>found the majority of the world’s most important venture capital firms did not consider the human rights harms of their investment decisions</w:t>
      </w:r>
      <w:r w:rsidR="00C439E5">
        <w:rPr>
          <w:rFonts w:ascii="Arial" w:hAnsi="Arial" w:cs="Arial"/>
        </w:rPr>
        <w:t xml:space="preserve"> when investing in technology</w:t>
      </w:r>
      <w:r w:rsidR="00C439E5">
        <w:rPr>
          <w:rStyle w:val="FootnoteReference"/>
          <w:rFonts w:ascii="Arial" w:hAnsi="Arial" w:cs="Arial"/>
        </w:rPr>
        <w:footnoteReference w:id="11"/>
      </w:r>
      <w:r w:rsidR="00C439E5">
        <w:rPr>
          <w:rFonts w:ascii="Arial" w:hAnsi="Arial" w:cs="Arial"/>
        </w:rPr>
        <w:t>.</w:t>
      </w:r>
      <w:r w:rsidR="00FD3F72">
        <w:rPr>
          <w:rFonts w:ascii="Arial" w:hAnsi="Arial" w:cs="Arial"/>
        </w:rPr>
        <w:t xml:space="preserve"> To that extent, regulators need to oversee</w:t>
      </w:r>
      <w:r w:rsidR="00FD3F72" w:rsidRPr="00FD3F72">
        <w:rPr>
          <w:rFonts w:ascii="Arial" w:hAnsi="Arial" w:cs="Arial"/>
        </w:rPr>
        <w:t xml:space="preserve"> the risk</w:t>
      </w:r>
      <w:r w:rsidR="00F745DF">
        <w:rPr>
          <w:rFonts w:ascii="Arial" w:hAnsi="Arial" w:cs="Arial"/>
        </w:rPr>
        <w:t>s</w:t>
      </w:r>
      <w:r w:rsidR="00FD3F72" w:rsidRPr="00FD3F72">
        <w:rPr>
          <w:rFonts w:ascii="Arial" w:hAnsi="Arial" w:cs="Arial"/>
        </w:rPr>
        <w:t xml:space="preserve"> that </w:t>
      </w:r>
      <w:r w:rsidR="00FD3F72">
        <w:rPr>
          <w:rFonts w:ascii="Arial" w:hAnsi="Arial" w:cs="Arial"/>
        </w:rPr>
        <w:t xml:space="preserve">artificial intelligence and machine learning </w:t>
      </w:r>
      <w:r w:rsidR="00FD3F72" w:rsidRPr="00FD3F72">
        <w:rPr>
          <w:rFonts w:ascii="Arial" w:hAnsi="Arial" w:cs="Arial"/>
        </w:rPr>
        <w:t>system</w:t>
      </w:r>
      <w:r w:rsidR="00FD3F72">
        <w:rPr>
          <w:rFonts w:ascii="Arial" w:hAnsi="Arial" w:cs="Arial"/>
        </w:rPr>
        <w:t>s</w:t>
      </w:r>
      <w:r w:rsidR="00FD3F72" w:rsidRPr="00FD3F72">
        <w:rPr>
          <w:rFonts w:ascii="Arial" w:hAnsi="Arial" w:cs="Arial"/>
        </w:rPr>
        <w:t xml:space="preserve"> </w:t>
      </w:r>
      <w:r w:rsidR="00521E67">
        <w:rPr>
          <w:rFonts w:ascii="Arial" w:hAnsi="Arial" w:cs="Arial"/>
        </w:rPr>
        <w:t xml:space="preserve">can entail </w:t>
      </w:r>
      <w:r w:rsidR="00FD3F72" w:rsidRPr="00FD3F72">
        <w:rPr>
          <w:rFonts w:ascii="Arial" w:hAnsi="Arial" w:cs="Arial"/>
        </w:rPr>
        <w:t>at both the</w:t>
      </w:r>
      <w:r w:rsidR="00FD3F72">
        <w:rPr>
          <w:rFonts w:ascii="Arial" w:hAnsi="Arial" w:cs="Arial"/>
        </w:rPr>
        <w:t xml:space="preserve"> </w:t>
      </w:r>
      <w:r w:rsidR="00FD3F72" w:rsidRPr="00FD3F72">
        <w:rPr>
          <w:rFonts w:ascii="Arial" w:hAnsi="Arial" w:cs="Arial"/>
        </w:rPr>
        <w:t>development and deployment stage</w:t>
      </w:r>
      <w:r w:rsidR="00FD3F72">
        <w:rPr>
          <w:rFonts w:ascii="Arial" w:hAnsi="Arial" w:cs="Arial"/>
        </w:rPr>
        <w:t>.</w:t>
      </w:r>
    </w:p>
    <w:p w14:paraId="4D791DF5" w14:textId="77777777" w:rsidR="005F24E0" w:rsidRDefault="005F24E0" w:rsidP="005F24E0">
      <w:pPr>
        <w:numPr>
          <w:ilvl w:val="0"/>
          <w:numId w:val="13"/>
        </w:numPr>
        <w:spacing w:before="100" w:beforeAutospacing="1" w:after="100" w:afterAutospacing="1"/>
        <w:jc w:val="both"/>
        <w:rPr>
          <w:rFonts w:ascii="Arial" w:hAnsi="Arial" w:cs="Arial"/>
          <w:color w:val="0070C0"/>
        </w:rPr>
      </w:pPr>
      <w:r w:rsidRPr="005F24E0">
        <w:rPr>
          <w:rFonts w:ascii="Arial" w:hAnsi="Arial" w:cs="Arial"/>
          <w:color w:val="0070C0"/>
        </w:rPr>
        <w:t>How can States encourage and regulate accurate communication of ESG practices by businesses and investors to prevent misleading or unsubstantiated claims regarding respect for human rights?</w:t>
      </w:r>
    </w:p>
    <w:p w14:paraId="0B11895B" w14:textId="6864E3AD" w:rsidR="008C7B77" w:rsidRDefault="00E01AF9" w:rsidP="006D7220">
      <w:pPr>
        <w:spacing w:before="100" w:beforeAutospacing="1" w:after="100" w:afterAutospacing="1"/>
        <w:jc w:val="both"/>
        <w:rPr>
          <w:rFonts w:ascii="Arial" w:hAnsi="Arial" w:cs="Arial"/>
        </w:rPr>
      </w:pPr>
      <w:r w:rsidRPr="00E01AF9">
        <w:rPr>
          <w:rFonts w:ascii="Arial" w:hAnsi="Arial" w:cs="Arial"/>
        </w:rPr>
        <w:t xml:space="preserve">The human rights regulatory landscape is </w:t>
      </w:r>
      <w:r w:rsidR="008C7B77">
        <w:rPr>
          <w:rFonts w:ascii="Arial" w:hAnsi="Arial" w:cs="Arial"/>
        </w:rPr>
        <w:t>expanding</w:t>
      </w:r>
      <w:r w:rsidRPr="00E01AF9">
        <w:rPr>
          <w:rFonts w:ascii="Arial" w:hAnsi="Arial" w:cs="Arial"/>
        </w:rPr>
        <w:t>, evolving from soft to hard law</w:t>
      </w:r>
      <w:r w:rsidR="00F1210F">
        <w:rPr>
          <w:rFonts w:ascii="Arial" w:hAnsi="Arial" w:cs="Arial"/>
        </w:rPr>
        <w:t>,</w:t>
      </w:r>
      <w:r w:rsidRPr="00E01AF9">
        <w:rPr>
          <w:rFonts w:ascii="Arial" w:hAnsi="Arial" w:cs="Arial"/>
        </w:rPr>
        <w:t xml:space="preserve"> and with momentum towards mandatory due diligence</w:t>
      </w:r>
      <w:r w:rsidR="008C7B77">
        <w:rPr>
          <w:rStyle w:val="FootnoteReference"/>
          <w:rFonts w:ascii="Arial" w:hAnsi="Arial" w:cs="Arial"/>
        </w:rPr>
        <w:footnoteReference w:id="12"/>
      </w:r>
      <w:r w:rsidRPr="00E01AF9">
        <w:rPr>
          <w:rFonts w:ascii="Arial" w:hAnsi="Arial" w:cs="Arial"/>
        </w:rPr>
        <w:t>.</w:t>
      </w:r>
      <w:r>
        <w:rPr>
          <w:rFonts w:ascii="Arial" w:hAnsi="Arial" w:cs="Arial"/>
        </w:rPr>
        <w:t xml:space="preserve"> </w:t>
      </w:r>
      <w:r w:rsidRPr="00E01AF9">
        <w:rPr>
          <w:rFonts w:ascii="Arial" w:hAnsi="Arial" w:cs="Arial"/>
        </w:rPr>
        <w:t>These changes are driven by jurisdictions responding to human rights challenges with the introduction and strengthening of mandatory disclosure legislation</w:t>
      </w:r>
      <w:r>
        <w:rPr>
          <w:rFonts w:ascii="Arial" w:hAnsi="Arial" w:cs="Arial"/>
        </w:rPr>
        <w:t xml:space="preserve">. </w:t>
      </w:r>
      <w:r w:rsidRPr="00E01AF9">
        <w:rPr>
          <w:rFonts w:ascii="Arial" w:hAnsi="Arial" w:cs="Arial"/>
        </w:rPr>
        <w:t>Companies</w:t>
      </w:r>
      <w:r w:rsidR="004919A9">
        <w:rPr>
          <w:rFonts w:ascii="Arial" w:hAnsi="Arial" w:cs="Arial"/>
        </w:rPr>
        <w:t xml:space="preserve"> </w:t>
      </w:r>
      <w:r w:rsidR="00CF2038">
        <w:rPr>
          <w:rFonts w:ascii="Arial" w:hAnsi="Arial" w:cs="Arial"/>
        </w:rPr>
        <w:t xml:space="preserve">and </w:t>
      </w:r>
      <w:r w:rsidRPr="00E01AF9">
        <w:rPr>
          <w:rFonts w:ascii="Arial" w:hAnsi="Arial" w:cs="Arial"/>
        </w:rPr>
        <w:t xml:space="preserve">investors are subject to regulation that is expanding in its scope and </w:t>
      </w:r>
      <w:r w:rsidR="009A0E82" w:rsidRPr="00E01AF9">
        <w:rPr>
          <w:rFonts w:ascii="Arial" w:hAnsi="Arial" w:cs="Arial"/>
        </w:rPr>
        <w:t>enforcement,</w:t>
      </w:r>
      <w:r w:rsidRPr="00E01AF9">
        <w:rPr>
          <w:rFonts w:ascii="Arial" w:hAnsi="Arial" w:cs="Arial"/>
        </w:rPr>
        <w:t xml:space="preserve"> and </w:t>
      </w:r>
      <w:r w:rsidR="00C037D1">
        <w:rPr>
          <w:rFonts w:ascii="Arial" w:hAnsi="Arial" w:cs="Arial"/>
        </w:rPr>
        <w:t>which</w:t>
      </w:r>
      <w:r w:rsidR="00C037D1" w:rsidRPr="00E01AF9">
        <w:rPr>
          <w:rFonts w:ascii="Arial" w:hAnsi="Arial" w:cs="Arial"/>
        </w:rPr>
        <w:t xml:space="preserve"> </w:t>
      </w:r>
      <w:r w:rsidRPr="00E01AF9">
        <w:rPr>
          <w:rFonts w:ascii="Arial" w:hAnsi="Arial" w:cs="Arial"/>
        </w:rPr>
        <w:t>requires identification, mitigation, remediation, and disclosure of adverse human rights impacts.</w:t>
      </w:r>
      <w:r w:rsidR="001B53E6">
        <w:rPr>
          <w:rFonts w:ascii="Arial" w:hAnsi="Arial" w:cs="Arial"/>
        </w:rPr>
        <w:t xml:space="preserve"> R</w:t>
      </w:r>
      <w:r w:rsidR="008C7B77" w:rsidRPr="008C7B77">
        <w:rPr>
          <w:rFonts w:ascii="Arial" w:hAnsi="Arial" w:cs="Arial"/>
        </w:rPr>
        <w:t xml:space="preserve">egulation can be a powerful lever in addressing complex human rights challenges, driving transparency on </w:t>
      </w:r>
      <w:r w:rsidR="001B53E6">
        <w:rPr>
          <w:rFonts w:ascii="Arial" w:hAnsi="Arial" w:cs="Arial"/>
        </w:rPr>
        <w:t>ESG</w:t>
      </w:r>
      <w:r w:rsidR="008C7B77" w:rsidRPr="008C7B77">
        <w:rPr>
          <w:rFonts w:ascii="Arial" w:hAnsi="Arial" w:cs="Arial"/>
        </w:rPr>
        <w:t xml:space="preserve"> risks and </w:t>
      </w:r>
      <w:r w:rsidR="001B53E6">
        <w:rPr>
          <w:rFonts w:ascii="Arial" w:hAnsi="Arial" w:cs="Arial"/>
        </w:rPr>
        <w:t>contribut</w:t>
      </w:r>
      <w:r w:rsidR="00055E56">
        <w:rPr>
          <w:rFonts w:ascii="Arial" w:hAnsi="Arial" w:cs="Arial"/>
        </w:rPr>
        <w:t>ing</w:t>
      </w:r>
      <w:r w:rsidR="001B53E6">
        <w:rPr>
          <w:rFonts w:ascii="Arial" w:hAnsi="Arial" w:cs="Arial"/>
        </w:rPr>
        <w:t xml:space="preserve"> to</w:t>
      </w:r>
      <w:r w:rsidR="008C7B77" w:rsidRPr="008C7B77">
        <w:rPr>
          <w:rFonts w:ascii="Arial" w:hAnsi="Arial" w:cs="Arial"/>
        </w:rPr>
        <w:t xml:space="preserve"> a level playing field </w:t>
      </w:r>
      <w:r w:rsidR="00055E56">
        <w:rPr>
          <w:rFonts w:ascii="Arial" w:hAnsi="Arial" w:cs="Arial"/>
        </w:rPr>
        <w:t xml:space="preserve">in which </w:t>
      </w:r>
      <w:r w:rsidR="001B53E6">
        <w:rPr>
          <w:rFonts w:ascii="Arial" w:hAnsi="Arial" w:cs="Arial"/>
        </w:rPr>
        <w:t>business</w:t>
      </w:r>
      <w:r w:rsidR="00055E56">
        <w:rPr>
          <w:rFonts w:ascii="Arial" w:hAnsi="Arial" w:cs="Arial"/>
        </w:rPr>
        <w:t>es</w:t>
      </w:r>
      <w:r w:rsidR="001B53E6">
        <w:rPr>
          <w:rFonts w:ascii="Arial" w:hAnsi="Arial" w:cs="Arial"/>
        </w:rPr>
        <w:t xml:space="preserve">  pursue</w:t>
      </w:r>
      <w:r w:rsidR="00055E56">
        <w:rPr>
          <w:rFonts w:ascii="Arial" w:hAnsi="Arial" w:cs="Arial"/>
        </w:rPr>
        <w:t>s</w:t>
      </w:r>
      <w:r w:rsidR="001B53E6">
        <w:rPr>
          <w:rFonts w:ascii="Arial" w:hAnsi="Arial" w:cs="Arial"/>
        </w:rPr>
        <w:t xml:space="preserve"> responsible business practices</w:t>
      </w:r>
      <w:r w:rsidR="008C7B77" w:rsidRPr="008C7B77">
        <w:rPr>
          <w:rFonts w:ascii="Arial" w:hAnsi="Arial" w:cs="Arial"/>
        </w:rPr>
        <w:t>.</w:t>
      </w:r>
    </w:p>
    <w:p w14:paraId="4E02B6E5" w14:textId="77777777" w:rsidR="00DD15A7" w:rsidRDefault="00345612" w:rsidP="004C0AD3">
      <w:pPr>
        <w:spacing w:before="100" w:beforeAutospacing="1" w:after="100" w:afterAutospacing="1"/>
        <w:jc w:val="both"/>
        <w:rPr>
          <w:rFonts w:ascii="Arial" w:hAnsi="Arial" w:cs="Arial"/>
        </w:rPr>
      </w:pPr>
      <w:r>
        <w:rPr>
          <w:rFonts w:ascii="Arial" w:hAnsi="Arial" w:cs="Arial"/>
        </w:rPr>
        <w:t>The requirement for</w:t>
      </w:r>
      <w:r w:rsidR="004C0AD3" w:rsidRPr="004C0AD3">
        <w:rPr>
          <w:rFonts w:ascii="Arial" w:hAnsi="Arial" w:cs="Arial"/>
        </w:rPr>
        <w:t xml:space="preserve"> </w:t>
      </w:r>
      <w:r w:rsidR="006D7220">
        <w:rPr>
          <w:rFonts w:ascii="Arial" w:hAnsi="Arial" w:cs="Arial"/>
        </w:rPr>
        <w:t>human rights</w:t>
      </w:r>
      <w:r w:rsidR="004C0AD3" w:rsidRPr="004C0AD3">
        <w:rPr>
          <w:rFonts w:ascii="Arial" w:hAnsi="Arial" w:cs="Arial"/>
        </w:rPr>
        <w:t xml:space="preserve"> provisions </w:t>
      </w:r>
      <w:r>
        <w:rPr>
          <w:rFonts w:ascii="Arial" w:hAnsi="Arial" w:cs="Arial"/>
        </w:rPr>
        <w:t>can also be</w:t>
      </w:r>
      <w:r w:rsidR="004C0AD3" w:rsidRPr="004C0AD3">
        <w:rPr>
          <w:rFonts w:ascii="Arial" w:hAnsi="Arial" w:cs="Arial"/>
        </w:rPr>
        <w:t xml:space="preserve"> firmly integrated into general trade</w:t>
      </w:r>
      <w:r>
        <w:rPr>
          <w:rFonts w:ascii="Arial" w:hAnsi="Arial" w:cs="Arial"/>
        </w:rPr>
        <w:t xml:space="preserve">, </w:t>
      </w:r>
      <w:r w:rsidR="004C0AD3" w:rsidRPr="004C0AD3">
        <w:rPr>
          <w:rFonts w:ascii="Arial" w:hAnsi="Arial" w:cs="Arial"/>
        </w:rPr>
        <w:t>development</w:t>
      </w:r>
      <w:r w:rsidR="00A43696">
        <w:rPr>
          <w:rFonts w:ascii="Arial" w:hAnsi="Arial" w:cs="Arial"/>
        </w:rPr>
        <w:t xml:space="preserve">, </w:t>
      </w:r>
      <w:r>
        <w:rPr>
          <w:rFonts w:ascii="Arial" w:hAnsi="Arial" w:cs="Arial"/>
        </w:rPr>
        <w:t>foreign investment</w:t>
      </w:r>
      <w:r w:rsidR="004C0AD3" w:rsidRPr="004C0AD3">
        <w:rPr>
          <w:rFonts w:ascii="Arial" w:hAnsi="Arial" w:cs="Arial"/>
        </w:rPr>
        <w:t xml:space="preserve"> strategies</w:t>
      </w:r>
      <w:r w:rsidR="00A43696">
        <w:rPr>
          <w:rFonts w:ascii="Arial" w:hAnsi="Arial" w:cs="Arial"/>
        </w:rPr>
        <w:t xml:space="preserve"> and </w:t>
      </w:r>
      <w:r w:rsidR="00FC72CE">
        <w:rPr>
          <w:rFonts w:ascii="Arial" w:hAnsi="Arial" w:cs="Arial"/>
        </w:rPr>
        <w:t>n</w:t>
      </w:r>
      <w:r w:rsidR="00A43696">
        <w:rPr>
          <w:rFonts w:ascii="Arial" w:hAnsi="Arial" w:cs="Arial"/>
        </w:rPr>
        <w:t xml:space="preserve">ational </w:t>
      </w:r>
      <w:r w:rsidR="00FC72CE">
        <w:rPr>
          <w:rFonts w:ascii="Arial" w:hAnsi="Arial" w:cs="Arial"/>
        </w:rPr>
        <w:t>a</w:t>
      </w:r>
      <w:r w:rsidR="00A43696">
        <w:rPr>
          <w:rFonts w:ascii="Arial" w:hAnsi="Arial" w:cs="Arial"/>
        </w:rPr>
        <w:t xml:space="preserve">ction </w:t>
      </w:r>
      <w:r w:rsidR="00FC72CE">
        <w:rPr>
          <w:rFonts w:ascii="Arial" w:hAnsi="Arial" w:cs="Arial"/>
        </w:rPr>
        <w:t>p</w:t>
      </w:r>
      <w:r w:rsidR="00A43696">
        <w:rPr>
          <w:rFonts w:ascii="Arial" w:hAnsi="Arial" w:cs="Arial"/>
        </w:rPr>
        <w:t xml:space="preserve">lans on </w:t>
      </w:r>
      <w:r w:rsidR="00FC72CE">
        <w:rPr>
          <w:rFonts w:ascii="Arial" w:hAnsi="Arial" w:cs="Arial"/>
        </w:rPr>
        <w:t>b</w:t>
      </w:r>
      <w:r w:rsidR="00A43696">
        <w:rPr>
          <w:rFonts w:ascii="Arial" w:hAnsi="Arial" w:cs="Arial"/>
        </w:rPr>
        <w:t xml:space="preserve">usiness and </w:t>
      </w:r>
      <w:r w:rsidR="00FC72CE">
        <w:rPr>
          <w:rFonts w:ascii="Arial" w:hAnsi="Arial" w:cs="Arial"/>
        </w:rPr>
        <w:t>h</w:t>
      </w:r>
      <w:r w:rsidR="00A43696">
        <w:rPr>
          <w:rFonts w:ascii="Arial" w:hAnsi="Arial" w:cs="Arial"/>
        </w:rPr>
        <w:t xml:space="preserve">uman </w:t>
      </w:r>
      <w:r w:rsidR="00FC72CE">
        <w:rPr>
          <w:rFonts w:ascii="Arial" w:hAnsi="Arial" w:cs="Arial"/>
        </w:rPr>
        <w:t>r</w:t>
      </w:r>
      <w:r w:rsidR="00A43696">
        <w:rPr>
          <w:rFonts w:ascii="Arial" w:hAnsi="Arial" w:cs="Arial"/>
        </w:rPr>
        <w:t xml:space="preserve">ights (only 30 countries have </w:t>
      </w:r>
      <w:r w:rsidR="00A871D4">
        <w:rPr>
          <w:rFonts w:ascii="Arial" w:hAnsi="Arial" w:cs="Arial"/>
        </w:rPr>
        <w:t xml:space="preserve">so far </w:t>
      </w:r>
      <w:r w:rsidR="00A43696">
        <w:rPr>
          <w:rFonts w:ascii="Arial" w:hAnsi="Arial" w:cs="Arial"/>
        </w:rPr>
        <w:t>followed this route)</w:t>
      </w:r>
      <w:r>
        <w:rPr>
          <w:rFonts w:ascii="Arial" w:hAnsi="Arial" w:cs="Arial"/>
        </w:rPr>
        <w:t>. Here human rights requirements need to be elevated to achieve</w:t>
      </w:r>
      <w:r w:rsidR="004C0AD3" w:rsidRPr="004C0AD3">
        <w:rPr>
          <w:rFonts w:ascii="Arial" w:hAnsi="Arial" w:cs="Arial"/>
        </w:rPr>
        <w:t xml:space="preserve"> socially responsible trade</w:t>
      </w:r>
      <w:r w:rsidR="006D7220">
        <w:rPr>
          <w:rFonts w:ascii="Arial" w:hAnsi="Arial" w:cs="Arial"/>
        </w:rPr>
        <w:t xml:space="preserve"> </w:t>
      </w:r>
      <w:r w:rsidR="004C0AD3" w:rsidRPr="004C0AD3">
        <w:rPr>
          <w:rFonts w:ascii="Arial" w:hAnsi="Arial" w:cs="Arial"/>
        </w:rPr>
        <w:t xml:space="preserve">as part of worker-centred trade policy and agreements. </w:t>
      </w:r>
    </w:p>
    <w:p w14:paraId="521508C4" w14:textId="6B2078CE" w:rsidR="004C0AD3" w:rsidRPr="004C0AD3" w:rsidRDefault="00DD15A7" w:rsidP="004C0AD3">
      <w:pPr>
        <w:spacing w:before="100" w:beforeAutospacing="1" w:after="100" w:afterAutospacing="1"/>
        <w:jc w:val="both"/>
        <w:rPr>
          <w:rFonts w:ascii="Arial" w:hAnsi="Arial" w:cs="Arial"/>
        </w:rPr>
      </w:pPr>
      <w:r>
        <w:rPr>
          <w:rFonts w:ascii="Arial" w:hAnsi="Arial" w:cs="Arial"/>
        </w:rPr>
        <w:t xml:space="preserve">More accurate communication of businesses’ social practices </w:t>
      </w:r>
      <w:r w:rsidR="009A0E82">
        <w:rPr>
          <w:rFonts w:ascii="Arial" w:hAnsi="Arial" w:cs="Arial"/>
        </w:rPr>
        <w:t>needs</w:t>
      </w:r>
      <w:r>
        <w:rPr>
          <w:rFonts w:ascii="Arial" w:hAnsi="Arial" w:cs="Arial"/>
        </w:rPr>
        <w:t xml:space="preserve"> to consider the adoption of </w:t>
      </w:r>
      <w:r w:rsidRPr="00DD15A7">
        <w:rPr>
          <w:rFonts w:ascii="Arial" w:hAnsi="Arial" w:cs="Arial"/>
        </w:rPr>
        <w:t>quality, comparab</w:t>
      </w:r>
      <w:r>
        <w:rPr>
          <w:rFonts w:ascii="Arial" w:hAnsi="Arial" w:cs="Arial"/>
        </w:rPr>
        <w:t>le</w:t>
      </w:r>
      <w:r w:rsidRPr="00DD15A7">
        <w:rPr>
          <w:rFonts w:ascii="Arial" w:hAnsi="Arial" w:cs="Arial"/>
        </w:rPr>
        <w:t xml:space="preserve">, and usefulness of disclosure around human rights, </w:t>
      </w:r>
      <w:r>
        <w:rPr>
          <w:rFonts w:ascii="Arial" w:hAnsi="Arial" w:cs="Arial"/>
        </w:rPr>
        <w:t xml:space="preserve">this is </w:t>
      </w:r>
      <w:r w:rsidRPr="00DD15A7">
        <w:rPr>
          <w:rFonts w:ascii="Arial" w:hAnsi="Arial" w:cs="Arial"/>
        </w:rPr>
        <w:t>those which are able to fairly and comparably demonstrate an ongoing commitment to realising human rights</w:t>
      </w:r>
      <w:r>
        <w:rPr>
          <w:rFonts w:ascii="Arial" w:hAnsi="Arial" w:cs="Arial"/>
        </w:rPr>
        <w:t>.</w:t>
      </w:r>
    </w:p>
    <w:p w14:paraId="390F4524" w14:textId="77777777" w:rsidR="005F24E0" w:rsidRDefault="005F24E0" w:rsidP="005F24E0">
      <w:pPr>
        <w:numPr>
          <w:ilvl w:val="0"/>
          <w:numId w:val="13"/>
        </w:numPr>
        <w:spacing w:before="100" w:beforeAutospacing="1" w:after="100" w:afterAutospacing="1"/>
        <w:jc w:val="both"/>
        <w:rPr>
          <w:rFonts w:ascii="Arial" w:hAnsi="Arial" w:cs="Arial"/>
          <w:color w:val="0070C0"/>
        </w:rPr>
      </w:pPr>
      <w:r w:rsidRPr="005F24E0">
        <w:rPr>
          <w:rFonts w:ascii="Arial" w:hAnsi="Arial" w:cs="Arial"/>
          <w:color w:val="0070C0"/>
        </w:rPr>
        <w:t>How can States better advance human rights-compatible regulation and policies concerning investors and financial institutions generally in a manner that fulfils their international legal obligation to protect human rights?</w:t>
      </w:r>
    </w:p>
    <w:p w14:paraId="1150183C" w14:textId="5D9EA385" w:rsidR="00CB7B67" w:rsidRPr="00CB7B67" w:rsidRDefault="006B5273" w:rsidP="006B5273">
      <w:pPr>
        <w:spacing w:before="100" w:beforeAutospacing="1" w:after="100" w:afterAutospacing="1"/>
        <w:jc w:val="both"/>
        <w:rPr>
          <w:rFonts w:ascii="Arial" w:hAnsi="Arial" w:cs="Arial"/>
        </w:rPr>
      </w:pPr>
      <w:r>
        <w:rPr>
          <w:rFonts w:ascii="Arial" w:hAnsi="Arial" w:cs="Arial"/>
        </w:rPr>
        <w:t>States need to strengthen mechanisms to e</w:t>
      </w:r>
      <w:r w:rsidRPr="006D7220">
        <w:rPr>
          <w:rFonts w:ascii="Arial" w:hAnsi="Arial" w:cs="Arial"/>
        </w:rPr>
        <w:t>nsure that all companies, including venture capital firms,</w:t>
      </w:r>
      <w:r>
        <w:rPr>
          <w:rFonts w:ascii="Arial" w:hAnsi="Arial" w:cs="Arial"/>
        </w:rPr>
        <w:t xml:space="preserve"> </w:t>
      </w:r>
      <w:r w:rsidRPr="00352D56">
        <w:rPr>
          <w:rFonts w:ascii="Arial" w:hAnsi="Arial" w:cs="Arial"/>
        </w:rPr>
        <w:t>stock exchanges and market regulators</w:t>
      </w:r>
      <w:r>
        <w:rPr>
          <w:rFonts w:ascii="Arial" w:hAnsi="Arial" w:cs="Arial"/>
        </w:rPr>
        <w:t>,</w:t>
      </w:r>
      <w:r w:rsidRPr="006D7220">
        <w:rPr>
          <w:rFonts w:ascii="Arial" w:hAnsi="Arial" w:cs="Arial"/>
        </w:rPr>
        <w:t xml:space="preserve"> act responsibly and are held </w:t>
      </w:r>
      <w:r w:rsidR="0053584D">
        <w:rPr>
          <w:rFonts w:ascii="Arial" w:hAnsi="Arial" w:cs="Arial"/>
        </w:rPr>
        <w:t>accountable</w:t>
      </w:r>
      <w:r w:rsidR="0053584D" w:rsidRPr="006D7220">
        <w:rPr>
          <w:rFonts w:ascii="Arial" w:hAnsi="Arial" w:cs="Arial"/>
        </w:rPr>
        <w:t xml:space="preserve"> </w:t>
      </w:r>
      <w:r w:rsidRPr="006D7220">
        <w:rPr>
          <w:rFonts w:ascii="Arial" w:hAnsi="Arial" w:cs="Arial"/>
        </w:rPr>
        <w:t>for their negative human rights impacts</w:t>
      </w:r>
      <w:r>
        <w:rPr>
          <w:rFonts w:ascii="Arial" w:hAnsi="Arial" w:cs="Arial"/>
        </w:rPr>
        <w:t xml:space="preserve"> by incentivising </w:t>
      </w:r>
      <w:r w:rsidRPr="006D7220">
        <w:rPr>
          <w:rFonts w:ascii="Arial" w:hAnsi="Arial" w:cs="Arial"/>
        </w:rPr>
        <w:t xml:space="preserve">due diligence </w:t>
      </w:r>
      <w:r>
        <w:rPr>
          <w:rFonts w:ascii="Arial" w:hAnsi="Arial" w:cs="Arial"/>
        </w:rPr>
        <w:t>requirements</w:t>
      </w:r>
      <w:r w:rsidRPr="006D7220">
        <w:rPr>
          <w:rFonts w:ascii="Arial" w:hAnsi="Arial" w:cs="Arial"/>
        </w:rPr>
        <w:t xml:space="preserve"> in respect of</w:t>
      </w:r>
      <w:r>
        <w:rPr>
          <w:rFonts w:ascii="Arial" w:hAnsi="Arial" w:cs="Arial"/>
        </w:rPr>
        <w:t xml:space="preserve"> businesses’</w:t>
      </w:r>
      <w:r w:rsidRPr="006D7220">
        <w:rPr>
          <w:rFonts w:ascii="Arial" w:hAnsi="Arial" w:cs="Arial"/>
        </w:rPr>
        <w:t xml:space="preserve"> global operations and investments.</w:t>
      </w:r>
      <w:r>
        <w:rPr>
          <w:rFonts w:ascii="Arial" w:hAnsi="Arial" w:cs="Arial"/>
        </w:rPr>
        <w:t xml:space="preserve"> </w:t>
      </w:r>
    </w:p>
    <w:p w14:paraId="0A8AB2AD" w14:textId="043CF003" w:rsidR="00A61F85" w:rsidRDefault="006B5273" w:rsidP="005F24E0">
      <w:pPr>
        <w:pStyle w:val="NormalWeb"/>
        <w:jc w:val="both"/>
        <w:rPr>
          <w:rStyle w:val="Strong"/>
          <w:rFonts w:ascii="Arial" w:hAnsi="Arial" w:cs="Arial"/>
          <w:b w:val="0"/>
          <w:bCs w:val="0"/>
          <w:sz w:val="22"/>
          <w:szCs w:val="22"/>
        </w:rPr>
      </w:pPr>
      <w:r w:rsidRPr="006B5273">
        <w:rPr>
          <w:rStyle w:val="Strong"/>
          <w:rFonts w:ascii="Arial" w:hAnsi="Arial" w:cs="Arial"/>
          <w:b w:val="0"/>
          <w:bCs w:val="0"/>
          <w:sz w:val="22"/>
          <w:szCs w:val="22"/>
        </w:rPr>
        <w:t xml:space="preserve">Human rights topics may look slightly different in terms of their meaning and scope in different </w:t>
      </w:r>
      <w:r>
        <w:rPr>
          <w:rStyle w:val="Strong"/>
          <w:rFonts w:ascii="Arial" w:hAnsi="Arial" w:cs="Arial"/>
          <w:b w:val="0"/>
          <w:bCs w:val="0"/>
          <w:sz w:val="22"/>
          <w:szCs w:val="22"/>
        </w:rPr>
        <w:t>jurisdiction</w:t>
      </w:r>
      <w:r w:rsidRPr="006B5273">
        <w:rPr>
          <w:rStyle w:val="Strong"/>
          <w:rFonts w:ascii="Arial" w:hAnsi="Arial" w:cs="Arial"/>
          <w:b w:val="0"/>
          <w:bCs w:val="0"/>
          <w:sz w:val="22"/>
          <w:szCs w:val="22"/>
        </w:rPr>
        <w:t xml:space="preserve">s – </w:t>
      </w:r>
      <w:r>
        <w:rPr>
          <w:rStyle w:val="Strong"/>
          <w:rFonts w:ascii="Arial" w:hAnsi="Arial" w:cs="Arial"/>
          <w:b w:val="0"/>
          <w:bCs w:val="0"/>
          <w:sz w:val="22"/>
          <w:szCs w:val="22"/>
        </w:rPr>
        <w:t xml:space="preserve">in practice this means that </w:t>
      </w:r>
      <w:r w:rsidRPr="006B5273">
        <w:rPr>
          <w:rStyle w:val="Strong"/>
          <w:rFonts w:ascii="Arial" w:hAnsi="Arial" w:cs="Arial"/>
          <w:b w:val="0"/>
          <w:bCs w:val="0"/>
          <w:sz w:val="22"/>
          <w:szCs w:val="22"/>
        </w:rPr>
        <w:t>the materiality</w:t>
      </w:r>
      <w:r>
        <w:rPr>
          <w:rStyle w:val="Strong"/>
          <w:rFonts w:ascii="Arial" w:hAnsi="Arial" w:cs="Arial"/>
          <w:b w:val="0"/>
          <w:bCs w:val="0"/>
          <w:sz w:val="22"/>
          <w:szCs w:val="22"/>
        </w:rPr>
        <w:t xml:space="preserve">, </w:t>
      </w:r>
      <w:r w:rsidRPr="006B5273">
        <w:rPr>
          <w:rStyle w:val="Strong"/>
          <w:rFonts w:ascii="Arial" w:hAnsi="Arial" w:cs="Arial"/>
          <w:b w:val="0"/>
          <w:bCs w:val="0"/>
          <w:sz w:val="22"/>
          <w:szCs w:val="22"/>
        </w:rPr>
        <w:t>the cultural</w:t>
      </w:r>
      <w:r>
        <w:rPr>
          <w:rStyle w:val="Strong"/>
          <w:rFonts w:ascii="Arial" w:hAnsi="Arial" w:cs="Arial"/>
          <w:b w:val="0"/>
          <w:bCs w:val="0"/>
          <w:sz w:val="22"/>
          <w:szCs w:val="22"/>
        </w:rPr>
        <w:t xml:space="preserve"> or</w:t>
      </w:r>
      <w:r w:rsidRPr="006B5273">
        <w:rPr>
          <w:rStyle w:val="Strong"/>
          <w:rFonts w:ascii="Arial" w:hAnsi="Arial" w:cs="Arial"/>
          <w:b w:val="0"/>
          <w:bCs w:val="0"/>
          <w:sz w:val="22"/>
          <w:szCs w:val="22"/>
        </w:rPr>
        <w:t xml:space="preserve"> regional</w:t>
      </w:r>
      <w:r>
        <w:rPr>
          <w:rStyle w:val="Strong"/>
          <w:rFonts w:ascii="Arial" w:hAnsi="Arial" w:cs="Arial"/>
          <w:b w:val="0"/>
          <w:bCs w:val="0"/>
          <w:sz w:val="22"/>
          <w:szCs w:val="22"/>
        </w:rPr>
        <w:t xml:space="preserve"> </w:t>
      </w:r>
      <w:r w:rsidRPr="006B5273">
        <w:rPr>
          <w:rStyle w:val="Strong"/>
          <w:rFonts w:ascii="Arial" w:hAnsi="Arial" w:cs="Arial"/>
          <w:b w:val="0"/>
          <w:bCs w:val="0"/>
          <w:sz w:val="22"/>
          <w:szCs w:val="22"/>
        </w:rPr>
        <w:t xml:space="preserve">context of human rights topics might differ from case to case. </w:t>
      </w:r>
      <w:r>
        <w:rPr>
          <w:rStyle w:val="Strong"/>
          <w:rFonts w:ascii="Arial" w:hAnsi="Arial" w:cs="Arial"/>
          <w:b w:val="0"/>
          <w:bCs w:val="0"/>
          <w:sz w:val="22"/>
          <w:szCs w:val="22"/>
        </w:rPr>
        <w:t xml:space="preserve">This is of particular concern in the current context of work, where an increasing number of companies operate </w:t>
      </w:r>
      <w:r w:rsidRPr="006B5273">
        <w:rPr>
          <w:rStyle w:val="Strong"/>
          <w:rFonts w:ascii="Arial" w:hAnsi="Arial" w:cs="Arial"/>
          <w:b w:val="0"/>
          <w:bCs w:val="0"/>
          <w:sz w:val="22"/>
          <w:szCs w:val="22"/>
        </w:rPr>
        <w:t xml:space="preserve">across many sectors and different regions. </w:t>
      </w:r>
    </w:p>
    <w:p w14:paraId="4111E751" w14:textId="2649B538" w:rsidR="006B5273" w:rsidRPr="006B5273" w:rsidRDefault="006B5273" w:rsidP="006B5273">
      <w:pPr>
        <w:pStyle w:val="NormalWeb"/>
        <w:jc w:val="both"/>
        <w:rPr>
          <w:rStyle w:val="Strong"/>
          <w:rFonts w:ascii="Arial" w:hAnsi="Arial" w:cs="Arial"/>
          <w:b w:val="0"/>
          <w:bCs w:val="0"/>
          <w:sz w:val="22"/>
          <w:szCs w:val="22"/>
        </w:rPr>
      </w:pPr>
      <w:r>
        <w:rPr>
          <w:rStyle w:val="Strong"/>
          <w:rFonts w:ascii="Arial" w:hAnsi="Arial" w:cs="Arial"/>
          <w:b w:val="0"/>
          <w:bCs w:val="0"/>
          <w:sz w:val="22"/>
          <w:szCs w:val="22"/>
        </w:rPr>
        <w:t>State</w:t>
      </w:r>
      <w:r w:rsidR="001600B1">
        <w:rPr>
          <w:rStyle w:val="Strong"/>
          <w:rFonts w:ascii="Arial" w:hAnsi="Arial" w:cs="Arial"/>
          <w:b w:val="0"/>
          <w:bCs w:val="0"/>
          <w:sz w:val="22"/>
          <w:szCs w:val="22"/>
        </w:rPr>
        <w:t>s</w:t>
      </w:r>
      <w:r>
        <w:rPr>
          <w:rStyle w:val="Strong"/>
          <w:rFonts w:ascii="Arial" w:hAnsi="Arial" w:cs="Arial"/>
          <w:b w:val="0"/>
          <w:bCs w:val="0"/>
          <w:sz w:val="22"/>
          <w:szCs w:val="22"/>
        </w:rPr>
        <w:t xml:space="preserve"> can better advance MHRDD regulations </w:t>
      </w:r>
      <w:r w:rsidR="001F6880">
        <w:rPr>
          <w:rStyle w:val="Strong"/>
          <w:rFonts w:ascii="Arial" w:hAnsi="Arial" w:cs="Arial"/>
          <w:b w:val="0"/>
          <w:bCs w:val="0"/>
          <w:sz w:val="22"/>
          <w:szCs w:val="22"/>
        </w:rPr>
        <w:t xml:space="preserve">by </w:t>
      </w:r>
      <w:r w:rsidR="00A43696">
        <w:rPr>
          <w:rStyle w:val="Strong"/>
          <w:rFonts w:ascii="Arial" w:hAnsi="Arial" w:cs="Arial"/>
          <w:b w:val="0"/>
          <w:bCs w:val="0"/>
          <w:sz w:val="22"/>
          <w:szCs w:val="22"/>
        </w:rPr>
        <w:t xml:space="preserve">enacting and </w:t>
      </w:r>
      <w:r w:rsidR="001F6880">
        <w:rPr>
          <w:rStyle w:val="Strong"/>
          <w:rFonts w:ascii="Arial" w:hAnsi="Arial" w:cs="Arial"/>
          <w:b w:val="0"/>
          <w:bCs w:val="0"/>
          <w:sz w:val="22"/>
          <w:szCs w:val="22"/>
        </w:rPr>
        <w:t>ratifying i</w:t>
      </w:r>
      <w:r w:rsidRPr="006B5273">
        <w:rPr>
          <w:rStyle w:val="Strong"/>
          <w:rFonts w:ascii="Arial" w:hAnsi="Arial" w:cs="Arial"/>
          <w:b w:val="0"/>
          <w:bCs w:val="0"/>
          <w:sz w:val="22"/>
          <w:szCs w:val="22"/>
        </w:rPr>
        <w:t>nternational treaties</w:t>
      </w:r>
      <w:r w:rsidR="00A43696">
        <w:rPr>
          <w:rStyle w:val="Strong"/>
          <w:rFonts w:ascii="Arial" w:hAnsi="Arial" w:cs="Arial"/>
          <w:b w:val="0"/>
          <w:bCs w:val="0"/>
          <w:sz w:val="22"/>
          <w:szCs w:val="22"/>
        </w:rPr>
        <w:t xml:space="preserve"> (despite the existing political resistance</w:t>
      </w:r>
      <w:r w:rsidR="003D39D7">
        <w:rPr>
          <w:rStyle w:val="FootnoteReference"/>
          <w:rFonts w:ascii="Arial" w:hAnsi="Arial" w:cs="Arial"/>
          <w:sz w:val="22"/>
          <w:szCs w:val="22"/>
        </w:rPr>
        <w:footnoteReference w:id="13"/>
      </w:r>
      <w:r w:rsidR="00A43696">
        <w:rPr>
          <w:rStyle w:val="Strong"/>
          <w:rFonts w:ascii="Arial" w:hAnsi="Arial" w:cs="Arial"/>
          <w:b w:val="0"/>
          <w:bCs w:val="0"/>
          <w:sz w:val="22"/>
          <w:szCs w:val="22"/>
        </w:rPr>
        <w:t>)</w:t>
      </w:r>
      <w:r w:rsidRPr="006B5273">
        <w:rPr>
          <w:rStyle w:val="Strong"/>
          <w:rFonts w:ascii="Arial" w:hAnsi="Arial" w:cs="Arial"/>
          <w:b w:val="0"/>
          <w:bCs w:val="0"/>
          <w:sz w:val="22"/>
          <w:szCs w:val="22"/>
        </w:rPr>
        <w:t xml:space="preserve"> that cover internationally recogni</w:t>
      </w:r>
      <w:r w:rsidR="001F6880">
        <w:rPr>
          <w:rStyle w:val="Strong"/>
          <w:rFonts w:ascii="Arial" w:hAnsi="Arial" w:cs="Arial"/>
          <w:b w:val="0"/>
          <w:bCs w:val="0"/>
          <w:sz w:val="22"/>
          <w:szCs w:val="22"/>
        </w:rPr>
        <w:t>s</w:t>
      </w:r>
      <w:r w:rsidRPr="006B5273">
        <w:rPr>
          <w:rStyle w:val="Strong"/>
          <w:rFonts w:ascii="Arial" w:hAnsi="Arial" w:cs="Arial"/>
          <w:b w:val="0"/>
          <w:bCs w:val="0"/>
          <w:sz w:val="22"/>
          <w:szCs w:val="22"/>
        </w:rPr>
        <w:t>ed human rights</w:t>
      </w:r>
      <w:r w:rsidR="002264BC">
        <w:rPr>
          <w:rStyle w:val="Strong"/>
          <w:rFonts w:ascii="Arial" w:hAnsi="Arial" w:cs="Arial"/>
          <w:b w:val="0"/>
          <w:bCs w:val="0"/>
          <w:sz w:val="22"/>
          <w:szCs w:val="22"/>
        </w:rPr>
        <w:t>.</w:t>
      </w:r>
      <w:r w:rsidRPr="006B5273">
        <w:rPr>
          <w:rStyle w:val="Strong"/>
          <w:rFonts w:ascii="Arial" w:hAnsi="Arial" w:cs="Arial"/>
          <w:b w:val="0"/>
          <w:bCs w:val="0"/>
          <w:sz w:val="22"/>
          <w:szCs w:val="22"/>
        </w:rPr>
        <w:t xml:space="preserve"> </w:t>
      </w:r>
      <w:r w:rsidR="002264BC">
        <w:rPr>
          <w:rStyle w:val="Strong"/>
          <w:rFonts w:ascii="Arial" w:hAnsi="Arial" w:cs="Arial"/>
          <w:b w:val="0"/>
          <w:bCs w:val="0"/>
          <w:sz w:val="22"/>
          <w:szCs w:val="22"/>
        </w:rPr>
        <w:t>A</w:t>
      </w:r>
      <w:r w:rsidRPr="006B5273">
        <w:rPr>
          <w:rStyle w:val="Strong"/>
          <w:rFonts w:ascii="Arial" w:hAnsi="Arial" w:cs="Arial"/>
          <w:b w:val="0"/>
          <w:bCs w:val="0"/>
          <w:sz w:val="22"/>
          <w:szCs w:val="22"/>
        </w:rPr>
        <w:t>ccording to the UN Guiding Principles th</w:t>
      </w:r>
      <w:r w:rsidR="002264BC">
        <w:rPr>
          <w:rStyle w:val="Strong"/>
          <w:rFonts w:ascii="Arial" w:hAnsi="Arial" w:cs="Arial"/>
          <w:b w:val="0"/>
          <w:bCs w:val="0"/>
          <w:sz w:val="22"/>
          <w:szCs w:val="22"/>
        </w:rPr>
        <w:t>at</w:t>
      </w:r>
      <w:r w:rsidRPr="006B5273">
        <w:rPr>
          <w:rStyle w:val="Strong"/>
          <w:rFonts w:ascii="Arial" w:hAnsi="Arial" w:cs="Arial"/>
          <w:b w:val="0"/>
          <w:bCs w:val="0"/>
          <w:sz w:val="22"/>
          <w:szCs w:val="22"/>
        </w:rPr>
        <w:t xml:space="preserve"> companies should respect,</w:t>
      </w:r>
      <w:r w:rsidR="002264BC">
        <w:rPr>
          <w:rStyle w:val="Strong"/>
          <w:rFonts w:ascii="Arial" w:hAnsi="Arial" w:cs="Arial"/>
          <w:b w:val="0"/>
          <w:bCs w:val="0"/>
          <w:sz w:val="22"/>
          <w:szCs w:val="22"/>
        </w:rPr>
        <w:t xml:space="preserve"> this</w:t>
      </w:r>
      <w:r w:rsidRPr="006B5273">
        <w:rPr>
          <w:rStyle w:val="Strong"/>
          <w:rFonts w:ascii="Arial" w:hAnsi="Arial" w:cs="Arial"/>
          <w:b w:val="0"/>
          <w:bCs w:val="0"/>
          <w:sz w:val="22"/>
          <w:szCs w:val="22"/>
        </w:rPr>
        <w:t xml:space="preserve"> is the ILO Declaration on</w:t>
      </w:r>
      <w:r w:rsidR="001F6880">
        <w:rPr>
          <w:rStyle w:val="Strong"/>
          <w:rFonts w:ascii="Arial" w:hAnsi="Arial" w:cs="Arial"/>
          <w:b w:val="0"/>
          <w:bCs w:val="0"/>
          <w:sz w:val="22"/>
          <w:szCs w:val="22"/>
        </w:rPr>
        <w:t xml:space="preserve"> </w:t>
      </w:r>
      <w:r w:rsidRPr="006B5273">
        <w:rPr>
          <w:rStyle w:val="Strong"/>
          <w:rFonts w:ascii="Arial" w:hAnsi="Arial" w:cs="Arial"/>
          <w:b w:val="0"/>
          <w:bCs w:val="0"/>
          <w:sz w:val="22"/>
          <w:szCs w:val="22"/>
        </w:rPr>
        <w:t>Fundamental Principles and Rights at Work (FPRW)</w:t>
      </w:r>
      <w:r w:rsidR="001F6880">
        <w:rPr>
          <w:rStyle w:val="Strong"/>
          <w:rFonts w:ascii="Arial" w:hAnsi="Arial" w:cs="Arial"/>
          <w:b w:val="0"/>
          <w:bCs w:val="0"/>
          <w:sz w:val="22"/>
          <w:szCs w:val="22"/>
        </w:rPr>
        <w:t xml:space="preserve">. This is particularly relevant in the context of </w:t>
      </w:r>
      <w:r w:rsidR="001F6880" w:rsidRPr="001F6880">
        <w:rPr>
          <w:rStyle w:val="Strong"/>
          <w:rFonts w:ascii="Arial" w:hAnsi="Arial" w:cs="Arial"/>
          <w:b w:val="0"/>
          <w:bCs w:val="0"/>
          <w:sz w:val="22"/>
          <w:szCs w:val="22"/>
        </w:rPr>
        <w:t>a safe and healthy work</w:t>
      </w:r>
      <w:r w:rsidR="0099490E">
        <w:rPr>
          <w:rStyle w:val="Strong"/>
          <w:rFonts w:ascii="Arial" w:hAnsi="Arial" w:cs="Arial"/>
          <w:b w:val="0"/>
          <w:bCs w:val="0"/>
          <w:sz w:val="22"/>
          <w:szCs w:val="22"/>
        </w:rPr>
        <w:t>ing</w:t>
      </w:r>
      <w:r w:rsidR="001F6880" w:rsidRPr="001F6880">
        <w:rPr>
          <w:rStyle w:val="Strong"/>
          <w:rFonts w:ascii="Arial" w:hAnsi="Arial" w:cs="Arial"/>
          <w:b w:val="0"/>
          <w:bCs w:val="0"/>
          <w:sz w:val="22"/>
          <w:szCs w:val="22"/>
        </w:rPr>
        <w:t xml:space="preserve"> environment as one of </w:t>
      </w:r>
      <w:r w:rsidR="00FD451F">
        <w:rPr>
          <w:rStyle w:val="Strong"/>
          <w:rFonts w:ascii="Arial" w:hAnsi="Arial" w:cs="Arial"/>
          <w:b w:val="0"/>
          <w:bCs w:val="0"/>
          <w:sz w:val="22"/>
          <w:szCs w:val="22"/>
        </w:rPr>
        <w:t>the</w:t>
      </w:r>
      <w:r w:rsidR="001F6880" w:rsidRPr="001F6880">
        <w:rPr>
          <w:rStyle w:val="Strong"/>
          <w:rFonts w:ascii="Arial" w:hAnsi="Arial" w:cs="Arial"/>
          <w:b w:val="0"/>
          <w:bCs w:val="0"/>
          <w:sz w:val="22"/>
          <w:szCs w:val="22"/>
        </w:rPr>
        <w:t xml:space="preserve"> five fundamental principles and rights at work</w:t>
      </w:r>
      <w:r w:rsidR="001F6880">
        <w:rPr>
          <w:rStyle w:val="Strong"/>
          <w:rFonts w:ascii="Arial" w:hAnsi="Arial" w:cs="Arial"/>
          <w:b w:val="0"/>
          <w:bCs w:val="0"/>
          <w:sz w:val="22"/>
          <w:szCs w:val="22"/>
        </w:rPr>
        <w:t xml:space="preserve">. </w:t>
      </w:r>
    </w:p>
    <w:p w14:paraId="19DC4F78" w14:textId="7B190967" w:rsidR="005F24E0" w:rsidRPr="005F24E0" w:rsidRDefault="005F24E0" w:rsidP="005F24E0">
      <w:pPr>
        <w:pStyle w:val="NormalWeb"/>
        <w:jc w:val="both"/>
        <w:rPr>
          <w:rFonts w:ascii="Arial" w:hAnsi="Arial" w:cs="Arial"/>
          <w:color w:val="0070C0"/>
          <w:sz w:val="22"/>
          <w:szCs w:val="22"/>
        </w:rPr>
      </w:pPr>
      <w:r w:rsidRPr="005F24E0">
        <w:rPr>
          <w:rStyle w:val="Strong"/>
          <w:rFonts w:ascii="Arial" w:hAnsi="Arial" w:cs="Arial"/>
          <w:color w:val="0070C0"/>
          <w:sz w:val="22"/>
          <w:szCs w:val="22"/>
        </w:rPr>
        <w:t>Corporate responsibility to respect human rights</w:t>
      </w:r>
    </w:p>
    <w:p w14:paraId="33E17CD2" w14:textId="77777777" w:rsidR="005F24E0" w:rsidRDefault="005F24E0" w:rsidP="005F24E0">
      <w:pPr>
        <w:numPr>
          <w:ilvl w:val="0"/>
          <w:numId w:val="14"/>
        </w:numPr>
        <w:spacing w:before="100" w:beforeAutospacing="1" w:after="100" w:afterAutospacing="1"/>
        <w:jc w:val="both"/>
        <w:rPr>
          <w:rFonts w:ascii="Arial" w:hAnsi="Arial" w:cs="Arial"/>
          <w:color w:val="0070C0"/>
        </w:rPr>
      </w:pPr>
      <w:r w:rsidRPr="005F24E0">
        <w:rPr>
          <w:rFonts w:ascii="Arial" w:hAnsi="Arial" w:cs="Arial"/>
          <w:color w:val="0070C0"/>
        </w:rPr>
        <w:t>To what extent are investors aware of their responsibility to respect human rights? Are some types of investors more likely than others to align their practices with the UNGPs? Does it depend on the type of investor?</w:t>
      </w:r>
    </w:p>
    <w:p w14:paraId="050786AC" w14:textId="1D4BED96" w:rsidR="00B30CB9" w:rsidRDefault="00A85CA7" w:rsidP="00201C9B">
      <w:pPr>
        <w:spacing w:before="100" w:beforeAutospacing="1" w:after="100" w:afterAutospacing="1"/>
        <w:jc w:val="both"/>
        <w:rPr>
          <w:rFonts w:ascii="Arial" w:hAnsi="Arial" w:cs="Arial"/>
        </w:rPr>
      </w:pPr>
      <w:r w:rsidRPr="00A85CA7">
        <w:rPr>
          <w:rFonts w:ascii="Arial" w:hAnsi="Arial" w:cs="Arial"/>
        </w:rPr>
        <w:t xml:space="preserve">More investors </w:t>
      </w:r>
      <w:r>
        <w:rPr>
          <w:rFonts w:ascii="Arial" w:hAnsi="Arial" w:cs="Arial"/>
        </w:rPr>
        <w:t xml:space="preserve">are </w:t>
      </w:r>
      <w:r w:rsidRPr="00A85CA7">
        <w:rPr>
          <w:rFonts w:ascii="Arial" w:hAnsi="Arial" w:cs="Arial"/>
        </w:rPr>
        <w:t>promot</w:t>
      </w:r>
      <w:r>
        <w:rPr>
          <w:rFonts w:ascii="Arial" w:hAnsi="Arial" w:cs="Arial"/>
        </w:rPr>
        <w:t>ing</w:t>
      </w:r>
      <w:r w:rsidRPr="00A85CA7">
        <w:rPr>
          <w:rFonts w:ascii="Arial" w:hAnsi="Arial" w:cs="Arial"/>
        </w:rPr>
        <w:t xml:space="preserve"> human rights and practic</w:t>
      </w:r>
      <w:r w:rsidR="004E344E">
        <w:rPr>
          <w:rFonts w:ascii="Arial" w:hAnsi="Arial" w:cs="Arial"/>
        </w:rPr>
        <w:t>ing</w:t>
      </w:r>
      <w:r w:rsidRPr="00A85CA7">
        <w:rPr>
          <w:rFonts w:ascii="Arial" w:hAnsi="Arial" w:cs="Arial"/>
        </w:rPr>
        <w:t xml:space="preserve"> responsible business conduct in their own operations</w:t>
      </w:r>
      <w:r>
        <w:rPr>
          <w:rFonts w:ascii="Arial" w:hAnsi="Arial" w:cs="Arial"/>
        </w:rPr>
        <w:t xml:space="preserve"> and are </w:t>
      </w:r>
      <w:r w:rsidRPr="00A85CA7">
        <w:rPr>
          <w:rFonts w:ascii="Arial" w:hAnsi="Arial" w:cs="Arial"/>
        </w:rPr>
        <w:t xml:space="preserve">required to </w:t>
      </w:r>
      <w:r>
        <w:rPr>
          <w:rFonts w:ascii="Arial" w:hAnsi="Arial" w:cs="Arial"/>
        </w:rPr>
        <w:t xml:space="preserve">better </w:t>
      </w:r>
      <w:r w:rsidRPr="00A85CA7">
        <w:rPr>
          <w:rFonts w:ascii="Arial" w:hAnsi="Arial" w:cs="Arial"/>
        </w:rPr>
        <w:t>understand and disclose human rights risks within their portfolios</w:t>
      </w:r>
      <w:r w:rsidR="00DD15A7">
        <w:rPr>
          <w:rFonts w:ascii="Arial" w:hAnsi="Arial" w:cs="Arial"/>
        </w:rPr>
        <w:t xml:space="preserve"> due to voluntary and mandated frameworks</w:t>
      </w:r>
      <w:r w:rsidRPr="00A85CA7">
        <w:rPr>
          <w:rFonts w:ascii="Arial" w:hAnsi="Arial" w:cs="Arial"/>
        </w:rPr>
        <w:t>.</w:t>
      </w:r>
      <w:r w:rsidR="00B30CB9">
        <w:rPr>
          <w:rFonts w:ascii="Arial" w:hAnsi="Arial" w:cs="Arial"/>
        </w:rPr>
        <w:t xml:space="preserve"> Despite this</w:t>
      </w:r>
      <w:r w:rsidR="00BB587B">
        <w:rPr>
          <w:rFonts w:ascii="Arial" w:hAnsi="Arial" w:cs="Arial"/>
        </w:rPr>
        <w:t>,</w:t>
      </w:r>
      <w:r w:rsidR="00B30CB9">
        <w:rPr>
          <w:rFonts w:ascii="Arial" w:hAnsi="Arial" w:cs="Arial"/>
        </w:rPr>
        <w:t xml:space="preserve"> we still see poor accountability from investors when it comes to respecting human rights</w:t>
      </w:r>
      <w:r w:rsidR="00DD15A7">
        <w:rPr>
          <w:rStyle w:val="FootnoteReference"/>
          <w:rFonts w:ascii="Arial" w:hAnsi="Arial" w:cs="Arial"/>
        </w:rPr>
        <w:footnoteReference w:id="14"/>
      </w:r>
      <w:r w:rsidR="00B30CB9">
        <w:rPr>
          <w:rFonts w:ascii="Arial" w:hAnsi="Arial" w:cs="Arial"/>
        </w:rPr>
        <w:t>.</w:t>
      </w:r>
      <w:r>
        <w:rPr>
          <w:rFonts w:ascii="Arial" w:hAnsi="Arial" w:cs="Arial"/>
        </w:rPr>
        <w:t xml:space="preserve"> </w:t>
      </w:r>
      <w:r w:rsidR="00B30CB9">
        <w:rPr>
          <w:rFonts w:ascii="Arial" w:hAnsi="Arial" w:cs="Arial"/>
        </w:rPr>
        <w:t>T</w:t>
      </w:r>
      <w:r w:rsidRPr="00A85CA7">
        <w:rPr>
          <w:rFonts w:ascii="Arial" w:hAnsi="Arial" w:cs="Arial"/>
        </w:rPr>
        <w:t>he lack of consistent data – particularly robust quantitative metrics - remain</w:t>
      </w:r>
      <w:r w:rsidR="00B30CB9">
        <w:rPr>
          <w:rFonts w:ascii="Arial" w:hAnsi="Arial" w:cs="Arial"/>
        </w:rPr>
        <w:t>s</w:t>
      </w:r>
      <w:r w:rsidRPr="00A85CA7">
        <w:rPr>
          <w:rFonts w:ascii="Arial" w:hAnsi="Arial" w:cs="Arial"/>
        </w:rPr>
        <w:t xml:space="preserve"> </w:t>
      </w:r>
      <w:r w:rsidR="00B30CB9">
        <w:rPr>
          <w:rFonts w:ascii="Arial" w:hAnsi="Arial" w:cs="Arial"/>
        </w:rPr>
        <w:t xml:space="preserve">a barrier for investors to effectively </w:t>
      </w:r>
      <w:r w:rsidRPr="00A85CA7">
        <w:rPr>
          <w:rFonts w:ascii="Arial" w:hAnsi="Arial" w:cs="Arial"/>
        </w:rPr>
        <w:t>manag</w:t>
      </w:r>
      <w:r w:rsidR="00B30CB9">
        <w:rPr>
          <w:rFonts w:ascii="Arial" w:hAnsi="Arial" w:cs="Arial"/>
        </w:rPr>
        <w:t>e</w:t>
      </w:r>
      <w:r w:rsidRPr="00A85CA7">
        <w:rPr>
          <w:rFonts w:ascii="Arial" w:hAnsi="Arial" w:cs="Arial"/>
        </w:rPr>
        <w:t xml:space="preserve"> human rights risks across portfolios</w:t>
      </w:r>
      <w:r w:rsidR="00B30CB9">
        <w:rPr>
          <w:rFonts w:ascii="Arial" w:hAnsi="Arial" w:cs="Arial"/>
        </w:rPr>
        <w:t xml:space="preserve">. </w:t>
      </w:r>
      <w:r w:rsidR="00B30CB9" w:rsidRPr="00B30CB9">
        <w:rPr>
          <w:rFonts w:ascii="Arial" w:hAnsi="Arial" w:cs="Arial"/>
        </w:rPr>
        <w:t>Th</w:t>
      </w:r>
      <w:r w:rsidR="00B30CB9">
        <w:rPr>
          <w:rFonts w:ascii="Arial" w:hAnsi="Arial" w:cs="Arial"/>
        </w:rPr>
        <w:t>e</w:t>
      </w:r>
      <w:r w:rsidR="00B30CB9" w:rsidRPr="00B30CB9">
        <w:rPr>
          <w:rFonts w:ascii="Arial" w:hAnsi="Arial" w:cs="Arial"/>
        </w:rPr>
        <w:t xml:space="preserve"> </w:t>
      </w:r>
      <w:r w:rsidR="001E20C7">
        <w:rPr>
          <w:rFonts w:ascii="Arial" w:hAnsi="Arial" w:cs="Arial"/>
        </w:rPr>
        <w:t>incomparability</w:t>
      </w:r>
      <w:r w:rsidR="00B30CB9" w:rsidRPr="00B30CB9">
        <w:rPr>
          <w:rFonts w:ascii="Arial" w:hAnsi="Arial" w:cs="Arial"/>
        </w:rPr>
        <w:t xml:space="preserve"> of ESG metrics, ratings, and investing approaches </w:t>
      </w:r>
      <w:r w:rsidR="00B30CB9">
        <w:rPr>
          <w:rFonts w:ascii="Arial" w:hAnsi="Arial" w:cs="Arial"/>
        </w:rPr>
        <w:t>also constitutes an issue for inv</w:t>
      </w:r>
      <w:r w:rsidR="00B30CB9" w:rsidRPr="00B30CB9">
        <w:rPr>
          <w:rFonts w:ascii="Arial" w:hAnsi="Arial" w:cs="Arial"/>
        </w:rPr>
        <w:t>estors</w:t>
      </w:r>
      <w:r w:rsidR="00B30CB9">
        <w:rPr>
          <w:rFonts w:ascii="Arial" w:hAnsi="Arial" w:cs="Arial"/>
        </w:rPr>
        <w:t xml:space="preserve"> to address</w:t>
      </w:r>
      <w:r w:rsidR="001E20C7">
        <w:rPr>
          <w:rFonts w:ascii="Arial" w:hAnsi="Arial" w:cs="Arial"/>
        </w:rPr>
        <w:t>, especially on social topics</w:t>
      </w:r>
      <w:r w:rsidR="00B30CB9">
        <w:rPr>
          <w:rFonts w:ascii="Arial" w:hAnsi="Arial" w:cs="Arial"/>
        </w:rPr>
        <w:t>.</w:t>
      </w:r>
    </w:p>
    <w:p w14:paraId="32DB3DAC" w14:textId="5045F27A" w:rsidR="00201C9B" w:rsidRDefault="00201C9B" w:rsidP="00201C9B">
      <w:pPr>
        <w:spacing w:before="100" w:beforeAutospacing="1" w:after="100" w:afterAutospacing="1"/>
        <w:jc w:val="both"/>
        <w:rPr>
          <w:rFonts w:ascii="Arial" w:hAnsi="Arial" w:cs="Arial"/>
        </w:rPr>
      </w:pPr>
      <w:r w:rsidRPr="00201C9B">
        <w:rPr>
          <w:rFonts w:ascii="Arial" w:hAnsi="Arial" w:cs="Arial"/>
        </w:rPr>
        <w:t xml:space="preserve">Corporate and investor led demands are reaffirming </w:t>
      </w:r>
      <w:r w:rsidR="002815AF">
        <w:rPr>
          <w:rFonts w:ascii="Arial" w:hAnsi="Arial" w:cs="Arial"/>
        </w:rPr>
        <w:t>that</w:t>
      </w:r>
      <w:r w:rsidR="002815AF" w:rsidRPr="00201C9B">
        <w:rPr>
          <w:rFonts w:ascii="Arial" w:hAnsi="Arial" w:cs="Arial"/>
        </w:rPr>
        <w:t xml:space="preserve"> </w:t>
      </w:r>
      <w:r w:rsidRPr="00201C9B">
        <w:rPr>
          <w:rFonts w:ascii="Arial" w:hAnsi="Arial" w:cs="Arial"/>
        </w:rPr>
        <w:t xml:space="preserve">disclosures on human rights related impacts are central to </w:t>
      </w:r>
      <w:r w:rsidR="00D3296E">
        <w:rPr>
          <w:rFonts w:ascii="Arial" w:hAnsi="Arial" w:cs="Arial"/>
        </w:rPr>
        <w:t>the way</w:t>
      </w:r>
      <w:r w:rsidR="00D3296E" w:rsidRPr="00201C9B">
        <w:rPr>
          <w:rFonts w:ascii="Arial" w:hAnsi="Arial" w:cs="Arial"/>
        </w:rPr>
        <w:t xml:space="preserve"> </w:t>
      </w:r>
      <w:r w:rsidRPr="00201C9B">
        <w:rPr>
          <w:rFonts w:ascii="Arial" w:hAnsi="Arial" w:cs="Arial"/>
        </w:rPr>
        <w:t xml:space="preserve">companies demonstrate </w:t>
      </w:r>
      <w:r w:rsidR="002815AF">
        <w:rPr>
          <w:rFonts w:ascii="Arial" w:hAnsi="Arial" w:cs="Arial"/>
        </w:rPr>
        <w:t xml:space="preserve">their </w:t>
      </w:r>
      <w:r w:rsidRPr="00201C9B">
        <w:rPr>
          <w:rFonts w:ascii="Arial" w:hAnsi="Arial" w:cs="Arial"/>
        </w:rPr>
        <w:t>accountability. IOSH recognises that attention to fundamental rights are increasingly important policy priorities around the world, particularly following the recognition of a safe and healthy working environment as a fundamental principle and right at work. This is an important reverse in a trend that used to facilitate companies being at an early stage of measuring and reporting on human rights-related matters.</w:t>
      </w:r>
    </w:p>
    <w:p w14:paraId="6C7E500A" w14:textId="77777777" w:rsidR="005F24E0" w:rsidRDefault="005F24E0" w:rsidP="005F24E0">
      <w:pPr>
        <w:numPr>
          <w:ilvl w:val="0"/>
          <w:numId w:val="14"/>
        </w:numPr>
        <w:spacing w:before="100" w:beforeAutospacing="1" w:after="100" w:afterAutospacing="1"/>
        <w:jc w:val="both"/>
        <w:rPr>
          <w:rFonts w:ascii="Arial" w:hAnsi="Arial" w:cs="Arial"/>
          <w:color w:val="0070C0"/>
        </w:rPr>
      </w:pPr>
      <w:r w:rsidRPr="005F24E0">
        <w:rPr>
          <w:rFonts w:ascii="Arial" w:hAnsi="Arial" w:cs="Arial"/>
          <w:color w:val="0070C0"/>
        </w:rPr>
        <w:t>How effective are international instruments, institutions and guidance that promotes HRDD, such as by the UN Global Compact, Equator Principles, Principles of Responsible Investment, Investor Alliance for Human Rights, Business for Social Responsibility and other entities, effective in increasing awareness of human rights impacts among investors and other businesses? Please provide examples of participation, integration, or adherence of investors in these instruments and bodies.</w:t>
      </w:r>
    </w:p>
    <w:p w14:paraId="24C575F0" w14:textId="3BEA0CAE" w:rsidR="00717F46" w:rsidRDefault="00717F46" w:rsidP="003D39D7">
      <w:pPr>
        <w:spacing w:before="100" w:beforeAutospacing="1" w:after="100" w:afterAutospacing="1"/>
        <w:jc w:val="both"/>
        <w:rPr>
          <w:rFonts w:ascii="Arial" w:hAnsi="Arial" w:cs="Arial"/>
        </w:rPr>
      </w:pPr>
      <w:r>
        <w:rPr>
          <w:rFonts w:ascii="Arial" w:hAnsi="Arial" w:cs="Arial"/>
        </w:rPr>
        <w:t>V</w:t>
      </w:r>
      <w:r w:rsidRPr="00717F46">
        <w:rPr>
          <w:rFonts w:ascii="Arial" w:hAnsi="Arial" w:cs="Arial"/>
        </w:rPr>
        <w:t>oluntary initiatives for corporate self-regulation</w:t>
      </w:r>
      <w:r w:rsidR="00F90255">
        <w:rPr>
          <w:rFonts w:ascii="Arial" w:hAnsi="Arial" w:cs="Arial"/>
        </w:rPr>
        <w:t>, such</w:t>
      </w:r>
      <w:r>
        <w:rPr>
          <w:rFonts w:ascii="Arial" w:hAnsi="Arial" w:cs="Arial"/>
        </w:rPr>
        <w:t xml:space="preserve"> as the ones cited </w:t>
      </w:r>
      <w:r w:rsidR="00F90255">
        <w:rPr>
          <w:rFonts w:ascii="Arial" w:hAnsi="Arial" w:cs="Arial"/>
        </w:rPr>
        <w:t>above,</w:t>
      </w:r>
      <w:r>
        <w:rPr>
          <w:rFonts w:ascii="Arial" w:hAnsi="Arial" w:cs="Arial"/>
        </w:rPr>
        <w:t xml:space="preserve"> continue to struggle to address</w:t>
      </w:r>
      <w:r w:rsidRPr="00717F46">
        <w:rPr>
          <w:rFonts w:ascii="Arial" w:hAnsi="Arial" w:cs="Arial"/>
        </w:rPr>
        <w:t xml:space="preserve"> the accountability gap as they </w:t>
      </w:r>
      <w:r>
        <w:rPr>
          <w:rFonts w:ascii="Arial" w:hAnsi="Arial" w:cs="Arial"/>
        </w:rPr>
        <w:t xml:space="preserve">don’t </w:t>
      </w:r>
      <w:r w:rsidR="00F90255">
        <w:rPr>
          <w:rFonts w:ascii="Arial" w:hAnsi="Arial" w:cs="Arial"/>
        </w:rPr>
        <w:t xml:space="preserve">amount to </w:t>
      </w:r>
      <w:r w:rsidRPr="00717F46">
        <w:rPr>
          <w:rFonts w:ascii="Arial" w:hAnsi="Arial" w:cs="Arial"/>
        </w:rPr>
        <w:t>legally binding obligations</w:t>
      </w:r>
      <w:r w:rsidR="00192795">
        <w:rPr>
          <w:rFonts w:ascii="Arial" w:hAnsi="Arial" w:cs="Arial"/>
        </w:rPr>
        <w:t>.</w:t>
      </w:r>
      <w:r w:rsidRPr="00717F46">
        <w:rPr>
          <w:rFonts w:ascii="Arial" w:hAnsi="Arial" w:cs="Arial"/>
        </w:rPr>
        <w:t xml:space="preserve"> </w:t>
      </w:r>
      <w:r>
        <w:rPr>
          <w:rFonts w:ascii="Arial" w:hAnsi="Arial" w:cs="Arial"/>
        </w:rPr>
        <w:t>C</w:t>
      </w:r>
      <w:r w:rsidRPr="00717F46">
        <w:rPr>
          <w:rFonts w:ascii="Arial" w:hAnsi="Arial" w:cs="Arial"/>
        </w:rPr>
        <w:t>ompanies voluntarily committing themselves to respect human rights</w:t>
      </w:r>
      <w:r w:rsidR="002B2376">
        <w:rPr>
          <w:rFonts w:ascii="Arial" w:hAnsi="Arial" w:cs="Arial"/>
        </w:rPr>
        <w:t>, may on the one hand be those companies who are already being proactive (and thus the ones who need to take action do not engage)</w:t>
      </w:r>
      <w:r w:rsidR="00B3686C">
        <w:rPr>
          <w:rFonts w:ascii="Arial" w:hAnsi="Arial" w:cs="Arial"/>
        </w:rPr>
        <w:t xml:space="preserve"> or on the other hand</w:t>
      </w:r>
      <w:r w:rsidRPr="00717F46">
        <w:rPr>
          <w:rFonts w:ascii="Arial" w:hAnsi="Arial" w:cs="Arial"/>
        </w:rPr>
        <w:t xml:space="preserve"> </w:t>
      </w:r>
      <w:r w:rsidR="007D0379">
        <w:rPr>
          <w:rFonts w:ascii="Arial" w:hAnsi="Arial" w:cs="Arial"/>
        </w:rPr>
        <w:t>can be</w:t>
      </w:r>
      <w:r w:rsidRPr="00717F46">
        <w:rPr>
          <w:rFonts w:ascii="Arial" w:hAnsi="Arial" w:cs="Arial"/>
        </w:rPr>
        <w:t xml:space="preserve"> highly selective </w:t>
      </w:r>
      <w:r>
        <w:rPr>
          <w:rFonts w:ascii="Arial" w:hAnsi="Arial" w:cs="Arial"/>
        </w:rPr>
        <w:t>and neglect other indirect risks. On the contrary</w:t>
      </w:r>
      <w:r w:rsidR="007D0379">
        <w:rPr>
          <w:rFonts w:ascii="Arial" w:hAnsi="Arial" w:cs="Arial"/>
        </w:rPr>
        <w:t>,</w:t>
      </w:r>
      <w:r>
        <w:rPr>
          <w:rFonts w:ascii="Arial" w:hAnsi="Arial" w:cs="Arial"/>
        </w:rPr>
        <w:t xml:space="preserve"> they have proven to be valid instruments for educating and raising awareness </w:t>
      </w:r>
      <w:r w:rsidR="00002997">
        <w:rPr>
          <w:rFonts w:ascii="Arial" w:hAnsi="Arial" w:cs="Arial"/>
        </w:rPr>
        <w:t xml:space="preserve">to businesses and capital markets </w:t>
      </w:r>
      <w:r w:rsidR="00A24D69">
        <w:rPr>
          <w:rFonts w:ascii="Arial" w:hAnsi="Arial" w:cs="Arial"/>
        </w:rPr>
        <w:t>on how to improve due diligence on</w:t>
      </w:r>
      <w:r w:rsidR="00A24D69" w:rsidRPr="00A24D69">
        <w:rPr>
          <w:rFonts w:ascii="Arial" w:hAnsi="Arial" w:cs="Arial"/>
        </w:rPr>
        <w:t xml:space="preserve"> corporate human rights accountability</w:t>
      </w:r>
      <w:r w:rsidR="00680D7A">
        <w:rPr>
          <w:rFonts w:ascii="Arial" w:hAnsi="Arial" w:cs="Arial"/>
        </w:rPr>
        <w:t xml:space="preserve">. An </w:t>
      </w:r>
      <w:r w:rsidR="006B31EF">
        <w:rPr>
          <w:rFonts w:ascii="Arial" w:hAnsi="Arial" w:cs="Arial"/>
        </w:rPr>
        <w:t>example</w:t>
      </w:r>
      <w:r w:rsidR="00680D7A">
        <w:rPr>
          <w:rFonts w:ascii="Arial" w:hAnsi="Arial" w:cs="Arial"/>
        </w:rPr>
        <w:t xml:space="preserve"> of this is</w:t>
      </w:r>
      <w:r w:rsidR="006B31EF">
        <w:rPr>
          <w:rFonts w:ascii="Arial" w:hAnsi="Arial" w:cs="Arial"/>
        </w:rPr>
        <w:t xml:space="preserve"> the UN Global Compact </w:t>
      </w:r>
      <w:r w:rsidR="00DF403A">
        <w:rPr>
          <w:rFonts w:ascii="Arial" w:hAnsi="Arial" w:cs="Arial"/>
        </w:rPr>
        <w:t>Business and Human Rights Accelerator</w:t>
      </w:r>
      <w:r w:rsidR="00DC7297">
        <w:rPr>
          <w:rFonts w:ascii="Arial" w:hAnsi="Arial" w:cs="Arial"/>
        </w:rPr>
        <w:t xml:space="preserve"> p</w:t>
      </w:r>
      <w:r w:rsidR="00680D7A">
        <w:rPr>
          <w:rFonts w:ascii="Arial" w:hAnsi="Arial" w:cs="Arial"/>
        </w:rPr>
        <w:t>rogramme which</w:t>
      </w:r>
      <w:r w:rsidR="001805EE">
        <w:rPr>
          <w:rFonts w:ascii="Arial" w:hAnsi="Arial" w:cs="Arial"/>
        </w:rPr>
        <w:t xml:space="preserve">, </w:t>
      </w:r>
      <w:r w:rsidR="00C63B37">
        <w:rPr>
          <w:rFonts w:ascii="Arial" w:hAnsi="Arial" w:cs="Arial"/>
        </w:rPr>
        <w:t>o</w:t>
      </w:r>
      <w:r w:rsidR="001805EE">
        <w:rPr>
          <w:rFonts w:ascii="Arial" w:hAnsi="Arial" w:cs="Arial"/>
        </w:rPr>
        <w:t>ver the course of</w:t>
      </w:r>
      <w:r w:rsidR="00680D7A">
        <w:rPr>
          <w:rFonts w:ascii="Arial" w:hAnsi="Arial" w:cs="Arial"/>
        </w:rPr>
        <w:t xml:space="preserve"> </w:t>
      </w:r>
      <w:r w:rsidR="001805EE">
        <w:rPr>
          <w:rFonts w:ascii="Arial" w:hAnsi="Arial" w:cs="Arial"/>
        </w:rPr>
        <w:t xml:space="preserve">six-month, </w:t>
      </w:r>
      <w:r w:rsidR="00680D7A">
        <w:rPr>
          <w:rFonts w:ascii="Arial" w:hAnsi="Arial" w:cs="Arial"/>
        </w:rPr>
        <w:t>aims to</w:t>
      </w:r>
      <w:r w:rsidR="00680D7A" w:rsidRPr="00680D7A">
        <w:rPr>
          <w:rFonts w:ascii="Arial" w:hAnsi="Arial" w:cs="Arial"/>
        </w:rPr>
        <w:t xml:space="preserve"> help businesses swiftly move from commitment to action on human rights and labour rights through establishing an ongoing human rights due diligence process</w:t>
      </w:r>
      <w:r w:rsidR="00680D7A">
        <w:rPr>
          <w:rFonts w:ascii="Arial" w:hAnsi="Arial" w:cs="Arial"/>
        </w:rPr>
        <w:t>.</w:t>
      </w:r>
      <w:r w:rsidR="00A24D69">
        <w:rPr>
          <w:rFonts w:ascii="Arial" w:hAnsi="Arial" w:cs="Arial"/>
        </w:rPr>
        <w:t xml:space="preserve"> T</w:t>
      </w:r>
      <w:r w:rsidR="00002997" w:rsidRPr="00002997">
        <w:rPr>
          <w:rFonts w:ascii="Arial" w:hAnsi="Arial" w:cs="Arial"/>
        </w:rPr>
        <w:t xml:space="preserve">hey have </w:t>
      </w:r>
      <w:r w:rsidR="00002997">
        <w:rPr>
          <w:rFonts w:ascii="Arial" w:hAnsi="Arial" w:cs="Arial"/>
        </w:rPr>
        <w:t xml:space="preserve">also </w:t>
      </w:r>
      <w:r w:rsidR="00002997" w:rsidRPr="00002997">
        <w:rPr>
          <w:rFonts w:ascii="Arial" w:hAnsi="Arial" w:cs="Arial"/>
        </w:rPr>
        <w:t xml:space="preserve">encouraged the development of national systems for the regulation of corporate human rights conduct through instruments such as </w:t>
      </w:r>
      <w:r w:rsidR="00002997">
        <w:rPr>
          <w:rFonts w:ascii="Arial" w:hAnsi="Arial" w:cs="Arial"/>
        </w:rPr>
        <w:t>NAP on business and human rights.</w:t>
      </w:r>
    </w:p>
    <w:p w14:paraId="49DCD46A" w14:textId="6F342812" w:rsidR="00717F46" w:rsidRDefault="00756FC6" w:rsidP="003D39D7">
      <w:pPr>
        <w:spacing w:before="100" w:beforeAutospacing="1" w:after="100" w:afterAutospacing="1"/>
        <w:jc w:val="both"/>
        <w:rPr>
          <w:rFonts w:ascii="Arial" w:hAnsi="Arial" w:cs="Arial"/>
        </w:rPr>
      </w:pPr>
      <w:r w:rsidRPr="00756FC6">
        <w:rPr>
          <w:rFonts w:ascii="Arial" w:hAnsi="Arial" w:cs="Arial"/>
        </w:rPr>
        <w:t>Evidence</w:t>
      </w:r>
      <w:r w:rsidR="00A43696">
        <w:rPr>
          <w:rFonts w:ascii="Arial" w:hAnsi="Arial" w:cs="Arial"/>
        </w:rPr>
        <w:t xml:space="preserve"> </w:t>
      </w:r>
      <w:r w:rsidRPr="00756FC6">
        <w:rPr>
          <w:rFonts w:ascii="Arial" w:hAnsi="Arial" w:cs="Arial"/>
        </w:rPr>
        <w:t xml:space="preserve">suggests that there </w:t>
      </w:r>
      <w:r w:rsidR="003D39D7" w:rsidRPr="00756FC6">
        <w:rPr>
          <w:rFonts w:ascii="Arial" w:hAnsi="Arial" w:cs="Arial"/>
        </w:rPr>
        <w:t>are</w:t>
      </w:r>
      <w:r w:rsidRPr="00756FC6">
        <w:rPr>
          <w:rFonts w:ascii="Arial" w:hAnsi="Arial" w:cs="Arial"/>
        </w:rPr>
        <w:t xml:space="preserve"> </w:t>
      </w:r>
      <w:r w:rsidR="00A43696">
        <w:rPr>
          <w:rFonts w:ascii="Arial" w:hAnsi="Arial" w:cs="Arial"/>
        </w:rPr>
        <w:t xml:space="preserve">still </w:t>
      </w:r>
      <w:r w:rsidRPr="00756FC6">
        <w:rPr>
          <w:rFonts w:ascii="Arial" w:hAnsi="Arial" w:cs="Arial"/>
        </w:rPr>
        <w:t>low level</w:t>
      </w:r>
      <w:r w:rsidR="00A43696">
        <w:rPr>
          <w:rFonts w:ascii="Arial" w:hAnsi="Arial" w:cs="Arial"/>
        </w:rPr>
        <w:t>s</w:t>
      </w:r>
      <w:r w:rsidRPr="00756FC6">
        <w:rPr>
          <w:rFonts w:ascii="Arial" w:hAnsi="Arial" w:cs="Arial"/>
        </w:rPr>
        <w:t xml:space="preserve"> of voluntary implementation of HRDD by companies in the absence of regulation</w:t>
      </w:r>
      <w:r w:rsidR="001E3960">
        <w:rPr>
          <w:rStyle w:val="FootnoteReference"/>
          <w:rFonts w:ascii="Arial" w:hAnsi="Arial" w:cs="Arial"/>
        </w:rPr>
        <w:footnoteReference w:id="15"/>
      </w:r>
      <w:r w:rsidRPr="00756FC6">
        <w:rPr>
          <w:rFonts w:ascii="Arial" w:hAnsi="Arial" w:cs="Arial"/>
        </w:rPr>
        <w:t>.</w:t>
      </w:r>
      <w:r w:rsidR="00A12DF8">
        <w:rPr>
          <w:rFonts w:ascii="Arial" w:hAnsi="Arial" w:cs="Arial"/>
        </w:rPr>
        <w:t>V</w:t>
      </w:r>
      <w:r>
        <w:rPr>
          <w:rFonts w:ascii="Arial" w:hAnsi="Arial" w:cs="Arial"/>
        </w:rPr>
        <w:t xml:space="preserve">oluntary mechanisms </w:t>
      </w:r>
      <w:r w:rsidR="002F37B6">
        <w:rPr>
          <w:rFonts w:ascii="Arial" w:hAnsi="Arial" w:cs="Arial"/>
        </w:rPr>
        <w:t>provide</w:t>
      </w:r>
      <w:r w:rsidR="002F37B6" w:rsidRPr="002F37B6">
        <w:rPr>
          <w:rFonts w:ascii="Arial" w:hAnsi="Arial" w:cs="Arial"/>
        </w:rPr>
        <w:t xml:space="preserve"> guidance in the absence of legislation</w:t>
      </w:r>
      <w:r w:rsidR="000A7C50">
        <w:rPr>
          <w:rFonts w:ascii="Arial" w:hAnsi="Arial" w:cs="Arial"/>
        </w:rPr>
        <w:t>,</w:t>
      </w:r>
      <w:r w:rsidR="00A43696">
        <w:rPr>
          <w:rFonts w:ascii="Arial" w:hAnsi="Arial" w:cs="Arial"/>
        </w:rPr>
        <w:t xml:space="preserve"> but there is a need for stronger alignment with the </w:t>
      </w:r>
      <w:r w:rsidRPr="00756FC6">
        <w:rPr>
          <w:rFonts w:ascii="Arial" w:hAnsi="Arial" w:cs="Arial"/>
        </w:rPr>
        <w:t>development of legal frameworks that provide clarity to the obligations inherent in HRDD</w:t>
      </w:r>
      <w:r w:rsidR="00A43696">
        <w:rPr>
          <w:rFonts w:ascii="Arial" w:hAnsi="Arial" w:cs="Arial"/>
        </w:rPr>
        <w:t>. This h</w:t>
      </w:r>
      <w:r w:rsidR="00A43696" w:rsidRPr="00A43696">
        <w:rPr>
          <w:rFonts w:ascii="Arial" w:hAnsi="Arial" w:cs="Arial"/>
        </w:rPr>
        <w:t xml:space="preserve">ard and </w:t>
      </w:r>
      <w:r w:rsidR="00A43696">
        <w:rPr>
          <w:rFonts w:ascii="Arial" w:hAnsi="Arial" w:cs="Arial"/>
        </w:rPr>
        <w:t>s</w:t>
      </w:r>
      <w:r w:rsidR="00A43696" w:rsidRPr="00A43696">
        <w:rPr>
          <w:rFonts w:ascii="Arial" w:hAnsi="Arial" w:cs="Arial"/>
        </w:rPr>
        <w:t>oft</w:t>
      </w:r>
      <w:r w:rsidR="00A43696">
        <w:rPr>
          <w:rFonts w:ascii="Arial" w:hAnsi="Arial" w:cs="Arial"/>
        </w:rPr>
        <w:t xml:space="preserve"> l</w:t>
      </w:r>
      <w:r w:rsidR="00A43696" w:rsidRPr="00A43696">
        <w:rPr>
          <w:rFonts w:ascii="Arial" w:hAnsi="Arial" w:cs="Arial"/>
        </w:rPr>
        <w:t>aw</w:t>
      </w:r>
      <w:r w:rsidR="00A43696">
        <w:rPr>
          <w:rFonts w:ascii="Arial" w:hAnsi="Arial" w:cs="Arial"/>
        </w:rPr>
        <w:t xml:space="preserve"> </w:t>
      </w:r>
      <w:r w:rsidR="002F37B6">
        <w:rPr>
          <w:rFonts w:ascii="Arial" w:hAnsi="Arial" w:cs="Arial"/>
        </w:rPr>
        <w:t>combination</w:t>
      </w:r>
      <w:r w:rsidR="002F37B6" w:rsidRPr="00A43696">
        <w:rPr>
          <w:rFonts w:ascii="Arial" w:hAnsi="Arial" w:cs="Arial"/>
        </w:rPr>
        <w:t xml:space="preserve"> </w:t>
      </w:r>
      <w:r w:rsidR="00A43696">
        <w:rPr>
          <w:rFonts w:ascii="Arial" w:hAnsi="Arial" w:cs="Arial"/>
        </w:rPr>
        <w:t>try to bring more p</w:t>
      </w:r>
      <w:r w:rsidR="00A43696" w:rsidRPr="00A43696">
        <w:rPr>
          <w:rFonts w:ascii="Arial" w:hAnsi="Arial" w:cs="Arial"/>
        </w:rPr>
        <w:t xml:space="preserve">olicy </w:t>
      </w:r>
      <w:r w:rsidR="00A43696">
        <w:rPr>
          <w:rFonts w:ascii="Arial" w:hAnsi="Arial" w:cs="Arial"/>
        </w:rPr>
        <w:t>c</w:t>
      </w:r>
      <w:r w:rsidR="00A43696" w:rsidRPr="00A43696">
        <w:rPr>
          <w:rFonts w:ascii="Arial" w:hAnsi="Arial" w:cs="Arial"/>
        </w:rPr>
        <w:t>oherence</w:t>
      </w:r>
      <w:r w:rsidR="00A43696">
        <w:rPr>
          <w:rFonts w:ascii="Arial" w:hAnsi="Arial" w:cs="Arial"/>
        </w:rPr>
        <w:t xml:space="preserve"> into the human rights policy debate.</w:t>
      </w:r>
      <w:r>
        <w:rPr>
          <w:rFonts w:ascii="Arial" w:hAnsi="Arial" w:cs="Arial"/>
        </w:rPr>
        <w:t xml:space="preserve"> </w:t>
      </w:r>
      <w:r w:rsidR="003D39D7">
        <w:rPr>
          <w:rFonts w:ascii="Arial" w:hAnsi="Arial" w:cs="Arial"/>
        </w:rPr>
        <w:t xml:space="preserve">It also strengthens the case </w:t>
      </w:r>
      <w:r w:rsidR="006E23C2">
        <w:rPr>
          <w:rFonts w:ascii="Arial" w:hAnsi="Arial" w:cs="Arial"/>
        </w:rPr>
        <w:t xml:space="preserve">for </w:t>
      </w:r>
      <w:r w:rsidR="003D39D7">
        <w:rPr>
          <w:rFonts w:ascii="Arial" w:hAnsi="Arial" w:cs="Arial"/>
        </w:rPr>
        <w:t>the benefit of a joint framework that combines v</w:t>
      </w:r>
      <w:r w:rsidR="003D39D7" w:rsidRPr="003D39D7">
        <w:rPr>
          <w:rFonts w:ascii="Arial" w:hAnsi="Arial" w:cs="Arial"/>
        </w:rPr>
        <w:t>oluntary business policies and practices</w:t>
      </w:r>
      <w:r w:rsidR="003D39D7">
        <w:rPr>
          <w:rFonts w:ascii="Arial" w:hAnsi="Arial" w:cs="Arial"/>
        </w:rPr>
        <w:t xml:space="preserve">, mandatory </w:t>
      </w:r>
      <w:r w:rsidR="009A0E82">
        <w:rPr>
          <w:rFonts w:ascii="Arial" w:hAnsi="Arial" w:cs="Arial"/>
        </w:rPr>
        <w:t>legislation,</w:t>
      </w:r>
      <w:r w:rsidR="003D39D7">
        <w:rPr>
          <w:rFonts w:ascii="Arial" w:hAnsi="Arial" w:cs="Arial"/>
        </w:rPr>
        <w:t xml:space="preserve"> and</w:t>
      </w:r>
      <w:r w:rsidR="003D39D7" w:rsidRPr="003D39D7">
        <w:rPr>
          <w:rFonts w:ascii="Arial" w:hAnsi="Arial" w:cs="Arial"/>
        </w:rPr>
        <w:t xml:space="preserve"> </w:t>
      </w:r>
      <w:r w:rsidR="003D39D7">
        <w:rPr>
          <w:rFonts w:ascii="Arial" w:hAnsi="Arial" w:cs="Arial"/>
        </w:rPr>
        <w:t>sound</w:t>
      </w:r>
      <w:r w:rsidR="003D39D7" w:rsidRPr="003D39D7">
        <w:rPr>
          <w:rFonts w:ascii="Arial" w:hAnsi="Arial" w:cs="Arial"/>
        </w:rPr>
        <w:t xml:space="preserve"> advocacy </w:t>
      </w:r>
      <w:r w:rsidR="003D39D7">
        <w:rPr>
          <w:rFonts w:ascii="Arial" w:hAnsi="Arial" w:cs="Arial"/>
        </w:rPr>
        <w:t xml:space="preserve">from the </w:t>
      </w:r>
      <w:r w:rsidR="003D39D7" w:rsidRPr="003D39D7">
        <w:rPr>
          <w:rFonts w:ascii="Arial" w:hAnsi="Arial" w:cs="Arial"/>
        </w:rPr>
        <w:t>civil society</w:t>
      </w:r>
      <w:r w:rsidR="006E23C2">
        <w:rPr>
          <w:rFonts w:ascii="Arial" w:hAnsi="Arial" w:cs="Arial"/>
        </w:rPr>
        <w:t xml:space="preserve"> A</w:t>
      </w:r>
      <w:r w:rsidR="003D39D7" w:rsidRPr="003D39D7">
        <w:rPr>
          <w:rFonts w:ascii="Arial" w:hAnsi="Arial" w:cs="Arial"/>
        </w:rPr>
        <w:t>ll three are necessary to prevent and address</w:t>
      </w:r>
      <w:r w:rsidR="003D39D7">
        <w:rPr>
          <w:rFonts w:ascii="Arial" w:hAnsi="Arial" w:cs="Arial"/>
        </w:rPr>
        <w:t xml:space="preserve"> </w:t>
      </w:r>
      <w:r w:rsidR="003D39D7" w:rsidRPr="003D39D7">
        <w:rPr>
          <w:rFonts w:ascii="Arial" w:hAnsi="Arial" w:cs="Arial"/>
        </w:rPr>
        <w:t>global business-related human rights abuses.</w:t>
      </w:r>
    </w:p>
    <w:p w14:paraId="44D181F9" w14:textId="77777777" w:rsidR="005F24E0" w:rsidRDefault="005F24E0" w:rsidP="005F24E0">
      <w:pPr>
        <w:numPr>
          <w:ilvl w:val="0"/>
          <w:numId w:val="14"/>
        </w:numPr>
        <w:spacing w:before="100" w:beforeAutospacing="1" w:after="100" w:afterAutospacing="1"/>
        <w:jc w:val="both"/>
        <w:rPr>
          <w:rFonts w:ascii="Arial" w:hAnsi="Arial" w:cs="Arial"/>
          <w:color w:val="0070C0"/>
        </w:rPr>
      </w:pPr>
      <w:r w:rsidRPr="005F24E0">
        <w:rPr>
          <w:rFonts w:ascii="Arial" w:hAnsi="Arial" w:cs="Arial"/>
          <w:color w:val="0070C0"/>
        </w:rPr>
        <w:t>How should investors integrate human rights considerations throughout the investment process, including when constructing, underwriting, and/or investing in an ESG product or service? How do these steps vary for different asset classes?</w:t>
      </w:r>
    </w:p>
    <w:p w14:paraId="1848CE1E" w14:textId="25501181" w:rsidR="005752D3" w:rsidRDefault="005752D3" w:rsidP="005752D3">
      <w:pPr>
        <w:spacing w:before="100" w:beforeAutospacing="1" w:after="100" w:afterAutospacing="1"/>
        <w:jc w:val="both"/>
        <w:rPr>
          <w:rFonts w:ascii="Arial" w:hAnsi="Arial" w:cs="Arial"/>
        </w:rPr>
      </w:pPr>
      <w:r w:rsidRPr="005752D3">
        <w:rPr>
          <w:rFonts w:ascii="Arial" w:hAnsi="Arial" w:cs="Arial"/>
        </w:rPr>
        <w:t xml:space="preserve">Considering human-rights risks and opportunities </w:t>
      </w:r>
      <w:r>
        <w:rPr>
          <w:rFonts w:ascii="Arial" w:hAnsi="Arial" w:cs="Arial"/>
        </w:rPr>
        <w:t xml:space="preserve">needs to be considered </w:t>
      </w:r>
      <w:r w:rsidRPr="005752D3">
        <w:rPr>
          <w:rFonts w:ascii="Arial" w:hAnsi="Arial" w:cs="Arial"/>
        </w:rPr>
        <w:t xml:space="preserve">as an integral part of </w:t>
      </w:r>
      <w:r>
        <w:rPr>
          <w:rFonts w:ascii="Arial" w:hAnsi="Arial" w:cs="Arial"/>
        </w:rPr>
        <w:t>the</w:t>
      </w:r>
      <w:r w:rsidRPr="005752D3">
        <w:rPr>
          <w:rFonts w:ascii="Arial" w:hAnsi="Arial" w:cs="Arial"/>
        </w:rPr>
        <w:t xml:space="preserve"> investment process.</w:t>
      </w:r>
      <w:r>
        <w:rPr>
          <w:rFonts w:ascii="Arial" w:hAnsi="Arial" w:cs="Arial"/>
        </w:rPr>
        <w:t xml:space="preserve"> </w:t>
      </w:r>
      <w:r w:rsidRPr="005752D3">
        <w:rPr>
          <w:rFonts w:ascii="Arial" w:hAnsi="Arial" w:cs="Arial"/>
        </w:rPr>
        <w:t>Like investee companies, investors are expected to</w:t>
      </w:r>
      <w:r>
        <w:rPr>
          <w:rFonts w:ascii="Arial" w:hAnsi="Arial" w:cs="Arial"/>
        </w:rPr>
        <w:t xml:space="preserve"> </w:t>
      </w:r>
      <w:r w:rsidRPr="005752D3">
        <w:rPr>
          <w:rFonts w:ascii="Arial" w:hAnsi="Arial" w:cs="Arial"/>
        </w:rPr>
        <w:t>track the efficacy of their efforts on an ongoing basis</w:t>
      </w:r>
      <w:r>
        <w:rPr>
          <w:rFonts w:ascii="Arial" w:hAnsi="Arial" w:cs="Arial"/>
        </w:rPr>
        <w:t xml:space="preserve">. </w:t>
      </w:r>
      <w:r w:rsidRPr="005752D3">
        <w:rPr>
          <w:rFonts w:ascii="Arial" w:hAnsi="Arial" w:cs="Arial"/>
        </w:rPr>
        <w:t>Investors should</w:t>
      </w:r>
      <w:r>
        <w:rPr>
          <w:rFonts w:ascii="Arial" w:hAnsi="Arial" w:cs="Arial"/>
        </w:rPr>
        <w:t xml:space="preserve"> </w:t>
      </w:r>
      <w:r w:rsidR="00F92E1C">
        <w:rPr>
          <w:rFonts w:ascii="Arial" w:hAnsi="Arial" w:cs="Arial"/>
        </w:rPr>
        <w:t>continue</w:t>
      </w:r>
      <w:r w:rsidR="00574AFB">
        <w:rPr>
          <w:rFonts w:ascii="Arial" w:hAnsi="Arial" w:cs="Arial"/>
        </w:rPr>
        <w:t xml:space="preserve"> with</w:t>
      </w:r>
      <w:r w:rsidR="00F92E1C">
        <w:rPr>
          <w:rFonts w:ascii="Arial" w:hAnsi="Arial" w:cs="Arial"/>
        </w:rPr>
        <w:t xml:space="preserve"> </w:t>
      </w:r>
      <w:r>
        <w:rPr>
          <w:rFonts w:ascii="Arial" w:hAnsi="Arial" w:cs="Arial"/>
        </w:rPr>
        <w:t xml:space="preserve">their </w:t>
      </w:r>
      <w:r w:rsidRPr="005752D3">
        <w:rPr>
          <w:rFonts w:ascii="Arial" w:hAnsi="Arial" w:cs="Arial"/>
        </w:rPr>
        <w:t>efforts,</w:t>
      </w:r>
      <w:r>
        <w:rPr>
          <w:rFonts w:ascii="Arial" w:hAnsi="Arial" w:cs="Arial"/>
        </w:rPr>
        <w:t xml:space="preserve"> </w:t>
      </w:r>
      <w:r w:rsidRPr="005752D3">
        <w:rPr>
          <w:rFonts w:ascii="Arial" w:hAnsi="Arial" w:cs="Arial"/>
        </w:rPr>
        <w:t>not only at the pre-investment stage, but throughout each</w:t>
      </w:r>
      <w:r>
        <w:rPr>
          <w:rFonts w:ascii="Arial" w:hAnsi="Arial" w:cs="Arial"/>
        </w:rPr>
        <w:t xml:space="preserve"> </w:t>
      </w:r>
      <w:r w:rsidRPr="005752D3">
        <w:rPr>
          <w:rFonts w:ascii="Arial" w:hAnsi="Arial" w:cs="Arial"/>
        </w:rPr>
        <w:t>stage of the investment lifecycle and across their</w:t>
      </w:r>
      <w:r>
        <w:rPr>
          <w:rFonts w:ascii="Arial" w:hAnsi="Arial" w:cs="Arial"/>
        </w:rPr>
        <w:t xml:space="preserve"> </w:t>
      </w:r>
      <w:r w:rsidRPr="005752D3">
        <w:rPr>
          <w:rFonts w:ascii="Arial" w:hAnsi="Arial" w:cs="Arial"/>
        </w:rPr>
        <w:t>full investment portfolios.</w:t>
      </w:r>
      <w:r>
        <w:rPr>
          <w:rFonts w:ascii="Arial" w:hAnsi="Arial" w:cs="Arial"/>
        </w:rPr>
        <w:t xml:space="preserve"> Human rights provisions need to cover the </w:t>
      </w:r>
      <w:r w:rsidRPr="005752D3">
        <w:rPr>
          <w:rFonts w:ascii="Arial" w:hAnsi="Arial" w:cs="Arial"/>
        </w:rPr>
        <w:t>full investment</w:t>
      </w:r>
      <w:r>
        <w:rPr>
          <w:rFonts w:ascii="Arial" w:hAnsi="Arial" w:cs="Arial"/>
        </w:rPr>
        <w:t xml:space="preserve"> </w:t>
      </w:r>
      <w:r w:rsidRPr="005752D3">
        <w:rPr>
          <w:rFonts w:ascii="Arial" w:hAnsi="Arial" w:cs="Arial"/>
        </w:rPr>
        <w:t>lifecycle</w:t>
      </w:r>
      <w:r>
        <w:rPr>
          <w:rFonts w:ascii="Arial" w:hAnsi="Arial" w:cs="Arial"/>
        </w:rPr>
        <w:t xml:space="preserve"> (</w:t>
      </w:r>
      <w:r w:rsidR="00574AFB">
        <w:rPr>
          <w:rFonts w:ascii="Arial" w:hAnsi="Arial" w:cs="Arial"/>
        </w:rPr>
        <w:t xml:space="preserve">i.e., </w:t>
      </w:r>
      <w:r>
        <w:rPr>
          <w:rFonts w:ascii="Arial" w:hAnsi="Arial" w:cs="Arial"/>
        </w:rPr>
        <w:t xml:space="preserve">the </w:t>
      </w:r>
      <w:r w:rsidRPr="005752D3">
        <w:rPr>
          <w:rFonts w:ascii="Arial" w:hAnsi="Arial" w:cs="Arial"/>
        </w:rPr>
        <w:t xml:space="preserve">design, approval, </w:t>
      </w:r>
      <w:r w:rsidR="009A0E82" w:rsidRPr="005752D3">
        <w:rPr>
          <w:rFonts w:ascii="Arial" w:hAnsi="Arial" w:cs="Arial"/>
        </w:rPr>
        <w:t>financing,</w:t>
      </w:r>
      <w:r w:rsidRPr="005752D3">
        <w:rPr>
          <w:rFonts w:ascii="Arial" w:hAnsi="Arial" w:cs="Arial"/>
        </w:rPr>
        <w:t xml:space="preserve"> and implementation of an</w:t>
      </w:r>
      <w:r>
        <w:rPr>
          <w:rFonts w:ascii="Arial" w:hAnsi="Arial" w:cs="Arial"/>
        </w:rPr>
        <w:t xml:space="preserve"> investment)</w:t>
      </w:r>
      <w:r w:rsidRPr="005752D3">
        <w:rPr>
          <w:rFonts w:ascii="Arial" w:hAnsi="Arial" w:cs="Arial"/>
        </w:rPr>
        <w:t>. A good example of responsible practices can be seen in the integration of different</w:t>
      </w:r>
      <w:r>
        <w:rPr>
          <w:rFonts w:ascii="Arial" w:hAnsi="Arial" w:cs="Arial"/>
        </w:rPr>
        <w:t xml:space="preserve"> </w:t>
      </w:r>
      <w:r w:rsidRPr="005752D3">
        <w:rPr>
          <w:rFonts w:ascii="Arial" w:hAnsi="Arial" w:cs="Arial"/>
        </w:rPr>
        <w:t>elements of social regulatory frameworks as part of the negotiation of licensing standards (e.g.,</w:t>
      </w:r>
      <w:r>
        <w:rPr>
          <w:rFonts w:ascii="Arial" w:hAnsi="Arial" w:cs="Arial"/>
        </w:rPr>
        <w:t xml:space="preserve"> </w:t>
      </w:r>
      <w:r w:rsidRPr="005752D3">
        <w:rPr>
          <w:rFonts w:ascii="Arial" w:hAnsi="Arial" w:cs="Arial"/>
        </w:rPr>
        <w:t>labour and OSH impact assessment). To this extent</w:t>
      </w:r>
      <w:r w:rsidR="00574AFB">
        <w:rPr>
          <w:rFonts w:ascii="Arial" w:hAnsi="Arial" w:cs="Arial"/>
        </w:rPr>
        <w:t>,</w:t>
      </w:r>
      <w:r w:rsidRPr="005752D3">
        <w:rPr>
          <w:rFonts w:ascii="Arial" w:hAnsi="Arial" w:cs="Arial"/>
        </w:rPr>
        <w:t xml:space="preserve"> more </w:t>
      </w:r>
      <w:r>
        <w:rPr>
          <w:rFonts w:ascii="Arial" w:hAnsi="Arial" w:cs="Arial"/>
        </w:rPr>
        <w:t>investors</w:t>
      </w:r>
      <w:r w:rsidRPr="005752D3">
        <w:rPr>
          <w:rFonts w:ascii="Arial" w:hAnsi="Arial" w:cs="Arial"/>
        </w:rPr>
        <w:t xml:space="preserve"> should incorporate </w:t>
      </w:r>
      <w:r>
        <w:rPr>
          <w:rFonts w:ascii="Arial" w:hAnsi="Arial" w:cs="Arial"/>
        </w:rPr>
        <w:t xml:space="preserve">legal duties </w:t>
      </w:r>
      <w:r w:rsidRPr="005752D3">
        <w:rPr>
          <w:rFonts w:ascii="Arial" w:hAnsi="Arial" w:cs="Arial"/>
        </w:rPr>
        <w:t xml:space="preserve">to produce </w:t>
      </w:r>
      <w:r>
        <w:rPr>
          <w:rFonts w:ascii="Arial" w:hAnsi="Arial" w:cs="Arial"/>
        </w:rPr>
        <w:t xml:space="preserve">detailed human rights </w:t>
      </w:r>
      <w:r w:rsidRPr="005752D3">
        <w:rPr>
          <w:rFonts w:ascii="Arial" w:hAnsi="Arial" w:cs="Arial"/>
        </w:rPr>
        <w:t xml:space="preserve">impact assessments </w:t>
      </w:r>
      <w:r>
        <w:rPr>
          <w:rFonts w:ascii="Arial" w:hAnsi="Arial" w:cs="Arial"/>
        </w:rPr>
        <w:t>as part of an investment</w:t>
      </w:r>
      <w:r w:rsidRPr="005752D3">
        <w:rPr>
          <w:rFonts w:ascii="Arial" w:hAnsi="Arial" w:cs="Arial"/>
        </w:rPr>
        <w:t xml:space="preserve"> approval proces</w:t>
      </w:r>
      <w:r>
        <w:rPr>
          <w:rFonts w:ascii="Arial" w:hAnsi="Arial" w:cs="Arial"/>
        </w:rPr>
        <w:t xml:space="preserve">s. </w:t>
      </w:r>
      <w:r w:rsidRPr="005752D3">
        <w:rPr>
          <w:rFonts w:ascii="Arial" w:hAnsi="Arial" w:cs="Arial"/>
        </w:rPr>
        <w:t>Another avenue is for human rights clauses to be firmly embedded into implementation plans for</w:t>
      </w:r>
      <w:r>
        <w:rPr>
          <w:rFonts w:ascii="Arial" w:hAnsi="Arial" w:cs="Arial"/>
        </w:rPr>
        <w:t xml:space="preserve"> </w:t>
      </w:r>
      <w:r w:rsidRPr="005752D3">
        <w:rPr>
          <w:rFonts w:ascii="Arial" w:hAnsi="Arial" w:cs="Arial"/>
        </w:rPr>
        <w:t>net-zero emission and energy transition programs</w:t>
      </w:r>
      <w:r>
        <w:rPr>
          <w:rFonts w:ascii="Arial" w:hAnsi="Arial" w:cs="Arial"/>
        </w:rPr>
        <w:t>.</w:t>
      </w:r>
    </w:p>
    <w:p w14:paraId="3C94307D" w14:textId="3494A2CC" w:rsidR="00C1299E" w:rsidRDefault="00C1299E" w:rsidP="00C1299E">
      <w:pPr>
        <w:spacing w:before="100" w:beforeAutospacing="1" w:after="100" w:afterAutospacing="1"/>
        <w:jc w:val="both"/>
        <w:rPr>
          <w:rFonts w:ascii="Arial" w:hAnsi="Arial" w:cs="Arial"/>
          <w:color w:val="000000"/>
          <w:shd w:val="clear" w:color="auto" w:fill="FFFFFF"/>
        </w:rPr>
      </w:pPr>
      <w:r>
        <w:rPr>
          <w:rFonts w:ascii="Arial" w:hAnsi="Arial" w:cs="Arial"/>
        </w:rPr>
        <w:t xml:space="preserve">Some institutional investors could consider applying </w:t>
      </w:r>
      <w:r w:rsidRPr="00BA7E66">
        <w:rPr>
          <w:rFonts w:ascii="Arial" w:hAnsi="Arial" w:cs="Arial"/>
        </w:rPr>
        <w:t>market capitalisation and value losses</w:t>
      </w:r>
      <w:r>
        <w:rPr>
          <w:rFonts w:ascii="Arial" w:hAnsi="Arial" w:cs="Arial"/>
        </w:rPr>
        <w:t>/gains strategies for ESG factors to be included in financial operations. Other mechanisms relate to i</w:t>
      </w:r>
      <w:r w:rsidRPr="00BA7E66">
        <w:rPr>
          <w:rFonts w:ascii="Arial" w:hAnsi="Arial" w:cs="Arial"/>
        </w:rPr>
        <w:t xml:space="preserve">ncentivising </w:t>
      </w:r>
      <w:r>
        <w:rPr>
          <w:rFonts w:ascii="Arial" w:hAnsi="Arial" w:cs="Arial"/>
        </w:rPr>
        <w:t>v</w:t>
      </w:r>
      <w:r w:rsidRPr="00BA7E66">
        <w:rPr>
          <w:rFonts w:ascii="Arial" w:hAnsi="Arial" w:cs="Arial"/>
        </w:rPr>
        <w:t>enture capital firms to better manag</w:t>
      </w:r>
      <w:r>
        <w:rPr>
          <w:rFonts w:ascii="Arial" w:hAnsi="Arial" w:cs="Arial"/>
        </w:rPr>
        <w:t xml:space="preserve">e human rights </w:t>
      </w:r>
      <w:r w:rsidRPr="00BA7E66">
        <w:rPr>
          <w:rFonts w:ascii="Arial" w:hAnsi="Arial" w:cs="Arial"/>
        </w:rPr>
        <w:t xml:space="preserve">risks </w:t>
      </w:r>
      <w:r>
        <w:rPr>
          <w:rFonts w:ascii="Arial" w:hAnsi="Arial" w:cs="Arial"/>
        </w:rPr>
        <w:t>by</w:t>
      </w:r>
      <w:r w:rsidRPr="00BA7E66">
        <w:rPr>
          <w:rFonts w:ascii="Arial" w:hAnsi="Arial" w:cs="Arial"/>
        </w:rPr>
        <w:t xml:space="preserve"> mitigating risks earlier in the investment process</w:t>
      </w:r>
      <w:r>
        <w:rPr>
          <w:rFonts w:ascii="Arial" w:hAnsi="Arial" w:cs="Arial"/>
        </w:rPr>
        <w:t xml:space="preserve">. </w:t>
      </w:r>
      <w:r>
        <w:rPr>
          <w:rFonts w:ascii="Arial" w:hAnsi="Arial" w:cs="Arial"/>
          <w:color w:val="000000"/>
          <w:shd w:val="clear" w:color="auto" w:fill="FFFFFF"/>
        </w:rPr>
        <w:t xml:space="preserve">Investors </w:t>
      </w:r>
      <w:r w:rsidR="008C7BCA">
        <w:rPr>
          <w:rFonts w:ascii="Arial" w:hAnsi="Arial" w:cs="Arial"/>
          <w:color w:val="000000"/>
          <w:shd w:val="clear" w:color="auto" w:fill="FFFFFF"/>
        </w:rPr>
        <w:t>can also</w:t>
      </w:r>
      <w:r>
        <w:rPr>
          <w:rFonts w:ascii="Arial" w:hAnsi="Arial" w:cs="Arial"/>
          <w:color w:val="000000"/>
          <w:shd w:val="clear" w:color="auto" w:fill="FFFFFF"/>
        </w:rPr>
        <w:t xml:space="preserve"> link pay to human rights performance to provide CEOs with incentives to improve social sustainability. Investment-related decision-making can be driven by </w:t>
      </w:r>
      <w:r w:rsidRPr="008E6D0C">
        <w:rPr>
          <w:rFonts w:ascii="Arial" w:hAnsi="Arial" w:cs="Arial"/>
          <w:color w:val="000000"/>
          <w:shd w:val="clear" w:color="auto" w:fill="FFFFFF"/>
        </w:rPr>
        <w:t xml:space="preserve">international agreements and initiatives, such as the UN </w:t>
      </w:r>
      <w:r w:rsidR="0021205D">
        <w:rPr>
          <w:rFonts w:ascii="Arial" w:hAnsi="Arial" w:cs="Arial"/>
          <w:color w:val="000000"/>
          <w:shd w:val="clear" w:color="auto" w:fill="FFFFFF"/>
        </w:rPr>
        <w:t xml:space="preserve">Principles </w:t>
      </w:r>
      <w:r w:rsidR="006B20C2">
        <w:rPr>
          <w:rFonts w:ascii="Arial" w:hAnsi="Arial" w:cs="Arial"/>
          <w:color w:val="000000"/>
          <w:shd w:val="clear" w:color="auto" w:fill="FFFFFF"/>
        </w:rPr>
        <w:t xml:space="preserve">for Responsible Investment </w:t>
      </w:r>
      <w:r w:rsidR="0021205D">
        <w:rPr>
          <w:rFonts w:ascii="Arial" w:hAnsi="Arial" w:cs="Arial"/>
          <w:color w:val="000000"/>
          <w:shd w:val="clear" w:color="auto" w:fill="FFFFFF"/>
        </w:rPr>
        <w:t>(</w:t>
      </w:r>
      <w:r w:rsidRPr="008E6D0C">
        <w:rPr>
          <w:rFonts w:ascii="Arial" w:hAnsi="Arial" w:cs="Arial"/>
          <w:color w:val="000000"/>
          <w:shd w:val="clear" w:color="auto" w:fill="FFFFFF"/>
        </w:rPr>
        <w:t>PRI</w:t>
      </w:r>
      <w:r w:rsidR="006B20C2">
        <w:rPr>
          <w:rFonts w:ascii="Arial" w:hAnsi="Arial" w:cs="Arial"/>
          <w:color w:val="000000"/>
          <w:shd w:val="clear" w:color="auto" w:fill="FFFFFF"/>
        </w:rPr>
        <w:t>)</w:t>
      </w:r>
      <w:r>
        <w:rPr>
          <w:rFonts w:ascii="Arial" w:hAnsi="Arial" w:cs="Arial"/>
          <w:color w:val="000000"/>
          <w:shd w:val="clear" w:color="auto" w:fill="FFFFFF"/>
        </w:rPr>
        <w:t xml:space="preserve"> or the requirement to engage with UN PRI signatories, OECD Guidelines</w:t>
      </w:r>
      <w:r w:rsidRPr="008E6D0C">
        <w:rPr>
          <w:rFonts w:ascii="Arial" w:hAnsi="Arial" w:cs="Arial"/>
          <w:color w:val="000000"/>
          <w:shd w:val="clear" w:color="auto" w:fill="FFFFFF"/>
        </w:rPr>
        <w:t xml:space="preserve"> or the Paris Agreement on Climate Action (Paris Agreement).  </w:t>
      </w:r>
    </w:p>
    <w:p w14:paraId="635CB3DD" w14:textId="77777777" w:rsidR="005F24E0" w:rsidRDefault="005F24E0" w:rsidP="005F24E0">
      <w:pPr>
        <w:numPr>
          <w:ilvl w:val="0"/>
          <w:numId w:val="14"/>
        </w:numPr>
        <w:spacing w:before="100" w:beforeAutospacing="1" w:after="100" w:afterAutospacing="1"/>
        <w:jc w:val="both"/>
        <w:rPr>
          <w:rFonts w:ascii="Arial" w:hAnsi="Arial" w:cs="Arial"/>
          <w:color w:val="0070C0"/>
        </w:rPr>
      </w:pPr>
      <w:r w:rsidRPr="005F24E0">
        <w:rPr>
          <w:rFonts w:ascii="Arial" w:hAnsi="Arial" w:cs="Arial"/>
          <w:color w:val="0070C0"/>
        </w:rPr>
        <w:t>What does appropriate investor action entail in the event that a client or portfolio company causes or contributes to a potential or actual adverse human rights impact?</w:t>
      </w:r>
    </w:p>
    <w:p w14:paraId="01A203FF" w14:textId="454E8D31" w:rsidR="00C1299E" w:rsidRDefault="004B48F9" w:rsidP="00C1299E">
      <w:pPr>
        <w:spacing w:before="100" w:beforeAutospacing="1" w:after="100" w:afterAutospacing="1"/>
        <w:jc w:val="both"/>
        <w:rPr>
          <w:rFonts w:ascii="Arial" w:hAnsi="Arial" w:cs="Arial"/>
        </w:rPr>
      </w:pPr>
      <w:r w:rsidRPr="004B48F9">
        <w:rPr>
          <w:rFonts w:ascii="Arial" w:hAnsi="Arial" w:cs="Arial"/>
        </w:rPr>
        <w:t xml:space="preserve">Divestment is used to improve a company’s overall value by shedding inefficient assets due to financial, legal, political or sustainability pressures. </w:t>
      </w:r>
      <w:r w:rsidR="00632A3A">
        <w:rPr>
          <w:rFonts w:ascii="Arial" w:hAnsi="Arial" w:cs="Arial"/>
        </w:rPr>
        <w:t>This practice can be carried out surgically by reducing the investment from s</w:t>
      </w:r>
      <w:r w:rsidRPr="004B48F9">
        <w:rPr>
          <w:rFonts w:ascii="Arial" w:hAnsi="Arial" w:cs="Arial"/>
        </w:rPr>
        <w:t>tock</w:t>
      </w:r>
      <w:r w:rsidR="00F77F10">
        <w:rPr>
          <w:rFonts w:ascii="Arial" w:hAnsi="Arial" w:cs="Arial"/>
        </w:rPr>
        <w:t>s</w:t>
      </w:r>
      <w:r w:rsidRPr="004B48F9">
        <w:rPr>
          <w:rFonts w:ascii="Arial" w:hAnsi="Arial" w:cs="Arial"/>
        </w:rPr>
        <w:t xml:space="preserve"> and shares, </w:t>
      </w:r>
      <w:r w:rsidR="00632A3A">
        <w:rPr>
          <w:rFonts w:ascii="Arial" w:hAnsi="Arial" w:cs="Arial"/>
        </w:rPr>
        <w:t xml:space="preserve">or by focusing on </w:t>
      </w:r>
      <w:r w:rsidRPr="004B48F9">
        <w:rPr>
          <w:rFonts w:ascii="Arial" w:hAnsi="Arial" w:cs="Arial"/>
        </w:rPr>
        <w:t xml:space="preserve">subsidiaries, business departments, real </w:t>
      </w:r>
      <w:r w:rsidR="009A0E82" w:rsidRPr="004B48F9">
        <w:rPr>
          <w:rFonts w:ascii="Arial" w:hAnsi="Arial" w:cs="Arial"/>
        </w:rPr>
        <w:t>estate,</w:t>
      </w:r>
      <w:r w:rsidRPr="004B48F9">
        <w:rPr>
          <w:rFonts w:ascii="Arial" w:hAnsi="Arial" w:cs="Arial"/>
        </w:rPr>
        <w:t xml:space="preserve"> or commercial properties</w:t>
      </w:r>
      <w:r>
        <w:rPr>
          <w:rFonts w:ascii="Arial" w:hAnsi="Arial" w:cs="Arial"/>
        </w:rPr>
        <w:t>.</w:t>
      </w:r>
      <w:r w:rsidR="00C1299E">
        <w:rPr>
          <w:rFonts w:ascii="Arial" w:hAnsi="Arial" w:cs="Arial"/>
        </w:rPr>
        <w:t xml:space="preserve"> </w:t>
      </w:r>
      <w:r w:rsidR="00C1299E">
        <w:rPr>
          <w:rFonts w:ascii="Arial" w:hAnsi="Arial" w:cs="Arial"/>
          <w:color w:val="000000"/>
          <w:shd w:val="clear" w:color="auto" w:fill="FFFFFF"/>
        </w:rPr>
        <w:t>Socially responsible divestment can facilitate blanket exclusion for those sectors that have the highest ESG risk (</w:t>
      </w:r>
      <w:r w:rsidR="00BE03D7">
        <w:rPr>
          <w:rFonts w:ascii="Arial" w:hAnsi="Arial" w:cs="Arial"/>
          <w:color w:val="000000"/>
          <w:shd w:val="clear" w:color="auto" w:fill="FFFFFF"/>
        </w:rPr>
        <w:t xml:space="preserve">i.e., </w:t>
      </w:r>
      <w:r w:rsidR="00C1299E">
        <w:rPr>
          <w:rFonts w:ascii="Arial" w:hAnsi="Arial" w:cs="Arial"/>
          <w:color w:val="000000"/>
          <w:shd w:val="clear" w:color="auto" w:fill="FFFFFF"/>
        </w:rPr>
        <w:t>mining and energy intensive sectors such as electricity, heat, gas) or that can cause negative impacts on the environment, workforce and so on. In practice, divestment approaches can negatively impact on a company capital or impede its scale</w:t>
      </w:r>
      <w:r w:rsidR="00BE03D7">
        <w:rPr>
          <w:rFonts w:ascii="Arial" w:hAnsi="Arial" w:cs="Arial"/>
          <w:color w:val="000000"/>
          <w:shd w:val="clear" w:color="auto" w:fill="FFFFFF"/>
        </w:rPr>
        <w:t>-</w:t>
      </w:r>
      <w:r w:rsidR="00C1299E">
        <w:rPr>
          <w:rFonts w:ascii="Arial" w:hAnsi="Arial" w:cs="Arial"/>
          <w:color w:val="000000"/>
          <w:shd w:val="clear" w:color="auto" w:fill="FFFFFF"/>
        </w:rPr>
        <w:t>up plans. This provides no incentives for such companies to implement corrective actions</w:t>
      </w:r>
      <w:r w:rsidR="00C1299E">
        <w:rPr>
          <w:rStyle w:val="FootnoteReference"/>
          <w:rFonts w:ascii="Arial" w:hAnsi="Arial" w:cs="Arial"/>
          <w:color w:val="000000"/>
          <w:shd w:val="clear" w:color="auto" w:fill="FFFFFF"/>
        </w:rPr>
        <w:footnoteReference w:id="16"/>
      </w:r>
      <w:r w:rsidR="00C1299E">
        <w:rPr>
          <w:rFonts w:ascii="Arial" w:hAnsi="Arial" w:cs="Arial"/>
          <w:color w:val="000000"/>
          <w:shd w:val="clear" w:color="auto" w:fill="FFFFFF"/>
        </w:rPr>
        <w:t xml:space="preserve"> </w:t>
      </w:r>
      <w:r w:rsidR="00C1299E">
        <w:rPr>
          <w:rStyle w:val="FootnoteReference"/>
          <w:rFonts w:ascii="Arial" w:hAnsi="Arial" w:cs="Arial"/>
          <w:color w:val="000000"/>
          <w:shd w:val="clear" w:color="auto" w:fill="FFFFFF"/>
        </w:rPr>
        <w:footnoteReference w:id="17"/>
      </w:r>
      <w:r w:rsidR="00C1299E">
        <w:rPr>
          <w:rFonts w:ascii="Arial" w:hAnsi="Arial" w:cs="Arial"/>
          <w:color w:val="000000"/>
          <w:shd w:val="clear" w:color="auto" w:fill="FFFFFF"/>
        </w:rPr>
        <w:t>.</w:t>
      </w:r>
    </w:p>
    <w:p w14:paraId="5266D38D" w14:textId="037ADBAA" w:rsidR="005F24E0" w:rsidRDefault="005F24E0" w:rsidP="005F24E0">
      <w:pPr>
        <w:numPr>
          <w:ilvl w:val="0"/>
          <w:numId w:val="14"/>
        </w:numPr>
        <w:spacing w:before="100" w:beforeAutospacing="1" w:after="100" w:afterAutospacing="1"/>
        <w:jc w:val="both"/>
        <w:rPr>
          <w:rFonts w:ascii="Arial" w:hAnsi="Arial" w:cs="Arial"/>
          <w:color w:val="0070C0"/>
        </w:rPr>
      </w:pPr>
      <w:r w:rsidRPr="005F24E0">
        <w:rPr>
          <w:rFonts w:ascii="Arial" w:hAnsi="Arial" w:cs="Arial"/>
          <w:color w:val="0070C0"/>
        </w:rPr>
        <w:t xml:space="preserve">What provisions can be included in contracts or investment agreements to encourage respect for human rights? </w:t>
      </w:r>
    </w:p>
    <w:p w14:paraId="25D85534" w14:textId="500A9132" w:rsidR="00717F46" w:rsidRDefault="00717F46" w:rsidP="00717F46">
      <w:pPr>
        <w:spacing w:before="100" w:beforeAutospacing="1" w:after="100" w:afterAutospacing="1"/>
        <w:jc w:val="both"/>
        <w:rPr>
          <w:rFonts w:ascii="Arial" w:hAnsi="Arial" w:cs="Arial"/>
        </w:rPr>
      </w:pPr>
      <w:r>
        <w:rPr>
          <w:rFonts w:ascii="Arial" w:hAnsi="Arial" w:cs="Arial"/>
        </w:rPr>
        <w:t xml:space="preserve">We recommend that contractual, trade and investment agreements need to include </w:t>
      </w:r>
      <w:r w:rsidRPr="00717F46">
        <w:rPr>
          <w:rFonts w:ascii="Arial" w:hAnsi="Arial" w:cs="Arial"/>
        </w:rPr>
        <w:t xml:space="preserve">the impairment of people’s </w:t>
      </w:r>
      <w:r>
        <w:rPr>
          <w:rFonts w:ascii="Arial" w:hAnsi="Arial" w:cs="Arial"/>
        </w:rPr>
        <w:t xml:space="preserve">occupational safety and </w:t>
      </w:r>
      <w:r w:rsidRPr="00717F46">
        <w:rPr>
          <w:rFonts w:ascii="Arial" w:hAnsi="Arial" w:cs="Arial"/>
        </w:rPr>
        <w:t xml:space="preserve">health due to </w:t>
      </w:r>
      <w:r>
        <w:rPr>
          <w:rFonts w:ascii="Arial" w:hAnsi="Arial" w:cs="Arial"/>
        </w:rPr>
        <w:t>poor working environments or wor</w:t>
      </w:r>
      <w:r w:rsidRPr="00717F46">
        <w:rPr>
          <w:rFonts w:ascii="Arial" w:hAnsi="Arial" w:cs="Arial"/>
        </w:rPr>
        <w:t xml:space="preserve">king conditions, discrimination and sexual harassment at the workplace, </w:t>
      </w:r>
      <w:r>
        <w:rPr>
          <w:rFonts w:ascii="Arial" w:hAnsi="Arial" w:cs="Arial"/>
        </w:rPr>
        <w:t xml:space="preserve">modern slavery, </w:t>
      </w:r>
      <w:r w:rsidRPr="00717F46">
        <w:rPr>
          <w:rFonts w:ascii="Arial" w:hAnsi="Arial" w:cs="Arial"/>
        </w:rPr>
        <w:t>bonded labo</w:t>
      </w:r>
      <w:r>
        <w:rPr>
          <w:rFonts w:ascii="Arial" w:hAnsi="Arial" w:cs="Arial"/>
        </w:rPr>
        <w:t>u</w:t>
      </w:r>
      <w:r w:rsidRPr="00717F46">
        <w:rPr>
          <w:rFonts w:ascii="Arial" w:hAnsi="Arial" w:cs="Arial"/>
        </w:rPr>
        <w:t>r, and child labo</w:t>
      </w:r>
      <w:r>
        <w:rPr>
          <w:rFonts w:ascii="Arial" w:hAnsi="Arial" w:cs="Arial"/>
        </w:rPr>
        <w:t>ur.</w:t>
      </w:r>
    </w:p>
    <w:p w14:paraId="4DCE9B2B" w14:textId="77777777" w:rsidR="005F24E0" w:rsidRDefault="005F24E0" w:rsidP="005F24E0">
      <w:pPr>
        <w:numPr>
          <w:ilvl w:val="0"/>
          <w:numId w:val="14"/>
        </w:numPr>
        <w:spacing w:before="100" w:beforeAutospacing="1" w:after="100" w:afterAutospacing="1"/>
        <w:jc w:val="both"/>
        <w:rPr>
          <w:rFonts w:ascii="Arial" w:hAnsi="Arial" w:cs="Arial"/>
          <w:color w:val="0070C0"/>
        </w:rPr>
      </w:pPr>
      <w:r w:rsidRPr="005F24E0">
        <w:rPr>
          <w:rFonts w:ascii="Arial" w:hAnsi="Arial" w:cs="Arial"/>
          <w:color w:val="0070C0"/>
        </w:rPr>
        <w:t>In what circumstances should investors refrain from making ESG-related investments in view of potential risks of adverse human rights impacts?</w:t>
      </w:r>
    </w:p>
    <w:p w14:paraId="53D06F43" w14:textId="02213D65" w:rsidR="00E21E83" w:rsidRDefault="00E21E83" w:rsidP="00D73D3D">
      <w:pPr>
        <w:jc w:val="both"/>
        <w:rPr>
          <w:rFonts w:ascii="Arial" w:hAnsi="Arial" w:cs="Arial"/>
        </w:rPr>
      </w:pPr>
      <w:r w:rsidRPr="00D73D3D">
        <w:rPr>
          <w:rFonts w:ascii="Arial" w:hAnsi="Arial" w:cs="Arial"/>
        </w:rPr>
        <w:t>We believe that standard-setting organisations need to assume ownership by leading on the integration of disclosure of human rights issues in the context of the energy transition and net zero programmes</w:t>
      </w:r>
      <w:r w:rsidR="00602DB9">
        <w:rPr>
          <w:rFonts w:ascii="Arial" w:hAnsi="Arial" w:cs="Arial"/>
        </w:rPr>
        <w:t>,</w:t>
      </w:r>
      <w:r w:rsidRPr="00D73D3D">
        <w:rPr>
          <w:rFonts w:ascii="Arial" w:hAnsi="Arial" w:cs="Arial"/>
        </w:rPr>
        <w:t xml:space="preserve"> given its multi-faceted impacts. </w:t>
      </w:r>
      <w:r w:rsidR="00FE49B8">
        <w:rPr>
          <w:rFonts w:ascii="Arial" w:hAnsi="Arial" w:cs="Arial"/>
        </w:rPr>
        <w:t xml:space="preserve">The </w:t>
      </w:r>
      <w:r w:rsidR="00FE49B8" w:rsidRPr="00FE49B8">
        <w:rPr>
          <w:rFonts w:ascii="Arial" w:hAnsi="Arial" w:cs="Arial"/>
        </w:rPr>
        <w:t>transition to a more resilient, prosperous</w:t>
      </w:r>
      <w:r w:rsidR="00FE49B8">
        <w:rPr>
          <w:rFonts w:ascii="Arial" w:hAnsi="Arial" w:cs="Arial"/>
        </w:rPr>
        <w:t>, greener</w:t>
      </w:r>
      <w:r w:rsidR="00FE49B8" w:rsidRPr="00FE49B8">
        <w:rPr>
          <w:rFonts w:ascii="Arial" w:hAnsi="Arial" w:cs="Arial"/>
        </w:rPr>
        <w:t xml:space="preserve"> and sustainable economy</w:t>
      </w:r>
      <w:r w:rsidR="00FE49B8">
        <w:rPr>
          <w:rFonts w:ascii="Arial" w:hAnsi="Arial" w:cs="Arial"/>
        </w:rPr>
        <w:t xml:space="preserve"> is incr</w:t>
      </w:r>
      <w:r w:rsidRPr="00D73D3D">
        <w:rPr>
          <w:rFonts w:ascii="Arial" w:hAnsi="Arial" w:cs="Arial"/>
        </w:rPr>
        <w:t>easingly becom</w:t>
      </w:r>
      <w:r w:rsidR="00FE49B8">
        <w:rPr>
          <w:rFonts w:ascii="Arial" w:hAnsi="Arial" w:cs="Arial"/>
        </w:rPr>
        <w:t>ing</w:t>
      </w:r>
      <w:r w:rsidRPr="00D73D3D">
        <w:rPr>
          <w:rFonts w:ascii="Arial" w:hAnsi="Arial" w:cs="Arial"/>
        </w:rPr>
        <w:t xml:space="preserve"> central to a company’s reputation and financial performance.</w:t>
      </w:r>
      <w:r w:rsidR="00FE49B8">
        <w:rPr>
          <w:rFonts w:ascii="Arial" w:hAnsi="Arial" w:cs="Arial"/>
        </w:rPr>
        <w:t xml:space="preserve"> As a result, we can see a trend towards </w:t>
      </w:r>
      <w:r w:rsidR="00FE49B8" w:rsidRPr="00FE49B8">
        <w:rPr>
          <w:rFonts w:ascii="Arial" w:hAnsi="Arial" w:cs="Arial"/>
        </w:rPr>
        <w:t>directing investments away from fossil fuels and towards sustainable industries</w:t>
      </w:r>
      <w:r w:rsidR="00FE49B8">
        <w:rPr>
          <w:rFonts w:ascii="Arial" w:hAnsi="Arial" w:cs="Arial"/>
        </w:rPr>
        <w:t xml:space="preserve">. This requires a firm commitment </w:t>
      </w:r>
      <w:r w:rsidR="00FE49B8" w:rsidRPr="00FE49B8">
        <w:rPr>
          <w:rFonts w:ascii="Arial" w:hAnsi="Arial" w:cs="Arial"/>
        </w:rPr>
        <w:t xml:space="preserve">to divest </w:t>
      </w:r>
      <w:r w:rsidR="00FE49B8">
        <w:rPr>
          <w:rFonts w:ascii="Arial" w:hAnsi="Arial" w:cs="Arial"/>
        </w:rPr>
        <w:t>investment opportunities and financial</w:t>
      </w:r>
      <w:r w:rsidR="00FE49B8" w:rsidRPr="00FE49B8">
        <w:rPr>
          <w:rFonts w:ascii="Arial" w:hAnsi="Arial" w:cs="Arial"/>
        </w:rPr>
        <w:t xml:space="preserve"> assets from fossil fuel companies </w:t>
      </w:r>
      <w:r w:rsidR="00FE49B8">
        <w:rPr>
          <w:rFonts w:ascii="Arial" w:hAnsi="Arial" w:cs="Arial"/>
        </w:rPr>
        <w:t xml:space="preserve">and operations </w:t>
      </w:r>
      <w:r w:rsidR="00FE49B8" w:rsidRPr="00FE49B8">
        <w:rPr>
          <w:rFonts w:ascii="Arial" w:hAnsi="Arial" w:cs="Arial"/>
        </w:rPr>
        <w:t>to help promote decent jobs and a just and green economy.</w:t>
      </w:r>
      <w:r w:rsidR="00CF4337">
        <w:rPr>
          <w:rFonts w:ascii="Arial" w:hAnsi="Arial" w:cs="Arial"/>
        </w:rPr>
        <w:t xml:space="preserve"> If effectively articulated</w:t>
      </w:r>
      <w:r w:rsidR="008B0748">
        <w:rPr>
          <w:rFonts w:ascii="Arial" w:hAnsi="Arial" w:cs="Arial"/>
        </w:rPr>
        <w:t>,</w:t>
      </w:r>
      <w:r w:rsidR="00CF4337">
        <w:rPr>
          <w:rFonts w:ascii="Arial" w:hAnsi="Arial" w:cs="Arial"/>
        </w:rPr>
        <w:t xml:space="preserve"> in the longer term it would contribute</w:t>
      </w:r>
      <w:r w:rsidR="00CF4337" w:rsidRPr="00CF4337">
        <w:rPr>
          <w:rFonts w:ascii="Arial" w:hAnsi="Arial" w:cs="Arial"/>
        </w:rPr>
        <w:t xml:space="preserve"> to reduc</w:t>
      </w:r>
      <w:r w:rsidR="00CF4337">
        <w:rPr>
          <w:rFonts w:ascii="Arial" w:hAnsi="Arial" w:cs="Arial"/>
        </w:rPr>
        <w:t>ing</w:t>
      </w:r>
      <w:r w:rsidR="00CF4337" w:rsidRPr="00CF4337">
        <w:rPr>
          <w:rFonts w:ascii="Arial" w:hAnsi="Arial" w:cs="Arial"/>
        </w:rPr>
        <w:t xml:space="preserve"> the financial desirability of fossil assets.</w:t>
      </w:r>
    </w:p>
    <w:p w14:paraId="2B1852A9" w14:textId="77777777" w:rsidR="0074791B" w:rsidRDefault="0074791B" w:rsidP="00D73D3D">
      <w:pPr>
        <w:jc w:val="both"/>
        <w:rPr>
          <w:rFonts w:ascii="Arial" w:hAnsi="Arial" w:cs="Arial"/>
        </w:rPr>
      </w:pPr>
    </w:p>
    <w:p w14:paraId="1ACEAFC6" w14:textId="6A59C49B" w:rsidR="0074791B" w:rsidRDefault="0074791B" w:rsidP="00D73D3D">
      <w:pPr>
        <w:jc w:val="both"/>
        <w:rPr>
          <w:rFonts w:ascii="Arial" w:hAnsi="Arial" w:cs="Arial"/>
        </w:rPr>
      </w:pPr>
      <w:r>
        <w:rPr>
          <w:rFonts w:ascii="Arial" w:hAnsi="Arial" w:cs="Arial"/>
        </w:rPr>
        <w:t>Investors could also consider updating their policies on prohibited investment activities to make sure they include:</w:t>
      </w:r>
    </w:p>
    <w:p w14:paraId="26C2804E" w14:textId="77777777" w:rsidR="00C87922" w:rsidRDefault="00C87922" w:rsidP="00D73D3D">
      <w:pPr>
        <w:jc w:val="both"/>
        <w:rPr>
          <w:rFonts w:ascii="Arial" w:hAnsi="Arial" w:cs="Arial"/>
        </w:rPr>
      </w:pPr>
    </w:p>
    <w:p w14:paraId="59F7AA8E" w14:textId="43E44531" w:rsidR="0074791B" w:rsidRDefault="0074791B" w:rsidP="00B73465">
      <w:pPr>
        <w:pStyle w:val="ListParagraph"/>
        <w:numPr>
          <w:ilvl w:val="0"/>
          <w:numId w:val="17"/>
        </w:numPr>
        <w:jc w:val="both"/>
        <w:rPr>
          <w:rFonts w:ascii="Arial" w:hAnsi="Arial" w:cs="Arial"/>
        </w:rPr>
      </w:pPr>
      <w:r w:rsidRPr="0074791B">
        <w:rPr>
          <w:rFonts w:ascii="Arial" w:hAnsi="Arial" w:cs="Arial"/>
        </w:rPr>
        <w:t>production or activities involving harmful or exploitative forms of forced labour o</w:t>
      </w:r>
      <w:r w:rsidR="00210D9E">
        <w:rPr>
          <w:rFonts w:ascii="Arial" w:hAnsi="Arial" w:cs="Arial"/>
        </w:rPr>
        <w:t>r</w:t>
      </w:r>
      <w:r w:rsidRPr="0074791B">
        <w:rPr>
          <w:rFonts w:ascii="Arial" w:hAnsi="Arial" w:cs="Arial"/>
        </w:rPr>
        <w:t xml:space="preserve"> child labo</w:t>
      </w:r>
      <w:r>
        <w:rPr>
          <w:rFonts w:ascii="Arial" w:hAnsi="Arial" w:cs="Arial"/>
        </w:rPr>
        <w:t>u</w:t>
      </w:r>
      <w:r w:rsidRPr="0074791B">
        <w:rPr>
          <w:rFonts w:ascii="Arial" w:hAnsi="Arial" w:cs="Arial"/>
        </w:rPr>
        <w:t>r</w:t>
      </w:r>
      <w:r>
        <w:rPr>
          <w:rFonts w:ascii="Arial" w:hAnsi="Arial" w:cs="Arial"/>
        </w:rPr>
        <w:t xml:space="preserve"> or other forms of modern slavery</w:t>
      </w:r>
    </w:p>
    <w:p w14:paraId="1559A41A" w14:textId="24183BDA" w:rsidR="0074791B" w:rsidRPr="0074791B" w:rsidRDefault="0074791B" w:rsidP="00B73465">
      <w:pPr>
        <w:pStyle w:val="ListParagraph"/>
        <w:numPr>
          <w:ilvl w:val="0"/>
          <w:numId w:val="17"/>
        </w:numPr>
        <w:jc w:val="both"/>
        <w:rPr>
          <w:rFonts w:ascii="Arial" w:hAnsi="Arial" w:cs="Arial"/>
        </w:rPr>
      </w:pPr>
      <w:r>
        <w:rPr>
          <w:rFonts w:ascii="ArialMT" w:hAnsi="ArialMT" w:cs="ArialMT"/>
        </w:rPr>
        <w:t xml:space="preserve">production of, or trade in, or use of asbestos or other </w:t>
      </w:r>
      <w:r w:rsidR="00BC33A8">
        <w:rPr>
          <w:rFonts w:ascii="ArialMT" w:hAnsi="ArialMT" w:cs="ArialMT"/>
        </w:rPr>
        <w:t>known</w:t>
      </w:r>
      <w:r>
        <w:rPr>
          <w:rFonts w:ascii="ArialMT" w:hAnsi="ArialMT" w:cs="ArialMT"/>
        </w:rPr>
        <w:t xml:space="preserve"> carcinogens</w:t>
      </w:r>
      <w:r w:rsidR="00EB474A">
        <w:rPr>
          <w:rFonts w:ascii="ArialMT" w:hAnsi="ArialMT" w:cs="ArialMT"/>
        </w:rPr>
        <w:t xml:space="preserve"> which can cause occupational cancer</w:t>
      </w:r>
    </w:p>
    <w:p w14:paraId="514956EC" w14:textId="72D96CE6" w:rsidR="0074791B" w:rsidRPr="00C87922" w:rsidRDefault="00C87922" w:rsidP="00B73465">
      <w:pPr>
        <w:pStyle w:val="ListParagraph"/>
        <w:numPr>
          <w:ilvl w:val="0"/>
          <w:numId w:val="17"/>
        </w:numPr>
        <w:jc w:val="both"/>
        <w:rPr>
          <w:rFonts w:ascii="Arial" w:hAnsi="Arial" w:cs="Arial"/>
        </w:rPr>
      </w:pPr>
      <w:r>
        <w:rPr>
          <w:rFonts w:ascii="ArialMT" w:hAnsi="ArialMT" w:cs="ArialMT"/>
        </w:rPr>
        <w:t xml:space="preserve">Any product or trade in of pesticides </w:t>
      </w:r>
      <w:r w:rsidRPr="00C87922">
        <w:rPr>
          <w:rFonts w:ascii="ArialMT" w:hAnsi="ArialMT" w:cs="ArialMT"/>
        </w:rPr>
        <w:t>subject</w:t>
      </w:r>
      <w:r>
        <w:rPr>
          <w:rFonts w:ascii="ArialMT" w:hAnsi="ArialMT" w:cs="ArialMT"/>
        </w:rPr>
        <w:t>ed</w:t>
      </w:r>
      <w:r w:rsidRPr="00C87922">
        <w:rPr>
          <w:rFonts w:ascii="ArialMT" w:hAnsi="ArialMT" w:cs="ArialMT"/>
        </w:rPr>
        <w:t xml:space="preserve"> to international phase out or bans</w:t>
      </w:r>
    </w:p>
    <w:p w14:paraId="74BC8C20" w14:textId="18624B6B" w:rsidR="00C87922" w:rsidRDefault="00C87922" w:rsidP="00074CDC">
      <w:pPr>
        <w:pStyle w:val="ListParagraph"/>
        <w:numPr>
          <w:ilvl w:val="0"/>
          <w:numId w:val="17"/>
        </w:numPr>
        <w:jc w:val="both"/>
        <w:rPr>
          <w:rFonts w:ascii="Arial" w:hAnsi="Arial" w:cs="Arial"/>
        </w:rPr>
      </w:pPr>
      <w:r w:rsidRPr="00C87922">
        <w:rPr>
          <w:rFonts w:ascii="Arial" w:hAnsi="Arial" w:cs="Arial"/>
        </w:rPr>
        <w:t>investment operations resulting in limiting peoples’ individual rights and freedom in violation of human rights</w:t>
      </w:r>
      <w:r>
        <w:rPr>
          <w:rFonts w:ascii="Arial" w:hAnsi="Arial" w:cs="Arial"/>
        </w:rPr>
        <w:t xml:space="preserve"> </w:t>
      </w:r>
      <w:r w:rsidRPr="00C87922">
        <w:rPr>
          <w:rFonts w:ascii="Arial" w:hAnsi="Arial" w:cs="Arial"/>
        </w:rPr>
        <w:t>discriminatory labour practices</w:t>
      </w:r>
    </w:p>
    <w:p w14:paraId="64CE5481" w14:textId="6CE29A05" w:rsidR="00EE558C" w:rsidRPr="00EE558C" w:rsidRDefault="00EE558C" w:rsidP="00753B4A">
      <w:pPr>
        <w:pStyle w:val="ListParagraph"/>
        <w:numPr>
          <w:ilvl w:val="0"/>
          <w:numId w:val="17"/>
        </w:numPr>
        <w:jc w:val="both"/>
        <w:rPr>
          <w:rFonts w:ascii="Arial" w:hAnsi="Arial" w:cs="Arial"/>
        </w:rPr>
      </w:pPr>
      <w:r w:rsidRPr="00EE558C">
        <w:rPr>
          <w:rFonts w:ascii="Arial" w:hAnsi="Arial" w:cs="Arial"/>
        </w:rPr>
        <w:t>Lobbying practices that do not consider respect for human rights  (e.g. companies incurring in bad practices by persuading lawmakers to pass industry-friendly</w:t>
      </w:r>
      <w:r>
        <w:rPr>
          <w:rFonts w:ascii="Arial" w:hAnsi="Arial" w:cs="Arial"/>
        </w:rPr>
        <w:t xml:space="preserve"> </w:t>
      </w:r>
      <w:r w:rsidRPr="00EE558C">
        <w:rPr>
          <w:rFonts w:ascii="Arial" w:hAnsi="Arial" w:cs="Arial"/>
        </w:rPr>
        <w:t>legislation that could erode workers’ rights and protections</w:t>
      </w:r>
      <w:r>
        <w:rPr>
          <w:rStyle w:val="FootnoteReference"/>
          <w:rFonts w:ascii="Arial" w:hAnsi="Arial" w:cs="Arial"/>
        </w:rPr>
        <w:footnoteReference w:id="18"/>
      </w:r>
      <w:r>
        <w:rPr>
          <w:rFonts w:ascii="Arial" w:hAnsi="Arial" w:cs="Arial"/>
        </w:rPr>
        <w:t>)</w:t>
      </w:r>
    </w:p>
    <w:p w14:paraId="387E3ED7" w14:textId="1C274376" w:rsidR="00C87922" w:rsidRDefault="00C87922" w:rsidP="00B73465">
      <w:pPr>
        <w:pStyle w:val="ListParagraph"/>
        <w:numPr>
          <w:ilvl w:val="0"/>
          <w:numId w:val="17"/>
        </w:numPr>
        <w:jc w:val="both"/>
        <w:rPr>
          <w:rFonts w:ascii="Arial" w:hAnsi="Arial" w:cs="Arial"/>
        </w:rPr>
      </w:pPr>
      <w:r w:rsidRPr="00C87922">
        <w:rPr>
          <w:rFonts w:ascii="Arial" w:hAnsi="Arial" w:cs="Arial"/>
        </w:rPr>
        <w:t>Labo</w:t>
      </w:r>
      <w:r>
        <w:rPr>
          <w:rFonts w:ascii="Arial" w:hAnsi="Arial" w:cs="Arial"/>
        </w:rPr>
        <w:t>u</w:t>
      </w:r>
      <w:r w:rsidRPr="00C87922">
        <w:rPr>
          <w:rFonts w:ascii="Arial" w:hAnsi="Arial" w:cs="Arial"/>
        </w:rPr>
        <w:t>r practices that prevent employees from freely exercising their right to association and collective bargaining</w:t>
      </w:r>
    </w:p>
    <w:p w14:paraId="5FDE7B6A" w14:textId="2045A8F9" w:rsidR="00883549" w:rsidRDefault="00C67220" w:rsidP="00B73465">
      <w:pPr>
        <w:pStyle w:val="ListParagraph"/>
        <w:numPr>
          <w:ilvl w:val="0"/>
          <w:numId w:val="17"/>
        </w:numPr>
        <w:jc w:val="both"/>
        <w:rPr>
          <w:rFonts w:ascii="Arial" w:hAnsi="Arial" w:cs="Arial"/>
        </w:rPr>
      </w:pPr>
      <w:r>
        <w:rPr>
          <w:rFonts w:ascii="Arial" w:hAnsi="Arial" w:cs="Arial"/>
        </w:rPr>
        <w:t xml:space="preserve">Activities where </w:t>
      </w:r>
      <w:r w:rsidR="00883549" w:rsidRPr="00883549">
        <w:rPr>
          <w:rFonts w:ascii="Arial" w:hAnsi="Arial" w:cs="Arial"/>
        </w:rPr>
        <w:t xml:space="preserve">workers </w:t>
      </w:r>
      <w:r>
        <w:rPr>
          <w:rFonts w:ascii="Arial" w:hAnsi="Arial" w:cs="Arial"/>
        </w:rPr>
        <w:t xml:space="preserve">are working </w:t>
      </w:r>
      <w:r w:rsidR="00883549" w:rsidRPr="00883549">
        <w:rPr>
          <w:rFonts w:ascii="Arial" w:hAnsi="Arial" w:cs="Arial"/>
        </w:rPr>
        <w:t>in hazardous conditions – in what is often known as the “3D”, dirty, difficult and dangerous, jobs</w:t>
      </w:r>
    </w:p>
    <w:p w14:paraId="49E9093A" w14:textId="210D84AE" w:rsidR="00C87922" w:rsidRDefault="00C87922" w:rsidP="00B73465">
      <w:pPr>
        <w:pStyle w:val="ListParagraph"/>
        <w:numPr>
          <w:ilvl w:val="0"/>
          <w:numId w:val="17"/>
        </w:numPr>
        <w:jc w:val="both"/>
        <w:rPr>
          <w:rFonts w:ascii="Arial" w:hAnsi="Arial" w:cs="Arial"/>
        </w:rPr>
      </w:pPr>
      <w:r>
        <w:rPr>
          <w:rFonts w:ascii="Arial" w:hAnsi="Arial" w:cs="Arial"/>
        </w:rPr>
        <w:t>Non-compliance with the fundamental right to a safe and healthy working environment</w:t>
      </w:r>
    </w:p>
    <w:p w14:paraId="656B6694" w14:textId="6DEC595D" w:rsidR="00C87922" w:rsidRDefault="00C87922" w:rsidP="00B73465">
      <w:pPr>
        <w:pStyle w:val="ListParagraph"/>
        <w:numPr>
          <w:ilvl w:val="0"/>
          <w:numId w:val="17"/>
        </w:numPr>
        <w:jc w:val="both"/>
        <w:rPr>
          <w:rFonts w:ascii="Arial" w:hAnsi="Arial" w:cs="Arial"/>
        </w:rPr>
      </w:pPr>
      <w:r w:rsidRPr="00C87922">
        <w:rPr>
          <w:rFonts w:ascii="Arial" w:hAnsi="Arial" w:cs="Arial"/>
        </w:rPr>
        <w:t>Non-compliance with workers’ fundamental principles and rights at work</w:t>
      </w:r>
    </w:p>
    <w:p w14:paraId="2699F136" w14:textId="7CA6EF34" w:rsidR="00C87922" w:rsidRDefault="00C87922" w:rsidP="00B73465">
      <w:pPr>
        <w:pStyle w:val="ListParagraph"/>
        <w:numPr>
          <w:ilvl w:val="0"/>
          <w:numId w:val="17"/>
        </w:numPr>
        <w:jc w:val="both"/>
        <w:rPr>
          <w:rFonts w:ascii="Arial" w:hAnsi="Arial" w:cs="Arial"/>
        </w:rPr>
      </w:pPr>
      <w:r w:rsidRPr="00C87922">
        <w:rPr>
          <w:rFonts w:ascii="Arial" w:hAnsi="Arial" w:cs="Arial"/>
        </w:rPr>
        <w:t xml:space="preserve">Production or activities that have potentially significant adverse impacts that carry a high degree of risk to the </w:t>
      </w:r>
      <w:r>
        <w:rPr>
          <w:rFonts w:ascii="Arial" w:hAnsi="Arial" w:cs="Arial"/>
        </w:rPr>
        <w:t xml:space="preserve">safety and health of vulnerable working </w:t>
      </w:r>
      <w:r w:rsidR="00E53469">
        <w:rPr>
          <w:rFonts w:ascii="Arial" w:hAnsi="Arial" w:cs="Arial"/>
        </w:rPr>
        <w:t>populations</w:t>
      </w:r>
      <w:r w:rsidR="00EE558C">
        <w:rPr>
          <w:rFonts w:ascii="Arial" w:hAnsi="Arial" w:cs="Arial"/>
        </w:rPr>
        <w:t xml:space="preserve"> (e.g. artisanal workers in the extractive industry</w:t>
      </w:r>
      <w:r w:rsidR="00713DFB">
        <w:rPr>
          <w:rStyle w:val="FootnoteReference"/>
          <w:rFonts w:ascii="Arial" w:hAnsi="Arial" w:cs="Arial"/>
        </w:rPr>
        <w:footnoteReference w:id="19"/>
      </w:r>
      <w:r w:rsidR="00883549">
        <w:rPr>
          <w:rFonts w:ascii="Arial" w:hAnsi="Arial" w:cs="Arial"/>
        </w:rPr>
        <w:t xml:space="preserve"> or migrant workers</w:t>
      </w:r>
      <w:r w:rsidR="00EE558C">
        <w:rPr>
          <w:rFonts w:ascii="Arial" w:hAnsi="Arial" w:cs="Arial"/>
        </w:rPr>
        <w:t>)</w:t>
      </w:r>
    </w:p>
    <w:p w14:paraId="0F850CE6" w14:textId="5E85D444" w:rsidR="00EE558C" w:rsidRDefault="00EE558C" w:rsidP="00855AF6">
      <w:pPr>
        <w:pStyle w:val="ListParagraph"/>
        <w:numPr>
          <w:ilvl w:val="0"/>
          <w:numId w:val="17"/>
        </w:numPr>
        <w:jc w:val="both"/>
        <w:rPr>
          <w:rFonts w:ascii="Arial" w:hAnsi="Arial" w:cs="Arial"/>
        </w:rPr>
      </w:pPr>
      <w:r w:rsidRPr="00EE558C">
        <w:rPr>
          <w:rFonts w:ascii="Arial" w:hAnsi="Arial" w:cs="Arial"/>
        </w:rPr>
        <w:t xml:space="preserve">Investment that </w:t>
      </w:r>
      <w:r>
        <w:rPr>
          <w:rFonts w:ascii="Arial" w:hAnsi="Arial" w:cs="Arial"/>
        </w:rPr>
        <w:t>could drive people into the informal economy or precarious forms of employment</w:t>
      </w:r>
      <w:r w:rsidR="00E220BB">
        <w:rPr>
          <w:rFonts w:ascii="Arial" w:hAnsi="Arial" w:cs="Arial"/>
        </w:rPr>
        <w:t xml:space="preserve"> as seen in some forms of digital labour platform</w:t>
      </w:r>
    </w:p>
    <w:p w14:paraId="1F354B61" w14:textId="0F42C4D0" w:rsidR="00C87922" w:rsidRPr="00EE558C" w:rsidRDefault="00C87922" w:rsidP="00855AF6">
      <w:pPr>
        <w:pStyle w:val="ListParagraph"/>
        <w:numPr>
          <w:ilvl w:val="0"/>
          <w:numId w:val="17"/>
        </w:numPr>
        <w:jc w:val="both"/>
        <w:rPr>
          <w:rFonts w:ascii="Arial" w:hAnsi="Arial" w:cs="Arial"/>
        </w:rPr>
      </w:pPr>
      <w:r w:rsidRPr="00EE558C">
        <w:rPr>
          <w:rFonts w:ascii="Arial" w:hAnsi="Arial" w:cs="Arial"/>
        </w:rPr>
        <w:t>Significant or commercial scale volume of hazardous chemicals</w:t>
      </w:r>
    </w:p>
    <w:p w14:paraId="7E322B3C" w14:textId="126203BB" w:rsidR="00C87922" w:rsidRPr="0074791B" w:rsidRDefault="00C87922" w:rsidP="00B73465">
      <w:pPr>
        <w:pStyle w:val="ListParagraph"/>
        <w:numPr>
          <w:ilvl w:val="0"/>
          <w:numId w:val="17"/>
        </w:numPr>
        <w:jc w:val="both"/>
        <w:rPr>
          <w:rFonts w:ascii="Arial" w:hAnsi="Arial" w:cs="Arial"/>
        </w:rPr>
      </w:pPr>
      <w:r w:rsidRPr="00C87922">
        <w:rPr>
          <w:rFonts w:ascii="Arial" w:hAnsi="Arial" w:cs="Arial"/>
        </w:rPr>
        <w:t>Any product or activity deemed illegal under international conventions and agreements</w:t>
      </w:r>
    </w:p>
    <w:p w14:paraId="4122C56E" w14:textId="77777777" w:rsidR="00E21E83" w:rsidRDefault="00E21E83" w:rsidP="00E21E83">
      <w:pPr>
        <w:pStyle w:val="ListParagraph"/>
        <w:jc w:val="both"/>
        <w:rPr>
          <w:rFonts w:ascii="Arial" w:hAnsi="Arial" w:cs="Arial"/>
        </w:rPr>
      </w:pPr>
    </w:p>
    <w:p w14:paraId="0A239D63" w14:textId="77777777" w:rsidR="005F24E0" w:rsidRDefault="005F24E0" w:rsidP="005F24E0">
      <w:pPr>
        <w:numPr>
          <w:ilvl w:val="0"/>
          <w:numId w:val="14"/>
        </w:numPr>
        <w:spacing w:before="100" w:beforeAutospacing="1" w:after="100" w:afterAutospacing="1"/>
        <w:jc w:val="both"/>
        <w:rPr>
          <w:rFonts w:ascii="Arial" w:hAnsi="Arial" w:cs="Arial"/>
          <w:color w:val="0070C0"/>
        </w:rPr>
      </w:pPr>
      <w:r w:rsidRPr="005F24E0">
        <w:rPr>
          <w:rFonts w:ascii="Arial" w:hAnsi="Arial" w:cs="Arial"/>
          <w:color w:val="0070C0"/>
        </w:rPr>
        <w:t>How can investors best provide transparency in their disclosures about their practices which are, or are not, in alignment with the UNGPs?</w:t>
      </w:r>
    </w:p>
    <w:p w14:paraId="1E167DB0" w14:textId="56F290EC" w:rsidR="00201C9B" w:rsidRPr="00201C9B" w:rsidRDefault="00201C9B" w:rsidP="00201C9B">
      <w:pPr>
        <w:spacing w:before="100" w:beforeAutospacing="1" w:after="100" w:afterAutospacing="1"/>
        <w:jc w:val="both"/>
        <w:rPr>
          <w:rFonts w:ascii="Arial" w:hAnsi="Arial" w:cs="Arial"/>
          <w:color w:val="0070C0"/>
        </w:rPr>
      </w:pPr>
      <w:r w:rsidRPr="00201C9B">
        <w:rPr>
          <w:rFonts w:ascii="Arial" w:hAnsi="Arial" w:cs="Arial"/>
        </w:rPr>
        <w:t>IOSH believes that human rights performance information and labour and OSH indicators need to be easy to access</w:t>
      </w:r>
      <w:r w:rsidR="00D25E09">
        <w:rPr>
          <w:rFonts w:ascii="Arial" w:hAnsi="Arial" w:cs="Arial"/>
        </w:rPr>
        <w:t>,</w:t>
      </w:r>
      <w:r w:rsidR="00917E4E">
        <w:rPr>
          <w:rFonts w:ascii="Arial" w:hAnsi="Arial" w:cs="Arial"/>
        </w:rPr>
        <w:t xml:space="preserve"> </w:t>
      </w:r>
      <w:r w:rsidRPr="00201C9B">
        <w:rPr>
          <w:rFonts w:ascii="Arial" w:hAnsi="Arial" w:cs="Arial"/>
        </w:rPr>
        <w:t>meaningful, and provide quality, comparability and reliability</w:t>
      </w:r>
      <w:r w:rsidR="00D25E09">
        <w:rPr>
          <w:rFonts w:ascii="Arial" w:hAnsi="Arial" w:cs="Arial"/>
        </w:rPr>
        <w:t>. They should</w:t>
      </w:r>
      <w:r w:rsidRPr="00201C9B">
        <w:rPr>
          <w:rFonts w:ascii="Arial" w:hAnsi="Arial" w:cs="Arial"/>
        </w:rPr>
        <w:t xml:space="preserve"> enabl</w:t>
      </w:r>
      <w:r w:rsidR="00D25E09">
        <w:rPr>
          <w:rFonts w:ascii="Arial" w:hAnsi="Arial" w:cs="Arial"/>
        </w:rPr>
        <w:t>e</w:t>
      </w:r>
      <w:r w:rsidRPr="00201C9B">
        <w:rPr>
          <w:rFonts w:ascii="Arial" w:hAnsi="Arial" w:cs="Arial"/>
        </w:rPr>
        <w:t xml:space="preserve"> cross-country or sector-based comparisons on respect for human rights issues. We appreciate the inclusion of human and labour rights and OSH in standards such as ISO 26000:2010 (social responsibility), which includes respect for human rights as one of its key principles and core subjects; and ISO 20400:2017 (sustainable procurement), which references the UN Guiding Principles (UNGPs) in its definition in ‘sphere of influence’ and lists ‘respect for human rights’ as one of its principles for sustainable procurement, core subjects and drivers.</w:t>
      </w:r>
    </w:p>
    <w:p w14:paraId="56CBB280" w14:textId="77777777" w:rsidR="005F24E0" w:rsidRDefault="005F24E0" w:rsidP="005F24E0">
      <w:pPr>
        <w:numPr>
          <w:ilvl w:val="0"/>
          <w:numId w:val="14"/>
        </w:numPr>
        <w:spacing w:before="100" w:beforeAutospacing="1" w:after="100" w:afterAutospacing="1"/>
        <w:jc w:val="both"/>
        <w:rPr>
          <w:rFonts w:ascii="Arial" w:hAnsi="Arial" w:cs="Arial"/>
          <w:color w:val="0070C0"/>
        </w:rPr>
      </w:pPr>
      <w:r w:rsidRPr="005F24E0">
        <w:rPr>
          <w:rFonts w:ascii="Arial" w:hAnsi="Arial" w:cs="Arial"/>
          <w:color w:val="0070C0"/>
        </w:rPr>
        <w:t>Are there any roles which stock exchanges could play in ensuring investors, and the businesses in which they invest, respect human rights?</w:t>
      </w:r>
    </w:p>
    <w:p w14:paraId="2D7EBD4A" w14:textId="77777777" w:rsidR="005F24E0" w:rsidRPr="005F24E0" w:rsidRDefault="005F24E0" w:rsidP="005F24E0">
      <w:pPr>
        <w:spacing w:before="100" w:beforeAutospacing="1" w:after="100" w:afterAutospacing="1"/>
        <w:jc w:val="both"/>
        <w:rPr>
          <w:rFonts w:ascii="Arial" w:eastAsia="Times New Roman" w:hAnsi="Arial" w:cs="Arial"/>
          <w:color w:val="0070C0"/>
          <w:lang w:eastAsia="en-GB"/>
        </w:rPr>
      </w:pPr>
      <w:r w:rsidRPr="005F24E0">
        <w:rPr>
          <w:rFonts w:ascii="Arial" w:eastAsia="Times New Roman" w:hAnsi="Arial" w:cs="Arial"/>
          <w:b/>
          <w:bCs/>
          <w:color w:val="0070C0"/>
          <w:lang w:eastAsia="en-GB"/>
        </w:rPr>
        <w:t>Good practices</w:t>
      </w:r>
    </w:p>
    <w:p w14:paraId="72309752" w14:textId="77777777" w:rsidR="005F24E0" w:rsidRDefault="005F24E0" w:rsidP="005F24E0">
      <w:pPr>
        <w:numPr>
          <w:ilvl w:val="0"/>
          <w:numId w:val="15"/>
        </w:numPr>
        <w:spacing w:before="100" w:beforeAutospacing="1" w:after="100" w:afterAutospacing="1"/>
        <w:jc w:val="both"/>
        <w:rPr>
          <w:rFonts w:ascii="Arial" w:eastAsia="Times New Roman" w:hAnsi="Arial" w:cs="Arial"/>
          <w:color w:val="0070C0"/>
          <w:lang w:eastAsia="en-GB"/>
        </w:rPr>
      </w:pPr>
      <w:r w:rsidRPr="005F24E0">
        <w:rPr>
          <w:rFonts w:ascii="Arial" w:eastAsia="Times New Roman" w:hAnsi="Arial" w:cs="Arial"/>
          <w:color w:val="0070C0"/>
          <w:lang w:eastAsia="en-GB"/>
        </w:rPr>
        <w:t>Please provide examples of any good practices, tools, guidance, policies, etc., regarding the integration of the responsibility to respect human rights by investors, including examples of investors actively preventing or mitigating (including by using leverage or undertaking a responsible exit) any adverse human rights and environment impacts of the businesses in which they invest.</w:t>
      </w:r>
    </w:p>
    <w:p w14:paraId="44E4C321" w14:textId="1C00B878" w:rsidR="000D2076" w:rsidRPr="0021638E" w:rsidRDefault="000D2076" w:rsidP="00713DFB">
      <w:pPr>
        <w:spacing w:before="100" w:beforeAutospacing="1" w:after="100" w:afterAutospacing="1"/>
        <w:ind w:left="720"/>
        <w:jc w:val="both"/>
        <w:rPr>
          <w:rFonts w:ascii="Arial" w:eastAsia="Times New Roman" w:hAnsi="Arial" w:cs="Arial"/>
          <w:color w:val="0070C0"/>
          <w:lang w:eastAsia="en-GB"/>
        </w:rPr>
      </w:pPr>
      <w:r w:rsidRPr="0021638E">
        <w:rPr>
          <w:rFonts w:ascii="Arial" w:eastAsia="Times New Roman" w:hAnsi="Arial" w:cs="Arial"/>
          <w:color w:val="0070C0"/>
          <w:lang w:eastAsia="en-GB"/>
        </w:rPr>
        <w:t>Examples that strengthen the responsibility to respect occupational safety and health and human capital provisions by investors:</w:t>
      </w:r>
    </w:p>
    <w:p w14:paraId="0A3DE2EA" w14:textId="6D884777" w:rsidR="00B71D2E" w:rsidRPr="0021638E" w:rsidRDefault="00142BC6">
      <w:pPr>
        <w:pStyle w:val="ListParagraph"/>
        <w:numPr>
          <w:ilvl w:val="0"/>
          <w:numId w:val="17"/>
        </w:numPr>
        <w:spacing w:before="100" w:beforeAutospacing="1" w:after="100" w:afterAutospacing="1"/>
        <w:jc w:val="both"/>
        <w:rPr>
          <w:rFonts w:ascii="Arial" w:eastAsia="Times New Roman" w:hAnsi="Arial" w:cs="Arial"/>
          <w:color w:val="0070C0"/>
          <w:lang w:eastAsia="en-GB"/>
        </w:rPr>
      </w:pPr>
      <w:r w:rsidRPr="0021638E">
        <w:rPr>
          <w:rFonts w:ascii="Arial" w:eastAsia="Times New Roman" w:hAnsi="Arial" w:cs="Arial"/>
          <w:color w:val="0070C0"/>
          <w:lang w:eastAsia="en-GB"/>
        </w:rPr>
        <w:t>ICGN Viewpoint on Occupational Safety and Health: The Pandemic, the Changing World of Work and How Investment Stewards Can Engage to Enhance Corporate Performance, 18 October 2022</w:t>
      </w:r>
      <w:r w:rsidR="00F65BFC" w:rsidRPr="0021638E">
        <w:rPr>
          <w:rFonts w:ascii="Arial" w:eastAsia="Times New Roman" w:hAnsi="Arial" w:cs="Arial"/>
          <w:color w:val="0070C0"/>
          <w:lang w:eastAsia="en-GB"/>
        </w:rPr>
        <w:t xml:space="preserve">: </w:t>
      </w:r>
      <w:hyperlink r:id="rId10" w:history="1">
        <w:r w:rsidR="00F65BFC" w:rsidRPr="0021638E">
          <w:rPr>
            <w:rStyle w:val="Hyperlink"/>
            <w:rFonts w:ascii="Arial" w:eastAsia="Times New Roman" w:hAnsi="Arial" w:cs="Arial"/>
            <w:color w:val="0070C0"/>
            <w:lang w:eastAsia="en-GB"/>
          </w:rPr>
          <w:t xml:space="preserve">3. </w:t>
        </w:r>
        <w:r w:rsidR="00581F62" w:rsidRPr="0021638E">
          <w:rPr>
            <w:rStyle w:val="Hyperlink"/>
            <w:rFonts w:ascii="Arial" w:eastAsia="Times New Roman" w:hAnsi="Arial" w:cs="Arial"/>
            <w:color w:val="0070C0"/>
            <w:lang w:eastAsia="en-GB"/>
          </w:rPr>
          <w:t>Occupational</w:t>
        </w:r>
        <w:r w:rsidR="00F65BFC" w:rsidRPr="0021638E">
          <w:rPr>
            <w:rStyle w:val="Hyperlink"/>
            <w:rFonts w:ascii="Arial" w:eastAsia="Times New Roman" w:hAnsi="Arial" w:cs="Arial"/>
            <w:color w:val="0070C0"/>
            <w:lang w:eastAsia="en-GB"/>
          </w:rPr>
          <w:t xml:space="preserve"> Health and Safety HCC Viewpoint oct 22_1.pdf (icgn.org)</w:t>
        </w:r>
      </w:hyperlink>
      <w:r w:rsidR="00F65BFC" w:rsidRPr="0021638E">
        <w:rPr>
          <w:rFonts w:ascii="Arial" w:eastAsia="Times New Roman" w:hAnsi="Arial" w:cs="Arial"/>
          <w:color w:val="0070C0"/>
          <w:lang w:eastAsia="en-GB"/>
        </w:rPr>
        <w:t xml:space="preserve"> </w:t>
      </w:r>
    </w:p>
    <w:p w14:paraId="5948D422" w14:textId="1DFE816F" w:rsidR="00582FA4" w:rsidRPr="0021638E" w:rsidRDefault="00582FA4">
      <w:pPr>
        <w:pStyle w:val="ListParagraph"/>
        <w:numPr>
          <w:ilvl w:val="0"/>
          <w:numId w:val="17"/>
        </w:numPr>
        <w:spacing w:before="100" w:beforeAutospacing="1" w:after="100" w:afterAutospacing="1"/>
        <w:jc w:val="both"/>
        <w:rPr>
          <w:rFonts w:ascii="Arial" w:eastAsia="Times New Roman" w:hAnsi="Arial" w:cs="Arial"/>
          <w:color w:val="0070C0"/>
          <w:lang w:eastAsia="en-GB"/>
        </w:rPr>
      </w:pPr>
      <w:r w:rsidRPr="0021638E">
        <w:rPr>
          <w:rFonts w:ascii="Arial" w:eastAsia="Times New Roman" w:hAnsi="Arial" w:cs="Arial"/>
          <w:color w:val="0070C0"/>
          <w:lang w:eastAsia="en-GB"/>
        </w:rPr>
        <w:t>Capitals Coalition. Valuing Human Capital in Occupational Health &amp; Safety. White paper. November, 2022.</w:t>
      </w:r>
    </w:p>
    <w:p w14:paraId="1C34FE92" w14:textId="2FB4A55D" w:rsidR="00582FA4" w:rsidRPr="0021638E" w:rsidRDefault="00582FA4" w:rsidP="002832CA">
      <w:pPr>
        <w:pStyle w:val="ListParagraph"/>
        <w:numPr>
          <w:ilvl w:val="0"/>
          <w:numId w:val="17"/>
        </w:numPr>
        <w:spacing w:before="100" w:beforeAutospacing="1" w:after="100" w:afterAutospacing="1"/>
        <w:jc w:val="both"/>
        <w:rPr>
          <w:rFonts w:ascii="Arial" w:eastAsia="Times New Roman" w:hAnsi="Arial" w:cs="Arial"/>
          <w:color w:val="0070C0"/>
          <w:lang w:eastAsia="en-GB"/>
        </w:rPr>
      </w:pPr>
      <w:r w:rsidRPr="0021638E">
        <w:rPr>
          <w:rFonts w:ascii="Arial" w:eastAsia="Times New Roman" w:hAnsi="Arial" w:cs="Arial"/>
          <w:color w:val="0070C0"/>
          <w:lang w:eastAsia="en-GB"/>
        </w:rPr>
        <w:t>Center for Safety and Health Sustainability. CSHS Best Practice Guide for Occupational Health and Safety in Sustainability Reports. 2016.</w:t>
      </w:r>
    </w:p>
    <w:p w14:paraId="35B0CB81" w14:textId="2BE3D527" w:rsidR="000D2076" w:rsidRPr="000D2076" w:rsidRDefault="000D2076" w:rsidP="000D2076">
      <w:pPr>
        <w:pStyle w:val="ListParagraph"/>
        <w:numPr>
          <w:ilvl w:val="0"/>
          <w:numId w:val="17"/>
        </w:numPr>
        <w:spacing w:before="100" w:beforeAutospacing="1" w:after="100" w:afterAutospacing="1"/>
        <w:jc w:val="both"/>
        <w:rPr>
          <w:rFonts w:ascii="Arial" w:eastAsia="Times New Roman" w:hAnsi="Arial" w:cs="Arial"/>
          <w:color w:val="FF0000"/>
          <w:lang w:eastAsia="en-GB"/>
        </w:rPr>
      </w:pPr>
      <w:r w:rsidRPr="0021638E">
        <w:rPr>
          <w:rFonts w:ascii="Arial" w:eastAsia="Times New Roman" w:hAnsi="Arial" w:cs="Arial"/>
          <w:color w:val="0070C0"/>
          <w:lang w:eastAsia="en-GB"/>
        </w:rPr>
        <w:t xml:space="preserve">Bernstein, Aaron and Beeferman, Larry, Corporate Disclosure of Human Capital Metrics (October 23, 2017). Pensions and Capital Stewardship Project Labor and Worklife Program, Harvard Law School, October 2017, Available at SSRN: </w:t>
      </w:r>
      <w:hyperlink r:id="rId11" w:history="1">
        <w:r w:rsidRPr="00840AC6">
          <w:rPr>
            <w:rStyle w:val="Hyperlink"/>
            <w:rFonts w:ascii="Arial" w:eastAsia="Times New Roman" w:hAnsi="Arial" w:cs="Arial"/>
            <w:lang w:eastAsia="en-GB"/>
          </w:rPr>
          <w:t>https://ssrn.com/abstract=3134164</w:t>
        </w:r>
      </w:hyperlink>
      <w:r>
        <w:rPr>
          <w:rFonts w:ascii="Arial" w:eastAsia="Times New Roman" w:hAnsi="Arial" w:cs="Arial"/>
          <w:color w:val="FF0000"/>
          <w:lang w:eastAsia="en-GB"/>
        </w:rPr>
        <w:t xml:space="preserve"> </w:t>
      </w:r>
    </w:p>
    <w:p w14:paraId="7B8632C0" w14:textId="77777777" w:rsidR="0021638E" w:rsidRDefault="0021638E" w:rsidP="00D30BA0">
      <w:pPr>
        <w:jc w:val="both"/>
        <w:rPr>
          <w:rFonts w:ascii="Arial" w:hAnsi="Arial" w:cs="Arial"/>
          <w:b/>
          <w:bCs/>
          <w:color w:val="0070C0"/>
          <w:sz w:val="24"/>
          <w:szCs w:val="24"/>
        </w:rPr>
      </w:pPr>
    </w:p>
    <w:p w14:paraId="6E637905" w14:textId="5A5EA253" w:rsidR="00D30BA0" w:rsidRDefault="00D30BA0" w:rsidP="00D30BA0">
      <w:pPr>
        <w:jc w:val="both"/>
        <w:rPr>
          <w:rFonts w:ascii="Arial" w:hAnsi="Arial" w:cs="Arial"/>
          <w:b/>
          <w:bCs/>
          <w:color w:val="0070C0"/>
          <w:sz w:val="24"/>
          <w:szCs w:val="24"/>
        </w:rPr>
      </w:pPr>
      <w:r w:rsidRPr="00C203F8">
        <w:rPr>
          <w:rFonts w:ascii="Arial" w:hAnsi="Arial" w:cs="Arial"/>
          <w:b/>
          <w:bCs/>
          <w:color w:val="0070C0"/>
          <w:sz w:val="24"/>
          <w:szCs w:val="24"/>
        </w:rPr>
        <w:t>For further information, please contact:</w:t>
      </w:r>
    </w:p>
    <w:p w14:paraId="16420E9D" w14:textId="77777777" w:rsidR="00CA2847" w:rsidRPr="00C203F8" w:rsidRDefault="00CA2847" w:rsidP="00D30BA0">
      <w:pPr>
        <w:jc w:val="both"/>
        <w:rPr>
          <w:rFonts w:ascii="Arial" w:hAnsi="Arial" w:cs="Arial"/>
          <w:b/>
          <w:bCs/>
          <w:color w:val="0070C0"/>
          <w:sz w:val="24"/>
          <w:szCs w:val="24"/>
        </w:rPr>
      </w:pPr>
    </w:p>
    <w:p w14:paraId="7926B0BF" w14:textId="77777777" w:rsidR="00D30BA0" w:rsidRPr="007149FA" w:rsidRDefault="00D30BA0" w:rsidP="00D30BA0">
      <w:pPr>
        <w:pStyle w:val="ListParagraph"/>
        <w:numPr>
          <w:ilvl w:val="0"/>
          <w:numId w:val="3"/>
        </w:numPr>
        <w:spacing w:after="160" w:line="259" w:lineRule="auto"/>
        <w:jc w:val="both"/>
        <w:rPr>
          <w:rFonts w:ascii="Arial" w:hAnsi="Arial" w:cs="Arial"/>
          <w:sz w:val="20"/>
          <w:szCs w:val="20"/>
        </w:rPr>
      </w:pPr>
      <w:r w:rsidRPr="007149FA">
        <w:rPr>
          <w:rFonts w:ascii="Arial" w:hAnsi="Arial" w:cs="Arial"/>
          <w:sz w:val="20"/>
          <w:szCs w:val="20"/>
        </w:rPr>
        <w:t xml:space="preserve">Ruth Wilkinson </w:t>
      </w:r>
      <w:hyperlink r:id="rId12" w:history="1">
        <w:r w:rsidRPr="007149FA">
          <w:rPr>
            <w:rStyle w:val="Hyperlink"/>
            <w:rFonts w:ascii="Arial" w:hAnsi="Arial" w:cs="Arial"/>
            <w:sz w:val="20"/>
            <w:szCs w:val="20"/>
          </w:rPr>
          <w:t>ruth.wilkinson@iosh.com</w:t>
        </w:r>
      </w:hyperlink>
      <w:r w:rsidRPr="007149FA">
        <w:rPr>
          <w:rFonts w:ascii="Arial" w:hAnsi="Arial" w:cs="Arial"/>
          <w:sz w:val="20"/>
          <w:szCs w:val="20"/>
        </w:rPr>
        <w:t xml:space="preserve"> </w:t>
      </w:r>
    </w:p>
    <w:p w14:paraId="6E669939" w14:textId="04F4EC18" w:rsidR="003759EE" w:rsidRDefault="00D30BA0" w:rsidP="003759EE">
      <w:pPr>
        <w:pStyle w:val="ListParagraph"/>
        <w:jc w:val="both"/>
        <w:rPr>
          <w:rFonts w:ascii="Arial" w:hAnsi="Arial" w:cs="Arial"/>
          <w:sz w:val="20"/>
          <w:szCs w:val="20"/>
        </w:rPr>
      </w:pPr>
      <w:r w:rsidRPr="007149FA">
        <w:rPr>
          <w:rFonts w:ascii="Arial" w:hAnsi="Arial" w:cs="Arial"/>
          <w:sz w:val="20"/>
          <w:szCs w:val="20"/>
        </w:rPr>
        <w:t xml:space="preserve">Head of </w:t>
      </w:r>
      <w:r>
        <w:rPr>
          <w:rFonts w:ascii="Arial" w:hAnsi="Arial" w:cs="Arial"/>
          <w:sz w:val="20"/>
          <w:szCs w:val="20"/>
        </w:rPr>
        <w:t>Policy</w:t>
      </w:r>
    </w:p>
    <w:p w14:paraId="7109C3DC" w14:textId="77777777" w:rsidR="003759EE" w:rsidRDefault="003759EE" w:rsidP="003759EE">
      <w:pPr>
        <w:pStyle w:val="ListParagraph"/>
        <w:jc w:val="both"/>
        <w:rPr>
          <w:rFonts w:ascii="Arial" w:hAnsi="Arial" w:cs="Arial"/>
          <w:sz w:val="20"/>
          <w:szCs w:val="20"/>
        </w:rPr>
      </w:pPr>
    </w:p>
    <w:p w14:paraId="237FD07E" w14:textId="6C1B9D93" w:rsidR="003759EE" w:rsidRDefault="003759EE" w:rsidP="00F37F3E">
      <w:pPr>
        <w:pStyle w:val="ListParagraph"/>
        <w:numPr>
          <w:ilvl w:val="0"/>
          <w:numId w:val="3"/>
        </w:numPr>
        <w:spacing w:after="160" w:line="259" w:lineRule="auto"/>
        <w:jc w:val="both"/>
        <w:rPr>
          <w:rFonts w:ascii="Arial" w:hAnsi="Arial" w:cs="Arial"/>
          <w:sz w:val="20"/>
          <w:szCs w:val="20"/>
        </w:rPr>
      </w:pPr>
      <w:r w:rsidRPr="003759EE">
        <w:rPr>
          <w:rFonts w:ascii="Arial" w:hAnsi="Arial" w:cs="Arial"/>
          <w:sz w:val="20"/>
          <w:szCs w:val="20"/>
        </w:rPr>
        <w:t xml:space="preserve">Dr. Christopher </w:t>
      </w:r>
      <w:r>
        <w:rPr>
          <w:rFonts w:ascii="Arial" w:hAnsi="Arial" w:cs="Arial"/>
          <w:sz w:val="20"/>
          <w:szCs w:val="20"/>
        </w:rPr>
        <w:t>D</w:t>
      </w:r>
      <w:r w:rsidRPr="003759EE">
        <w:rPr>
          <w:rFonts w:ascii="Arial" w:hAnsi="Arial" w:cs="Arial"/>
          <w:sz w:val="20"/>
          <w:szCs w:val="20"/>
        </w:rPr>
        <w:t xml:space="preserve">avis </w:t>
      </w:r>
      <w:hyperlink r:id="rId13" w:history="1">
        <w:r w:rsidR="00241048" w:rsidRPr="00241048">
          <w:rPr>
            <w:rStyle w:val="Hyperlink"/>
            <w:rFonts w:ascii="Arial" w:hAnsi="Arial" w:cs="Arial"/>
            <w:sz w:val="20"/>
            <w:szCs w:val="20"/>
          </w:rPr>
          <w:t>christopher.davis@iosh.com</w:t>
        </w:r>
      </w:hyperlink>
      <w:r>
        <w:rPr>
          <w:rFonts w:ascii="Arial" w:hAnsi="Arial" w:cs="Arial"/>
          <w:sz w:val="20"/>
          <w:szCs w:val="20"/>
        </w:rPr>
        <w:t xml:space="preserve"> </w:t>
      </w:r>
    </w:p>
    <w:p w14:paraId="756E15FE" w14:textId="41BBAF91" w:rsidR="003759EE" w:rsidRPr="003759EE" w:rsidRDefault="003759EE" w:rsidP="003759EE">
      <w:pPr>
        <w:pStyle w:val="ListParagraph"/>
        <w:spacing w:after="160" w:line="259" w:lineRule="auto"/>
        <w:jc w:val="both"/>
        <w:rPr>
          <w:rFonts w:ascii="Arial" w:hAnsi="Arial" w:cs="Arial"/>
          <w:sz w:val="20"/>
          <w:szCs w:val="20"/>
        </w:rPr>
      </w:pPr>
      <w:r>
        <w:rPr>
          <w:rFonts w:ascii="Arial" w:hAnsi="Arial" w:cs="Arial"/>
          <w:sz w:val="20"/>
          <w:szCs w:val="20"/>
        </w:rPr>
        <w:t>Head of Thought Leadership</w:t>
      </w:r>
    </w:p>
    <w:p w14:paraId="22F08ADA" w14:textId="77777777" w:rsidR="00D30BA0" w:rsidRPr="00697AC4" w:rsidRDefault="00D30BA0" w:rsidP="00D30BA0">
      <w:pPr>
        <w:jc w:val="both"/>
        <w:rPr>
          <w:rFonts w:ascii="Arial" w:hAnsi="Arial" w:cs="Arial"/>
          <w:sz w:val="20"/>
          <w:szCs w:val="20"/>
        </w:rPr>
      </w:pPr>
    </w:p>
    <w:p w14:paraId="010B84CC" w14:textId="77777777" w:rsidR="00D30BA0" w:rsidRPr="007149FA" w:rsidRDefault="00D30BA0" w:rsidP="00D30BA0">
      <w:pPr>
        <w:pStyle w:val="ListParagraph"/>
        <w:numPr>
          <w:ilvl w:val="0"/>
          <w:numId w:val="3"/>
        </w:numPr>
        <w:spacing w:after="160" w:line="259" w:lineRule="auto"/>
        <w:jc w:val="both"/>
        <w:rPr>
          <w:rFonts w:ascii="Arial" w:hAnsi="Arial" w:cs="Arial"/>
          <w:sz w:val="20"/>
          <w:szCs w:val="20"/>
        </w:rPr>
      </w:pPr>
      <w:r w:rsidRPr="007149FA">
        <w:rPr>
          <w:rFonts w:ascii="Arial" w:hAnsi="Arial" w:cs="Arial"/>
          <w:sz w:val="20"/>
          <w:szCs w:val="20"/>
        </w:rPr>
        <w:t xml:space="preserve">Dr Ivan Williams Jimenez: </w:t>
      </w:r>
      <w:hyperlink r:id="rId14" w:history="1">
        <w:r w:rsidRPr="007149FA">
          <w:rPr>
            <w:rStyle w:val="Hyperlink"/>
            <w:rFonts w:ascii="Arial" w:hAnsi="Arial" w:cs="Arial"/>
            <w:sz w:val="20"/>
            <w:szCs w:val="20"/>
          </w:rPr>
          <w:t>ivan.williams@iosh.com</w:t>
        </w:r>
      </w:hyperlink>
    </w:p>
    <w:p w14:paraId="31F2310B" w14:textId="51BBE420" w:rsidR="00D30BA0" w:rsidRPr="007149FA" w:rsidRDefault="00A345A1" w:rsidP="00D30BA0">
      <w:pPr>
        <w:pStyle w:val="ListParagraph"/>
        <w:jc w:val="both"/>
        <w:rPr>
          <w:rFonts w:ascii="Arial" w:hAnsi="Arial" w:cs="Arial"/>
          <w:sz w:val="20"/>
          <w:szCs w:val="20"/>
        </w:rPr>
      </w:pPr>
      <w:r>
        <w:rPr>
          <w:rFonts w:ascii="Arial" w:hAnsi="Arial" w:cs="Arial"/>
          <w:sz w:val="20"/>
          <w:szCs w:val="20"/>
        </w:rPr>
        <w:t xml:space="preserve">Senior </w:t>
      </w:r>
      <w:r w:rsidR="00D30BA0" w:rsidRPr="007149FA">
        <w:rPr>
          <w:rFonts w:ascii="Arial" w:hAnsi="Arial" w:cs="Arial"/>
          <w:sz w:val="20"/>
          <w:szCs w:val="20"/>
        </w:rPr>
        <w:t xml:space="preserve">Policy </w:t>
      </w:r>
      <w:r>
        <w:rPr>
          <w:rFonts w:ascii="Arial" w:hAnsi="Arial" w:cs="Arial"/>
          <w:sz w:val="20"/>
          <w:szCs w:val="20"/>
        </w:rPr>
        <w:t>and Public Affairs</w:t>
      </w:r>
      <w:r w:rsidR="00D30BA0" w:rsidRPr="007149FA">
        <w:rPr>
          <w:rFonts w:ascii="Arial" w:hAnsi="Arial" w:cs="Arial"/>
          <w:sz w:val="20"/>
          <w:szCs w:val="20"/>
        </w:rPr>
        <w:t xml:space="preserve"> </w:t>
      </w:r>
      <w:r w:rsidR="00D30BA0">
        <w:rPr>
          <w:rFonts w:ascii="Arial" w:hAnsi="Arial" w:cs="Arial"/>
          <w:sz w:val="20"/>
          <w:szCs w:val="20"/>
        </w:rPr>
        <w:t>M</w:t>
      </w:r>
      <w:r w:rsidR="00D30BA0" w:rsidRPr="007149FA">
        <w:rPr>
          <w:rFonts w:ascii="Arial" w:hAnsi="Arial" w:cs="Arial"/>
          <w:sz w:val="20"/>
          <w:szCs w:val="20"/>
        </w:rPr>
        <w:t>anager</w:t>
      </w:r>
    </w:p>
    <w:p w14:paraId="33504FE9" w14:textId="77777777" w:rsidR="00D30BA0" w:rsidRDefault="00D30BA0" w:rsidP="00D30BA0">
      <w:pPr>
        <w:jc w:val="both"/>
        <w:rPr>
          <w:rFonts w:ascii="Arial" w:hAnsi="Arial" w:cs="Arial"/>
          <w:sz w:val="20"/>
          <w:szCs w:val="20"/>
        </w:rPr>
      </w:pPr>
    </w:p>
    <w:p w14:paraId="27912A01" w14:textId="77777777" w:rsidR="00BB604C" w:rsidRDefault="00BB604C" w:rsidP="00D30BA0">
      <w:pPr>
        <w:jc w:val="both"/>
        <w:rPr>
          <w:rFonts w:ascii="Arial" w:hAnsi="Arial" w:cs="Arial"/>
          <w:sz w:val="20"/>
          <w:szCs w:val="20"/>
        </w:rPr>
      </w:pPr>
    </w:p>
    <w:p w14:paraId="2B16659D" w14:textId="0ECB47E1" w:rsidR="00D30BA0" w:rsidRDefault="00D30BA0" w:rsidP="00D30BA0">
      <w:pPr>
        <w:jc w:val="both"/>
        <w:rPr>
          <w:rFonts w:ascii="Arial" w:hAnsi="Arial" w:cs="Arial"/>
          <w:sz w:val="20"/>
          <w:szCs w:val="20"/>
        </w:rPr>
      </w:pPr>
      <w:r>
        <w:rPr>
          <w:rFonts w:ascii="Arial" w:hAnsi="Arial" w:cs="Arial"/>
          <w:sz w:val="20"/>
          <w:szCs w:val="20"/>
        </w:rPr>
        <w:t>Institution of Occupational Safety and Health (IOSH)</w:t>
      </w:r>
    </w:p>
    <w:p w14:paraId="15451091" w14:textId="77777777" w:rsidR="00D30BA0" w:rsidRPr="006F4253" w:rsidRDefault="00D30BA0" w:rsidP="00D30BA0">
      <w:pPr>
        <w:jc w:val="both"/>
        <w:rPr>
          <w:rFonts w:ascii="Arial" w:hAnsi="Arial" w:cs="Arial"/>
          <w:sz w:val="20"/>
          <w:szCs w:val="20"/>
        </w:rPr>
      </w:pPr>
      <w:r w:rsidRPr="006F4253">
        <w:rPr>
          <w:rFonts w:ascii="Arial" w:hAnsi="Arial" w:cs="Arial"/>
          <w:sz w:val="20"/>
          <w:szCs w:val="20"/>
        </w:rPr>
        <w:t>The Grange, Highfield Drive Wigston Leicestershire</w:t>
      </w:r>
    </w:p>
    <w:p w14:paraId="15994250" w14:textId="77777777" w:rsidR="00D30BA0" w:rsidRDefault="00D30BA0" w:rsidP="00D30BA0">
      <w:pPr>
        <w:jc w:val="both"/>
        <w:rPr>
          <w:rFonts w:ascii="Arial" w:hAnsi="Arial" w:cs="Arial"/>
          <w:sz w:val="20"/>
          <w:szCs w:val="20"/>
        </w:rPr>
      </w:pPr>
      <w:r w:rsidRPr="006F4253">
        <w:rPr>
          <w:rFonts w:ascii="Arial" w:hAnsi="Arial" w:cs="Arial"/>
          <w:sz w:val="20"/>
          <w:szCs w:val="20"/>
        </w:rPr>
        <w:t>United Kingdom</w:t>
      </w:r>
      <w:r>
        <w:rPr>
          <w:rFonts w:ascii="Arial" w:hAnsi="Arial" w:cs="Arial"/>
          <w:sz w:val="20"/>
          <w:szCs w:val="20"/>
        </w:rPr>
        <w:t>,</w:t>
      </w:r>
      <w:r w:rsidRPr="006F4253">
        <w:rPr>
          <w:rFonts w:ascii="Arial" w:hAnsi="Arial" w:cs="Arial"/>
          <w:sz w:val="20"/>
          <w:szCs w:val="20"/>
        </w:rPr>
        <w:t xml:space="preserve"> LE18 1NN Tel: 0116 257 3100 </w:t>
      </w:r>
    </w:p>
    <w:p w14:paraId="3391B8AA" w14:textId="77777777" w:rsidR="00D30BA0" w:rsidRDefault="00D30BA0" w:rsidP="00D30BA0">
      <w:pPr>
        <w:jc w:val="both"/>
        <w:rPr>
          <w:rFonts w:ascii="Arial" w:hAnsi="Arial" w:cs="Arial"/>
          <w:sz w:val="20"/>
          <w:szCs w:val="20"/>
        </w:rPr>
      </w:pPr>
      <w:r w:rsidRPr="006F4253">
        <w:rPr>
          <w:rFonts w:ascii="Arial" w:hAnsi="Arial" w:cs="Arial"/>
          <w:sz w:val="20"/>
          <w:szCs w:val="20"/>
        </w:rPr>
        <w:t xml:space="preserve">Email: </w:t>
      </w:r>
      <w:hyperlink r:id="rId15" w:history="1">
        <w:r w:rsidRPr="00B40BD7">
          <w:rPr>
            <w:rStyle w:val="Hyperlink"/>
            <w:rFonts w:ascii="Arial" w:hAnsi="Arial" w:cs="Arial"/>
            <w:sz w:val="20"/>
            <w:szCs w:val="20"/>
          </w:rPr>
          <w:t>consultations@iosh.com</w:t>
        </w:r>
      </w:hyperlink>
      <w:r>
        <w:rPr>
          <w:rFonts w:ascii="Arial" w:hAnsi="Arial" w:cs="Arial"/>
          <w:sz w:val="20"/>
          <w:szCs w:val="20"/>
        </w:rPr>
        <w:t xml:space="preserve"> </w:t>
      </w:r>
      <w:r w:rsidRPr="006F4253">
        <w:rPr>
          <w:rFonts w:ascii="Arial" w:hAnsi="Arial" w:cs="Arial"/>
          <w:sz w:val="20"/>
          <w:szCs w:val="20"/>
        </w:rPr>
        <w:t xml:space="preserve"> or </w:t>
      </w:r>
      <w:hyperlink r:id="rId16" w:history="1">
        <w:r w:rsidRPr="00B40BD7">
          <w:rPr>
            <w:rStyle w:val="Hyperlink"/>
            <w:rFonts w:ascii="Arial" w:hAnsi="Arial" w:cs="Arial"/>
            <w:sz w:val="20"/>
            <w:szCs w:val="20"/>
          </w:rPr>
          <w:t>publicaffairs@iosh.com</w:t>
        </w:r>
      </w:hyperlink>
      <w:r>
        <w:rPr>
          <w:rFonts w:ascii="Arial" w:hAnsi="Arial" w:cs="Arial"/>
          <w:sz w:val="20"/>
          <w:szCs w:val="20"/>
        </w:rPr>
        <w:t xml:space="preserve"> </w:t>
      </w:r>
    </w:p>
    <w:sdt>
      <w:sdtPr>
        <w:id w:val="-1679418811"/>
        <w:docPartObj>
          <w:docPartGallery w:val="Bibliographies"/>
          <w:docPartUnique/>
        </w:docPartObj>
      </w:sdtPr>
      <w:sdtEndPr>
        <w:rPr>
          <w:rFonts w:ascii="Arial" w:hAnsi="Arial" w:cs="Arial"/>
          <w:sz w:val="18"/>
          <w:szCs w:val="18"/>
        </w:rPr>
      </w:sdtEndPr>
      <w:sdtContent>
        <w:sdt>
          <w:sdtPr>
            <w:id w:val="-573587230"/>
            <w:showingPlcHdr/>
            <w:bibliography/>
          </w:sdtPr>
          <w:sdtEndPr>
            <w:rPr>
              <w:rFonts w:ascii="Arial" w:hAnsi="Arial" w:cs="Arial"/>
              <w:sz w:val="18"/>
              <w:szCs w:val="18"/>
            </w:rPr>
          </w:sdtEndPr>
          <w:sdtContent>
            <w:p w14:paraId="7866196C" w14:textId="77777777" w:rsidR="00D30BA0" w:rsidRPr="00962F04" w:rsidRDefault="00D30BA0" w:rsidP="00D30BA0">
              <w:pPr>
                <w:pStyle w:val="Bibliography"/>
                <w:spacing w:after="120"/>
                <w:rPr>
                  <w:rFonts w:ascii="Arial" w:hAnsi="Arial" w:cs="Arial"/>
                  <w:sz w:val="18"/>
                  <w:szCs w:val="18"/>
                </w:rPr>
              </w:pPr>
              <w:r>
                <w:t xml:space="preserve">     </w:t>
              </w:r>
            </w:p>
          </w:sdtContent>
        </w:sdt>
      </w:sdtContent>
    </w:sdt>
    <w:p w14:paraId="5325DB86" w14:textId="77777777" w:rsidR="00D30BA0" w:rsidRPr="00B552C8" w:rsidRDefault="00D30BA0" w:rsidP="00E94616">
      <w:pPr>
        <w:jc w:val="both"/>
        <w:rPr>
          <w:sz w:val="24"/>
          <w:szCs w:val="24"/>
        </w:rPr>
      </w:pPr>
    </w:p>
    <w:sectPr w:rsidR="00D30BA0" w:rsidRPr="00B552C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E045" w14:textId="77777777" w:rsidR="00E10408" w:rsidRDefault="00E10408" w:rsidP="00196C8A">
      <w:r>
        <w:separator/>
      </w:r>
    </w:p>
  </w:endnote>
  <w:endnote w:type="continuationSeparator" w:id="0">
    <w:p w14:paraId="1FD60C59" w14:textId="77777777" w:rsidR="00E10408" w:rsidRDefault="00E10408" w:rsidP="0019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A253" w14:textId="77777777" w:rsidR="009B0A54" w:rsidRDefault="009B0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39B4" w14:textId="77777777" w:rsidR="009B0A54" w:rsidRDefault="009B0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7C47" w14:textId="77777777" w:rsidR="009B0A54" w:rsidRDefault="009B0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0A2E" w14:textId="77777777" w:rsidR="00E10408" w:rsidRDefault="00E10408" w:rsidP="00196C8A">
      <w:r>
        <w:separator/>
      </w:r>
    </w:p>
  </w:footnote>
  <w:footnote w:type="continuationSeparator" w:id="0">
    <w:p w14:paraId="345D96C6" w14:textId="77777777" w:rsidR="00E10408" w:rsidRDefault="00E10408" w:rsidP="00196C8A">
      <w:r>
        <w:continuationSeparator/>
      </w:r>
    </w:p>
  </w:footnote>
  <w:footnote w:id="1">
    <w:p w14:paraId="19A4EE16" w14:textId="7442163F" w:rsidR="00BB28B6" w:rsidRPr="00BB28B6" w:rsidRDefault="00BB28B6" w:rsidP="00BB28B6">
      <w:pPr>
        <w:pStyle w:val="FootnoteText"/>
        <w:jc w:val="both"/>
      </w:pPr>
      <w:r>
        <w:rPr>
          <w:rStyle w:val="FootnoteReference"/>
        </w:rPr>
        <w:footnoteRef/>
      </w:r>
      <w:r>
        <w:t xml:space="preserve"> </w:t>
      </w:r>
      <w:r w:rsidRPr="00BB28B6">
        <w:rPr>
          <w:sz w:val="18"/>
          <w:szCs w:val="18"/>
        </w:rPr>
        <w:t xml:space="preserve">Institution of Occupational Safety and Health. Catch the Wave campaign. </w:t>
      </w:r>
      <w:hyperlink r:id="rId1" w:history="1">
        <w:r w:rsidRPr="00BB28B6">
          <w:rPr>
            <w:rStyle w:val="Hyperlink"/>
            <w:sz w:val="18"/>
            <w:szCs w:val="18"/>
          </w:rPr>
          <w:t>https://iosh.com/media/10357/harnessing-the-power-of-social-sustainability.pdf</w:t>
        </w:r>
      </w:hyperlink>
      <w:r>
        <w:t xml:space="preserve"> </w:t>
      </w:r>
    </w:p>
  </w:footnote>
  <w:footnote w:id="2">
    <w:p w14:paraId="6959C23A" w14:textId="39120F68" w:rsidR="002F7D53" w:rsidRDefault="002F7D53" w:rsidP="000D2076">
      <w:pPr>
        <w:pStyle w:val="FootnoteText"/>
        <w:jc w:val="both"/>
      </w:pPr>
      <w:r>
        <w:rPr>
          <w:rStyle w:val="FootnoteReference"/>
        </w:rPr>
        <w:footnoteRef/>
      </w:r>
      <w:r>
        <w:t xml:space="preserve"> </w:t>
      </w:r>
      <w:r w:rsidRPr="000D2076">
        <w:rPr>
          <w:sz w:val="18"/>
          <w:szCs w:val="18"/>
        </w:rPr>
        <w:t xml:space="preserve">Blindman, P. In pursuit of positive impact: Growing scrutiny around ESG highlights impact investing as a force for change. March, 2023. </w:t>
      </w:r>
      <w:hyperlink r:id="rId2" w:history="1">
        <w:r w:rsidRPr="000D2076">
          <w:rPr>
            <w:rStyle w:val="Hyperlink"/>
            <w:sz w:val="18"/>
            <w:szCs w:val="18"/>
          </w:rPr>
          <w:t>https://www.leasinglife.com/analysis/in-pursuit-of-positive-impact-growing-scrutiny-around-esg-highlights-impact-investing-as-a-force-for-change/?cf-view</w:t>
        </w:r>
      </w:hyperlink>
      <w:r>
        <w:t xml:space="preserve"> </w:t>
      </w:r>
    </w:p>
  </w:footnote>
  <w:footnote w:id="3">
    <w:p w14:paraId="453B9E47" w14:textId="2E8DCEBD" w:rsidR="00E83A8C" w:rsidRDefault="00E83A8C" w:rsidP="00E83A8C">
      <w:pPr>
        <w:pStyle w:val="FootnoteText"/>
        <w:jc w:val="both"/>
      </w:pPr>
      <w:r>
        <w:rPr>
          <w:rStyle w:val="FootnoteReference"/>
        </w:rPr>
        <w:footnoteRef/>
      </w:r>
      <w:r>
        <w:t xml:space="preserve"> </w:t>
      </w:r>
      <w:r w:rsidRPr="00E83A8C">
        <w:rPr>
          <w:sz w:val="18"/>
          <w:szCs w:val="18"/>
        </w:rPr>
        <w:t>Bermejo, Vicente J. and Rizzo, Antonino Emanuele and Zakriya, Mohammed, What Drives Corporate ESG? Disentangling the Importance of Investors, Managers, and Firms (July 14, 2022). Available at SSRN: https://ssrn.com/abstract=4162687 or http://dx.doi.org/10.2139/ssrn.4162687</w:t>
      </w:r>
    </w:p>
  </w:footnote>
  <w:footnote w:id="4">
    <w:p w14:paraId="4DE21ADC" w14:textId="02F1ADE6" w:rsidR="00D03A71" w:rsidRPr="00D03A71" w:rsidRDefault="00D03A71" w:rsidP="00D03A71">
      <w:pPr>
        <w:pStyle w:val="FootnoteText"/>
        <w:jc w:val="both"/>
        <w:rPr>
          <w:sz w:val="18"/>
          <w:szCs w:val="18"/>
        </w:rPr>
      </w:pPr>
      <w:r>
        <w:rPr>
          <w:rStyle w:val="FootnoteReference"/>
        </w:rPr>
        <w:footnoteRef/>
      </w:r>
      <w:r>
        <w:t xml:space="preserve"> </w:t>
      </w:r>
      <w:r w:rsidRPr="00D03A71">
        <w:rPr>
          <w:sz w:val="18"/>
          <w:szCs w:val="18"/>
        </w:rPr>
        <w:t xml:space="preserve">World Economic Forum. Here's why we must not lose sight of the importance of ESG, despite the recent backlash. Davos 2023. January, 2023. </w:t>
      </w:r>
      <w:hyperlink r:id="rId3" w:history="1">
        <w:r w:rsidRPr="00D03A71">
          <w:rPr>
            <w:rStyle w:val="Hyperlink"/>
            <w:sz w:val="18"/>
            <w:szCs w:val="18"/>
          </w:rPr>
          <w:t>https://www.weforum.org/agenda/2023/01/the-importance-of-esg-sustainable-future-davos-2023/</w:t>
        </w:r>
      </w:hyperlink>
      <w:r w:rsidRPr="00D03A71">
        <w:rPr>
          <w:sz w:val="18"/>
          <w:szCs w:val="18"/>
        </w:rPr>
        <w:t xml:space="preserve"> </w:t>
      </w:r>
    </w:p>
  </w:footnote>
  <w:footnote w:id="5">
    <w:p w14:paraId="302F720A" w14:textId="77777777" w:rsidR="00CC0326" w:rsidRDefault="00CC0326" w:rsidP="00CC0326">
      <w:pPr>
        <w:pStyle w:val="FootnoteText"/>
        <w:jc w:val="both"/>
      </w:pPr>
      <w:r>
        <w:rPr>
          <w:rStyle w:val="FootnoteReference"/>
        </w:rPr>
        <w:footnoteRef/>
      </w:r>
      <w:r>
        <w:t xml:space="preserve"> </w:t>
      </w:r>
      <w:r w:rsidRPr="005E68AE">
        <w:rPr>
          <w:sz w:val="18"/>
          <w:szCs w:val="18"/>
        </w:rPr>
        <w:t xml:space="preserve">OECD. Business and Finance Outlook 2020. Sustainable and Resilient Finance. </w:t>
      </w:r>
      <w:hyperlink r:id="rId4" w:anchor="section-d1e5949" w:history="1">
        <w:r w:rsidRPr="005E68AE">
          <w:rPr>
            <w:rStyle w:val="Hyperlink"/>
            <w:sz w:val="18"/>
            <w:szCs w:val="18"/>
          </w:rPr>
          <w:t>https://www.oecd-ilibrary.org/sites/b854a453-en/index.html?itemId=/content/component/b854a453-en#section-d1e5949</w:t>
        </w:r>
      </w:hyperlink>
      <w:r>
        <w:t xml:space="preserve"> </w:t>
      </w:r>
    </w:p>
  </w:footnote>
  <w:footnote w:id="6">
    <w:p w14:paraId="0B4EE23A" w14:textId="77777777" w:rsidR="004F6CE3" w:rsidRDefault="004F6CE3" w:rsidP="004F6CE3">
      <w:pPr>
        <w:pStyle w:val="FootnoteText"/>
        <w:jc w:val="both"/>
      </w:pPr>
      <w:r>
        <w:rPr>
          <w:rStyle w:val="FootnoteReference"/>
        </w:rPr>
        <w:footnoteRef/>
      </w:r>
      <w:r>
        <w:t xml:space="preserve"> </w:t>
      </w:r>
      <w:r>
        <w:rPr>
          <w:sz w:val="18"/>
          <w:szCs w:val="18"/>
        </w:rPr>
        <w:t xml:space="preserve">The Organisation for Economic Co-operation and Development. Interconnected supply chains: a comprehensive look at due diligence challenges and opportunities sourcing cobalt and copper from the Democratic Republic of the Congo. Paris, 2019. </w:t>
      </w:r>
      <w:r>
        <w:t xml:space="preserve"> </w:t>
      </w:r>
    </w:p>
  </w:footnote>
  <w:footnote w:id="7">
    <w:p w14:paraId="6C4991F3" w14:textId="77777777" w:rsidR="004F6CE3" w:rsidRDefault="004F6CE3" w:rsidP="004F6CE3">
      <w:pPr>
        <w:pStyle w:val="FootnoteText"/>
        <w:jc w:val="both"/>
      </w:pPr>
      <w:r>
        <w:rPr>
          <w:rStyle w:val="FootnoteReference"/>
        </w:rPr>
        <w:footnoteRef/>
      </w:r>
      <w:r>
        <w:t xml:space="preserve"> </w:t>
      </w:r>
      <w:r w:rsidRPr="00201C9B">
        <w:rPr>
          <w:sz w:val="18"/>
          <w:szCs w:val="18"/>
        </w:rPr>
        <w:t>Sherpa. Mining with meaning. Protecting human rights and the environment in the shift to clean energy. October, 2020</w:t>
      </w:r>
    </w:p>
  </w:footnote>
  <w:footnote w:id="8">
    <w:p w14:paraId="5D711109" w14:textId="5E876EBD" w:rsidR="004F6CE3" w:rsidRDefault="004F6CE3" w:rsidP="004F6CE3">
      <w:pPr>
        <w:pStyle w:val="FootnoteText"/>
        <w:jc w:val="both"/>
      </w:pPr>
      <w:r>
        <w:rPr>
          <w:rStyle w:val="FootnoteReference"/>
        </w:rPr>
        <w:footnoteRef/>
      </w:r>
      <w:r>
        <w:t xml:space="preserve"> </w:t>
      </w:r>
      <w:r w:rsidRPr="00201C9B">
        <w:rPr>
          <w:sz w:val="18"/>
          <w:szCs w:val="18"/>
        </w:rPr>
        <w:t>ERM. The ongoing evolution of sustainable business. 2023 Trends Report</w:t>
      </w:r>
      <w:r>
        <w:t xml:space="preserve">.  </w:t>
      </w:r>
    </w:p>
  </w:footnote>
  <w:footnote w:id="9">
    <w:p w14:paraId="6D5A9649" w14:textId="77B8D4AB" w:rsidR="00F03927" w:rsidRPr="00A61F85" w:rsidRDefault="00F03927" w:rsidP="00F03927">
      <w:pPr>
        <w:pStyle w:val="FootnoteText"/>
        <w:jc w:val="both"/>
      </w:pPr>
      <w:r>
        <w:rPr>
          <w:rStyle w:val="FootnoteReference"/>
        </w:rPr>
        <w:footnoteRef/>
      </w:r>
      <w:r>
        <w:t xml:space="preserve"> </w:t>
      </w:r>
      <w:r w:rsidRPr="00F03927">
        <w:rPr>
          <w:sz w:val="18"/>
          <w:szCs w:val="18"/>
        </w:rPr>
        <w:t xml:space="preserve">BlackRock. Our approach to engagement on human capital management. </w:t>
      </w:r>
      <w:r w:rsidRPr="00A61F85">
        <w:rPr>
          <w:sz w:val="18"/>
          <w:szCs w:val="18"/>
        </w:rPr>
        <w:t xml:space="preserve">2023. </w:t>
      </w:r>
      <w:hyperlink r:id="rId5" w:history="1">
        <w:r w:rsidRPr="00A61F85">
          <w:rPr>
            <w:rStyle w:val="Hyperlink"/>
            <w:sz w:val="18"/>
            <w:szCs w:val="18"/>
          </w:rPr>
          <w:t>https://www.blackrock.com/corporate/literature/publication/blk-commentary-engagement-on-human-capital.pdf</w:t>
        </w:r>
      </w:hyperlink>
      <w:r w:rsidRPr="00A61F85">
        <w:t xml:space="preserve"> </w:t>
      </w:r>
    </w:p>
  </w:footnote>
  <w:footnote w:id="10">
    <w:p w14:paraId="7407938B" w14:textId="34910E17" w:rsidR="00DE2381" w:rsidRPr="00DE2381" w:rsidRDefault="00DE2381" w:rsidP="00DE2381">
      <w:pPr>
        <w:pStyle w:val="FootnoteText"/>
        <w:jc w:val="both"/>
        <w:rPr>
          <w:sz w:val="18"/>
          <w:szCs w:val="18"/>
        </w:rPr>
      </w:pPr>
      <w:r>
        <w:rPr>
          <w:rStyle w:val="FootnoteReference"/>
        </w:rPr>
        <w:footnoteRef/>
      </w:r>
      <w:r>
        <w:t xml:space="preserve"> </w:t>
      </w:r>
      <w:r w:rsidRPr="00DE2381">
        <w:rPr>
          <w:sz w:val="18"/>
          <w:szCs w:val="18"/>
        </w:rPr>
        <w:t>Recognizing the Imperative Need to Step up Integration Efforts of Occupational Health and Safety Provisions in Trade and Investment Agreements. Available from: https://www.researchgate.net/publication/355118680_Recognizing_the_Imperative_Need_to_Step_up_Integration_Efforts_of_Occupational_Health_and_Safety_Provisions_in_Trade_and_Investment_Agreements [accessed Sep 11 2023].</w:t>
      </w:r>
    </w:p>
  </w:footnote>
  <w:footnote w:id="11">
    <w:p w14:paraId="52E64513" w14:textId="77777777" w:rsidR="00C439E5" w:rsidRDefault="00C439E5" w:rsidP="00C439E5">
      <w:pPr>
        <w:pStyle w:val="FootnoteText"/>
        <w:jc w:val="both"/>
      </w:pPr>
      <w:r>
        <w:rPr>
          <w:rStyle w:val="FootnoteReference"/>
        </w:rPr>
        <w:footnoteRef/>
      </w:r>
      <w:r>
        <w:t xml:space="preserve"> </w:t>
      </w:r>
      <w:r w:rsidRPr="00C439E5">
        <w:rPr>
          <w:sz w:val="18"/>
          <w:szCs w:val="18"/>
        </w:rPr>
        <w:t xml:space="preserve">Amnesty International. Risky business. How leading venture capital firms ignore human rights when investing in technology. London, 2021. </w:t>
      </w:r>
      <w:hyperlink r:id="rId6" w:history="1">
        <w:r w:rsidRPr="00C439E5">
          <w:rPr>
            <w:rStyle w:val="Hyperlink"/>
            <w:sz w:val="18"/>
            <w:szCs w:val="18"/>
          </w:rPr>
          <w:t>https://www.amnestyusa.org/wp-content/uploads/2021/07/Risky-Business-How-Leading-VC-Firms-Ignore-Human-Rights-When-investing-in-Tech-Final-1.pdf</w:t>
        </w:r>
      </w:hyperlink>
      <w:r>
        <w:t xml:space="preserve">  </w:t>
      </w:r>
    </w:p>
  </w:footnote>
  <w:footnote w:id="12">
    <w:p w14:paraId="2387FD96" w14:textId="05E0414C" w:rsidR="008C7B77" w:rsidRDefault="008C7B77" w:rsidP="008C7B77">
      <w:pPr>
        <w:pStyle w:val="FootnoteText"/>
        <w:jc w:val="both"/>
      </w:pPr>
      <w:r>
        <w:rPr>
          <w:rStyle w:val="FootnoteReference"/>
        </w:rPr>
        <w:footnoteRef/>
      </w:r>
      <w:r>
        <w:t xml:space="preserve"> </w:t>
      </w:r>
      <w:r w:rsidRPr="008C7B77">
        <w:rPr>
          <w:sz w:val="18"/>
          <w:szCs w:val="18"/>
        </w:rPr>
        <w:t xml:space="preserve">Mishra, S. Harvard Law School Forum on Corporate Governance.The Rapidly Changing World of Human Rights Regulation: A Resource for Investors. July, 2022. </w:t>
      </w:r>
      <w:hyperlink r:id="rId7" w:history="1">
        <w:r w:rsidRPr="008C7B77">
          <w:rPr>
            <w:rStyle w:val="Hyperlink"/>
            <w:sz w:val="18"/>
            <w:szCs w:val="18"/>
          </w:rPr>
          <w:t>https://corpgov.law.harvard.edu/2022/07/18/the-rapidly-changing-world-of-human-rights-regulation-a-resource-for-investors/</w:t>
        </w:r>
      </w:hyperlink>
      <w:r>
        <w:t xml:space="preserve"> </w:t>
      </w:r>
    </w:p>
  </w:footnote>
  <w:footnote w:id="13">
    <w:p w14:paraId="3247B6F8" w14:textId="4D09F05E" w:rsidR="003D39D7" w:rsidRDefault="003D39D7" w:rsidP="003D39D7">
      <w:pPr>
        <w:pStyle w:val="FootnoteText"/>
        <w:jc w:val="both"/>
      </w:pPr>
      <w:r>
        <w:rPr>
          <w:rStyle w:val="FootnoteReference"/>
        </w:rPr>
        <w:footnoteRef/>
      </w:r>
      <w:r>
        <w:t xml:space="preserve"> </w:t>
      </w:r>
      <w:r w:rsidRPr="003D39D7">
        <w:rPr>
          <w:sz w:val="18"/>
          <w:szCs w:val="18"/>
        </w:rPr>
        <w:t>Giulia Botta, Unpacking the Potentials of a Framework Agreement on Business and Human Rights: An Opportunity to Transcend the Hard and Soft-Law Dichotomy for More Policy Coherence, Völkerrechtsblog, 20.06.2022, doi: 10.17176/20220620-153018-0.</w:t>
      </w:r>
    </w:p>
  </w:footnote>
  <w:footnote w:id="14">
    <w:p w14:paraId="7178A03A" w14:textId="45C2A8B8" w:rsidR="00DD15A7" w:rsidRDefault="00DD15A7">
      <w:pPr>
        <w:pStyle w:val="FootnoteText"/>
      </w:pPr>
      <w:r>
        <w:rPr>
          <w:rStyle w:val="FootnoteReference"/>
        </w:rPr>
        <w:footnoteRef/>
      </w:r>
      <w:r>
        <w:t xml:space="preserve"> </w:t>
      </w:r>
      <w:r w:rsidR="001F5B8F">
        <w:t xml:space="preserve">Shareaction. </w:t>
      </w:r>
      <w:r w:rsidR="001F5B8F" w:rsidRPr="001F5B8F">
        <w:t>Investor group calls on the ISSB to embark on human rights and human capital concurrently, and as a priority</w:t>
      </w:r>
      <w:r w:rsidR="001F5B8F">
        <w:t>. August, 2023.</w:t>
      </w:r>
    </w:p>
  </w:footnote>
  <w:footnote w:id="15">
    <w:p w14:paraId="7EDD8189" w14:textId="1550C048" w:rsidR="001E3960" w:rsidRPr="001E3960" w:rsidRDefault="001E3960" w:rsidP="001E3960">
      <w:pPr>
        <w:pStyle w:val="FootnoteText"/>
        <w:jc w:val="both"/>
      </w:pPr>
      <w:r>
        <w:rPr>
          <w:rStyle w:val="FootnoteReference"/>
        </w:rPr>
        <w:footnoteRef/>
      </w:r>
      <w:r>
        <w:t xml:space="preserve"> </w:t>
      </w:r>
      <w:r w:rsidRPr="001E3960">
        <w:rPr>
          <w:sz w:val="18"/>
          <w:szCs w:val="18"/>
        </w:rPr>
        <w:t>Modern Slavery &amp; Human Rights Policy and Evidence Centre. Effectiveness of mandatory human rights and environmental due diligence.</w:t>
      </w:r>
      <w:r>
        <w:rPr>
          <w:sz w:val="18"/>
          <w:szCs w:val="18"/>
        </w:rPr>
        <w:t xml:space="preserve"> </w:t>
      </w:r>
      <w:r w:rsidRPr="001E3960">
        <w:rPr>
          <w:sz w:val="18"/>
          <w:szCs w:val="18"/>
        </w:rPr>
        <w:t>London</w:t>
      </w:r>
      <w:r>
        <w:rPr>
          <w:sz w:val="18"/>
          <w:szCs w:val="18"/>
        </w:rPr>
        <w:t>. May, 2022.</w:t>
      </w:r>
      <w:r w:rsidRPr="001E3960">
        <w:rPr>
          <w:sz w:val="18"/>
          <w:szCs w:val="18"/>
        </w:rPr>
        <w:t xml:space="preserve"> </w:t>
      </w:r>
      <w:hyperlink r:id="rId8" w:history="1">
        <w:r w:rsidRPr="001E3960">
          <w:rPr>
            <w:rStyle w:val="Hyperlink"/>
            <w:sz w:val="18"/>
            <w:szCs w:val="18"/>
          </w:rPr>
          <w:t>https://modernslaverypec.org/assets/downloads/mHREDD_briefing_FINAL.pdf</w:t>
        </w:r>
      </w:hyperlink>
      <w:r w:rsidRPr="001E3960">
        <w:t xml:space="preserve"> </w:t>
      </w:r>
    </w:p>
  </w:footnote>
  <w:footnote w:id="16">
    <w:p w14:paraId="2C306D4A" w14:textId="77777777" w:rsidR="00C1299E" w:rsidRDefault="00C1299E" w:rsidP="00C1299E">
      <w:pPr>
        <w:pStyle w:val="FootnoteText"/>
        <w:jc w:val="both"/>
      </w:pPr>
      <w:r>
        <w:rPr>
          <w:rStyle w:val="FootnoteReference"/>
        </w:rPr>
        <w:footnoteRef/>
      </w:r>
      <w:r>
        <w:t xml:space="preserve"> </w:t>
      </w:r>
      <w:r w:rsidRPr="00921DF7">
        <w:rPr>
          <w:sz w:val="18"/>
          <w:szCs w:val="18"/>
        </w:rPr>
        <w:t xml:space="preserve">Principles for Responsible Investment. The effectiveness of divestment strategies. March, 2023. </w:t>
      </w:r>
      <w:hyperlink r:id="rId9" w:history="1">
        <w:r w:rsidRPr="00921DF7">
          <w:rPr>
            <w:rStyle w:val="Hyperlink"/>
            <w:sz w:val="18"/>
            <w:szCs w:val="18"/>
          </w:rPr>
          <w:t>https://www.unpri.org/academic-blogs/the-effectiveness-of-divestment-strategies/11204.article</w:t>
        </w:r>
      </w:hyperlink>
      <w:r w:rsidRPr="00921DF7">
        <w:rPr>
          <w:sz w:val="18"/>
          <w:szCs w:val="18"/>
        </w:rPr>
        <w:t xml:space="preserve"> </w:t>
      </w:r>
    </w:p>
  </w:footnote>
  <w:footnote w:id="17">
    <w:p w14:paraId="58DD703F" w14:textId="77777777" w:rsidR="00C1299E" w:rsidRDefault="00C1299E" w:rsidP="00C1299E">
      <w:pPr>
        <w:pStyle w:val="FootnoteText"/>
        <w:jc w:val="both"/>
      </w:pPr>
      <w:r>
        <w:rPr>
          <w:rStyle w:val="FootnoteReference"/>
        </w:rPr>
        <w:footnoteRef/>
      </w:r>
      <w:r>
        <w:t xml:space="preserve"> </w:t>
      </w:r>
      <w:r w:rsidRPr="00A11963">
        <w:rPr>
          <w:sz w:val="18"/>
          <w:szCs w:val="18"/>
        </w:rPr>
        <w:t>Edmans, Alex and Levit, Doron and Schneemeier, Jan, Socially Responsible Divestment (July 12, 2023). European Corporate Governance Institute – Finance Working Paper No. 823/2022, Proceedings of the EUROFIDAI-ESSEC Paris December Finance Meeting 2022, Available at SSRN: https://ssrn.com/abstract=4093518 or http://dx.doi.org/10.2139/ssrn.4093518</w:t>
      </w:r>
    </w:p>
  </w:footnote>
  <w:footnote w:id="18">
    <w:p w14:paraId="4C3BA61B" w14:textId="5231DCB4" w:rsidR="00EE558C" w:rsidRPr="00EE558C" w:rsidRDefault="00EE558C" w:rsidP="00EE558C">
      <w:pPr>
        <w:pStyle w:val="FootnoteText"/>
        <w:jc w:val="both"/>
        <w:rPr>
          <w:sz w:val="18"/>
          <w:szCs w:val="18"/>
        </w:rPr>
      </w:pPr>
      <w:r>
        <w:rPr>
          <w:rStyle w:val="FootnoteReference"/>
        </w:rPr>
        <w:footnoteRef/>
      </w:r>
      <w:r>
        <w:t xml:space="preserve"> </w:t>
      </w:r>
      <w:r w:rsidRPr="00EE558C">
        <w:rPr>
          <w:sz w:val="18"/>
          <w:szCs w:val="18"/>
        </w:rPr>
        <w:t>Institution of Occupational Safety and Health. UN Working Group on</w:t>
      </w:r>
      <w:r>
        <w:rPr>
          <w:sz w:val="18"/>
          <w:szCs w:val="18"/>
        </w:rPr>
        <w:t xml:space="preserve"> </w:t>
      </w:r>
      <w:r w:rsidRPr="00EE558C">
        <w:rPr>
          <w:sz w:val="18"/>
          <w:szCs w:val="18"/>
        </w:rPr>
        <w:t>Business and Human Rights</w:t>
      </w:r>
      <w:r>
        <w:rPr>
          <w:sz w:val="18"/>
          <w:szCs w:val="18"/>
        </w:rPr>
        <w:t xml:space="preserve"> </w:t>
      </w:r>
      <w:r w:rsidRPr="00EE558C">
        <w:rPr>
          <w:sz w:val="18"/>
          <w:szCs w:val="18"/>
        </w:rPr>
        <w:t>Call for inputs to multi-stakeholder</w:t>
      </w:r>
      <w:r>
        <w:rPr>
          <w:sz w:val="18"/>
          <w:szCs w:val="18"/>
        </w:rPr>
        <w:t xml:space="preserve"> </w:t>
      </w:r>
      <w:r w:rsidRPr="00EE558C">
        <w:rPr>
          <w:sz w:val="18"/>
          <w:szCs w:val="18"/>
        </w:rPr>
        <w:t xml:space="preserve">consultation on </w:t>
      </w:r>
      <w:r>
        <w:rPr>
          <w:sz w:val="18"/>
          <w:szCs w:val="18"/>
        </w:rPr>
        <w:t>c</w:t>
      </w:r>
      <w:r w:rsidRPr="00EE558C">
        <w:rPr>
          <w:sz w:val="18"/>
          <w:szCs w:val="18"/>
        </w:rPr>
        <w:t>orporate influence</w:t>
      </w:r>
      <w:r>
        <w:rPr>
          <w:sz w:val="18"/>
          <w:szCs w:val="18"/>
        </w:rPr>
        <w:t xml:space="preserve"> </w:t>
      </w:r>
      <w:r w:rsidRPr="00EE558C">
        <w:rPr>
          <w:sz w:val="18"/>
          <w:szCs w:val="18"/>
        </w:rPr>
        <w:t xml:space="preserve">in the political and regulatory sphere. </w:t>
      </w:r>
      <w:hyperlink r:id="rId10" w:history="1">
        <w:r w:rsidRPr="00EE558C">
          <w:rPr>
            <w:rStyle w:val="Hyperlink"/>
            <w:sz w:val="18"/>
            <w:szCs w:val="18"/>
          </w:rPr>
          <w:t>https://iosh.com/media/10602/iosh-response-to-un-responsible-corporate-pol.pdf</w:t>
        </w:r>
      </w:hyperlink>
      <w:r w:rsidRPr="00EE558C">
        <w:rPr>
          <w:sz w:val="18"/>
          <w:szCs w:val="18"/>
        </w:rPr>
        <w:t xml:space="preserve"> </w:t>
      </w:r>
    </w:p>
  </w:footnote>
  <w:footnote w:id="19">
    <w:p w14:paraId="2B33970D" w14:textId="735EEB48" w:rsidR="00713DFB" w:rsidRDefault="00713DFB" w:rsidP="00713DFB">
      <w:pPr>
        <w:pStyle w:val="FootnoteText"/>
        <w:jc w:val="both"/>
      </w:pPr>
      <w:r>
        <w:rPr>
          <w:rStyle w:val="FootnoteReference"/>
        </w:rPr>
        <w:footnoteRef/>
      </w:r>
      <w:r>
        <w:t xml:space="preserve"> </w:t>
      </w:r>
      <w:r w:rsidRPr="00713DFB">
        <w:rPr>
          <w:sz w:val="18"/>
          <w:szCs w:val="18"/>
        </w:rPr>
        <w:t xml:space="preserve">Institution of Occupational Safety and Health. Call for inputs: Extractive sector, just transition and human rights. United Nations – Working Group on Business and Human Rights. </w:t>
      </w:r>
      <w:hyperlink r:id="rId11" w:history="1">
        <w:r w:rsidRPr="00713DFB">
          <w:rPr>
            <w:rStyle w:val="Hyperlink"/>
            <w:sz w:val="18"/>
            <w:szCs w:val="18"/>
          </w:rPr>
          <w:t>https://iosh.com/media/12097/documents-consultations-iosh_response_to_unbrh_extractive_sector.pdf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04CC" w14:textId="77777777" w:rsidR="009B0A54" w:rsidRDefault="009B0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9FB" w14:textId="469F629C" w:rsidR="00196C8A" w:rsidRDefault="00196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92B8" w14:textId="77777777" w:rsidR="009B0A54" w:rsidRDefault="009B0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BB4"/>
    <w:multiLevelType w:val="hybridMultilevel"/>
    <w:tmpl w:val="668E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80829"/>
    <w:multiLevelType w:val="hybridMultilevel"/>
    <w:tmpl w:val="9476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A5127"/>
    <w:multiLevelType w:val="multilevel"/>
    <w:tmpl w:val="2A6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06CC4"/>
    <w:multiLevelType w:val="multilevel"/>
    <w:tmpl w:val="C28C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B9065E"/>
    <w:multiLevelType w:val="multilevel"/>
    <w:tmpl w:val="C9DC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116339"/>
    <w:multiLevelType w:val="multilevel"/>
    <w:tmpl w:val="888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1D6E5E"/>
    <w:multiLevelType w:val="multilevel"/>
    <w:tmpl w:val="AF86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660DA"/>
    <w:multiLevelType w:val="hybridMultilevel"/>
    <w:tmpl w:val="5F44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D411A"/>
    <w:multiLevelType w:val="hybridMultilevel"/>
    <w:tmpl w:val="87DC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46334"/>
    <w:multiLevelType w:val="multilevel"/>
    <w:tmpl w:val="1FFE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BBB1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FE6C00"/>
    <w:multiLevelType w:val="multilevel"/>
    <w:tmpl w:val="24FA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332C84"/>
    <w:multiLevelType w:val="hybridMultilevel"/>
    <w:tmpl w:val="F54A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B1F60"/>
    <w:multiLevelType w:val="hybridMultilevel"/>
    <w:tmpl w:val="A7B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82058"/>
    <w:multiLevelType w:val="hybridMultilevel"/>
    <w:tmpl w:val="FBBA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90278"/>
    <w:multiLevelType w:val="hybridMultilevel"/>
    <w:tmpl w:val="DA2C8308"/>
    <w:lvl w:ilvl="0" w:tplc="FB1048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5661A"/>
    <w:multiLevelType w:val="multilevel"/>
    <w:tmpl w:val="5C52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3511547">
    <w:abstractNumId w:val="7"/>
  </w:num>
  <w:num w:numId="2" w16cid:durableId="49816956">
    <w:abstractNumId w:val="13"/>
  </w:num>
  <w:num w:numId="3" w16cid:durableId="1908492417">
    <w:abstractNumId w:val="1"/>
  </w:num>
  <w:num w:numId="4" w16cid:durableId="1867253408">
    <w:abstractNumId w:val="8"/>
  </w:num>
  <w:num w:numId="5" w16cid:durableId="1131483933">
    <w:abstractNumId w:val="14"/>
  </w:num>
  <w:num w:numId="6" w16cid:durableId="1342586464">
    <w:abstractNumId w:val="11"/>
  </w:num>
  <w:num w:numId="7" w16cid:durableId="732234317">
    <w:abstractNumId w:val="5"/>
  </w:num>
  <w:num w:numId="8" w16cid:durableId="59721558">
    <w:abstractNumId w:val="3"/>
  </w:num>
  <w:num w:numId="9" w16cid:durableId="2040350939">
    <w:abstractNumId w:val="2"/>
  </w:num>
  <w:num w:numId="10" w16cid:durableId="1592664181">
    <w:abstractNumId w:val="12"/>
  </w:num>
  <w:num w:numId="11" w16cid:durableId="16515358">
    <w:abstractNumId w:val="0"/>
  </w:num>
  <w:num w:numId="12" w16cid:durableId="769590327">
    <w:abstractNumId w:val="9"/>
  </w:num>
  <w:num w:numId="13" w16cid:durableId="1786000098">
    <w:abstractNumId w:val="6"/>
  </w:num>
  <w:num w:numId="14" w16cid:durableId="1050152924">
    <w:abstractNumId w:val="16"/>
  </w:num>
  <w:num w:numId="15" w16cid:durableId="1612854820">
    <w:abstractNumId w:val="4"/>
  </w:num>
  <w:num w:numId="16" w16cid:durableId="992026686">
    <w:abstractNumId w:val="10"/>
  </w:num>
  <w:num w:numId="17" w16cid:durableId="18078908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AB"/>
    <w:rsid w:val="00000B7A"/>
    <w:rsid w:val="00002997"/>
    <w:rsid w:val="00002A4D"/>
    <w:rsid w:val="00006BEB"/>
    <w:rsid w:val="0000712E"/>
    <w:rsid w:val="00011854"/>
    <w:rsid w:val="000242D3"/>
    <w:rsid w:val="000274DC"/>
    <w:rsid w:val="0003262F"/>
    <w:rsid w:val="0003661E"/>
    <w:rsid w:val="00036FBC"/>
    <w:rsid w:val="000411D4"/>
    <w:rsid w:val="00042B88"/>
    <w:rsid w:val="000435B6"/>
    <w:rsid w:val="000461CE"/>
    <w:rsid w:val="0005280E"/>
    <w:rsid w:val="00053C1F"/>
    <w:rsid w:val="000554B3"/>
    <w:rsid w:val="00055E56"/>
    <w:rsid w:val="000605C1"/>
    <w:rsid w:val="000634C5"/>
    <w:rsid w:val="0006614B"/>
    <w:rsid w:val="000745D1"/>
    <w:rsid w:val="0007779D"/>
    <w:rsid w:val="00080094"/>
    <w:rsid w:val="00081C71"/>
    <w:rsid w:val="00081E64"/>
    <w:rsid w:val="00084AEB"/>
    <w:rsid w:val="00087E1A"/>
    <w:rsid w:val="00090735"/>
    <w:rsid w:val="000972CE"/>
    <w:rsid w:val="000A1DBD"/>
    <w:rsid w:val="000A207E"/>
    <w:rsid w:val="000A42CF"/>
    <w:rsid w:val="000A5A08"/>
    <w:rsid w:val="000A7C50"/>
    <w:rsid w:val="000B335B"/>
    <w:rsid w:val="000B6455"/>
    <w:rsid w:val="000C3C7D"/>
    <w:rsid w:val="000C71BF"/>
    <w:rsid w:val="000D13EA"/>
    <w:rsid w:val="000D2076"/>
    <w:rsid w:val="000D5230"/>
    <w:rsid w:val="000E51F8"/>
    <w:rsid w:val="000F1091"/>
    <w:rsid w:val="000F1696"/>
    <w:rsid w:val="000F2A2C"/>
    <w:rsid w:val="001014C6"/>
    <w:rsid w:val="00114E14"/>
    <w:rsid w:val="00125C2B"/>
    <w:rsid w:val="00127C2C"/>
    <w:rsid w:val="0013209C"/>
    <w:rsid w:val="00142BC6"/>
    <w:rsid w:val="00147B11"/>
    <w:rsid w:val="00152AF6"/>
    <w:rsid w:val="001600B1"/>
    <w:rsid w:val="00162BA6"/>
    <w:rsid w:val="00177F33"/>
    <w:rsid w:val="001805EE"/>
    <w:rsid w:val="001808FC"/>
    <w:rsid w:val="00183D07"/>
    <w:rsid w:val="00186896"/>
    <w:rsid w:val="00190D3A"/>
    <w:rsid w:val="00192795"/>
    <w:rsid w:val="00196C8A"/>
    <w:rsid w:val="001A5FB5"/>
    <w:rsid w:val="001A791B"/>
    <w:rsid w:val="001B53E6"/>
    <w:rsid w:val="001C0813"/>
    <w:rsid w:val="001C6FE5"/>
    <w:rsid w:val="001D6841"/>
    <w:rsid w:val="001D6C4A"/>
    <w:rsid w:val="001E09DA"/>
    <w:rsid w:val="001E20C7"/>
    <w:rsid w:val="001E3960"/>
    <w:rsid w:val="001E409D"/>
    <w:rsid w:val="001E454A"/>
    <w:rsid w:val="001F3B4B"/>
    <w:rsid w:val="001F5B8F"/>
    <w:rsid w:val="001F6880"/>
    <w:rsid w:val="00201C9B"/>
    <w:rsid w:val="00205DE7"/>
    <w:rsid w:val="00210BB4"/>
    <w:rsid w:val="00210D9E"/>
    <w:rsid w:val="0021205D"/>
    <w:rsid w:val="0021512A"/>
    <w:rsid w:val="0021638E"/>
    <w:rsid w:val="0021742F"/>
    <w:rsid w:val="002264BC"/>
    <w:rsid w:val="00226664"/>
    <w:rsid w:val="002276A8"/>
    <w:rsid w:val="0022781E"/>
    <w:rsid w:val="00230D0C"/>
    <w:rsid w:val="00231D28"/>
    <w:rsid w:val="0023303E"/>
    <w:rsid w:val="00240647"/>
    <w:rsid w:val="00241048"/>
    <w:rsid w:val="0024155B"/>
    <w:rsid w:val="00246932"/>
    <w:rsid w:val="00247996"/>
    <w:rsid w:val="002628E0"/>
    <w:rsid w:val="00262CB4"/>
    <w:rsid w:val="00263958"/>
    <w:rsid w:val="00275826"/>
    <w:rsid w:val="00277E1E"/>
    <w:rsid w:val="002815AF"/>
    <w:rsid w:val="00290727"/>
    <w:rsid w:val="00293C27"/>
    <w:rsid w:val="00294BE1"/>
    <w:rsid w:val="002B2376"/>
    <w:rsid w:val="002B6079"/>
    <w:rsid w:val="002C1F8E"/>
    <w:rsid w:val="002D643F"/>
    <w:rsid w:val="002E0FE1"/>
    <w:rsid w:val="002E7242"/>
    <w:rsid w:val="002F0274"/>
    <w:rsid w:val="002F37B6"/>
    <w:rsid w:val="002F5CB9"/>
    <w:rsid w:val="002F6BFE"/>
    <w:rsid w:val="002F709B"/>
    <w:rsid w:val="002F747B"/>
    <w:rsid w:val="002F7D53"/>
    <w:rsid w:val="00310781"/>
    <w:rsid w:val="00311693"/>
    <w:rsid w:val="0031680B"/>
    <w:rsid w:val="00320165"/>
    <w:rsid w:val="0032790E"/>
    <w:rsid w:val="0033309B"/>
    <w:rsid w:val="00342575"/>
    <w:rsid w:val="00342B82"/>
    <w:rsid w:val="00345612"/>
    <w:rsid w:val="00347861"/>
    <w:rsid w:val="0035067E"/>
    <w:rsid w:val="00352D56"/>
    <w:rsid w:val="00354186"/>
    <w:rsid w:val="00356C59"/>
    <w:rsid w:val="0036341C"/>
    <w:rsid w:val="00365D03"/>
    <w:rsid w:val="00366150"/>
    <w:rsid w:val="00367A68"/>
    <w:rsid w:val="003759EE"/>
    <w:rsid w:val="00381307"/>
    <w:rsid w:val="00381E7D"/>
    <w:rsid w:val="00384905"/>
    <w:rsid w:val="00385A25"/>
    <w:rsid w:val="00385FE6"/>
    <w:rsid w:val="00394FBB"/>
    <w:rsid w:val="003A1259"/>
    <w:rsid w:val="003A3601"/>
    <w:rsid w:val="003A5C57"/>
    <w:rsid w:val="003B21CE"/>
    <w:rsid w:val="003C5461"/>
    <w:rsid w:val="003D08B9"/>
    <w:rsid w:val="003D1123"/>
    <w:rsid w:val="003D139C"/>
    <w:rsid w:val="003D20A3"/>
    <w:rsid w:val="003D39D7"/>
    <w:rsid w:val="003D5797"/>
    <w:rsid w:val="003D628F"/>
    <w:rsid w:val="003E16A7"/>
    <w:rsid w:val="003E68A5"/>
    <w:rsid w:val="003E70BB"/>
    <w:rsid w:val="003E7279"/>
    <w:rsid w:val="003E754C"/>
    <w:rsid w:val="003F4B83"/>
    <w:rsid w:val="003F52A8"/>
    <w:rsid w:val="004064C9"/>
    <w:rsid w:val="004153DC"/>
    <w:rsid w:val="004161E1"/>
    <w:rsid w:val="00422B78"/>
    <w:rsid w:val="00427BA2"/>
    <w:rsid w:val="00430058"/>
    <w:rsid w:val="00437ED0"/>
    <w:rsid w:val="00440358"/>
    <w:rsid w:val="00454C8E"/>
    <w:rsid w:val="00466E84"/>
    <w:rsid w:val="00473A57"/>
    <w:rsid w:val="00473AB6"/>
    <w:rsid w:val="004752AD"/>
    <w:rsid w:val="004776A9"/>
    <w:rsid w:val="004859D4"/>
    <w:rsid w:val="00485BFB"/>
    <w:rsid w:val="004908F2"/>
    <w:rsid w:val="004919A9"/>
    <w:rsid w:val="004A199A"/>
    <w:rsid w:val="004A64A9"/>
    <w:rsid w:val="004A7F05"/>
    <w:rsid w:val="004B0378"/>
    <w:rsid w:val="004B48F9"/>
    <w:rsid w:val="004B6360"/>
    <w:rsid w:val="004C0906"/>
    <w:rsid w:val="004C0AD3"/>
    <w:rsid w:val="004C1272"/>
    <w:rsid w:val="004C274A"/>
    <w:rsid w:val="004C316F"/>
    <w:rsid w:val="004C437B"/>
    <w:rsid w:val="004D2183"/>
    <w:rsid w:val="004E344E"/>
    <w:rsid w:val="004E4BB1"/>
    <w:rsid w:val="004F30F2"/>
    <w:rsid w:val="004F6CE3"/>
    <w:rsid w:val="0050438E"/>
    <w:rsid w:val="0050673D"/>
    <w:rsid w:val="00513536"/>
    <w:rsid w:val="005157AB"/>
    <w:rsid w:val="00521E67"/>
    <w:rsid w:val="005279DE"/>
    <w:rsid w:val="005307FB"/>
    <w:rsid w:val="0053584D"/>
    <w:rsid w:val="0053666F"/>
    <w:rsid w:val="005400D4"/>
    <w:rsid w:val="00554BE4"/>
    <w:rsid w:val="00574AFB"/>
    <w:rsid w:val="00575257"/>
    <w:rsid w:val="005752D3"/>
    <w:rsid w:val="0057688E"/>
    <w:rsid w:val="00576B09"/>
    <w:rsid w:val="005775E5"/>
    <w:rsid w:val="00581F62"/>
    <w:rsid w:val="00582FA4"/>
    <w:rsid w:val="005842E3"/>
    <w:rsid w:val="00585028"/>
    <w:rsid w:val="005856ED"/>
    <w:rsid w:val="005907D3"/>
    <w:rsid w:val="005978F0"/>
    <w:rsid w:val="005B0D2E"/>
    <w:rsid w:val="005B59DC"/>
    <w:rsid w:val="005C0C38"/>
    <w:rsid w:val="005C1A6A"/>
    <w:rsid w:val="005C1AA7"/>
    <w:rsid w:val="005C5D8D"/>
    <w:rsid w:val="005D08BC"/>
    <w:rsid w:val="005D2DD0"/>
    <w:rsid w:val="005D3589"/>
    <w:rsid w:val="005D63DD"/>
    <w:rsid w:val="005D7DD9"/>
    <w:rsid w:val="005E0E83"/>
    <w:rsid w:val="005E597E"/>
    <w:rsid w:val="005E59BE"/>
    <w:rsid w:val="005E68AE"/>
    <w:rsid w:val="005E6BFA"/>
    <w:rsid w:val="005F24E0"/>
    <w:rsid w:val="005F7705"/>
    <w:rsid w:val="00601945"/>
    <w:rsid w:val="00602DB9"/>
    <w:rsid w:val="006046B8"/>
    <w:rsid w:val="00613189"/>
    <w:rsid w:val="006137A4"/>
    <w:rsid w:val="006200F6"/>
    <w:rsid w:val="00623C75"/>
    <w:rsid w:val="00632A3A"/>
    <w:rsid w:val="00636B40"/>
    <w:rsid w:val="00641284"/>
    <w:rsid w:val="006422BA"/>
    <w:rsid w:val="006430E0"/>
    <w:rsid w:val="0064777E"/>
    <w:rsid w:val="00660C2E"/>
    <w:rsid w:val="006646DA"/>
    <w:rsid w:val="00665889"/>
    <w:rsid w:val="00670521"/>
    <w:rsid w:val="00673B5F"/>
    <w:rsid w:val="00680D7A"/>
    <w:rsid w:val="00681102"/>
    <w:rsid w:val="00687D3E"/>
    <w:rsid w:val="00694FB5"/>
    <w:rsid w:val="006A050B"/>
    <w:rsid w:val="006A5E1D"/>
    <w:rsid w:val="006A6A2C"/>
    <w:rsid w:val="006B1CC6"/>
    <w:rsid w:val="006B20C2"/>
    <w:rsid w:val="006B31EF"/>
    <w:rsid w:val="006B406A"/>
    <w:rsid w:val="006B5273"/>
    <w:rsid w:val="006C133B"/>
    <w:rsid w:val="006C5ACE"/>
    <w:rsid w:val="006D1D38"/>
    <w:rsid w:val="006D3A89"/>
    <w:rsid w:val="006D7220"/>
    <w:rsid w:val="006E0327"/>
    <w:rsid w:val="006E106C"/>
    <w:rsid w:val="006E23C2"/>
    <w:rsid w:val="006E5B0D"/>
    <w:rsid w:val="006F2B19"/>
    <w:rsid w:val="007033D2"/>
    <w:rsid w:val="00703D6A"/>
    <w:rsid w:val="007046FB"/>
    <w:rsid w:val="00706C85"/>
    <w:rsid w:val="00707C0E"/>
    <w:rsid w:val="00713DFB"/>
    <w:rsid w:val="007141C2"/>
    <w:rsid w:val="00714E87"/>
    <w:rsid w:val="007157E3"/>
    <w:rsid w:val="00715A58"/>
    <w:rsid w:val="0071692F"/>
    <w:rsid w:val="00716A13"/>
    <w:rsid w:val="00717F46"/>
    <w:rsid w:val="007225D5"/>
    <w:rsid w:val="0072670A"/>
    <w:rsid w:val="00732ED1"/>
    <w:rsid w:val="007427D2"/>
    <w:rsid w:val="00746560"/>
    <w:rsid w:val="0074791B"/>
    <w:rsid w:val="00756FC6"/>
    <w:rsid w:val="007624EE"/>
    <w:rsid w:val="007633D0"/>
    <w:rsid w:val="00764796"/>
    <w:rsid w:val="00764BA5"/>
    <w:rsid w:val="00765967"/>
    <w:rsid w:val="00765D7C"/>
    <w:rsid w:val="0077311D"/>
    <w:rsid w:val="007849F1"/>
    <w:rsid w:val="007873C0"/>
    <w:rsid w:val="00792C42"/>
    <w:rsid w:val="007966B6"/>
    <w:rsid w:val="00796958"/>
    <w:rsid w:val="00797763"/>
    <w:rsid w:val="007A22E5"/>
    <w:rsid w:val="007A24AE"/>
    <w:rsid w:val="007A42F8"/>
    <w:rsid w:val="007A6FF2"/>
    <w:rsid w:val="007B1501"/>
    <w:rsid w:val="007B5194"/>
    <w:rsid w:val="007C5178"/>
    <w:rsid w:val="007D0379"/>
    <w:rsid w:val="007D1D1C"/>
    <w:rsid w:val="007D4346"/>
    <w:rsid w:val="007E6607"/>
    <w:rsid w:val="007F26F2"/>
    <w:rsid w:val="00805CAF"/>
    <w:rsid w:val="00814D44"/>
    <w:rsid w:val="00815880"/>
    <w:rsid w:val="0082475C"/>
    <w:rsid w:val="00824E8A"/>
    <w:rsid w:val="00827505"/>
    <w:rsid w:val="0083251D"/>
    <w:rsid w:val="00835B14"/>
    <w:rsid w:val="0083739A"/>
    <w:rsid w:val="008436EF"/>
    <w:rsid w:val="00846049"/>
    <w:rsid w:val="0085336C"/>
    <w:rsid w:val="008539D9"/>
    <w:rsid w:val="008628E0"/>
    <w:rsid w:val="00864FB2"/>
    <w:rsid w:val="008756AE"/>
    <w:rsid w:val="008800CB"/>
    <w:rsid w:val="00881089"/>
    <w:rsid w:val="00881696"/>
    <w:rsid w:val="00882BFF"/>
    <w:rsid w:val="00883549"/>
    <w:rsid w:val="00884F34"/>
    <w:rsid w:val="0088559A"/>
    <w:rsid w:val="008909C1"/>
    <w:rsid w:val="008936BA"/>
    <w:rsid w:val="00894A74"/>
    <w:rsid w:val="00894B9F"/>
    <w:rsid w:val="00894F51"/>
    <w:rsid w:val="00896133"/>
    <w:rsid w:val="008A08A5"/>
    <w:rsid w:val="008A28C6"/>
    <w:rsid w:val="008A2AE6"/>
    <w:rsid w:val="008A3EED"/>
    <w:rsid w:val="008B0748"/>
    <w:rsid w:val="008C612A"/>
    <w:rsid w:val="008C7B77"/>
    <w:rsid w:val="008C7BCA"/>
    <w:rsid w:val="008D5127"/>
    <w:rsid w:val="008D6FC8"/>
    <w:rsid w:val="008D7556"/>
    <w:rsid w:val="008E5FAF"/>
    <w:rsid w:val="008E6D0C"/>
    <w:rsid w:val="008E73A7"/>
    <w:rsid w:val="008F053A"/>
    <w:rsid w:val="008F13DB"/>
    <w:rsid w:val="008F3A0E"/>
    <w:rsid w:val="008F6722"/>
    <w:rsid w:val="008F6A15"/>
    <w:rsid w:val="008F7CF1"/>
    <w:rsid w:val="0090123D"/>
    <w:rsid w:val="009110D3"/>
    <w:rsid w:val="00917E4E"/>
    <w:rsid w:val="00921DF7"/>
    <w:rsid w:val="009240D1"/>
    <w:rsid w:val="009319BF"/>
    <w:rsid w:val="00935379"/>
    <w:rsid w:val="00942655"/>
    <w:rsid w:val="00944DB5"/>
    <w:rsid w:val="009547DB"/>
    <w:rsid w:val="009620E0"/>
    <w:rsid w:val="009649E1"/>
    <w:rsid w:val="00971350"/>
    <w:rsid w:val="0099490E"/>
    <w:rsid w:val="009956AC"/>
    <w:rsid w:val="009A0E82"/>
    <w:rsid w:val="009A2033"/>
    <w:rsid w:val="009A47EE"/>
    <w:rsid w:val="009B0A54"/>
    <w:rsid w:val="009B2CAB"/>
    <w:rsid w:val="009B2E8F"/>
    <w:rsid w:val="009B5ECF"/>
    <w:rsid w:val="009B615B"/>
    <w:rsid w:val="009C089D"/>
    <w:rsid w:val="009D172F"/>
    <w:rsid w:val="009D5918"/>
    <w:rsid w:val="009E035E"/>
    <w:rsid w:val="009F472A"/>
    <w:rsid w:val="00A01103"/>
    <w:rsid w:val="00A11963"/>
    <w:rsid w:val="00A12DF8"/>
    <w:rsid w:val="00A23878"/>
    <w:rsid w:val="00A24D69"/>
    <w:rsid w:val="00A25C2B"/>
    <w:rsid w:val="00A3083A"/>
    <w:rsid w:val="00A3405D"/>
    <w:rsid w:val="00A345A1"/>
    <w:rsid w:val="00A35233"/>
    <w:rsid w:val="00A35E29"/>
    <w:rsid w:val="00A43696"/>
    <w:rsid w:val="00A45839"/>
    <w:rsid w:val="00A4619B"/>
    <w:rsid w:val="00A61F85"/>
    <w:rsid w:val="00A65DC5"/>
    <w:rsid w:val="00A66C57"/>
    <w:rsid w:val="00A71A4F"/>
    <w:rsid w:val="00A753A0"/>
    <w:rsid w:val="00A76DC1"/>
    <w:rsid w:val="00A80321"/>
    <w:rsid w:val="00A80C54"/>
    <w:rsid w:val="00A817FD"/>
    <w:rsid w:val="00A85CA7"/>
    <w:rsid w:val="00A871D4"/>
    <w:rsid w:val="00A91388"/>
    <w:rsid w:val="00A96E42"/>
    <w:rsid w:val="00AA3B65"/>
    <w:rsid w:val="00AB2EE8"/>
    <w:rsid w:val="00AB69CB"/>
    <w:rsid w:val="00AB7A89"/>
    <w:rsid w:val="00AC4599"/>
    <w:rsid w:val="00AD0621"/>
    <w:rsid w:val="00AD4DE4"/>
    <w:rsid w:val="00AD53DF"/>
    <w:rsid w:val="00AD5520"/>
    <w:rsid w:val="00AD5EDA"/>
    <w:rsid w:val="00AE0ADB"/>
    <w:rsid w:val="00AE4E9F"/>
    <w:rsid w:val="00AE57D0"/>
    <w:rsid w:val="00AF21ED"/>
    <w:rsid w:val="00AF24FA"/>
    <w:rsid w:val="00AF2679"/>
    <w:rsid w:val="00AF5DA7"/>
    <w:rsid w:val="00B0060A"/>
    <w:rsid w:val="00B05FA5"/>
    <w:rsid w:val="00B0600D"/>
    <w:rsid w:val="00B1346F"/>
    <w:rsid w:val="00B30CB9"/>
    <w:rsid w:val="00B3686C"/>
    <w:rsid w:val="00B37BDB"/>
    <w:rsid w:val="00B42E31"/>
    <w:rsid w:val="00B44756"/>
    <w:rsid w:val="00B449A9"/>
    <w:rsid w:val="00B47052"/>
    <w:rsid w:val="00B50FC2"/>
    <w:rsid w:val="00B552C8"/>
    <w:rsid w:val="00B60265"/>
    <w:rsid w:val="00B62274"/>
    <w:rsid w:val="00B65F0E"/>
    <w:rsid w:val="00B71B4C"/>
    <w:rsid w:val="00B71D2E"/>
    <w:rsid w:val="00B71ECA"/>
    <w:rsid w:val="00B72930"/>
    <w:rsid w:val="00B82E7F"/>
    <w:rsid w:val="00B86D1D"/>
    <w:rsid w:val="00B90D9B"/>
    <w:rsid w:val="00BA5126"/>
    <w:rsid w:val="00BA7E66"/>
    <w:rsid w:val="00BB28B6"/>
    <w:rsid w:val="00BB587B"/>
    <w:rsid w:val="00BB604C"/>
    <w:rsid w:val="00BB72A4"/>
    <w:rsid w:val="00BC0025"/>
    <w:rsid w:val="00BC12AB"/>
    <w:rsid w:val="00BC33A8"/>
    <w:rsid w:val="00BD091A"/>
    <w:rsid w:val="00BD122D"/>
    <w:rsid w:val="00BE03D7"/>
    <w:rsid w:val="00BE2BC7"/>
    <w:rsid w:val="00BE2BC9"/>
    <w:rsid w:val="00BE71BB"/>
    <w:rsid w:val="00BE75A2"/>
    <w:rsid w:val="00BE79BE"/>
    <w:rsid w:val="00C037D1"/>
    <w:rsid w:val="00C04E3D"/>
    <w:rsid w:val="00C10685"/>
    <w:rsid w:val="00C1299E"/>
    <w:rsid w:val="00C14A81"/>
    <w:rsid w:val="00C27AAE"/>
    <w:rsid w:val="00C308DF"/>
    <w:rsid w:val="00C347F6"/>
    <w:rsid w:val="00C36FB8"/>
    <w:rsid w:val="00C41213"/>
    <w:rsid w:val="00C4396E"/>
    <w:rsid w:val="00C439E5"/>
    <w:rsid w:val="00C44DDF"/>
    <w:rsid w:val="00C46060"/>
    <w:rsid w:val="00C5078E"/>
    <w:rsid w:val="00C51783"/>
    <w:rsid w:val="00C5342A"/>
    <w:rsid w:val="00C56408"/>
    <w:rsid w:val="00C569C2"/>
    <w:rsid w:val="00C63B37"/>
    <w:rsid w:val="00C6533C"/>
    <w:rsid w:val="00C656A6"/>
    <w:rsid w:val="00C66B9A"/>
    <w:rsid w:val="00C67220"/>
    <w:rsid w:val="00C74130"/>
    <w:rsid w:val="00C77B3F"/>
    <w:rsid w:val="00C81DAE"/>
    <w:rsid w:val="00C85752"/>
    <w:rsid w:val="00C87922"/>
    <w:rsid w:val="00C91BAB"/>
    <w:rsid w:val="00C91EC4"/>
    <w:rsid w:val="00CA00A1"/>
    <w:rsid w:val="00CA2847"/>
    <w:rsid w:val="00CA48BA"/>
    <w:rsid w:val="00CB2F96"/>
    <w:rsid w:val="00CB7B67"/>
    <w:rsid w:val="00CC0326"/>
    <w:rsid w:val="00CC1ED6"/>
    <w:rsid w:val="00CC4B5A"/>
    <w:rsid w:val="00CE1E8C"/>
    <w:rsid w:val="00CF2038"/>
    <w:rsid w:val="00CF4337"/>
    <w:rsid w:val="00CF7EEE"/>
    <w:rsid w:val="00D03A71"/>
    <w:rsid w:val="00D07A3F"/>
    <w:rsid w:val="00D12C19"/>
    <w:rsid w:val="00D216C5"/>
    <w:rsid w:val="00D25E09"/>
    <w:rsid w:val="00D30BA0"/>
    <w:rsid w:val="00D3296E"/>
    <w:rsid w:val="00D32DD7"/>
    <w:rsid w:val="00D42427"/>
    <w:rsid w:val="00D5274C"/>
    <w:rsid w:val="00D73D3D"/>
    <w:rsid w:val="00D77ABE"/>
    <w:rsid w:val="00D81C1D"/>
    <w:rsid w:val="00D82F09"/>
    <w:rsid w:val="00D93E81"/>
    <w:rsid w:val="00DA3474"/>
    <w:rsid w:val="00DA3FB0"/>
    <w:rsid w:val="00DA4E6A"/>
    <w:rsid w:val="00DB03F9"/>
    <w:rsid w:val="00DB1DF2"/>
    <w:rsid w:val="00DB2A18"/>
    <w:rsid w:val="00DB38CA"/>
    <w:rsid w:val="00DB5DF8"/>
    <w:rsid w:val="00DC2D44"/>
    <w:rsid w:val="00DC58C1"/>
    <w:rsid w:val="00DC7297"/>
    <w:rsid w:val="00DD1556"/>
    <w:rsid w:val="00DD15A7"/>
    <w:rsid w:val="00DD3762"/>
    <w:rsid w:val="00DE20BA"/>
    <w:rsid w:val="00DE2381"/>
    <w:rsid w:val="00DE4C1C"/>
    <w:rsid w:val="00DE60CE"/>
    <w:rsid w:val="00DF32B4"/>
    <w:rsid w:val="00DF3720"/>
    <w:rsid w:val="00DF403A"/>
    <w:rsid w:val="00DF683C"/>
    <w:rsid w:val="00E004EF"/>
    <w:rsid w:val="00E01AF9"/>
    <w:rsid w:val="00E02D21"/>
    <w:rsid w:val="00E103AF"/>
    <w:rsid w:val="00E10408"/>
    <w:rsid w:val="00E10BBE"/>
    <w:rsid w:val="00E16249"/>
    <w:rsid w:val="00E21E83"/>
    <w:rsid w:val="00E220BB"/>
    <w:rsid w:val="00E32C78"/>
    <w:rsid w:val="00E343C7"/>
    <w:rsid w:val="00E347DD"/>
    <w:rsid w:val="00E37500"/>
    <w:rsid w:val="00E455DC"/>
    <w:rsid w:val="00E511D3"/>
    <w:rsid w:val="00E53469"/>
    <w:rsid w:val="00E70CEE"/>
    <w:rsid w:val="00E70E06"/>
    <w:rsid w:val="00E83A8C"/>
    <w:rsid w:val="00E847B8"/>
    <w:rsid w:val="00E867B4"/>
    <w:rsid w:val="00E94616"/>
    <w:rsid w:val="00E9576E"/>
    <w:rsid w:val="00E96391"/>
    <w:rsid w:val="00EB1B37"/>
    <w:rsid w:val="00EB2D23"/>
    <w:rsid w:val="00EB474A"/>
    <w:rsid w:val="00EB4775"/>
    <w:rsid w:val="00EB72F3"/>
    <w:rsid w:val="00EB7C7C"/>
    <w:rsid w:val="00EC362E"/>
    <w:rsid w:val="00EC70E7"/>
    <w:rsid w:val="00ED6125"/>
    <w:rsid w:val="00EE1627"/>
    <w:rsid w:val="00EE558C"/>
    <w:rsid w:val="00EF36C6"/>
    <w:rsid w:val="00EF7256"/>
    <w:rsid w:val="00F03927"/>
    <w:rsid w:val="00F05A10"/>
    <w:rsid w:val="00F073E3"/>
    <w:rsid w:val="00F07FBC"/>
    <w:rsid w:val="00F1210F"/>
    <w:rsid w:val="00F169B4"/>
    <w:rsid w:val="00F17E55"/>
    <w:rsid w:val="00F20F31"/>
    <w:rsid w:val="00F232CC"/>
    <w:rsid w:val="00F23E90"/>
    <w:rsid w:val="00F24407"/>
    <w:rsid w:val="00F246DF"/>
    <w:rsid w:val="00F3215A"/>
    <w:rsid w:val="00F34609"/>
    <w:rsid w:val="00F34686"/>
    <w:rsid w:val="00F4098C"/>
    <w:rsid w:val="00F435D1"/>
    <w:rsid w:val="00F5019A"/>
    <w:rsid w:val="00F56A3A"/>
    <w:rsid w:val="00F56BEB"/>
    <w:rsid w:val="00F56F4F"/>
    <w:rsid w:val="00F65BFC"/>
    <w:rsid w:val="00F67F47"/>
    <w:rsid w:val="00F700BB"/>
    <w:rsid w:val="00F73439"/>
    <w:rsid w:val="00F745DF"/>
    <w:rsid w:val="00F75188"/>
    <w:rsid w:val="00F767A1"/>
    <w:rsid w:val="00F77F10"/>
    <w:rsid w:val="00F80DB3"/>
    <w:rsid w:val="00F90255"/>
    <w:rsid w:val="00F91B66"/>
    <w:rsid w:val="00F92E1C"/>
    <w:rsid w:val="00F93FA4"/>
    <w:rsid w:val="00F965A4"/>
    <w:rsid w:val="00FA4D9E"/>
    <w:rsid w:val="00FA5433"/>
    <w:rsid w:val="00FA625C"/>
    <w:rsid w:val="00FB422C"/>
    <w:rsid w:val="00FB481C"/>
    <w:rsid w:val="00FB694D"/>
    <w:rsid w:val="00FC2452"/>
    <w:rsid w:val="00FC72CE"/>
    <w:rsid w:val="00FD284B"/>
    <w:rsid w:val="00FD3F72"/>
    <w:rsid w:val="00FD451F"/>
    <w:rsid w:val="00FD46AF"/>
    <w:rsid w:val="00FD720A"/>
    <w:rsid w:val="00FE15B8"/>
    <w:rsid w:val="00FE1C9A"/>
    <w:rsid w:val="00FE2910"/>
    <w:rsid w:val="00FE49B8"/>
    <w:rsid w:val="00FE52E7"/>
    <w:rsid w:val="00FE73A6"/>
    <w:rsid w:val="00FF4ED0"/>
    <w:rsid w:val="00FF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F898"/>
  <w15:chartTrackingRefBased/>
  <w15:docId w15:val="{34750BB4-F19A-4FB8-88AC-036A0CC7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AB"/>
    <w:pPr>
      <w:spacing w:after="0" w:line="240" w:lineRule="auto"/>
    </w:pPr>
    <w:rPr>
      <w:rFonts w:ascii="Calibri" w:hAnsi="Calibri" w:cs="Calibri"/>
    </w:rPr>
  </w:style>
  <w:style w:type="paragraph" w:styleId="Heading1">
    <w:name w:val="heading 1"/>
    <w:basedOn w:val="Normal"/>
    <w:next w:val="Normal"/>
    <w:link w:val="Heading1Char"/>
    <w:uiPriority w:val="9"/>
    <w:qFormat/>
    <w:rsid w:val="00D03A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5F24E0"/>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2AB"/>
    <w:rPr>
      <w:color w:val="0563C1"/>
      <w:u w:val="single"/>
    </w:rPr>
  </w:style>
  <w:style w:type="paragraph" w:styleId="Header">
    <w:name w:val="header"/>
    <w:basedOn w:val="Normal"/>
    <w:link w:val="HeaderChar"/>
    <w:uiPriority w:val="99"/>
    <w:unhideWhenUsed/>
    <w:rsid w:val="00196C8A"/>
    <w:pPr>
      <w:tabs>
        <w:tab w:val="center" w:pos="4513"/>
        <w:tab w:val="right" w:pos="9026"/>
      </w:tabs>
    </w:pPr>
  </w:style>
  <w:style w:type="character" w:customStyle="1" w:styleId="HeaderChar">
    <w:name w:val="Header Char"/>
    <w:basedOn w:val="DefaultParagraphFont"/>
    <w:link w:val="Header"/>
    <w:uiPriority w:val="99"/>
    <w:rsid w:val="00196C8A"/>
    <w:rPr>
      <w:rFonts w:ascii="Calibri" w:hAnsi="Calibri" w:cs="Calibri"/>
    </w:rPr>
  </w:style>
  <w:style w:type="paragraph" w:styleId="Footer">
    <w:name w:val="footer"/>
    <w:basedOn w:val="Normal"/>
    <w:link w:val="FooterChar"/>
    <w:uiPriority w:val="99"/>
    <w:unhideWhenUsed/>
    <w:rsid w:val="00196C8A"/>
    <w:pPr>
      <w:tabs>
        <w:tab w:val="center" w:pos="4513"/>
        <w:tab w:val="right" w:pos="9026"/>
      </w:tabs>
    </w:pPr>
  </w:style>
  <w:style w:type="character" w:customStyle="1" w:styleId="FooterChar">
    <w:name w:val="Footer Char"/>
    <w:basedOn w:val="DefaultParagraphFont"/>
    <w:link w:val="Footer"/>
    <w:uiPriority w:val="99"/>
    <w:rsid w:val="00196C8A"/>
    <w:rPr>
      <w:rFonts w:ascii="Calibri" w:hAnsi="Calibri" w:cs="Calibri"/>
    </w:rPr>
  </w:style>
  <w:style w:type="paragraph" w:styleId="FootnoteText">
    <w:name w:val="footnote text"/>
    <w:basedOn w:val="Normal"/>
    <w:link w:val="FootnoteTextChar"/>
    <w:uiPriority w:val="99"/>
    <w:semiHidden/>
    <w:unhideWhenUsed/>
    <w:rsid w:val="00196C8A"/>
    <w:rPr>
      <w:sz w:val="20"/>
      <w:szCs w:val="20"/>
    </w:rPr>
  </w:style>
  <w:style w:type="character" w:customStyle="1" w:styleId="FootnoteTextChar">
    <w:name w:val="Footnote Text Char"/>
    <w:basedOn w:val="DefaultParagraphFont"/>
    <w:link w:val="FootnoteText"/>
    <w:uiPriority w:val="99"/>
    <w:semiHidden/>
    <w:rsid w:val="00196C8A"/>
    <w:rPr>
      <w:rFonts w:ascii="Calibri" w:hAnsi="Calibri" w:cs="Calibri"/>
      <w:sz w:val="20"/>
      <w:szCs w:val="20"/>
    </w:rPr>
  </w:style>
  <w:style w:type="character" w:styleId="FootnoteReference">
    <w:name w:val="footnote reference"/>
    <w:basedOn w:val="DefaultParagraphFont"/>
    <w:uiPriority w:val="99"/>
    <w:semiHidden/>
    <w:unhideWhenUsed/>
    <w:rsid w:val="00196C8A"/>
    <w:rPr>
      <w:vertAlign w:val="superscript"/>
    </w:rPr>
  </w:style>
  <w:style w:type="paragraph" w:styleId="ListParagraph">
    <w:name w:val="List Paragraph"/>
    <w:basedOn w:val="Normal"/>
    <w:uiPriority w:val="34"/>
    <w:qFormat/>
    <w:rsid w:val="00247996"/>
    <w:pPr>
      <w:ind w:left="720"/>
      <w:contextualSpacing/>
    </w:pPr>
  </w:style>
  <w:style w:type="character" w:styleId="UnresolvedMention">
    <w:name w:val="Unresolved Mention"/>
    <w:basedOn w:val="DefaultParagraphFont"/>
    <w:uiPriority w:val="99"/>
    <w:semiHidden/>
    <w:unhideWhenUsed/>
    <w:rsid w:val="00D12C19"/>
    <w:rPr>
      <w:color w:val="605E5C"/>
      <w:shd w:val="clear" w:color="auto" w:fill="E1DFDD"/>
    </w:rPr>
  </w:style>
  <w:style w:type="character" w:styleId="Strong">
    <w:name w:val="Strong"/>
    <w:basedOn w:val="DefaultParagraphFont"/>
    <w:uiPriority w:val="22"/>
    <w:qFormat/>
    <w:rsid w:val="00263958"/>
    <w:rPr>
      <w:b/>
      <w:bCs/>
    </w:rPr>
  </w:style>
  <w:style w:type="paragraph" w:customStyle="1" w:styleId="listparagraph0">
    <w:name w:val="listparagraph"/>
    <w:basedOn w:val="Normal"/>
    <w:rsid w:val="002639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263958"/>
  </w:style>
  <w:style w:type="character" w:customStyle="1" w:styleId="number">
    <w:name w:val="number"/>
    <w:basedOn w:val="DefaultParagraphFont"/>
    <w:rsid w:val="00263958"/>
  </w:style>
  <w:style w:type="character" w:customStyle="1" w:styleId="A10">
    <w:name w:val="A10"/>
    <w:uiPriority w:val="99"/>
    <w:rsid w:val="00F435D1"/>
    <w:rPr>
      <w:color w:val="000000"/>
    </w:rPr>
  </w:style>
  <w:style w:type="paragraph" w:styleId="Bibliography">
    <w:name w:val="Bibliography"/>
    <w:basedOn w:val="Normal"/>
    <w:next w:val="Normal"/>
    <w:uiPriority w:val="37"/>
    <w:unhideWhenUsed/>
    <w:rsid w:val="00D30BA0"/>
    <w:pPr>
      <w:spacing w:after="160" w:line="259" w:lineRule="auto"/>
    </w:pPr>
    <w:rPr>
      <w:rFonts w:asciiTheme="minorHAnsi" w:hAnsiTheme="minorHAnsi" w:cstheme="minorBidi"/>
    </w:rPr>
  </w:style>
  <w:style w:type="paragraph" w:styleId="Revision">
    <w:name w:val="Revision"/>
    <w:hidden/>
    <w:uiPriority w:val="99"/>
    <w:semiHidden/>
    <w:rsid w:val="00277E1E"/>
    <w:pPr>
      <w:spacing w:after="0" w:line="240" w:lineRule="auto"/>
    </w:pPr>
    <w:rPr>
      <w:rFonts w:ascii="Calibri" w:hAnsi="Calibri" w:cs="Calibri"/>
    </w:rPr>
  </w:style>
  <w:style w:type="paragraph" w:styleId="NormalWeb">
    <w:name w:val="Normal (Web)"/>
    <w:basedOn w:val="Normal"/>
    <w:uiPriority w:val="99"/>
    <w:unhideWhenUsed/>
    <w:rsid w:val="008628E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D81C1D"/>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5F24E0"/>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D03A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D218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81696"/>
    <w:rPr>
      <w:sz w:val="16"/>
      <w:szCs w:val="16"/>
    </w:rPr>
  </w:style>
  <w:style w:type="paragraph" w:styleId="CommentText">
    <w:name w:val="annotation text"/>
    <w:basedOn w:val="Normal"/>
    <w:link w:val="CommentTextChar"/>
    <w:uiPriority w:val="99"/>
    <w:unhideWhenUsed/>
    <w:rsid w:val="00881696"/>
    <w:rPr>
      <w:sz w:val="20"/>
      <w:szCs w:val="20"/>
    </w:rPr>
  </w:style>
  <w:style w:type="character" w:customStyle="1" w:styleId="CommentTextChar">
    <w:name w:val="Comment Text Char"/>
    <w:basedOn w:val="DefaultParagraphFont"/>
    <w:link w:val="CommentText"/>
    <w:uiPriority w:val="99"/>
    <w:rsid w:val="008816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1696"/>
    <w:rPr>
      <w:b/>
      <w:bCs/>
    </w:rPr>
  </w:style>
  <w:style w:type="character" w:customStyle="1" w:styleId="CommentSubjectChar">
    <w:name w:val="Comment Subject Char"/>
    <w:basedOn w:val="CommentTextChar"/>
    <w:link w:val="CommentSubject"/>
    <w:uiPriority w:val="99"/>
    <w:semiHidden/>
    <w:rsid w:val="0088169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200">
      <w:bodyDiv w:val="1"/>
      <w:marLeft w:val="0"/>
      <w:marRight w:val="0"/>
      <w:marTop w:val="0"/>
      <w:marBottom w:val="0"/>
      <w:divBdr>
        <w:top w:val="none" w:sz="0" w:space="0" w:color="auto"/>
        <w:left w:val="none" w:sz="0" w:space="0" w:color="auto"/>
        <w:bottom w:val="none" w:sz="0" w:space="0" w:color="auto"/>
        <w:right w:val="none" w:sz="0" w:space="0" w:color="auto"/>
      </w:divBdr>
      <w:divsChild>
        <w:div w:id="1052726923">
          <w:marLeft w:val="0"/>
          <w:marRight w:val="0"/>
          <w:marTop w:val="0"/>
          <w:marBottom w:val="0"/>
          <w:divBdr>
            <w:top w:val="none" w:sz="0" w:space="0" w:color="auto"/>
            <w:left w:val="none" w:sz="0" w:space="0" w:color="auto"/>
            <w:bottom w:val="none" w:sz="0" w:space="0" w:color="auto"/>
            <w:right w:val="none" w:sz="0" w:space="0" w:color="auto"/>
          </w:divBdr>
        </w:div>
        <w:div w:id="1527523414">
          <w:marLeft w:val="0"/>
          <w:marRight w:val="0"/>
          <w:marTop w:val="0"/>
          <w:marBottom w:val="0"/>
          <w:divBdr>
            <w:top w:val="none" w:sz="0" w:space="0" w:color="auto"/>
            <w:left w:val="none" w:sz="0" w:space="0" w:color="auto"/>
            <w:bottom w:val="none" w:sz="0" w:space="0" w:color="auto"/>
            <w:right w:val="none" w:sz="0" w:space="0" w:color="auto"/>
          </w:divBdr>
        </w:div>
      </w:divsChild>
    </w:div>
    <w:div w:id="173542153">
      <w:bodyDiv w:val="1"/>
      <w:marLeft w:val="0"/>
      <w:marRight w:val="0"/>
      <w:marTop w:val="0"/>
      <w:marBottom w:val="0"/>
      <w:divBdr>
        <w:top w:val="none" w:sz="0" w:space="0" w:color="auto"/>
        <w:left w:val="none" w:sz="0" w:space="0" w:color="auto"/>
        <w:bottom w:val="none" w:sz="0" w:space="0" w:color="auto"/>
        <w:right w:val="none" w:sz="0" w:space="0" w:color="auto"/>
      </w:divBdr>
    </w:div>
    <w:div w:id="226186374">
      <w:bodyDiv w:val="1"/>
      <w:marLeft w:val="0"/>
      <w:marRight w:val="0"/>
      <w:marTop w:val="0"/>
      <w:marBottom w:val="0"/>
      <w:divBdr>
        <w:top w:val="none" w:sz="0" w:space="0" w:color="auto"/>
        <w:left w:val="none" w:sz="0" w:space="0" w:color="auto"/>
        <w:bottom w:val="none" w:sz="0" w:space="0" w:color="auto"/>
        <w:right w:val="none" w:sz="0" w:space="0" w:color="auto"/>
      </w:divBdr>
    </w:div>
    <w:div w:id="259222793">
      <w:bodyDiv w:val="1"/>
      <w:marLeft w:val="0"/>
      <w:marRight w:val="0"/>
      <w:marTop w:val="0"/>
      <w:marBottom w:val="0"/>
      <w:divBdr>
        <w:top w:val="none" w:sz="0" w:space="0" w:color="auto"/>
        <w:left w:val="none" w:sz="0" w:space="0" w:color="auto"/>
        <w:bottom w:val="none" w:sz="0" w:space="0" w:color="auto"/>
        <w:right w:val="none" w:sz="0" w:space="0" w:color="auto"/>
      </w:divBdr>
    </w:div>
    <w:div w:id="262225618">
      <w:bodyDiv w:val="1"/>
      <w:marLeft w:val="0"/>
      <w:marRight w:val="0"/>
      <w:marTop w:val="0"/>
      <w:marBottom w:val="0"/>
      <w:divBdr>
        <w:top w:val="none" w:sz="0" w:space="0" w:color="auto"/>
        <w:left w:val="none" w:sz="0" w:space="0" w:color="auto"/>
        <w:bottom w:val="none" w:sz="0" w:space="0" w:color="auto"/>
        <w:right w:val="none" w:sz="0" w:space="0" w:color="auto"/>
      </w:divBdr>
    </w:div>
    <w:div w:id="338391273">
      <w:bodyDiv w:val="1"/>
      <w:marLeft w:val="0"/>
      <w:marRight w:val="0"/>
      <w:marTop w:val="0"/>
      <w:marBottom w:val="0"/>
      <w:divBdr>
        <w:top w:val="none" w:sz="0" w:space="0" w:color="auto"/>
        <w:left w:val="none" w:sz="0" w:space="0" w:color="auto"/>
        <w:bottom w:val="none" w:sz="0" w:space="0" w:color="auto"/>
        <w:right w:val="none" w:sz="0" w:space="0" w:color="auto"/>
      </w:divBdr>
    </w:div>
    <w:div w:id="379405614">
      <w:bodyDiv w:val="1"/>
      <w:marLeft w:val="0"/>
      <w:marRight w:val="0"/>
      <w:marTop w:val="0"/>
      <w:marBottom w:val="0"/>
      <w:divBdr>
        <w:top w:val="none" w:sz="0" w:space="0" w:color="auto"/>
        <w:left w:val="none" w:sz="0" w:space="0" w:color="auto"/>
        <w:bottom w:val="none" w:sz="0" w:space="0" w:color="auto"/>
        <w:right w:val="none" w:sz="0" w:space="0" w:color="auto"/>
      </w:divBdr>
    </w:div>
    <w:div w:id="404299839">
      <w:bodyDiv w:val="1"/>
      <w:marLeft w:val="0"/>
      <w:marRight w:val="0"/>
      <w:marTop w:val="0"/>
      <w:marBottom w:val="0"/>
      <w:divBdr>
        <w:top w:val="none" w:sz="0" w:space="0" w:color="auto"/>
        <w:left w:val="none" w:sz="0" w:space="0" w:color="auto"/>
        <w:bottom w:val="none" w:sz="0" w:space="0" w:color="auto"/>
        <w:right w:val="none" w:sz="0" w:space="0" w:color="auto"/>
      </w:divBdr>
    </w:div>
    <w:div w:id="431364011">
      <w:bodyDiv w:val="1"/>
      <w:marLeft w:val="0"/>
      <w:marRight w:val="0"/>
      <w:marTop w:val="0"/>
      <w:marBottom w:val="0"/>
      <w:divBdr>
        <w:top w:val="none" w:sz="0" w:space="0" w:color="auto"/>
        <w:left w:val="none" w:sz="0" w:space="0" w:color="auto"/>
        <w:bottom w:val="none" w:sz="0" w:space="0" w:color="auto"/>
        <w:right w:val="none" w:sz="0" w:space="0" w:color="auto"/>
      </w:divBdr>
    </w:div>
    <w:div w:id="516819958">
      <w:bodyDiv w:val="1"/>
      <w:marLeft w:val="0"/>
      <w:marRight w:val="0"/>
      <w:marTop w:val="0"/>
      <w:marBottom w:val="0"/>
      <w:divBdr>
        <w:top w:val="none" w:sz="0" w:space="0" w:color="auto"/>
        <w:left w:val="none" w:sz="0" w:space="0" w:color="auto"/>
        <w:bottom w:val="none" w:sz="0" w:space="0" w:color="auto"/>
        <w:right w:val="none" w:sz="0" w:space="0" w:color="auto"/>
      </w:divBdr>
    </w:div>
    <w:div w:id="595862749">
      <w:bodyDiv w:val="1"/>
      <w:marLeft w:val="0"/>
      <w:marRight w:val="0"/>
      <w:marTop w:val="0"/>
      <w:marBottom w:val="0"/>
      <w:divBdr>
        <w:top w:val="none" w:sz="0" w:space="0" w:color="auto"/>
        <w:left w:val="none" w:sz="0" w:space="0" w:color="auto"/>
        <w:bottom w:val="none" w:sz="0" w:space="0" w:color="auto"/>
        <w:right w:val="none" w:sz="0" w:space="0" w:color="auto"/>
      </w:divBdr>
    </w:div>
    <w:div w:id="608704944">
      <w:bodyDiv w:val="1"/>
      <w:marLeft w:val="0"/>
      <w:marRight w:val="0"/>
      <w:marTop w:val="0"/>
      <w:marBottom w:val="0"/>
      <w:divBdr>
        <w:top w:val="none" w:sz="0" w:space="0" w:color="auto"/>
        <w:left w:val="none" w:sz="0" w:space="0" w:color="auto"/>
        <w:bottom w:val="none" w:sz="0" w:space="0" w:color="auto"/>
        <w:right w:val="none" w:sz="0" w:space="0" w:color="auto"/>
      </w:divBdr>
    </w:div>
    <w:div w:id="626395312">
      <w:bodyDiv w:val="1"/>
      <w:marLeft w:val="0"/>
      <w:marRight w:val="0"/>
      <w:marTop w:val="0"/>
      <w:marBottom w:val="0"/>
      <w:divBdr>
        <w:top w:val="none" w:sz="0" w:space="0" w:color="auto"/>
        <w:left w:val="none" w:sz="0" w:space="0" w:color="auto"/>
        <w:bottom w:val="none" w:sz="0" w:space="0" w:color="auto"/>
        <w:right w:val="none" w:sz="0" w:space="0" w:color="auto"/>
      </w:divBdr>
    </w:div>
    <w:div w:id="683164640">
      <w:bodyDiv w:val="1"/>
      <w:marLeft w:val="0"/>
      <w:marRight w:val="0"/>
      <w:marTop w:val="0"/>
      <w:marBottom w:val="0"/>
      <w:divBdr>
        <w:top w:val="none" w:sz="0" w:space="0" w:color="auto"/>
        <w:left w:val="none" w:sz="0" w:space="0" w:color="auto"/>
        <w:bottom w:val="none" w:sz="0" w:space="0" w:color="auto"/>
        <w:right w:val="none" w:sz="0" w:space="0" w:color="auto"/>
      </w:divBdr>
    </w:div>
    <w:div w:id="715399307">
      <w:bodyDiv w:val="1"/>
      <w:marLeft w:val="0"/>
      <w:marRight w:val="0"/>
      <w:marTop w:val="0"/>
      <w:marBottom w:val="0"/>
      <w:divBdr>
        <w:top w:val="none" w:sz="0" w:space="0" w:color="auto"/>
        <w:left w:val="none" w:sz="0" w:space="0" w:color="auto"/>
        <w:bottom w:val="none" w:sz="0" w:space="0" w:color="auto"/>
        <w:right w:val="none" w:sz="0" w:space="0" w:color="auto"/>
      </w:divBdr>
    </w:div>
    <w:div w:id="720057502">
      <w:bodyDiv w:val="1"/>
      <w:marLeft w:val="0"/>
      <w:marRight w:val="0"/>
      <w:marTop w:val="0"/>
      <w:marBottom w:val="0"/>
      <w:divBdr>
        <w:top w:val="none" w:sz="0" w:space="0" w:color="auto"/>
        <w:left w:val="none" w:sz="0" w:space="0" w:color="auto"/>
        <w:bottom w:val="none" w:sz="0" w:space="0" w:color="auto"/>
        <w:right w:val="none" w:sz="0" w:space="0" w:color="auto"/>
      </w:divBdr>
      <w:divsChild>
        <w:div w:id="67458739">
          <w:marLeft w:val="0"/>
          <w:marRight w:val="0"/>
          <w:marTop w:val="0"/>
          <w:marBottom w:val="0"/>
          <w:divBdr>
            <w:top w:val="none" w:sz="0" w:space="0" w:color="auto"/>
            <w:left w:val="none" w:sz="0" w:space="0" w:color="auto"/>
            <w:bottom w:val="none" w:sz="0" w:space="0" w:color="auto"/>
            <w:right w:val="none" w:sz="0" w:space="0" w:color="auto"/>
          </w:divBdr>
        </w:div>
      </w:divsChild>
    </w:div>
    <w:div w:id="752355825">
      <w:bodyDiv w:val="1"/>
      <w:marLeft w:val="0"/>
      <w:marRight w:val="0"/>
      <w:marTop w:val="0"/>
      <w:marBottom w:val="0"/>
      <w:divBdr>
        <w:top w:val="none" w:sz="0" w:space="0" w:color="auto"/>
        <w:left w:val="none" w:sz="0" w:space="0" w:color="auto"/>
        <w:bottom w:val="none" w:sz="0" w:space="0" w:color="auto"/>
        <w:right w:val="none" w:sz="0" w:space="0" w:color="auto"/>
      </w:divBdr>
      <w:divsChild>
        <w:div w:id="918562132">
          <w:marLeft w:val="0"/>
          <w:marRight w:val="0"/>
          <w:marTop w:val="0"/>
          <w:marBottom w:val="0"/>
          <w:divBdr>
            <w:top w:val="none" w:sz="0" w:space="0" w:color="auto"/>
            <w:left w:val="none" w:sz="0" w:space="0" w:color="auto"/>
            <w:bottom w:val="none" w:sz="0" w:space="0" w:color="auto"/>
            <w:right w:val="none" w:sz="0" w:space="0" w:color="auto"/>
          </w:divBdr>
        </w:div>
        <w:div w:id="1333875278">
          <w:marLeft w:val="0"/>
          <w:marRight w:val="0"/>
          <w:marTop w:val="0"/>
          <w:marBottom w:val="0"/>
          <w:divBdr>
            <w:top w:val="none" w:sz="0" w:space="0" w:color="auto"/>
            <w:left w:val="none" w:sz="0" w:space="0" w:color="auto"/>
            <w:bottom w:val="none" w:sz="0" w:space="0" w:color="auto"/>
            <w:right w:val="none" w:sz="0" w:space="0" w:color="auto"/>
          </w:divBdr>
        </w:div>
      </w:divsChild>
    </w:div>
    <w:div w:id="779373227">
      <w:bodyDiv w:val="1"/>
      <w:marLeft w:val="0"/>
      <w:marRight w:val="0"/>
      <w:marTop w:val="0"/>
      <w:marBottom w:val="0"/>
      <w:divBdr>
        <w:top w:val="none" w:sz="0" w:space="0" w:color="auto"/>
        <w:left w:val="none" w:sz="0" w:space="0" w:color="auto"/>
        <w:bottom w:val="none" w:sz="0" w:space="0" w:color="auto"/>
        <w:right w:val="none" w:sz="0" w:space="0" w:color="auto"/>
      </w:divBdr>
    </w:div>
    <w:div w:id="827135889">
      <w:bodyDiv w:val="1"/>
      <w:marLeft w:val="0"/>
      <w:marRight w:val="0"/>
      <w:marTop w:val="0"/>
      <w:marBottom w:val="0"/>
      <w:divBdr>
        <w:top w:val="none" w:sz="0" w:space="0" w:color="auto"/>
        <w:left w:val="none" w:sz="0" w:space="0" w:color="auto"/>
        <w:bottom w:val="none" w:sz="0" w:space="0" w:color="auto"/>
        <w:right w:val="none" w:sz="0" w:space="0" w:color="auto"/>
      </w:divBdr>
    </w:div>
    <w:div w:id="828013616">
      <w:bodyDiv w:val="1"/>
      <w:marLeft w:val="0"/>
      <w:marRight w:val="0"/>
      <w:marTop w:val="0"/>
      <w:marBottom w:val="0"/>
      <w:divBdr>
        <w:top w:val="none" w:sz="0" w:space="0" w:color="auto"/>
        <w:left w:val="none" w:sz="0" w:space="0" w:color="auto"/>
        <w:bottom w:val="none" w:sz="0" w:space="0" w:color="auto"/>
        <w:right w:val="none" w:sz="0" w:space="0" w:color="auto"/>
      </w:divBdr>
    </w:div>
    <w:div w:id="859929694">
      <w:bodyDiv w:val="1"/>
      <w:marLeft w:val="0"/>
      <w:marRight w:val="0"/>
      <w:marTop w:val="0"/>
      <w:marBottom w:val="0"/>
      <w:divBdr>
        <w:top w:val="none" w:sz="0" w:space="0" w:color="auto"/>
        <w:left w:val="none" w:sz="0" w:space="0" w:color="auto"/>
        <w:bottom w:val="none" w:sz="0" w:space="0" w:color="auto"/>
        <w:right w:val="none" w:sz="0" w:space="0" w:color="auto"/>
      </w:divBdr>
    </w:div>
    <w:div w:id="867331856">
      <w:bodyDiv w:val="1"/>
      <w:marLeft w:val="0"/>
      <w:marRight w:val="0"/>
      <w:marTop w:val="0"/>
      <w:marBottom w:val="0"/>
      <w:divBdr>
        <w:top w:val="none" w:sz="0" w:space="0" w:color="auto"/>
        <w:left w:val="none" w:sz="0" w:space="0" w:color="auto"/>
        <w:bottom w:val="none" w:sz="0" w:space="0" w:color="auto"/>
        <w:right w:val="none" w:sz="0" w:space="0" w:color="auto"/>
      </w:divBdr>
    </w:div>
    <w:div w:id="885138725">
      <w:bodyDiv w:val="1"/>
      <w:marLeft w:val="0"/>
      <w:marRight w:val="0"/>
      <w:marTop w:val="0"/>
      <w:marBottom w:val="0"/>
      <w:divBdr>
        <w:top w:val="none" w:sz="0" w:space="0" w:color="auto"/>
        <w:left w:val="none" w:sz="0" w:space="0" w:color="auto"/>
        <w:bottom w:val="none" w:sz="0" w:space="0" w:color="auto"/>
        <w:right w:val="none" w:sz="0" w:space="0" w:color="auto"/>
      </w:divBdr>
    </w:div>
    <w:div w:id="960185773">
      <w:bodyDiv w:val="1"/>
      <w:marLeft w:val="0"/>
      <w:marRight w:val="0"/>
      <w:marTop w:val="0"/>
      <w:marBottom w:val="0"/>
      <w:divBdr>
        <w:top w:val="none" w:sz="0" w:space="0" w:color="auto"/>
        <w:left w:val="none" w:sz="0" w:space="0" w:color="auto"/>
        <w:bottom w:val="none" w:sz="0" w:space="0" w:color="auto"/>
        <w:right w:val="none" w:sz="0" w:space="0" w:color="auto"/>
      </w:divBdr>
    </w:div>
    <w:div w:id="986783199">
      <w:bodyDiv w:val="1"/>
      <w:marLeft w:val="0"/>
      <w:marRight w:val="0"/>
      <w:marTop w:val="0"/>
      <w:marBottom w:val="0"/>
      <w:divBdr>
        <w:top w:val="none" w:sz="0" w:space="0" w:color="auto"/>
        <w:left w:val="none" w:sz="0" w:space="0" w:color="auto"/>
        <w:bottom w:val="none" w:sz="0" w:space="0" w:color="auto"/>
        <w:right w:val="none" w:sz="0" w:space="0" w:color="auto"/>
      </w:divBdr>
    </w:div>
    <w:div w:id="1020281577">
      <w:bodyDiv w:val="1"/>
      <w:marLeft w:val="0"/>
      <w:marRight w:val="0"/>
      <w:marTop w:val="0"/>
      <w:marBottom w:val="0"/>
      <w:divBdr>
        <w:top w:val="none" w:sz="0" w:space="0" w:color="auto"/>
        <w:left w:val="none" w:sz="0" w:space="0" w:color="auto"/>
        <w:bottom w:val="none" w:sz="0" w:space="0" w:color="auto"/>
        <w:right w:val="none" w:sz="0" w:space="0" w:color="auto"/>
      </w:divBdr>
    </w:div>
    <w:div w:id="1027214820">
      <w:bodyDiv w:val="1"/>
      <w:marLeft w:val="0"/>
      <w:marRight w:val="0"/>
      <w:marTop w:val="0"/>
      <w:marBottom w:val="0"/>
      <w:divBdr>
        <w:top w:val="none" w:sz="0" w:space="0" w:color="auto"/>
        <w:left w:val="none" w:sz="0" w:space="0" w:color="auto"/>
        <w:bottom w:val="none" w:sz="0" w:space="0" w:color="auto"/>
        <w:right w:val="none" w:sz="0" w:space="0" w:color="auto"/>
      </w:divBdr>
    </w:div>
    <w:div w:id="1041050346">
      <w:bodyDiv w:val="1"/>
      <w:marLeft w:val="0"/>
      <w:marRight w:val="0"/>
      <w:marTop w:val="0"/>
      <w:marBottom w:val="0"/>
      <w:divBdr>
        <w:top w:val="none" w:sz="0" w:space="0" w:color="auto"/>
        <w:left w:val="none" w:sz="0" w:space="0" w:color="auto"/>
        <w:bottom w:val="none" w:sz="0" w:space="0" w:color="auto"/>
        <w:right w:val="none" w:sz="0" w:space="0" w:color="auto"/>
      </w:divBdr>
      <w:divsChild>
        <w:div w:id="49694084">
          <w:marLeft w:val="0"/>
          <w:marRight w:val="0"/>
          <w:marTop w:val="0"/>
          <w:marBottom w:val="0"/>
          <w:divBdr>
            <w:top w:val="none" w:sz="0" w:space="0" w:color="auto"/>
            <w:left w:val="none" w:sz="0" w:space="0" w:color="auto"/>
            <w:bottom w:val="none" w:sz="0" w:space="0" w:color="auto"/>
            <w:right w:val="none" w:sz="0" w:space="0" w:color="auto"/>
          </w:divBdr>
        </w:div>
        <w:div w:id="1740328967">
          <w:marLeft w:val="0"/>
          <w:marRight w:val="0"/>
          <w:marTop w:val="0"/>
          <w:marBottom w:val="0"/>
          <w:divBdr>
            <w:top w:val="none" w:sz="0" w:space="0" w:color="auto"/>
            <w:left w:val="none" w:sz="0" w:space="0" w:color="auto"/>
            <w:bottom w:val="none" w:sz="0" w:space="0" w:color="auto"/>
            <w:right w:val="none" w:sz="0" w:space="0" w:color="auto"/>
          </w:divBdr>
        </w:div>
        <w:div w:id="1153838125">
          <w:marLeft w:val="0"/>
          <w:marRight w:val="0"/>
          <w:marTop w:val="0"/>
          <w:marBottom w:val="0"/>
          <w:divBdr>
            <w:top w:val="none" w:sz="0" w:space="0" w:color="auto"/>
            <w:left w:val="none" w:sz="0" w:space="0" w:color="auto"/>
            <w:bottom w:val="none" w:sz="0" w:space="0" w:color="auto"/>
            <w:right w:val="none" w:sz="0" w:space="0" w:color="auto"/>
          </w:divBdr>
        </w:div>
      </w:divsChild>
    </w:div>
    <w:div w:id="1073547489">
      <w:bodyDiv w:val="1"/>
      <w:marLeft w:val="0"/>
      <w:marRight w:val="0"/>
      <w:marTop w:val="0"/>
      <w:marBottom w:val="0"/>
      <w:divBdr>
        <w:top w:val="none" w:sz="0" w:space="0" w:color="auto"/>
        <w:left w:val="none" w:sz="0" w:space="0" w:color="auto"/>
        <w:bottom w:val="none" w:sz="0" w:space="0" w:color="auto"/>
        <w:right w:val="none" w:sz="0" w:space="0" w:color="auto"/>
      </w:divBdr>
    </w:div>
    <w:div w:id="1131751329">
      <w:bodyDiv w:val="1"/>
      <w:marLeft w:val="0"/>
      <w:marRight w:val="0"/>
      <w:marTop w:val="0"/>
      <w:marBottom w:val="0"/>
      <w:divBdr>
        <w:top w:val="none" w:sz="0" w:space="0" w:color="auto"/>
        <w:left w:val="none" w:sz="0" w:space="0" w:color="auto"/>
        <w:bottom w:val="none" w:sz="0" w:space="0" w:color="auto"/>
        <w:right w:val="none" w:sz="0" w:space="0" w:color="auto"/>
      </w:divBdr>
    </w:div>
    <w:div w:id="1136950056">
      <w:bodyDiv w:val="1"/>
      <w:marLeft w:val="0"/>
      <w:marRight w:val="0"/>
      <w:marTop w:val="0"/>
      <w:marBottom w:val="0"/>
      <w:divBdr>
        <w:top w:val="none" w:sz="0" w:space="0" w:color="auto"/>
        <w:left w:val="none" w:sz="0" w:space="0" w:color="auto"/>
        <w:bottom w:val="none" w:sz="0" w:space="0" w:color="auto"/>
        <w:right w:val="none" w:sz="0" w:space="0" w:color="auto"/>
      </w:divBdr>
    </w:div>
    <w:div w:id="1147671381">
      <w:bodyDiv w:val="1"/>
      <w:marLeft w:val="0"/>
      <w:marRight w:val="0"/>
      <w:marTop w:val="0"/>
      <w:marBottom w:val="0"/>
      <w:divBdr>
        <w:top w:val="none" w:sz="0" w:space="0" w:color="auto"/>
        <w:left w:val="none" w:sz="0" w:space="0" w:color="auto"/>
        <w:bottom w:val="none" w:sz="0" w:space="0" w:color="auto"/>
        <w:right w:val="none" w:sz="0" w:space="0" w:color="auto"/>
      </w:divBdr>
    </w:div>
    <w:div w:id="1150904593">
      <w:bodyDiv w:val="1"/>
      <w:marLeft w:val="0"/>
      <w:marRight w:val="0"/>
      <w:marTop w:val="0"/>
      <w:marBottom w:val="0"/>
      <w:divBdr>
        <w:top w:val="none" w:sz="0" w:space="0" w:color="auto"/>
        <w:left w:val="none" w:sz="0" w:space="0" w:color="auto"/>
        <w:bottom w:val="none" w:sz="0" w:space="0" w:color="auto"/>
        <w:right w:val="none" w:sz="0" w:space="0" w:color="auto"/>
      </w:divBdr>
    </w:div>
    <w:div w:id="1163205607">
      <w:bodyDiv w:val="1"/>
      <w:marLeft w:val="0"/>
      <w:marRight w:val="0"/>
      <w:marTop w:val="0"/>
      <w:marBottom w:val="0"/>
      <w:divBdr>
        <w:top w:val="none" w:sz="0" w:space="0" w:color="auto"/>
        <w:left w:val="none" w:sz="0" w:space="0" w:color="auto"/>
        <w:bottom w:val="none" w:sz="0" w:space="0" w:color="auto"/>
        <w:right w:val="none" w:sz="0" w:space="0" w:color="auto"/>
      </w:divBdr>
    </w:div>
    <w:div w:id="1188103084">
      <w:bodyDiv w:val="1"/>
      <w:marLeft w:val="0"/>
      <w:marRight w:val="0"/>
      <w:marTop w:val="0"/>
      <w:marBottom w:val="0"/>
      <w:divBdr>
        <w:top w:val="none" w:sz="0" w:space="0" w:color="auto"/>
        <w:left w:val="none" w:sz="0" w:space="0" w:color="auto"/>
        <w:bottom w:val="none" w:sz="0" w:space="0" w:color="auto"/>
        <w:right w:val="none" w:sz="0" w:space="0" w:color="auto"/>
      </w:divBdr>
      <w:divsChild>
        <w:div w:id="1194227007">
          <w:marLeft w:val="0"/>
          <w:marRight w:val="0"/>
          <w:marTop w:val="0"/>
          <w:marBottom w:val="0"/>
          <w:divBdr>
            <w:top w:val="none" w:sz="0" w:space="0" w:color="auto"/>
            <w:left w:val="none" w:sz="0" w:space="0" w:color="auto"/>
            <w:bottom w:val="none" w:sz="0" w:space="0" w:color="auto"/>
            <w:right w:val="none" w:sz="0" w:space="0" w:color="auto"/>
          </w:divBdr>
        </w:div>
        <w:div w:id="667484434">
          <w:marLeft w:val="0"/>
          <w:marRight w:val="0"/>
          <w:marTop w:val="0"/>
          <w:marBottom w:val="0"/>
          <w:divBdr>
            <w:top w:val="none" w:sz="0" w:space="0" w:color="auto"/>
            <w:left w:val="none" w:sz="0" w:space="0" w:color="auto"/>
            <w:bottom w:val="none" w:sz="0" w:space="0" w:color="auto"/>
            <w:right w:val="none" w:sz="0" w:space="0" w:color="auto"/>
          </w:divBdr>
        </w:div>
        <w:div w:id="368531210">
          <w:marLeft w:val="0"/>
          <w:marRight w:val="0"/>
          <w:marTop w:val="0"/>
          <w:marBottom w:val="0"/>
          <w:divBdr>
            <w:top w:val="none" w:sz="0" w:space="0" w:color="auto"/>
            <w:left w:val="none" w:sz="0" w:space="0" w:color="auto"/>
            <w:bottom w:val="none" w:sz="0" w:space="0" w:color="auto"/>
            <w:right w:val="none" w:sz="0" w:space="0" w:color="auto"/>
          </w:divBdr>
        </w:div>
      </w:divsChild>
    </w:div>
    <w:div w:id="1194227498">
      <w:bodyDiv w:val="1"/>
      <w:marLeft w:val="0"/>
      <w:marRight w:val="0"/>
      <w:marTop w:val="0"/>
      <w:marBottom w:val="0"/>
      <w:divBdr>
        <w:top w:val="none" w:sz="0" w:space="0" w:color="auto"/>
        <w:left w:val="none" w:sz="0" w:space="0" w:color="auto"/>
        <w:bottom w:val="none" w:sz="0" w:space="0" w:color="auto"/>
        <w:right w:val="none" w:sz="0" w:space="0" w:color="auto"/>
      </w:divBdr>
    </w:div>
    <w:div w:id="1198620205">
      <w:bodyDiv w:val="1"/>
      <w:marLeft w:val="0"/>
      <w:marRight w:val="0"/>
      <w:marTop w:val="0"/>
      <w:marBottom w:val="0"/>
      <w:divBdr>
        <w:top w:val="none" w:sz="0" w:space="0" w:color="auto"/>
        <w:left w:val="none" w:sz="0" w:space="0" w:color="auto"/>
        <w:bottom w:val="none" w:sz="0" w:space="0" w:color="auto"/>
        <w:right w:val="none" w:sz="0" w:space="0" w:color="auto"/>
      </w:divBdr>
    </w:div>
    <w:div w:id="1280527672">
      <w:bodyDiv w:val="1"/>
      <w:marLeft w:val="0"/>
      <w:marRight w:val="0"/>
      <w:marTop w:val="0"/>
      <w:marBottom w:val="0"/>
      <w:divBdr>
        <w:top w:val="none" w:sz="0" w:space="0" w:color="auto"/>
        <w:left w:val="none" w:sz="0" w:space="0" w:color="auto"/>
        <w:bottom w:val="none" w:sz="0" w:space="0" w:color="auto"/>
        <w:right w:val="none" w:sz="0" w:space="0" w:color="auto"/>
      </w:divBdr>
    </w:div>
    <w:div w:id="1297762432">
      <w:bodyDiv w:val="1"/>
      <w:marLeft w:val="0"/>
      <w:marRight w:val="0"/>
      <w:marTop w:val="0"/>
      <w:marBottom w:val="0"/>
      <w:divBdr>
        <w:top w:val="none" w:sz="0" w:space="0" w:color="auto"/>
        <w:left w:val="none" w:sz="0" w:space="0" w:color="auto"/>
        <w:bottom w:val="none" w:sz="0" w:space="0" w:color="auto"/>
        <w:right w:val="none" w:sz="0" w:space="0" w:color="auto"/>
      </w:divBdr>
    </w:div>
    <w:div w:id="1316955344">
      <w:bodyDiv w:val="1"/>
      <w:marLeft w:val="0"/>
      <w:marRight w:val="0"/>
      <w:marTop w:val="0"/>
      <w:marBottom w:val="0"/>
      <w:divBdr>
        <w:top w:val="none" w:sz="0" w:space="0" w:color="auto"/>
        <w:left w:val="none" w:sz="0" w:space="0" w:color="auto"/>
        <w:bottom w:val="none" w:sz="0" w:space="0" w:color="auto"/>
        <w:right w:val="none" w:sz="0" w:space="0" w:color="auto"/>
      </w:divBdr>
    </w:div>
    <w:div w:id="1319112353">
      <w:bodyDiv w:val="1"/>
      <w:marLeft w:val="0"/>
      <w:marRight w:val="0"/>
      <w:marTop w:val="0"/>
      <w:marBottom w:val="0"/>
      <w:divBdr>
        <w:top w:val="none" w:sz="0" w:space="0" w:color="auto"/>
        <w:left w:val="none" w:sz="0" w:space="0" w:color="auto"/>
        <w:bottom w:val="none" w:sz="0" w:space="0" w:color="auto"/>
        <w:right w:val="none" w:sz="0" w:space="0" w:color="auto"/>
      </w:divBdr>
    </w:div>
    <w:div w:id="1355960271">
      <w:bodyDiv w:val="1"/>
      <w:marLeft w:val="0"/>
      <w:marRight w:val="0"/>
      <w:marTop w:val="0"/>
      <w:marBottom w:val="0"/>
      <w:divBdr>
        <w:top w:val="none" w:sz="0" w:space="0" w:color="auto"/>
        <w:left w:val="none" w:sz="0" w:space="0" w:color="auto"/>
        <w:bottom w:val="none" w:sz="0" w:space="0" w:color="auto"/>
        <w:right w:val="none" w:sz="0" w:space="0" w:color="auto"/>
      </w:divBdr>
    </w:div>
    <w:div w:id="1362901942">
      <w:bodyDiv w:val="1"/>
      <w:marLeft w:val="0"/>
      <w:marRight w:val="0"/>
      <w:marTop w:val="0"/>
      <w:marBottom w:val="0"/>
      <w:divBdr>
        <w:top w:val="none" w:sz="0" w:space="0" w:color="auto"/>
        <w:left w:val="none" w:sz="0" w:space="0" w:color="auto"/>
        <w:bottom w:val="none" w:sz="0" w:space="0" w:color="auto"/>
        <w:right w:val="none" w:sz="0" w:space="0" w:color="auto"/>
      </w:divBdr>
      <w:divsChild>
        <w:div w:id="880558074">
          <w:marLeft w:val="0"/>
          <w:marRight w:val="0"/>
          <w:marTop w:val="0"/>
          <w:marBottom w:val="0"/>
          <w:divBdr>
            <w:top w:val="none" w:sz="0" w:space="0" w:color="auto"/>
            <w:left w:val="none" w:sz="0" w:space="0" w:color="auto"/>
            <w:bottom w:val="none" w:sz="0" w:space="0" w:color="auto"/>
            <w:right w:val="none" w:sz="0" w:space="0" w:color="auto"/>
          </w:divBdr>
        </w:div>
        <w:div w:id="1695299623">
          <w:marLeft w:val="0"/>
          <w:marRight w:val="0"/>
          <w:marTop w:val="0"/>
          <w:marBottom w:val="0"/>
          <w:divBdr>
            <w:top w:val="none" w:sz="0" w:space="0" w:color="auto"/>
            <w:left w:val="none" w:sz="0" w:space="0" w:color="auto"/>
            <w:bottom w:val="none" w:sz="0" w:space="0" w:color="auto"/>
            <w:right w:val="none" w:sz="0" w:space="0" w:color="auto"/>
          </w:divBdr>
        </w:div>
      </w:divsChild>
    </w:div>
    <w:div w:id="1371029167">
      <w:bodyDiv w:val="1"/>
      <w:marLeft w:val="0"/>
      <w:marRight w:val="0"/>
      <w:marTop w:val="0"/>
      <w:marBottom w:val="0"/>
      <w:divBdr>
        <w:top w:val="none" w:sz="0" w:space="0" w:color="auto"/>
        <w:left w:val="none" w:sz="0" w:space="0" w:color="auto"/>
        <w:bottom w:val="none" w:sz="0" w:space="0" w:color="auto"/>
        <w:right w:val="none" w:sz="0" w:space="0" w:color="auto"/>
      </w:divBdr>
    </w:div>
    <w:div w:id="1381630284">
      <w:bodyDiv w:val="1"/>
      <w:marLeft w:val="0"/>
      <w:marRight w:val="0"/>
      <w:marTop w:val="0"/>
      <w:marBottom w:val="0"/>
      <w:divBdr>
        <w:top w:val="none" w:sz="0" w:space="0" w:color="auto"/>
        <w:left w:val="none" w:sz="0" w:space="0" w:color="auto"/>
        <w:bottom w:val="none" w:sz="0" w:space="0" w:color="auto"/>
        <w:right w:val="none" w:sz="0" w:space="0" w:color="auto"/>
      </w:divBdr>
    </w:div>
    <w:div w:id="1404839332">
      <w:bodyDiv w:val="1"/>
      <w:marLeft w:val="0"/>
      <w:marRight w:val="0"/>
      <w:marTop w:val="0"/>
      <w:marBottom w:val="0"/>
      <w:divBdr>
        <w:top w:val="none" w:sz="0" w:space="0" w:color="auto"/>
        <w:left w:val="none" w:sz="0" w:space="0" w:color="auto"/>
        <w:bottom w:val="none" w:sz="0" w:space="0" w:color="auto"/>
        <w:right w:val="none" w:sz="0" w:space="0" w:color="auto"/>
      </w:divBdr>
    </w:div>
    <w:div w:id="1413161076">
      <w:bodyDiv w:val="1"/>
      <w:marLeft w:val="0"/>
      <w:marRight w:val="0"/>
      <w:marTop w:val="0"/>
      <w:marBottom w:val="0"/>
      <w:divBdr>
        <w:top w:val="none" w:sz="0" w:space="0" w:color="auto"/>
        <w:left w:val="none" w:sz="0" w:space="0" w:color="auto"/>
        <w:bottom w:val="none" w:sz="0" w:space="0" w:color="auto"/>
        <w:right w:val="none" w:sz="0" w:space="0" w:color="auto"/>
      </w:divBdr>
    </w:div>
    <w:div w:id="1526553468">
      <w:bodyDiv w:val="1"/>
      <w:marLeft w:val="0"/>
      <w:marRight w:val="0"/>
      <w:marTop w:val="0"/>
      <w:marBottom w:val="0"/>
      <w:divBdr>
        <w:top w:val="none" w:sz="0" w:space="0" w:color="auto"/>
        <w:left w:val="none" w:sz="0" w:space="0" w:color="auto"/>
        <w:bottom w:val="none" w:sz="0" w:space="0" w:color="auto"/>
        <w:right w:val="none" w:sz="0" w:space="0" w:color="auto"/>
      </w:divBdr>
    </w:div>
    <w:div w:id="1551917147">
      <w:bodyDiv w:val="1"/>
      <w:marLeft w:val="0"/>
      <w:marRight w:val="0"/>
      <w:marTop w:val="0"/>
      <w:marBottom w:val="0"/>
      <w:divBdr>
        <w:top w:val="none" w:sz="0" w:space="0" w:color="auto"/>
        <w:left w:val="none" w:sz="0" w:space="0" w:color="auto"/>
        <w:bottom w:val="none" w:sz="0" w:space="0" w:color="auto"/>
        <w:right w:val="none" w:sz="0" w:space="0" w:color="auto"/>
      </w:divBdr>
    </w:div>
    <w:div w:id="1601061420">
      <w:bodyDiv w:val="1"/>
      <w:marLeft w:val="0"/>
      <w:marRight w:val="0"/>
      <w:marTop w:val="0"/>
      <w:marBottom w:val="0"/>
      <w:divBdr>
        <w:top w:val="none" w:sz="0" w:space="0" w:color="auto"/>
        <w:left w:val="none" w:sz="0" w:space="0" w:color="auto"/>
        <w:bottom w:val="none" w:sz="0" w:space="0" w:color="auto"/>
        <w:right w:val="none" w:sz="0" w:space="0" w:color="auto"/>
      </w:divBdr>
    </w:div>
    <w:div w:id="1608735210">
      <w:bodyDiv w:val="1"/>
      <w:marLeft w:val="0"/>
      <w:marRight w:val="0"/>
      <w:marTop w:val="0"/>
      <w:marBottom w:val="0"/>
      <w:divBdr>
        <w:top w:val="none" w:sz="0" w:space="0" w:color="auto"/>
        <w:left w:val="none" w:sz="0" w:space="0" w:color="auto"/>
        <w:bottom w:val="none" w:sz="0" w:space="0" w:color="auto"/>
        <w:right w:val="none" w:sz="0" w:space="0" w:color="auto"/>
      </w:divBdr>
    </w:div>
    <w:div w:id="1710108247">
      <w:bodyDiv w:val="1"/>
      <w:marLeft w:val="0"/>
      <w:marRight w:val="0"/>
      <w:marTop w:val="0"/>
      <w:marBottom w:val="0"/>
      <w:divBdr>
        <w:top w:val="none" w:sz="0" w:space="0" w:color="auto"/>
        <w:left w:val="none" w:sz="0" w:space="0" w:color="auto"/>
        <w:bottom w:val="none" w:sz="0" w:space="0" w:color="auto"/>
        <w:right w:val="none" w:sz="0" w:space="0" w:color="auto"/>
      </w:divBdr>
      <w:divsChild>
        <w:div w:id="1539976826">
          <w:marLeft w:val="0"/>
          <w:marRight w:val="0"/>
          <w:marTop w:val="0"/>
          <w:marBottom w:val="0"/>
          <w:divBdr>
            <w:top w:val="none" w:sz="0" w:space="0" w:color="auto"/>
            <w:left w:val="none" w:sz="0" w:space="0" w:color="auto"/>
            <w:bottom w:val="none" w:sz="0" w:space="0" w:color="auto"/>
            <w:right w:val="none" w:sz="0" w:space="0" w:color="auto"/>
          </w:divBdr>
        </w:div>
      </w:divsChild>
    </w:div>
    <w:div w:id="1769351107">
      <w:bodyDiv w:val="1"/>
      <w:marLeft w:val="0"/>
      <w:marRight w:val="0"/>
      <w:marTop w:val="0"/>
      <w:marBottom w:val="0"/>
      <w:divBdr>
        <w:top w:val="none" w:sz="0" w:space="0" w:color="auto"/>
        <w:left w:val="none" w:sz="0" w:space="0" w:color="auto"/>
        <w:bottom w:val="none" w:sz="0" w:space="0" w:color="auto"/>
        <w:right w:val="none" w:sz="0" w:space="0" w:color="auto"/>
      </w:divBdr>
      <w:divsChild>
        <w:div w:id="2037852329">
          <w:marLeft w:val="0"/>
          <w:marRight w:val="0"/>
          <w:marTop w:val="0"/>
          <w:marBottom w:val="300"/>
          <w:divBdr>
            <w:top w:val="none" w:sz="0" w:space="0" w:color="auto"/>
            <w:left w:val="none" w:sz="0" w:space="0" w:color="auto"/>
            <w:bottom w:val="none" w:sz="0" w:space="0" w:color="auto"/>
            <w:right w:val="none" w:sz="0" w:space="0" w:color="auto"/>
          </w:divBdr>
          <w:divsChild>
            <w:div w:id="19207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224">
      <w:bodyDiv w:val="1"/>
      <w:marLeft w:val="0"/>
      <w:marRight w:val="0"/>
      <w:marTop w:val="0"/>
      <w:marBottom w:val="0"/>
      <w:divBdr>
        <w:top w:val="none" w:sz="0" w:space="0" w:color="auto"/>
        <w:left w:val="none" w:sz="0" w:space="0" w:color="auto"/>
        <w:bottom w:val="none" w:sz="0" w:space="0" w:color="auto"/>
        <w:right w:val="none" w:sz="0" w:space="0" w:color="auto"/>
      </w:divBdr>
      <w:divsChild>
        <w:div w:id="261230303">
          <w:marLeft w:val="0"/>
          <w:marRight w:val="0"/>
          <w:marTop w:val="0"/>
          <w:marBottom w:val="0"/>
          <w:divBdr>
            <w:top w:val="none" w:sz="0" w:space="0" w:color="auto"/>
            <w:left w:val="none" w:sz="0" w:space="0" w:color="auto"/>
            <w:bottom w:val="none" w:sz="0" w:space="0" w:color="auto"/>
            <w:right w:val="none" w:sz="0" w:space="0" w:color="auto"/>
          </w:divBdr>
        </w:div>
        <w:div w:id="819879989">
          <w:marLeft w:val="0"/>
          <w:marRight w:val="0"/>
          <w:marTop w:val="0"/>
          <w:marBottom w:val="0"/>
          <w:divBdr>
            <w:top w:val="none" w:sz="0" w:space="0" w:color="auto"/>
            <w:left w:val="none" w:sz="0" w:space="0" w:color="auto"/>
            <w:bottom w:val="none" w:sz="0" w:space="0" w:color="auto"/>
            <w:right w:val="none" w:sz="0" w:space="0" w:color="auto"/>
          </w:divBdr>
        </w:div>
      </w:divsChild>
    </w:div>
    <w:div w:id="1850943350">
      <w:bodyDiv w:val="1"/>
      <w:marLeft w:val="0"/>
      <w:marRight w:val="0"/>
      <w:marTop w:val="0"/>
      <w:marBottom w:val="0"/>
      <w:divBdr>
        <w:top w:val="none" w:sz="0" w:space="0" w:color="auto"/>
        <w:left w:val="none" w:sz="0" w:space="0" w:color="auto"/>
        <w:bottom w:val="none" w:sz="0" w:space="0" w:color="auto"/>
        <w:right w:val="none" w:sz="0" w:space="0" w:color="auto"/>
      </w:divBdr>
    </w:div>
    <w:div w:id="1859201208">
      <w:bodyDiv w:val="1"/>
      <w:marLeft w:val="0"/>
      <w:marRight w:val="0"/>
      <w:marTop w:val="0"/>
      <w:marBottom w:val="0"/>
      <w:divBdr>
        <w:top w:val="none" w:sz="0" w:space="0" w:color="auto"/>
        <w:left w:val="none" w:sz="0" w:space="0" w:color="auto"/>
        <w:bottom w:val="none" w:sz="0" w:space="0" w:color="auto"/>
        <w:right w:val="none" w:sz="0" w:space="0" w:color="auto"/>
      </w:divBdr>
    </w:div>
    <w:div w:id="1861817825">
      <w:bodyDiv w:val="1"/>
      <w:marLeft w:val="0"/>
      <w:marRight w:val="0"/>
      <w:marTop w:val="0"/>
      <w:marBottom w:val="0"/>
      <w:divBdr>
        <w:top w:val="none" w:sz="0" w:space="0" w:color="auto"/>
        <w:left w:val="none" w:sz="0" w:space="0" w:color="auto"/>
        <w:bottom w:val="none" w:sz="0" w:space="0" w:color="auto"/>
        <w:right w:val="none" w:sz="0" w:space="0" w:color="auto"/>
      </w:divBdr>
      <w:divsChild>
        <w:div w:id="158354230">
          <w:marLeft w:val="0"/>
          <w:marRight w:val="0"/>
          <w:marTop w:val="0"/>
          <w:marBottom w:val="0"/>
          <w:divBdr>
            <w:top w:val="none" w:sz="0" w:space="0" w:color="auto"/>
            <w:left w:val="none" w:sz="0" w:space="0" w:color="auto"/>
            <w:bottom w:val="none" w:sz="0" w:space="0" w:color="auto"/>
            <w:right w:val="none" w:sz="0" w:space="0" w:color="auto"/>
          </w:divBdr>
        </w:div>
        <w:div w:id="820266302">
          <w:marLeft w:val="0"/>
          <w:marRight w:val="0"/>
          <w:marTop w:val="0"/>
          <w:marBottom w:val="0"/>
          <w:divBdr>
            <w:top w:val="none" w:sz="0" w:space="0" w:color="auto"/>
            <w:left w:val="none" w:sz="0" w:space="0" w:color="auto"/>
            <w:bottom w:val="none" w:sz="0" w:space="0" w:color="auto"/>
            <w:right w:val="none" w:sz="0" w:space="0" w:color="auto"/>
          </w:divBdr>
        </w:div>
      </w:divsChild>
    </w:div>
    <w:div w:id="1899824134">
      <w:bodyDiv w:val="1"/>
      <w:marLeft w:val="0"/>
      <w:marRight w:val="0"/>
      <w:marTop w:val="0"/>
      <w:marBottom w:val="0"/>
      <w:divBdr>
        <w:top w:val="none" w:sz="0" w:space="0" w:color="auto"/>
        <w:left w:val="none" w:sz="0" w:space="0" w:color="auto"/>
        <w:bottom w:val="none" w:sz="0" w:space="0" w:color="auto"/>
        <w:right w:val="none" w:sz="0" w:space="0" w:color="auto"/>
      </w:divBdr>
    </w:div>
    <w:div w:id="1903710933">
      <w:bodyDiv w:val="1"/>
      <w:marLeft w:val="0"/>
      <w:marRight w:val="0"/>
      <w:marTop w:val="0"/>
      <w:marBottom w:val="0"/>
      <w:divBdr>
        <w:top w:val="none" w:sz="0" w:space="0" w:color="auto"/>
        <w:left w:val="none" w:sz="0" w:space="0" w:color="auto"/>
        <w:bottom w:val="none" w:sz="0" w:space="0" w:color="auto"/>
        <w:right w:val="none" w:sz="0" w:space="0" w:color="auto"/>
      </w:divBdr>
      <w:divsChild>
        <w:div w:id="1923952380">
          <w:marLeft w:val="0"/>
          <w:marRight w:val="0"/>
          <w:marTop w:val="0"/>
          <w:marBottom w:val="300"/>
          <w:divBdr>
            <w:top w:val="none" w:sz="0" w:space="11" w:color="auto"/>
            <w:left w:val="single" w:sz="48" w:space="11" w:color="888888"/>
            <w:bottom w:val="none" w:sz="0" w:space="11" w:color="auto"/>
            <w:right w:val="none" w:sz="0" w:space="11" w:color="auto"/>
          </w:divBdr>
          <w:divsChild>
            <w:div w:id="265115631">
              <w:marLeft w:val="0"/>
              <w:marRight w:val="0"/>
              <w:marTop w:val="0"/>
              <w:marBottom w:val="0"/>
              <w:divBdr>
                <w:top w:val="none" w:sz="0" w:space="0" w:color="auto"/>
                <w:left w:val="none" w:sz="0" w:space="0" w:color="auto"/>
                <w:bottom w:val="none" w:sz="0" w:space="0" w:color="auto"/>
                <w:right w:val="none" w:sz="0" w:space="0" w:color="auto"/>
              </w:divBdr>
            </w:div>
            <w:div w:id="18315339">
              <w:marLeft w:val="0"/>
              <w:marRight w:val="0"/>
              <w:marTop w:val="0"/>
              <w:marBottom w:val="0"/>
              <w:divBdr>
                <w:top w:val="none" w:sz="0" w:space="0" w:color="auto"/>
                <w:left w:val="none" w:sz="0" w:space="0" w:color="auto"/>
                <w:bottom w:val="none" w:sz="0" w:space="0" w:color="auto"/>
                <w:right w:val="none" w:sz="0" w:space="0" w:color="auto"/>
              </w:divBdr>
            </w:div>
          </w:divsChild>
        </w:div>
        <w:div w:id="601912261">
          <w:marLeft w:val="0"/>
          <w:marRight w:val="0"/>
          <w:marTop w:val="0"/>
          <w:marBottom w:val="300"/>
          <w:divBdr>
            <w:top w:val="none" w:sz="0" w:space="11" w:color="auto"/>
            <w:left w:val="single" w:sz="48" w:space="11" w:color="888888"/>
            <w:bottom w:val="none" w:sz="0" w:space="11" w:color="auto"/>
            <w:right w:val="none" w:sz="0" w:space="11" w:color="auto"/>
          </w:divBdr>
          <w:divsChild>
            <w:div w:id="2109151222">
              <w:marLeft w:val="0"/>
              <w:marRight w:val="0"/>
              <w:marTop w:val="0"/>
              <w:marBottom w:val="0"/>
              <w:divBdr>
                <w:top w:val="none" w:sz="0" w:space="0" w:color="auto"/>
                <w:left w:val="none" w:sz="0" w:space="0" w:color="auto"/>
                <w:bottom w:val="none" w:sz="0" w:space="0" w:color="auto"/>
                <w:right w:val="none" w:sz="0" w:space="0" w:color="auto"/>
              </w:divBdr>
            </w:div>
            <w:div w:id="1218905154">
              <w:marLeft w:val="0"/>
              <w:marRight w:val="0"/>
              <w:marTop w:val="0"/>
              <w:marBottom w:val="0"/>
              <w:divBdr>
                <w:top w:val="none" w:sz="0" w:space="0" w:color="auto"/>
                <w:left w:val="none" w:sz="0" w:space="0" w:color="auto"/>
                <w:bottom w:val="none" w:sz="0" w:space="0" w:color="auto"/>
                <w:right w:val="none" w:sz="0" w:space="0" w:color="auto"/>
              </w:divBdr>
            </w:div>
            <w:div w:id="14936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3884">
      <w:bodyDiv w:val="1"/>
      <w:marLeft w:val="0"/>
      <w:marRight w:val="0"/>
      <w:marTop w:val="0"/>
      <w:marBottom w:val="0"/>
      <w:divBdr>
        <w:top w:val="none" w:sz="0" w:space="0" w:color="auto"/>
        <w:left w:val="none" w:sz="0" w:space="0" w:color="auto"/>
        <w:bottom w:val="none" w:sz="0" w:space="0" w:color="auto"/>
        <w:right w:val="none" w:sz="0" w:space="0" w:color="auto"/>
      </w:divBdr>
    </w:div>
    <w:div w:id="1929271577">
      <w:bodyDiv w:val="1"/>
      <w:marLeft w:val="0"/>
      <w:marRight w:val="0"/>
      <w:marTop w:val="0"/>
      <w:marBottom w:val="0"/>
      <w:divBdr>
        <w:top w:val="none" w:sz="0" w:space="0" w:color="auto"/>
        <w:left w:val="none" w:sz="0" w:space="0" w:color="auto"/>
        <w:bottom w:val="none" w:sz="0" w:space="0" w:color="auto"/>
        <w:right w:val="none" w:sz="0" w:space="0" w:color="auto"/>
      </w:divBdr>
    </w:div>
    <w:div w:id="1966614066">
      <w:bodyDiv w:val="1"/>
      <w:marLeft w:val="0"/>
      <w:marRight w:val="0"/>
      <w:marTop w:val="0"/>
      <w:marBottom w:val="0"/>
      <w:divBdr>
        <w:top w:val="none" w:sz="0" w:space="0" w:color="auto"/>
        <w:left w:val="none" w:sz="0" w:space="0" w:color="auto"/>
        <w:bottom w:val="none" w:sz="0" w:space="0" w:color="auto"/>
        <w:right w:val="none" w:sz="0" w:space="0" w:color="auto"/>
      </w:divBdr>
    </w:div>
    <w:div w:id="1989363159">
      <w:bodyDiv w:val="1"/>
      <w:marLeft w:val="0"/>
      <w:marRight w:val="0"/>
      <w:marTop w:val="0"/>
      <w:marBottom w:val="0"/>
      <w:divBdr>
        <w:top w:val="none" w:sz="0" w:space="0" w:color="auto"/>
        <w:left w:val="none" w:sz="0" w:space="0" w:color="auto"/>
        <w:bottom w:val="none" w:sz="0" w:space="0" w:color="auto"/>
        <w:right w:val="none" w:sz="0" w:space="0" w:color="auto"/>
      </w:divBdr>
    </w:div>
    <w:div w:id="1998066405">
      <w:bodyDiv w:val="1"/>
      <w:marLeft w:val="0"/>
      <w:marRight w:val="0"/>
      <w:marTop w:val="0"/>
      <w:marBottom w:val="0"/>
      <w:divBdr>
        <w:top w:val="none" w:sz="0" w:space="0" w:color="auto"/>
        <w:left w:val="none" w:sz="0" w:space="0" w:color="auto"/>
        <w:bottom w:val="none" w:sz="0" w:space="0" w:color="auto"/>
        <w:right w:val="none" w:sz="0" w:space="0" w:color="auto"/>
      </w:divBdr>
    </w:div>
    <w:div w:id="2027362269">
      <w:bodyDiv w:val="1"/>
      <w:marLeft w:val="0"/>
      <w:marRight w:val="0"/>
      <w:marTop w:val="0"/>
      <w:marBottom w:val="0"/>
      <w:divBdr>
        <w:top w:val="none" w:sz="0" w:space="0" w:color="auto"/>
        <w:left w:val="none" w:sz="0" w:space="0" w:color="auto"/>
        <w:bottom w:val="none" w:sz="0" w:space="0" w:color="auto"/>
        <w:right w:val="none" w:sz="0" w:space="0" w:color="auto"/>
      </w:divBdr>
      <w:divsChild>
        <w:div w:id="55933625">
          <w:marLeft w:val="0"/>
          <w:marRight w:val="0"/>
          <w:marTop w:val="0"/>
          <w:marBottom w:val="300"/>
          <w:divBdr>
            <w:top w:val="none" w:sz="0" w:space="11" w:color="auto"/>
            <w:left w:val="single" w:sz="48" w:space="11" w:color="888888"/>
            <w:bottom w:val="none" w:sz="0" w:space="11" w:color="auto"/>
            <w:right w:val="none" w:sz="0" w:space="11" w:color="auto"/>
          </w:divBdr>
          <w:divsChild>
            <w:div w:id="1981302615">
              <w:marLeft w:val="0"/>
              <w:marRight w:val="0"/>
              <w:marTop w:val="0"/>
              <w:marBottom w:val="0"/>
              <w:divBdr>
                <w:top w:val="none" w:sz="0" w:space="0" w:color="auto"/>
                <w:left w:val="none" w:sz="0" w:space="0" w:color="auto"/>
                <w:bottom w:val="none" w:sz="0" w:space="0" w:color="auto"/>
                <w:right w:val="none" w:sz="0" w:space="0" w:color="auto"/>
              </w:divBdr>
            </w:div>
            <w:div w:id="46805723">
              <w:marLeft w:val="0"/>
              <w:marRight w:val="0"/>
              <w:marTop w:val="0"/>
              <w:marBottom w:val="0"/>
              <w:divBdr>
                <w:top w:val="none" w:sz="0" w:space="0" w:color="auto"/>
                <w:left w:val="none" w:sz="0" w:space="0" w:color="auto"/>
                <w:bottom w:val="none" w:sz="0" w:space="0" w:color="auto"/>
                <w:right w:val="none" w:sz="0" w:space="0" w:color="auto"/>
              </w:divBdr>
            </w:div>
          </w:divsChild>
        </w:div>
        <w:div w:id="738481074">
          <w:marLeft w:val="0"/>
          <w:marRight w:val="0"/>
          <w:marTop w:val="0"/>
          <w:marBottom w:val="300"/>
          <w:divBdr>
            <w:top w:val="none" w:sz="0" w:space="11" w:color="auto"/>
            <w:left w:val="single" w:sz="48" w:space="11" w:color="888888"/>
            <w:bottom w:val="none" w:sz="0" w:space="11" w:color="auto"/>
            <w:right w:val="none" w:sz="0" w:space="11" w:color="auto"/>
          </w:divBdr>
          <w:divsChild>
            <w:div w:id="9926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9357">
      <w:bodyDiv w:val="1"/>
      <w:marLeft w:val="0"/>
      <w:marRight w:val="0"/>
      <w:marTop w:val="0"/>
      <w:marBottom w:val="0"/>
      <w:divBdr>
        <w:top w:val="none" w:sz="0" w:space="0" w:color="auto"/>
        <w:left w:val="none" w:sz="0" w:space="0" w:color="auto"/>
        <w:bottom w:val="none" w:sz="0" w:space="0" w:color="auto"/>
        <w:right w:val="none" w:sz="0" w:space="0" w:color="auto"/>
      </w:divBdr>
    </w:div>
    <w:div w:id="21411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opher.davis@iosh.com"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uth.wilkinson@iosh.com"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publicaffairs@iosh.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31341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sultations@iosh.com" TargetMode="External"/><Relationship Id="rId23" Type="http://schemas.openxmlformats.org/officeDocument/2006/relationships/fontTable" Target="fontTable.xml"/><Relationship Id="rId10" Type="http://schemas.openxmlformats.org/officeDocument/2006/relationships/hyperlink" Target="https://www.icgn.org/sites/default/files/2022-10/3.%20Occupantional%20Health%20and%20Safety%20HCC%20Viewpoint%20oct%2022_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van.williams@iosh.com"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modernslaverypec.org/assets/downloads/mHREDD_briefing_FINAL.pdf" TargetMode="External"/><Relationship Id="rId3" Type="http://schemas.openxmlformats.org/officeDocument/2006/relationships/hyperlink" Target="https://www.weforum.org/agenda/2023/01/the-importance-of-esg-sustainable-future-davos-2023/" TargetMode="External"/><Relationship Id="rId7" Type="http://schemas.openxmlformats.org/officeDocument/2006/relationships/hyperlink" Target="https://corpgov.law.harvard.edu/2022/07/18/the-rapidly-changing-world-of-human-rights-regulation-a-resource-for-investors/" TargetMode="External"/><Relationship Id="rId2" Type="http://schemas.openxmlformats.org/officeDocument/2006/relationships/hyperlink" Target="https://www.leasinglife.com/analysis/in-pursuit-of-positive-impact-growing-scrutiny-around-esg-highlights-impact-investing-as-a-force-for-change/?cf-view" TargetMode="External"/><Relationship Id="rId1" Type="http://schemas.openxmlformats.org/officeDocument/2006/relationships/hyperlink" Target="https://iosh.com/media/10357/harnessing-the-power-of-social-sustainability.pdf" TargetMode="External"/><Relationship Id="rId6" Type="http://schemas.openxmlformats.org/officeDocument/2006/relationships/hyperlink" Target="https://www.amnestyusa.org/wp-content/uploads/2021/07/Risky-Business-How-Leading-VC-Firms-Ignore-Human-Rights-When-investing-in-Tech-Final-1.pdf" TargetMode="External"/><Relationship Id="rId11" Type="http://schemas.openxmlformats.org/officeDocument/2006/relationships/hyperlink" Target="https://iosh.com/media/12097/documents-consultations-iosh_response_to_unbrh_extractive_sector.pdf" TargetMode="External"/><Relationship Id="rId5" Type="http://schemas.openxmlformats.org/officeDocument/2006/relationships/hyperlink" Target="https://www.blackrock.com/corporate/literature/publication/blk-commentary-engagement-on-human-capital.pdf" TargetMode="External"/><Relationship Id="rId10" Type="http://schemas.openxmlformats.org/officeDocument/2006/relationships/hyperlink" Target="https://iosh.com/media/10602/iosh-response-to-un-responsible-corporate-pol.pdf" TargetMode="External"/><Relationship Id="rId4" Type="http://schemas.openxmlformats.org/officeDocument/2006/relationships/hyperlink" Target="https://www.oecd-ilibrary.org/sites/b854a453-en/index.html?itemId=/content/component/b854a453-en" TargetMode="External"/><Relationship Id="rId9" Type="http://schemas.openxmlformats.org/officeDocument/2006/relationships/hyperlink" Target="https://www.unpri.org/academic-blogs/the-effectiveness-of-divestment-strategies/11204.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74D3303-193E-44E8-B811-EE877C895B2E}">
  <ds:schemaRefs>
    <ds:schemaRef ds:uri="http://schemas.openxmlformats.org/officeDocument/2006/bibliography"/>
  </ds:schemaRefs>
</ds:datastoreItem>
</file>

<file path=customXml/itemProps2.xml><?xml version="1.0" encoding="utf-8"?>
<ds:datastoreItem xmlns:ds="http://schemas.openxmlformats.org/officeDocument/2006/customXml" ds:itemID="{3BA6C129-8463-4544-BE74-08F55DB750FF}"/>
</file>

<file path=customXml/itemProps3.xml><?xml version="1.0" encoding="utf-8"?>
<ds:datastoreItem xmlns:ds="http://schemas.openxmlformats.org/officeDocument/2006/customXml" ds:itemID="{16FDFCF6-9576-4AD6-A0BA-57F083EAB926}"/>
</file>

<file path=customXml/itemProps4.xml><?xml version="1.0" encoding="utf-8"?>
<ds:datastoreItem xmlns:ds="http://schemas.openxmlformats.org/officeDocument/2006/customXml" ds:itemID="{02C21E31-E44B-4063-B541-9AF1767B04E4}"/>
</file>

<file path=docProps/app.xml><?xml version="1.0" encoding="utf-8"?>
<Properties xmlns="http://schemas.openxmlformats.org/officeDocument/2006/extended-properties" xmlns:vt="http://schemas.openxmlformats.org/officeDocument/2006/docPropsVTypes">
  <Template>Normal</Template>
  <TotalTime>251</TotalTime>
  <Pages>11</Pages>
  <Words>4709</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Ivan Williams Jimenez</dc:creator>
  <cp:keywords/>
  <dc:description/>
  <cp:lastModifiedBy>Dr. Ivan Williams Jimenez</cp:lastModifiedBy>
  <cp:revision>11</cp:revision>
  <dcterms:created xsi:type="dcterms:W3CDTF">2023-09-29T08:59:00Z</dcterms:created>
  <dcterms:modified xsi:type="dcterms:W3CDTF">2023-10-02T11:37:00Z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