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9369" w14:textId="77777777" w:rsidR="00F95A8D" w:rsidRPr="004B030A" w:rsidRDefault="00F95A8D" w:rsidP="005835D4">
      <w:pPr>
        <w:jc w:val="both"/>
        <w:rPr>
          <w:rFonts w:cstheme="minorHAnsi"/>
          <w:sz w:val="22"/>
          <w:szCs w:val="22"/>
        </w:rPr>
      </w:pPr>
    </w:p>
    <w:p w14:paraId="36EC7268" w14:textId="3DABCD17" w:rsidR="00F9641C" w:rsidRPr="004B030A" w:rsidRDefault="00F9641C" w:rsidP="005835D4">
      <w:pPr>
        <w:jc w:val="both"/>
        <w:rPr>
          <w:rFonts w:cstheme="minorHAnsi"/>
          <w:sz w:val="22"/>
          <w:szCs w:val="22"/>
        </w:rPr>
      </w:pPr>
    </w:p>
    <w:p w14:paraId="5DF5F30F" w14:textId="6302D83F" w:rsidR="00FF0E5F" w:rsidRPr="004B030A" w:rsidRDefault="008C3C32" w:rsidP="005835D4">
      <w:pPr>
        <w:rPr>
          <w:rFonts w:cstheme="minorHAnsi"/>
          <w:sz w:val="22"/>
          <w:szCs w:val="22"/>
        </w:rPr>
      </w:pPr>
      <w:r w:rsidRPr="004B030A">
        <w:rPr>
          <w:rFonts w:cstheme="minorHAnsi"/>
          <w:sz w:val="22"/>
          <w:szCs w:val="22"/>
        </w:rPr>
        <w:fldChar w:fldCharType="begin"/>
      </w:r>
      <w:r w:rsidRPr="004B030A">
        <w:rPr>
          <w:rFonts w:cstheme="minorHAnsi"/>
          <w:sz w:val="22"/>
          <w:szCs w:val="22"/>
        </w:rPr>
        <w:instrText xml:space="preserve"> DATE \@ "d MMMM yyyy" </w:instrText>
      </w:r>
      <w:r w:rsidRPr="004B030A">
        <w:rPr>
          <w:rFonts w:cstheme="minorHAnsi"/>
          <w:sz w:val="22"/>
          <w:szCs w:val="22"/>
        </w:rPr>
        <w:fldChar w:fldCharType="separate"/>
      </w:r>
      <w:r w:rsidR="00876F8C" w:rsidRPr="004B030A">
        <w:rPr>
          <w:rFonts w:cstheme="minorHAnsi"/>
          <w:noProof/>
          <w:sz w:val="22"/>
          <w:szCs w:val="22"/>
        </w:rPr>
        <w:t>28 September 2023</w:t>
      </w:r>
      <w:r w:rsidRPr="004B030A">
        <w:rPr>
          <w:rFonts w:cstheme="minorHAnsi"/>
          <w:sz w:val="22"/>
          <w:szCs w:val="22"/>
        </w:rPr>
        <w:fldChar w:fldCharType="end"/>
      </w:r>
    </w:p>
    <w:p w14:paraId="1BC8A60B" w14:textId="4FF12906" w:rsidR="00F95A8D" w:rsidRPr="004B030A" w:rsidRDefault="00F95A8D" w:rsidP="005835D4">
      <w:pPr>
        <w:tabs>
          <w:tab w:val="left" w:pos="567"/>
        </w:tabs>
        <w:rPr>
          <w:rFonts w:cstheme="minorHAnsi"/>
          <w:sz w:val="22"/>
          <w:szCs w:val="22"/>
        </w:rPr>
      </w:pPr>
    </w:p>
    <w:p w14:paraId="59D61D9D" w14:textId="77A0CF24" w:rsidR="008A3099" w:rsidRPr="004B030A" w:rsidRDefault="00C92A4D" w:rsidP="005835D4">
      <w:pPr>
        <w:rPr>
          <w:rFonts w:cstheme="minorHAnsi"/>
          <w:sz w:val="22"/>
          <w:szCs w:val="22"/>
        </w:rPr>
      </w:pPr>
      <w:r w:rsidRPr="004B030A">
        <w:rPr>
          <w:rFonts w:cstheme="minorHAnsi"/>
          <w:sz w:val="22"/>
          <w:szCs w:val="22"/>
        </w:rPr>
        <w:t>UN Working Group on Business and Human Rights</w:t>
      </w:r>
      <w:r w:rsidRPr="004B030A">
        <w:rPr>
          <w:rFonts w:cstheme="minorHAnsi"/>
          <w:sz w:val="22"/>
          <w:szCs w:val="22"/>
        </w:rPr>
        <w:br/>
        <w:t>Thematic Engagement, Special Procedures and Right to Development Division</w:t>
      </w:r>
      <w:r w:rsidRPr="004B030A">
        <w:rPr>
          <w:rFonts w:cstheme="minorHAnsi"/>
          <w:sz w:val="22"/>
          <w:szCs w:val="22"/>
        </w:rPr>
        <w:br/>
        <w:t>Special Procedures Branch</w:t>
      </w:r>
      <w:r w:rsidRPr="004B030A">
        <w:rPr>
          <w:rFonts w:cstheme="minorHAnsi"/>
          <w:sz w:val="22"/>
          <w:szCs w:val="22"/>
        </w:rPr>
        <w:br/>
        <w:t>UNOG-OHCHR</w:t>
      </w:r>
      <w:r w:rsidRPr="004B030A">
        <w:rPr>
          <w:rFonts w:cstheme="minorHAnsi"/>
          <w:sz w:val="22"/>
          <w:szCs w:val="22"/>
        </w:rPr>
        <w:br/>
        <w:t>CH-1211 Geneva 10, Switzerland</w:t>
      </w:r>
    </w:p>
    <w:p w14:paraId="44574F59" w14:textId="77777777" w:rsidR="00C92A4D" w:rsidRPr="004B030A" w:rsidRDefault="00C92A4D" w:rsidP="005835D4">
      <w:pPr>
        <w:rPr>
          <w:rFonts w:cstheme="minorHAnsi"/>
          <w:sz w:val="22"/>
          <w:szCs w:val="22"/>
        </w:rPr>
      </w:pPr>
    </w:p>
    <w:p w14:paraId="68EC0212" w14:textId="7D0495CD" w:rsidR="00FF0E5F" w:rsidRPr="004B030A" w:rsidRDefault="00FF0E5F" w:rsidP="005835D4">
      <w:pPr>
        <w:rPr>
          <w:rFonts w:cstheme="minorHAnsi"/>
          <w:sz w:val="22"/>
          <w:szCs w:val="22"/>
        </w:rPr>
      </w:pPr>
      <w:r w:rsidRPr="004B030A">
        <w:rPr>
          <w:rFonts w:cstheme="minorHAnsi"/>
          <w:sz w:val="22"/>
          <w:szCs w:val="22"/>
        </w:rPr>
        <w:t>By email</w:t>
      </w:r>
      <w:r w:rsidR="008A3099" w:rsidRPr="004B030A">
        <w:rPr>
          <w:rFonts w:cstheme="minorHAnsi"/>
          <w:sz w:val="22"/>
          <w:szCs w:val="22"/>
        </w:rPr>
        <w:t xml:space="preserve">: </w:t>
      </w:r>
      <w:hyperlink r:id="rId11" w:history="1">
        <w:r w:rsidR="001066E9" w:rsidRPr="004B030A">
          <w:rPr>
            <w:rStyle w:val="Hyperlink"/>
            <w:rFonts w:cstheme="minorHAnsi"/>
            <w:sz w:val="22"/>
            <w:szCs w:val="22"/>
          </w:rPr>
          <w:t>hrc-wg-business@un.org</w:t>
        </w:r>
      </w:hyperlink>
      <w:r w:rsidR="001066E9" w:rsidRPr="004B030A">
        <w:rPr>
          <w:rFonts w:cstheme="minorHAnsi"/>
          <w:sz w:val="22"/>
          <w:szCs w:val="22"/>
        </w:rPr>
        <w:t xml:space="preserve"> </w:t>
      </w:r>
    </w:p>
    <w:p w14:paraId="12991F1F" w14:textId="77777777" w:rsidR="00F9641C" w:rsidRPr="004B030A" w:rsidRDefault="00F9641C" w:rsidP="005835D4">
      <w:pPr>
        <w:jc w:val="both"/>
        <w:rPr>
          <w:rFonts w:cstheme="minorHAnsi"/>
          <w:sz w:val="22"/>
          <w:szCs w:val="22"/>
        </w:rPr>
      </w:pPr>
    </w:p>
    <w:p w14:paraId="474AF5BE" w14:textId="77777777" w:rsidR="00741F66" w:rsidRPr="004B030A" w:rsidRDefault="00741F66" w:rsidP="005835D4">
      <w:pPr>
        <w:jc w:val="both"/>
        <w:rPr>
          <w:rFonts w:cstheme="minorHAnsi"/>
          <w:sz w:val="22"/>
          <w:szCs w:val="22"/>
        </w:rPr>
      </w:pPr>
    </w:p>
    <w:p w14:paraId="2DFDECB4" w14:textId="7C0C1F61" w:rsidR="00653EA4" w:rsidRPr="004B030A" w:rsidRDefault="00653EA4" w:rsidP="005835D4">
      <w:pPr>
        <w:jc w:val="both"/>
        <w:rPr>
          <w:rFonts w:cstheme="minorHAnsi"/>
          <w:sz w:val="22"/>
          <w:szCs w:val="22"/>
        </w:rPr>
      </w:pPr>
    </w:p>
    <w:p w14:paraId="2DA82434" w14:textId="02F7A2AE" w:rsidR="008A3099" w:rsidRPr="004B030A" w:rsidRDefault="009D5CB0" w:rsidP="005835D4">
      <w:pPr>
        <w:jc w:val="both"/>
        <w:rPr>
          <w:rFonts w:cstheme="minorHAnsi"/>
          <w:sz w:val="22"/>
          <w:szCs w:val="22"/>
        </w:rPr>
      </w:pPr>
      <w:r w:rsidRPr="004B030A">
        <w:rPr>
          <w:rFonts w:cstheme="minorHAnsi"/>
          <w:sz w:val="22"/>
          <w:szCs w:val="22"/>
        </w:rPr>
        <w:t xml:space="preserve">Dear </w:t>
      </w:r>
      <w:r w:rsidR="00E336C4" w:rsidRPr="004B030A">
        <w:rPr>
          <w:rFonts w:cstheme="minorHAnsi"/>
          <w:sz w:val="22"/>
          <w:szCs w:val="22"/>
        </w:rPr>
        <w:t>UN Working Group on Business and Human Rights</w:t>
      </w:r>
      <w:r w:rsidR="00E931EF" w:rsidRPr="004B030A">
        <w:rPr>
          <w:rFonts w:cstheme="minorHAnsi"/>
          <w:sz w:val="22"/>
          <w:szCs w:val="22"/>
        </w:rPr>
        <w:t>,</w:t>
      </w:r>
    </w:p>
    <w:p w14:paraId="2F4CBD05" w14:textId="77777777" w:rsidR="008A3099" w:rsidRPr="004B030A" w:rsidRDefault="008A3099" w:rsidP="005835D4">
      <w:pPr>
        <w:tabs>
          <w:tab w:val="left" w:pos="567"/>
        </w:tabs>
        <w:jc w:val="both"/>
        <w:rPr>
          <w:rFonts w:cstheme="minorHAnsi"/>
          <w:sz w:val="22"/>
          <w:szCs w:val="22"/>
        </w:rPr>
      </w:pPr>
    </w:p>
    <w:p w14:paraId="54A508A3" w14:textId="7B83FC8F" w:rsidR="008A3099" w:rsidRPr="004B030A" w:rsidRDefault="008A3099" w:rsidP="006C3D23">
      <w:pPr>
        <w:tabs>
          <w:tab w:val="left" w:pos="567"/>
        </w:tabs>
        <w:rPr>
          <w:rFonts w:cstheme="minorHAnsi"/>
          <w:b/>
          <w:bCs/>
          <w:sz w:val="22"/>
          <w:szCs w:val="22"/>
        </w:rPr>
      </w:pPr>
      <w:r w:rsidRPr="004B030A">
        <w:rPr>
          <w:rFonts w:cstheme="minorHAnsi"/>
          <w:b/>
          <w:bCs/>
          <w:sz w:val="22"/>
          <w:szCs w:val="22"/>
        </w:rPr>
        <w:t xml:space="preserve">Re: </w:t>
      </w:r>
      <w:r w:rsidR="00C92A4D" w:rsidRPr="004B030A">
        <w:rPr>
          <w:rFonts w:cstheme="minorHAnsi"/>
          <w:b/>
          <w:bCs/>
          <w:sz w:val="22"/>
          <w:szCs w:val="22"/>
        </w:rPr>
        <w:t xml:space="preserve">Call for input – </w:t>
      </w:r>
      <w:r w:rsidR="00800C21" w:rsidRPr="004B030A">
        <w:rPr>
          <w:rFonts w:cstheme="minorHAnsi"/>
          <w:b/>
          <w:bCs/>
          <w:sz w:val="22"/>
          <w:szCs w:val="22"/>
        </w:rPr>
        <w:t xml:space="preserve">Investors, </w:t>
      </w:r>
      <w:r w:rsidR="00C92A4D" w:rsidRPr="004B030A">
        <w:rPr>
          <w:rFonts w:cstheme="minorHAnsi"/>
          <w:b/>
          <w:bCs/>
          <w:sz w:val="22"/>
          <w:szCs w:val="22"/>
        </w:rPr>
        <w:t xml:space="preserve">ESG and </w:t>
      </w:r>
      <w:r w:rsidR="00800C21" w:rsidRPr="004B030A">
        <w:rPr>
          <w:rFonts w:cstheme="minorHAnsi"/>
          <w:b/>
          <w:bCs/>
          <w:sz w:val="22"/>
          <w:szCs w:val="22"/>
        </w:rPr>
        <w:t>Human Rights Questionnaire</w:t>
      </w:r>
    </w:p>
    <w:p w14:paraId="63E258E3" w14:textId="77777777" w:rsidR="009C71F6" w:rsidRPr="004B030A" w:rsidRDefault="009C71F6" w:rsidP="005835D4">
      <w:pPr>
        <w:jc w:val="both"/>
        <w:rPr>
          <w:rFonts w:cstheme="minorHAnsi"/>
          <w:sz w:val="22"/>
          <w:szCs w:val="22"/>
        </w:rPr>
      </w:pPr>
    </w:p>
    <w:p w14:paraId="13150589" w14:textId="013F6B3C" w:rsidR="004C4F48" w:rsidRPr="004B030A" w:rsidRDefault="00241355" w:rsidP="005835D4">
      <w:pPr>
        <w:jc w:val="both"/>
        <w:rPr>
          <w:rFonts w:cstheme="minorHAnsi"/>
          <w:sz w:val="22"/>
          <w:szCs w:val="22"/>
        </w:rPr>
      </w:pPr>
      <w:r w:rsidRPr="004B030A">
        <w:rPr>
          <w:rFonts w:cstheme="minorHAnsi"/>
          <w:sz w:val="22"/>
          <w:szCs w:val="22"/>
        </w:rPr>
        <w:t xml:space="preserve">On behalf of </w:t>
      </w:r>
      <w:r w:rsidR="008F5DCE" w:rsidRPr="004B030A">
        <w:rPr>
          <w:rFonts w:cstheme="minorHAnsi"/>
          <w:sz w:val="22"/>
          <w:szCs w:val="22"/>
        </w:rPr>
        <w:t xml:space="preserve">Australian Red Cross, </w:t>
      </w:r>
      <w:r w:rsidR="00925D24" w:rsidRPr="004B030A">
        <w:rPr>
          <w:rFonts w:cstheme="minorHAnsi"/>
          <w:sz w:val="22"/>
          <w:szCs w:val="22"/>
        </w:rPr>
        <w:t xml:space="preserve">the </w:t>
      </w:r>
      <w:r w:rsidR="008F5DCE" w:rsidRPr="004B030A">
        <w:rPr>
          <w:rFonts w:cstheme="minorHAnsi"/>
          <w:sz w:val="22"/>
          <w:szCs w:val="22"/>
        </w:rPr>
        <w:t>In</w:t>
      </w:r>
      <w:r w:rsidR="00925D24" w:rsidRPr="004B030A">
        <w:rPr>
          <w:rFonts w:cstheme="minorHAnsi"/>
          <w:sz w:val="22"/>
          <w:szCs w:val="22"/>
        </w:rPr>
        <w:t>ternational Committee of the Red Cross (ICRC) and RMIT University</w:t>
      </w:r>
      <w:r w:rsidRPr="004B030A">
        <w:rPr>
          <w:rFonts w:cstheme="minorHAnsi"/>
          <w:sz w:val="22"/>
          <w:szCs w:val="22"/>
        </w:rPr>
        <w:t>, we</w:t>
      </w:r>
      <w:r w:rsidR="00925D24" w:rsidRPr="004B030A">
        <w:rPr>
          <w:rFonts w:cstheme="minorHAnsi"/>
          <w:sz w:val="22"/>
          <w:szCs w:val="22"/>
        </w:rPr>
        <w:t xml:space="preserve"> </w:t>
      </w:r>
      <w:r w:rsidR="001C4B3C" w:rsidRPr="004B030A">
        <w:rPr>
          <w:rFonts w:cstheme="minorHAnsi"/>
          <w:sz w:val="22"/>
          <w:szCs w:val="22"/>
        </w:rPr>
        <w:t xml:space="preserve">welcome this opportunity to submit </w:t>
      </w:r>
      <w:r w:rsidR="00D064F9" w:rsidRPr="004B030A">
        <w:rPr>
          <w:rFonts w:cstheme="minorHAnsi"/>
          <w:sz w:val="22"/>
          <w:szCs w:val="22"/>
        </w:rPr>
        <w:t>our</w:t>
      </w:r>
      <w:r w:rsidR="00ED662F" w:rsidRPr="004B030A">
        <w:rPr>
          <w:rFonts w:cstheme="minorHAnsi"/>
          <w:sz w:val="22"/>
          <w:szCs w:val="22"/>
        </w:rPr>
        <w:t xml:space="preserve"> </w:t>
      </w:r>
      <w:r w:rsidR="00FA4278" w:rsidRPr="004B030A">
        <w:rPr>
          <w:rFonts w:cstheme="minorHAnsi"/>
          <w:sz w:val="22"/>
          <w:szCs w:val="22"/>
        </w:rPr>
        <w:t xml:space="preserve">comments </w:t>
      </w:r>
      <w:r w:rsidR="00F032AA" w:rsidRPr="004B030A">
        <w:rPr>
          <w:rFonts w:cstheme="minorHAnsi"/>
          <w:sz w:val="22"/>
          <w:szCs w:val="22"/>
        </w:rPr>
        <w:t xml:space="preserve">to </w:t>
      </w:r>
      <w:r w:rsidR="00782095" w:rsidRPr="004B030A">
        <w:rPr>
          <w:rFonts w:cstheme="minorHAnsi"/>
          <w:sz w:val="22"/>
          <w:szCs w:val="22"/>
        </w:rPr>
        <w:t>the UN Working Group on Business and Human Rights (the Working Group).</w:t>
      </w:r>
      <w:r w:rsidR="00F032AA" w:rsidRPr="004B030A">
        <w:rPr>
          <w:rFonts w:cstheme="minorHAnsi"/>
          <w:sz w:val="22"/>
          <w:szCs w:val="22"/>
        </w:rPr>
        <w:t xml:space="preserve"> </w:t>
      </w:r>
      <w:r w:rsidR="009B10C1" w:rsidRPr="004B030A">
        <w:rPr>
          <w:rFonts w:cstheme="minorHAnsi"/>
          <w:sz w:val="22"/>
          <w:szCs w:val="22"/>
        </w:rPr>
        <w:t xml:space="preserve">This submission </w:t>
      </w:r>
      <w:r w:rsidR="00896CAD" w:rsidRPr="004B030A">
        <w:rPr>
          <w:rFonts w:cstheme="minorHAnsi"/>
          <w:sz w:val="22"/>
          <w:szCs w:val="22"/>
        </w:rPr>
        <w:t xml:space="preserve">responds, in whole or in part, to several of the questions relating to </w:t>
      </w:r>
      <w:r w:rsidR="00591340" w:rsidRPr="004B030A">
        <w:rPr>
          <w:rFonts w:cstheme="minorHAnsi"/>
          <w:sz w:val="22"/>
          <w:szCs w:val="22"/>
        </w:rPr>
        <w:t xml:space="preserve">‘Corporate responsibility to respect human rights’ and ‘Good practices’, </w:t>
      </w:r>
      <w:r w:rsidR="00896CAD" w:rsidRPr="004B030A">
        <w:rPr>
          <w:rFonts w:cstheme="minorHAnsi"/>
          <w:sz w:val="22"/>
          <w:szCs w:val="22"/>
        </w:rPr>
        <w:t xml:space="preserve">outlined </w:t>
      </w:r>
      <w:r w:rsidR="00591340" w:rsidRPr="004B030A">
        <w:rPr>
          <w:rFonts w:cstheme="minorHAnsi"/>
          <w:sz w:val="22"/>
          <w:szCs w:val="22"/>
        </w:rPr>
        <w:t xml:space="preserve">in the </w:t>
      </w:r>
      <w:r w:rsidR="008067E4" w:rsidRPr="004B030A">
        <w:rPr>
          <w:rFonts w:cstheme="minorHAnsi"/>
          <w:sz w:val="22"/>
          <w:szCs w:val="22"/>
        </w:rPr>
        <w:t>questionnaire provided. W</w:t>
      </w:r>
      <w:r w:rsidR="00C33519" w:rsidRPr="004B030A">
        <w:rPr>
          <w:rFonts w:cstheme="minorHAnsi"/>
          <w:sz w:val="22"/>
          <w:szCs w:val="22"/>
        </w:rPr>
        <w:t>e</w:t>
      </w:r>
      <w:r w:rsidR="00B645AF" w:rsidRPr="004B030A">
        <w:rPr>
          <w:rFonts w:cstheme="minorHAnsi"/>
          <w:sz w:val="22"/>
          <w:szCs w:val="22"/>
        </w:rPr>
        <w:t xml:space="preserve"> are </w:t>
      </w:r>
      <w:r w:rsidR="008067E4" w:rsidRPr="004B030A">
        <w:rPr>
          <w:rFonts w:cstheme="minorHAnsi"/>
          <w:sz w:val="22"/>
          <w:szCs w:val="22"/>
        </w:rPr>
        <w:t xml:space="preserve">particularly </w:t>
      </w:r>
      <w:r w:rsidR="00B645AF" w:rsidRPr="004B030A">
        <w:rPr>
          <w:rFonts w:cstheme="minorHAnsi"/>
          <w:sz w:val="22"/>
          <w:szCs w:val="22"/>
        </w:rPr>
        <w:t>pleased to express</w:t>
      </w:r>
      <w:r w:rsidR="007C0CD6" w:rsidRPr="004B030A">
        <w:rPr>
          <w:rFonts w:cstheme="minorHAnsi"/>
          <w:sz w:val="22"/>
          <w:szCs w:val="22"/>
        </w:rPr>
        <w:t xml:space="preserve"> our</w:t>
      </w:r>
      <w:r w:rsidR="00B645AF" w:rsidRPr="004B030A">
        <w:rPr>
          <w:rFonts w:cstheme="minorHAnsi"/>
          <w:sz w:val="22"/>
          <w:szCs w:val="22"/>
        </w:rPr>
        <w:t xml:space="preserve"> unanimous views on the importance, </w:t>
      </w:r>
      <w:r w:rsidR="00FF7375" w:rsidRPr="004B030A">
        <w:rPr>
          <w:rFonts w:cstheme="minorHAnsi"/>
          <w:sz w:val="22"/>
          <w:szCs w:val="22"/>
        </w:rPr>
        <w:t>relevance,</w:t>
      </w:r>
      <w:r w:rsidR="00B645AF" w:rsidRPr="004B030A">
        <w:rPr>
          <w:rFonts w:cstheme="minorHAnsi"/>
          <w:sz w:val="22"/>
          <w:szCs w:val="22"/>
        </w:rPr>
        <w:t xml:space="preserve"> and applicability of international humanitarian law (IHL) and conflict sensitivity</w:t>
      </w:r>
      <w:r w:rsidR="00FB1B18" w:rsidRPr="004B030A">
        <w:rPr>
          <w:rFonts w:cstheme="minorHAnsi"/>
          <w:sz w:val="22"/>
          <w:szCs w:val="22"/>
        </w:rPr>
        <w:t>, generally,</w:t>
      </w:r>
      <w:r w:rsidR="00B645AF" w:rsidRPr="004B030A">
        <w:rPr>
          <w:rFonts w:cstheme="minorHAnsi"/>
          <w:sz w:val="22"/>
          <w:szCs w:val="22"/>
        </w:rPr>
        <w:t xml:space="preserve"> to</w:t>
      </w:r>
      <w:r w:rsidR="00E526E5" w:rsidRPr="004B030A">
        <w:rPr>
          <w:rFonts w:cstheme="minorHAnsi"/>
          <w:sz w:val="22"/>
          <w:szCs w:val="22"/>
        </w:rPr>
        <w:t xml:space="preserve"> the financial sector and to </w:t>
      </w:r>
      <w:r w:rsidR="0040604E" w:rsidRPr="004B030A">
        <w:rPr>
          <w:rFonts w:cstheme="minorHAnsi"/>
          <w:sz w:val="22"/>
          <w:szCs w:val="22"/>
        </w:rPr>
        <w:t>investment decision making</w:t>
      </w:r>
      <w:r w:rsidR="004513BD" w:rsidRPr="004B030A">
        <w:rPr>
          <w:rFonts w:cstheme="minorHAnsi"/>
          <w:sz w:val="22"/>
          <w:szCs w:val="22"/>
        </w:rPr>
        <w:t>.</w:t>
      </w:r>
      <w:r w:rsidR="006A544F" w:rsidRPr="004B030A">
        <w:rPr>
          <w:rFonts w:cstheme="minorHAnsi"/>
          <w:sz w:val="22"/>
          <w:szCs w:val="22"/>
        </w:rPr>
        <w:t xml:space="preserve"> </w:t>
      </w:r>
      <w:r w:rsidR="004513BD" w:rsidRPr="004B030A">
        <w:rPr>
          <w:rFonts w:cstheme="minorHAnsi"/>
          <w:sz w:val="22"/>
          <w:szCs w:val="22"/>
        </w:rPr>
        <w:t xml:space="preserve"> </w:t>
      </w:r>
    </w:p>
    <w:p w14:paraId="236F7848" w14:textId="77777777" w:rsidR="004C4F48" w:rsidRPr="004B030A" w:rsidRDefault="004C4F48" w:rsidP="005835D4">
      <w:pPr>
        <w:jc w:val="both"/>
        <w:rPr>
          <w:rFonts w:cstheme="minorHAnsi"/>
          <w:sz w:val="22"/>
          <w:szCs w:val="22"/>
        </w:rPr>
      </w:pPr>
    </w:p>
    <w:p w14:paraId="795DA5D7" w14:textId="6113FC96" w:rsidR="009B4B02" w:rsidRPr="004B030A" w:rsidRDefault="00F03CE5" w:rsidP="005835D4">
      <w:pPr>
        <w:jc w:val="both"/>
        <w:rPr>
          <w:rFonts w:cstheme="minorHAnsi"/>
          <w:b/>
          <w:bCs/>
          <w:sz w:val="22"/>
          <w:szCs w:val="22"/>
        </w:rPr>
      </w:pPr>
      <w:r w:rsidRPr="004B030A">
        <w:rPr>
          <w:rFonts w:cstheme="minorHAnsi"/>
          <w:b/>
          <w:bCs/>
          <w:sz w:val="22"/>
          <w:szCs w:val="22"/>
        </w:rPr>
        <w:t xml:space="preserve">Summary </w:t>
      </w:r>
    </w:p>
    <w:p w14:paraId="361DAC48" w14:textId="79D2C6A5" w:rsidR="00414CE5" w:rsidRPr="004B030A" w:rsidRDefault="00765772" w:rsidP="005835D4">
      <w:pPr>
        <w:jc w:val="both"/>
        <w:rPr>
          <w:rFonts w:cstheme="minorHAnsi"/>
          <w:sz w:val="22"/>
          <w:szCs w:val="22"/>
        </w:rPr>
      </w:pPr>
      <w:r w:rsidRPr="004B030A">
        <w:rPr>
          <w:rFonts w:cstheme="minorHAnsi"/>
          <w:sz w:val="22"/>
          <w:szCs w:val="22"/>
        </w:rPr>
        <w:t xml:space="preserve">Whichever way ESG in finance is defined and understood, the adoption of effective ESG strategies and the genuine implementation of the UN Guiding Principles on Business and Human Rights (UNGPs), in the context of armed conflict, must include a consideration of IHL </w:t>
      </w:r>
      <w:r w:rsidRPr="004B030A">
        <w:rPr>
          <w:rFonts w:cstheme="minorHAnsi"/>
          <w:i/>
          <w:iCs/>
          <w:sz w:val="22"/>
          <w:szCs w:val="22"/>
        </w:rPr>
        <w:t>in addition to</w:t>
      </w:r>
      <w:r w:rsidRPr="004B030A">
        <w:rPr>
          <w:rFonts w:cstheme="minorHAnsi"/>
          <w:sz w:val="22"/>
          <w:szCs w:val="22"/>
        </w:rPr>
        <w:t xml:space="preserve"> human rights and other associated </w:t>
      </w:r>
      <w:r w:rsidR="00AF444F" w:rsidRPr="004B030A">
        <w:rPr>
          <w:rFonts w:cstheme="minorHAnsi"/>
          <w:sz w:val="22"/>
          <w:szCs w:val="22"/>
        </w:rPr>
        <w:t>responsibilities.</w:t>
      </w:r>
      <w:r w:rsidR="00A46988" w:rsidRPr="004B030A">
        <w:rPr>
          <w:rFonts w:cstheme="minorHAnsi"/>
          <w:sz w:val="22"/>
          <w:szCs w:val="22"/>
        </w:rPr>
        <w:t xml:space="preserve"> </w:t>
      </w:r>
      <w:r w:rsidR="00071067" w:rsidRPr="004B030A">
        <w:rPr>
          <w:rFonts w:cstheme="minorHAnsi"/>
          <w:sz w:val="22"/>
          <w:szCs w:val="22"/>
        </w:rPr>
        <w:t>The Working Group has an opportunity</w:t>
      </w:r>
      <w:r w:rsidR="00926B47" w:rsidRPr="004B030A">
        <w:rPr>
          <w:rFonts w:cstheme="minorHAnsi"/>
          <w:sz w:val="22"/>
          <w:szCs w:val="22"/>
        </w:rPr>
        <w:t xml:space="preserve"> </w:t>
      </w:r>
      <w:r w:rsidR="00071067" w:rsidRPr="004B030A">
        <w:rPr>
          <w:rFonts w:cstheme="minorHAnsi"/>
          <w:sz w:val="22"/>
          <w:szCs w:val="22"/>
        </w:rPr>
        <w:t xml:space="preserve">to </w:t>
      </w:r>
      <w:r w:rsidR="007A25E1" w:rsidRPr="004B030A">
        <w:rPr>
          <w:rFonts w:cstheme="minorHAnsi"/>
          <w:sz w:val="22"/>
          <w:szCs w:val="22"/>
        </w:rPr>
        <w:t>highlight IH</w:t>
      </w:r>
      <w:r w:rsidR="00071067" w:rsidRPr="004B030A">
        <w:rPr>
          <w:rFonts w:cstheme="minorHAnsi"/>
          <w:sz w:val="22"/>
          <w:szCs w:val="22"/>
        </w:rPr>
        <w:t xml:space="preserve">L </w:t>
      </w:r>
      <w:r w:rsidR="003C2D13" w:rsidRPr="004B030A">
        <w:rPr>
          <w:rFonts w:cstheme="minorHAnsi"/>
          <w:sz w:val="22"/>
          <w:szCs w:val="22"/>
        </w:rPr>
        <w:t>and conflict-related risk</w:t>
      </w:r>
      <w:r w:rsidR="00420BAB" w:rsidRPr="004B030A">
        <w:rPr>
          <w:rFonts w:cstheme="minorHAnsi"/>
          <w:sz w:val="22"/>
          <w:szCs w:val="22"/>
        </w:rPr>
        <w:t xml:space="preserve"> in </w:t>
      </w:r>
      <w:r w:rsidR="00926B47" w:rsidRPr="004B030A">
        <w:rPr>
          <w:rFonts w:cstheme="minorHAnsi"/>
          <w:sz w:val="22"/>
          <w:szCs w:val="22"/>
        </w:rPr>
        <w:t>this dialogue</w:t>
      </w:r>
      <w:r w:rsidR="00B77FB4" w:rsidRPr="004B030A">
        <w:rPr>
          <w:rFonts w:cstheme="minorHAnsi"/>
          <w:sz w:val="22"/>
          <w:szCs w:val="22"/>
        </w:rPr>
        <w:t>,</w:t>
      </w:r>
      <w:r w:rsidR="00A46988" w:rsidRPr="004B030A">
        <w:rPr>
          <w:rFonts w:cstheme="minorHAnsi"/>
          <w:sz w:val="22"/>
          <w:szCs w:val="22"/>
        </w:rPr>
        <w:t xml:space="preserve"> where in the past it has</w:t>
      </w:r>
      <w:r w:rsidR="00B77FB4" w:rsidRPr="004B030A">
        <w:rPr>
          <w:rFonts w:cstheme="minorHAnsi"/>
          <w:sz w:val="22"/>
          <w:szCs w:val="22"/>
        </w:rPr>
        <w:t xml:space="preserve"> </w:t>
      </w:r>
      <w:r w:rsidR="00A46988" w:rsidRPr="004B030A">
        <w:rPr>
          <w:rFonts w:cstheme="minorHAnsi"/>
          <w:sz w:val="22"/>
          <w:szCs w:val="22"/>
        </w:rPr>
        <w:t xml:space="preserve">remained in the periphery, </w:t>
      </w:r>
      <w:r w:rsidR="00926B47" w:rsidRPr="004B030A">
        <w:rPr>
          <w:rFonts w:cstheme="minorHAnsi"/>
          <w:sz w:val="22"/>
          <w:szCs w:val="22"/>
        </w:rPr>
        <w:t xml:space="preserve">and to </w:t>
      </w:r>
      <w:r w:rsidR="00A46988" w:rsidRPr="004B030A">
        <w:rPr>
          <w:rFonts w:cstheme="minorHAnsi"/>
          <w:sz w:val="22"/>
          <w:szCs w:val="22"/>
        </w:rPr>
        <w:t xml:space="preserve">provide </w:t>
      </w:r>
      <w:r w:rsidR="003E7EE2" w:rsidRPr="004B030A">
        <w:rPr>
          <w:rFonts w:cstheme="minorHAnsi"/>
          <w:sz w:val="22"/>
          <w:szCs w:val="22"/>
        </w:rPr>
        <w:t>clarity</w:t>
      </w:r>
      <w:r w:rsidR="00A46988" w:rsidRPr="004B030A">
        <w:rPr>
          <w:rFonts w:cstheme="minorHAnsi"/>
          <w:sz w:val="22"/>
          <w:szCs w:val="22"/>
        </w:rPr>
        <w:t xml:space="preserve"> on the </w:t>
      </w:r>
      <w:r w:rsidR="00926B47" w:rsidRPr="004B030A">
        <w:rPr>
          <w:rFonts w:cstheme="minorHAnsi"/>
          <w:sz w:val="22"/>
          <w:szCs w:val="22"/>
        </w:rPr>
        <w:t>integration of IHL</w:t>
      </w:r>
      <w:r w:rsidR="000F1679" w:rsidRPr="004B030A">
        <w:rPr>
          <w:rFonts w:cstheme="minorHAnsi"/>
          <w:sz w:val="22"/>
          <w:szCs w:val="22"/>
        </w:rPr>
        <w:t xml:space="preserve"> as part of the human rights lens </w:t>
      </w:r>
      <w:r w:rsidR="00932A3D" w:rsidRPr="004B030A">
        <w:rPr>
          <w:rFonts w:cstheme="minorHAnsi"/>
          <w:sz w:val="22"/>
          <w:szCs w:val="22"/>
        </w:rPr>
        <w:t xml:space="preserve">in </w:t>
      </w:r>
      <w:r w:rsidR="00071067" w:rsidRPr="004B030A">
        <w:rPr>
          <w:rFonts w:cstheme="minorHAnsi"/>
          <w:sz w:val="22"/>
          <w:szCs w:val="22"/>
        </w:rPr>
        <w:t xml:space="preserve">ESG </w:t>
      </w:r>
      <w:r w:rsidR="00932A3D" w:rsidRPr="004B030A">
        <w:rPr>
          <w:rFonts w:cstheme="minorHAnsi"/>
          <w:sz w:val="22"/>
          <w:szCs w:val="22"/>
        </w:rPr>
        <w:t>in its guidance to investors</w:t>
      </w:r>
      <w:r w:rsidR="00071067" w:rsidRPr="004B030A">
        <w:rPr>
          <w:rFonts w:cstheme="minorHAnsi"/>
          <w:sz w:val="22"/>
          <w:szCs w:val="22"/>
        </w:rPr>
        <w:t>.</w:t>
      </w:r>
      <w:r w:rsidR="003C2D13" w:rsidRPr="004B030A">
        <w:rPr>
          <w:rFonts w:cstheme="minorHAnsi"/>
          <w:sz w:val="22"/>
          <w:szCs w:val="22"/>
        </w:rPr>
        <w:t xml:space="preserve"> Our reflections</w:t>
      </w:r>
      <w:r w:rsidR="00926B47" w:rsidRPr="004B030A">
        <w:rPr>
          <w:rFonts w:cstheme="minorHAnsi"/>
          <w:sz w:val="22"/>
          <w:szCs w:val="22"/>
        </w:rPr>
        <w:t xml:space="preserve"> in support </w:t>
      </w:r>
      <w:r w:rsidR="007A73CB" w:rsidRPr="004B030A">
        <w:rPr>
          <w:rFonts w:cstheme="minorHAnsi"/>
          <w:sz w:val="22"/>
          <w:szCs w:val="22"/>
        </w:rPr>
        <w:t xml:space="preserve">of this </w:t>
      </w:r>
      <w:r w:rsidR="000F1679" w:rsidRPr="004B030A">
        <w:rPr>
          <w:rFonts w:cstheme="minorHAnsi"/>
          <w:sz w:val="22"/>
          <w:szCs w:val="22"/>
        </w:rPr>
        <w:t xml:space="preserve">recommendation </w:t>
      </w:r>
      <w:r w:rsidR="003C2D13" w:rsidRPr="004B030A">
        <w:rPr>
          <w:rFonts w:cstheme="minorHAnsi"/>
          <w:sz w:val="22"/>
          <w:szCs w:val="22"/>
        </w:rPr>
        <w:t>can be summarised as follows:</w:t>
      </w:r>
    </w:p>
    <w:p w14:paraId="4461D24C" w14:textId="77777777" w:rsidR="00071067" w:rsidRPr="004B030A" w:rsidRDefault="00071067" w:rsidP="005835D4">
      <w:pPr>
        <w:jc w:val="both"/>
        <w:rPr>
          <w:rFonts w:cstheme="minorHAnsi"/>
          <w:b/>
          <w:bCs/>
          <w:sz w:val="22"/>
          <w:szCs w:val="22"/>
        </w:rPr>
      </w:pPr>
    </w:p>
    <w:p w14:paraId="7415321B" w14:textId="3633E5B0" w:rsidR="00BF2E69" w:rsidRPr="004B030A" w:rsidRDefault="00BF2E69" w:rsidP="005835D4">
      <w:pPr>
        <w:pStyle w:val="ListParagraph"/>
        <w:numPr>
          <w:ilvl w:val="0"/>
          <w:numId w:val="35"/>
        </w:numPr>
        <w:jc w:val="both"/>
        <w:rPr>
          <w:rFonts w:cstheme="minorHAnsi"/>
          <w:sz w:val="22"/>
          <w:szCs w:val="22"/>
        </w:rPr>
      </w:pPr>
      <w:r w:rsidRPr="004B030A">
        <w:rPr>
          <w:rFonts w:cstheme="minorHAnsi"/>
          <w:sz w:val="22"/>
          <w:szCs w:val="22"/>
        </w:rPr>
        <w:t>Human rights standards and frameworks considered by investors</w:t>
      </w:r>
      <w:r w:rsidR="00BF725D" w:rsidRPr="004B030A">
        <w:rPr>
          <w:rFonts w:cstheme="minorHAnsi"/>
          <w:sz w:val="22"/>
          <w:szCs w:val="22"/>
        </w:rPr>
        <w:t>, including the UNGPs</w:t>
      </w:r>
      <w:r w:rsidR="00695D9D" w:rsidRPr="004B030A">
        <w:rPr>
          <w:rFonts w:cstheme="minorHAnsi"/>
          <w:sz w:val="22"/>
          <w:szCs w:val="22"/>
        </w:rPr>
        <w:t xml:space="preserve"> and the OECD Guidelines for Multinational Enterprises (OECD Guidelines)</w:t>
      </w:r>
      <w:r w:rsidR="00BF725D" w:rsidRPr="004B030A">
        <w:rPr>
          <w:rFonts w:cstheme="minorHAnsi"/>
          <w:sz w:val="22"/>
          <w:szCs w:val="22"/>
        </w:rPr>
        <w:t>,</w:t>
      </w:r>
      <w:r w:rsidR="00786DB6" w:rsidRPr="004B030A">
        <w:rPr>
          <w:rFonts w:cstheme="minorHAnsi"/>
          <w:sz w:val="22"/>
          <w:szCs w:val="22"/>
        </w:rPr>
        <w:t xml:space="preserve"> </w:t>
      </w:r>
      <w:r w:rsidR="00695D9D" w:rsidRPr="004B030A">
        <w:rPr>
          <w:rFonts w:cstheme="minorHAnsi"/>
          <w:sz w:val="22"/>
          <w:szCs w:val="22"/>
        </w:rPr>
        <w:t xml:space="preserve">reference IHL but fail to articulate </w:t>
      </w:r>
      <w:r w:rsidR="00653EA4" w:rsidRPr="004B030A">
        <w:rPr>
          <w:rFonts w:cstheme="minorHAnsi"/>
          <w:sz w:val="22"/>
          <w:szCs w:val="22"/>
        </w:rPr>
        <w:t xml:space="preserve">actual steps towards an </w:t>
      </w:r>
      <w:r w:rsidR="0038172F" w:rsidRPr="004B030A">
        <w:rPr>
          <w:rFonts w:cstheme="minorHAnsi"/>
          <w:sz w:val="22"/>
          <w:szCs w:val="22"/>
        </w:rPr>
        <w:t>IHL-informed or conflict-sensitive approach to investment decision making.</w:t>
      </w:r>
    </w:p>
    <w:p w14:paraId="6F1276DA" w14:textId="36EF3D30" w:rsidR="000D5DBA" w:rsidRPr="004B030A" w:rsidRDefault="008D4AD1" w:rsidP="005835D4">
      <w:pPr>
        <w:pStyle w:val="ListParagraph"/>
        <w:numPr>
          <w:ilvl w:val="0"/>
          <w:numId w:val="35"/>
        </w:numPr>
        <w:jc w:val="both"/>
        <w:rPr>
          <w:rFonts w:cstheme="minorHAnsi"/>
          <w:sz w:val="22"/>
          <w:szCs w:val="22"/>
        </w:rPr>
      </w:pPr>
      <w:r w:rsidRPr="004B030A">
        <w:rPr>
          <w:rFonts w:cstheme="minorHAnsi"/>
          <w:sz w:val="22"/>
          <w:szCs w:val="22"/>
        </w:rPr>
        <w:t>T</w:t>
      </w:r>
      <w:r w:rsidR="000D5DBA" w:rsidRPr="004B030A">
        <w:rPr>
          <w:rFonts w:cstheme="minorHAnsi"/>
          <w:sz w:val="22"/>
          <w:szCs w:val="22"/>
        </w:rPr>
        <w:t xml:space="preserve">he growing awareness around ESG and human rights </w:t>
      </w:r>
      <w:r w:rsidRPr="004B030A">
        <w:rPr>
          <w:rFonts w:cstheme="minorHAnsi"/>
          <w:sz w:val="22"/>
          <w:szCs w:val="22"/>
        </w:rPr>
        <w:t>presents</w:t>
      </w:r>
      <w:r w:rsidR="000D5DBA" w:rsidRPr="004B030A">
        <w:rPr>
          <w:rFonts w:cstheme="minorHAnsi"/>
          <w:sz w:val="22"/>
          <w:szCs w:val="22"/>
        </w:rPr>
        <w:t xml:space="preserve"> an opportunity for </w:t>
      </w:r>
      <w:r w:rsidRPr="004B030A">
        <w:rPr>
          <w:rFonts w:cstheme="minorHAnsi"/>
          <w:sz w:val="22"/>
          <w:szCs w:val="22"/>
        </w:rPr>
        <w:t xml:space="preserve">investors </w:t>
      </w:r>
      <w:r w:rsidR="000D5DBA" w:rsidRPr="004B030A">
        <w:rPr>
          <w:rFonts w:cstheme="minorHAnsi"/>
          <w:sz w:val="22"/>
          <w:szCs w:val="22"/>
        </w:rPr>
        <w:t xml:space="preserve">to extend their responsible </w:t>
      </w:r>
      <w:r w:rsidRPr="004B030A">
        <w:rPr>
          <w:rFonts w:cstheme="minorHAnsi"/>
          <w:sz w:val="22"/>
          <w:szCs w:val="22"/>
        </w:rPr>
        <w:t>investment</w:t>
      </w:r>
      <w:r w:rsidR="000D5DBA" w:rsidRPr="004B030A">
        <w:rPr>
          <w:rFonts w:cstheme="minorHAnsi"/>
          <w:sz w:val="22"/>
          <w:szCs w:val="22"/>
        </w:rPr>
        <w:t xml:space="preserve"> practices to encompass conflict sensitivity and IH</w:t>
      </w:r>
      <w:r w:rsidRPr="004B030A">
        <w:rPr>
          <w:rFonts w:cstheme="minorHAnsi"/>
          <w:sz w:val="22"/>
          <w:szCs w:val="22"/>
        </w:rPr>
        <w:t>L, as a means of heighten</w:t>
      </w:r>
      <w:r w:rsidR="003D1BD6" w:rsidRPr="004B030A">
        <w:rPr>
          <w:rFonts w:cstheme="minorHAnsi"/>
          <w:sz w:val="22"/>
          <w:szCs w:val="22"/>
        </w:rPr>
        <w:t>ing</w:t>
      </w:r>
      <w:r w:rsidRPr="004B030A">
        <w:rPr>
          <w:rFonts w:cstheme="minorHAnsi"/>
          <w:sz w:val="22"/>
          <w:szCs w:val="22"/>
        </w:rPr>
        <w:t xml:space="preserve"> their human rights due diligence.</w:t>
      </w:r>
    </w:p>
    <w:p w14:paraId="2288E2B1" w14:textId="261B9B7C" w:rsidR="007246FB" w:rsidRPr="004B030A" w:rsidRDefault="007246FB" w:rsidP="007246FB">
      <w:pPr>
        <w:pStyle w:val="ListParagraph"/>
        <w:numPr>
          <w:ilvl w:val="0"/>
          <w:numId w:val="35"/>
        </w:numPr>
        <w:jc w:val="both"/>
        <w:rPr>
          <w:rFonts w:cstheme="minorHAnsi"/>
          <w:sz w:val="22"/>
          <w:szCs w:val="22"/>
        </w:rPr>
      </w:pPr>
      <w:r w:rsidRPr="004B030A">
        <w:rPr>
          <w:rFonts w:cstheme="minorHAnsi"/>
          <w:sz w:val="22"/>
          <w:szCs w:val="22"/>
        </w:rPr>
        <w:t>Failure to comply with IHL may translate into operational, financial, reputational and legal risks for businesses and investors. This failure also poses a significant risk to the life and dignity of civilian populations affected by armed conflict.</w:t>
      </w:r>
    </w:p>
    <w:p w14:paraId="039C99AE" w14:textId="5EF6F2CD" w:rsidR="00C24BFE" w:rsidRPr="004B030A" w:rsidRDefault="00C24BFE" w:rsidP="005835D4">
      <w:pPr>
        <w:pStyle w:val="ListParagraph"/>
        <w:numPr>
          <w:ilvl w:val="0"/>
          <w:numId w:val="35"/>
        </w:numPr>
        <w:jc w:val="both"/>
        <w:rPr>
          <w:rFonts w:cstheme="minorHAnsi"/>
          <w:sz w:val="22"/>
          <w:szCs w:val="22"/>
        </w:rPr>
      </w:pPr>
      <w:r w:rsidRPr="004B030A">
        <w:rPr>
          <w:rFonts w:cstheme="minorHAnsi"/>
          <w:sz w:val="22"/>
          <w:szCs w:val="22"/>
        </w:rPr>
        <w:t xml:space="preserve">Resources </w:t>
      </w:r>
      <w:r w:rsidR="00AE0D2A" w:rsidRPr="004B030A">
        <w:rPr>
          <w:rFonts w:cstheme="minorHAnsi"/>
          <w:sz w:val="22"/>
          <w:szCs w:val="22"/>
        </w:rPr>
        <w:t xml:space="preserve">already </w:t>
      </w:r>
      <w:r w:rsidRPr="004B030A">
        <w:rPr>
          <w:rFonts w:cstheme="minorHAnsi"/>
          <w:sz w:val="22"/>
          <w:szCs w:val="22"/>
        </w:rPr>
        <w:t>exist to support investors on their journey towards improved IHL awareness and conflict sensitivity.</w:t>
      </w:r>
      <w:r w:rsidR="000217A8" w:rsidRPr="004B030A">
        <w:rPr>
          <w:rStyle w:val="FootnoteReference"/>
          <w:rFonts w:cstheme="minorHAnsi"/>
          <w:sz w:val="22"/>
          <w:szCs w:val="22"/>
        </w:rPr>
        <w:footnoteReference w:id="1"/>
      </w:r>
      <w:r w:rsidRPr="004B030A">
        <w:rPr>
          <w:rFonts w:cstheme="minorHAnsi"/>
          <w:sz w:val="22"/>
          <w:szCs w:val="22"/>
        </w:rPr>
        <w:t xml:space="preserve">  </w:t>
      </w:r>
    </w:p>
    <w:p w14:paraId="4C6FCFFB" w14:textId="77777777" w:rsidR="009D4DC6" w:rsidRPr="004B030A" w:rsidRDefault="009D4DC6" w:rsidP="005835D4">
      <w:pPr>
        <w:jc w:val="both"/>
        <w:rPr>
          <w:rFonts w:cstheme="minorHAnsi"/>
          <w:b/>
          <w:bCs/>
          <w:sz w:val="22"/>
          <w:szCs w:val="22"/>
        </w:rPr>
      </w:pPr>
    </w:p>
    <w:p w14:paraId="072E2705" w14:textId="77777777" w:rsidR="00C77610" w:rsidRPr="004B030A" w:rsidRDefault="00C77610" w:rsidP="005835D4">
      <w:pPr>
        <w:jc w:val="both"/>
        <w:rPr>
          <w:rFonts w:cstheme="minorHAnsi"/>
          <w:b/>
          <w:bCs/>
          <w:sz w:val="22"/>
          <w:szCs w:val="22"/>
        </w:rPr>
      </w:pPr>
      <w:r w:rsidRPr="004B030A">
        <w:rPr>
          <w:rFonts w:cstheme="minorHAnsi"/>
          <w:b/>
          <w:bCs/>
          <w:sz w:val="22"/>
          <w:szCs w:val="22"/>
        </w:rPr>
        <w:lastRenderedPageBreak/>
        <w:t>Macro-level ESG trends in the financial sector</w:t>
      </w:r>
    </w:p>
    <w:p w14:paraId="5DCAD978" w14:textId="6F150889" w:rsidR="00E3368A" w:rsidRPr="004B030A" w:rsidRDefault="00426CFA" w:rsidP="005835D4">
      <w:pPr>
        <w:jc w:val="both"/>
        <w:rPr>
          <w:rFonts w:cstheme="minorHAnsi"/>
          <w:sz w:val="22"/>
          <w:szCs w:val="22"/>
        </w:rPr>
      </w:pPr>
      <w:r w:rsidRPr="004B030A">
        <w:rPr>
          <w:rFonts w:cstheme="minorHAnsi"/>
          <w:sz w:val="22"/>
          <w:szCs w:val="22"/>
        </w:rPr>
        <w:t xml:space="preserve">Investors </w:t>
      </w:r>
      <w:r w:rsidR="00FB1C5F" w:rsidRPr="004B030A">
        <w:rPr>
          <w:rFonts w:cstheme="minorHAnsi"/>
          <w:sz w:val="22"/>
          <w:szCs w:val="22"/>
        </w:rPr>
        <w:t>are</w:t>
      </w:r>
      <w:r w:rsidR="00612C48" w:rsidRPr="004B030A">
        <w:rPr>
          <w:rFonts w:cstheme="minorHAnsi"/>
          <w:sz w:val="22"/>
          <w:szCs w:val="22"/>
        </w:rPr>
        <w:t xml:space="preserve"> </w:t>
      </w:r>
      <w:r w:rsidRPr="004B030A">
        <w:rPr>
          <w:rFonts w:cstheme="minorHAnsi"/>
          <w:sz w:val="22"/>
          <w:szCs w:val="22"/>
        </w:rPr>
        <w:t xml:space="preserve">increasingly cognisant of the importance of integrating ESG factors into their </w:t>
      </w:r>
      <w:r w:rsidR="0040255C" w:rsidRPr="004B030A">
        <w:rPr>
          <w:rFonts w:cstheme="minorHAnsi"/>
          <w:sz w:val="22"/>
          <w:szCs w:val="22"/>
        </w:rPr>
        <w:t xml:space="preserve">daily </w:t>
      </w:r>
      <w:r w:rsidR="00612C48" w:rsidRPr="004B030A">
        <w:rPr>
          <w:rFonts w:cstheme="minorHAnsi"/>
          <w:sz w:val="22"/>
          <w:szCs w:val="22"/>
        </w:rPr>
        <w:t>operations</w:t>
      </w:r>
      <w:r w:rsidR="00D277D0" w:rsidRPr="004B030A">
        <w:rPr>
          <w:rFonts w:cstheme="minorHAnsi"/>
          <w:sz w:val="22"/>
          <w:szCs w:val="22"/>
        </w:rPr>
        <w:t>, including into enterprise risk frameworks and corporate risk registers.</w:t>
      </w:r>
      <w:r w:rsidR="008A5C02" w:rsidRPr="004B030A">
        <w:rPr>
          <w:rFonts w:cstheme="minorHAnsi"/>
          <w:sz w:val="22"/>
          <w:szCs w:val="22"/>
        </w:rPr>
        <w:t xml:space="preserve"> </w:t>
      </w:r>
      <w:r w:rsidR="0040255C" w:rsidRPr="004B030A">
        <w:rPr>
          <w:rFonts w:cstheme="minorHAnsi"/>
          <w:sz w:val="22"/>
          <w:szCs w:val="22"/>
        </w:rPr>
        <w:t>As indicated by</w:t>
      </w:r>
      <w:r w:rsidR="008A5C02" w:rsidRPr="004B030A">
        <w:rPr>
          <w:rFonts w:cstheme="minorHAnsi"/>
          <w:sz w:val="22"/>
          <w:szCs w:val="22"/>
        </w:rPr>
        <w:t xml:space="preserve"> Deloitte,</w:t>
      </w:r>
      <w:r w:rsidR="00EB4CB1" w:rsidRPr="004B030A">
        <w:rPr>
          <w:rStyle w:val="FootnoteReference"/>
          <w:rFonts w:cstheme="minorHAnsi"/>
          <w:sz w:val="22"/>
          <w:szCs w:val="22"/>
        </w:rPr>
        <w:footnoteReference w:id="2"/>
      </w:r>
      <w:r w:rsidR="008A5C02" w:rsidRPr="004B030A">
        <w:rPr>
          <w:rFonts w:cstheme="minorHAnsi"/>
          <w:sz w:val="22"/>
          <w:szCs w:val="22"/>
        </w:rPr>
        <w:t xml:space="preserve"> ESG-mandated assets are on track to represent half of all professionally managed assets globally by 2024. </w:t>
      </w:r>
      <w:r w:rsidR="00606CFA" w:rsidRPr="004B030A">
        <w:rPr>
          <w:rFonts w:cstheme="minorHAnsi"/>
          <w:sz w:val="22"/>
          <w:szCs w:val="22"/>
        </w:rPr>
        <w:t xml:space="preserve">There is also </w:t>
      </w:r>
      <w:r w:rsidR="00481FD5" w:rsidRPr="004B030A">
        <w:rPr>
          <w:rFonts w:cstheme="minorHAnsi"/>
          <w:sz w:val="22"/>
          <w:szCs w:val="22"/>
        </w:rPr>
        <w:t>a heightened level of</w:t>
      </w:r>
      <w:r w:rsidR="00606CFA" w:rsidRPr="004B030A">
        <w:rPr>
          <w:rFonts w:cstheme="minorHAnsi"/>
          <w:sz w:val="22"/>
          <w:szCs w:val="22"/>
        </w:rPr>
        <w:t xml:space="preserve"> </w:t>
      </w:r>
      <w:r w:rsidR="00E13BF4" w:rsidRPr="004B030A">
        <w:rPr>
          <w:rFonts w:cstheme="minorHAnsi"/>
          <w:sz w:val="22"/>
          <w:szCs w:val="22"/>
        </w:rPr>
        <w:t xml:space="preserve">public, stakeholder and shareholder </w:t>
      </w:r>
      <w:r w:rsidR="00606CFA" w:rsidRPr="004B030A">
        <w:rPr>
          <w:rFonts w:cstheme="minorHAnsi"/>
          <w:sz w:val="22"/>
          <w:szCs w:val="22"/>
        </w:rPr>
        <w:t xml:space="preserve">scrutiny </w:t>
      </w:r>
      <w:r w:rsidR="00481FD5" w:rsidRPr="004B030A">
        <w:rPr>
          <w:rFonts w:cstheme="minorHAnsi"/>
          <w:sz w:val="22"/>
          <w:szCs w:val="22"/>
        </w:rPr>
        <w:t xml:space="preserve">across the financial sector, particularly in </w:t>
      </w:r>
      <w:r w:rsidR="00606CFA" w:rsidRPr="004B030A">
        <w:rPr>
          <w:rFonts w:cstheme="minorHAnsi"/>
          <w:sz w:val="22"/>
          <w:szCs w:val="22"/>
        </w:rPr>
        <w:t xml:space="preserve">instances where </w:t>
      </w:r>
      <w:r w:rsidR="00EE170F" w:rsidRPr="004B030A">
        <w:rPr>
          <w:rFonts w:cstheme="minorHAnsi"/>
          <w:sz w:val="22"/>
          <w:szCs w:val="22"/>
        </w:rPr>
        <w:t xml:space="preserve">investors </w:t>
      </w:r>
      <w:r w:rsidR="00606CFA" w:rsidRPr="004B030A">
        <w:rPr>
          <w:rFonts w:cstheme="minorHAnsi"/>
          <w:sz w:val="22"/>
          <w:szCs w:val="22"/>
        </w:rPr>
        <w:t xml:space="preserve">have </w:t>
      </w:r>
      <w:r w:rsidR="00EE170F" w:rsidRPr="004B030A">
        <w:rPr>
          <w:rFonts w:cstheme="minorHAnsi"/>
          <w:sz w:val="22"/>
          <w:szCs w:val="22"/>
        </w:rPr>
        <w:t xml:space="preserve">indirectly </w:t>
      </w:r>
      <w:r w:rsidR="00606CFA" w:rsidRPr="004B030A">
        <w:rPr>
          <w:rFonts w:cstheme="minorHAnsi"/>
          <w:sz w:val="22"/>
          <w:szCs w:val="22"/>
        </w:rPr>
        <w:t xml:space="preserve">contributed to adverse human rights impacts through their provision of finance. </w:t>
      </w:r>
      <w:r w:rsidR="001606B1" w:rsidRPr="004B030A">
        <w:rPr>
          <w:rFonts w:cstheme="minorHAnsi"/>
          <w:sz w:val="22"/>
          <w:szCs w:val="22"/>
        </w:rPr>
        <w:t xml:space="preserve"> </w:t>
      </w:r>
    </w:p>
    <w:p w14:paraId="56D29136" w14:textId="77777777" w:rsidR="00E3368A" w:rsidRPr="004B030A" w:rsidRDefault="00E3368A" w:rsidP="005835D4">
      <w:pPr>
        <w:jc w:val="both"/>
        <w:rPr>
          <w:rFonts w:cstheme="minorHAnsi"/>
          <w:sz w:val="22"/>
          <w:szCs w:val="22"/>
        </w:rPr>
      </w:pPr>
    </w:p>
    <w:p w14:paraId="041ADB07" w14:textId="46F0DD5E" w:rsidR="00AE68C8" w:rsidRPr="004B030A" w:rsidRDefault="000B4A0F" w:rsidP="005835D4">
      <w:pPr>
        <w:jc w:val="both"/>
        <w:rPr>
          <w:rFonts w:cstheme="minorHAnsi"/>
          <w:sz w:val="22"/>
          <w:szCs w:val="22"/>
        </w:rPr>
      </w:pPr>
      <w:r w:rsidRPr="004B030A">
        <w:rPr>
          <w:rFonts w:cstheme="minorHAnsi"/>
          <w:sz w:val="22"/>
          <w:szCs w:val="22"/>
        </w:rPr>
        <w:t>Consequently</w:t>
      </w:r>
      <w:r w:rsidR="00612C48" w:rsidRPr="004B030A">
        <w:rPr>
          <w:rFonts w:cstheme="minorHAnsi"/>
          <w:sz w:val="22"/>
          <w:szCs w:val="22"/>
        </w:rPr>
        <w:t xml:space="preserve">, </w:t>
      </w:r>
      <w:r w:rsidR="001606B1" w:rsidRPr="004B030A">
        <w:rPr>
          <w:rFonts w:cstheme="minorHAnsi"/>
          <w:sz w:val="22"/>
          <w:szCs w:val="22"/>
        </w:rPr>
        <w:t xml:space="preserve">there has been </w:t>
      </w:r>
      <w:r w:rsidR="00FB1C5F" w:rsidRPr="004B030A">
        <w:rPr>
          <w:rFonts w:cstheme="minorHAnsi"/>
          <w:sz w:val="22"/>
          <w:szCs w:val="22"/>
        </w:rPr>
        <w:t xml:space="preserve">improved alignment </w:t>
      </w:r>
      <w:r w:rsidR="00AD5D04" w:rsidRPr="004B030A">
        <w:rPr>
          <w:rFonts w:cstheme="minorHAnsi"/>
          <w:sz w:val="22"/>
          <w:szCs w:val="22"/>
        </w:rPr>
        <w:t xml:space="preserve">among investors </w:t>
      </w:r>
      <w:r w:rsidR="00381D98" w:rsidRPr="004B030A">
        <w:rPr>
          <w:rFonts w:cstheme="minorHAnsi"/>
          <w:sz w:val="22"/>
          <w:szCs w:val="22"/>
        </w:rPr>
        <w:t xml:space="preserve">with </w:t>
      </w:r>
      <w:r w:rsidR="001C7A83" w:rsidRPr="004B030A">
        <w:rPr>
          <w:rFonts w:cstheme="minorHAnsi"/>
          <w:sz w:val="22"/>
          <w:szCs w:val="22"/>
        </w:rPr>
        <w:t xml:space="preserve">voluntary frameworks such as the UNGPs, OECD Guidelines, </w:t>
      </w:r>
      <w:r w:rsidR="004F2BCF" w:rsidRPr="004B030A">
        <w:rPr>
          <w:rFonts w:cstheme="minorHAnsi"/>
          <w:sz w:val="22"/>
          <w:szCs w:val="22"/>
        </w:rPr>
        <w:t>UN Principles of Responsible Investment</w:t>
      </w:r>
      <w:r w:rsidR="0051176A" w:rsidRPr="004B030A">
        <w:rPr>
          <w:rFonts w:cstheme="minorHAnsi"/>
          <w:sz w:val="22"/>
          <w:szCs w:val="22"/>
        </w:rPr>
        <w:t xml:space="preserve"> (PRI)</w:t>
      </w:r>
      <w:r w:rsidR="004F2BCF" w:rsidRPr="004B030A">
        <w:rPr>
          <w:rFonts w:cstheme="minorHAnsi"/>
          <w:sz w:val="22"/>
          <w:szCs w:val="22"/>
        </w:rPr>
        <w:t xml:space="preserve">, </w:t>
      </w:r>
      <w:r w:rsidR="001C7A83" w:rsidRPr="004B030A">
        <w:rPr>
          <w:rFonts w:cstheme="minorHAnsi"/>
          <w:sz w:val="22"/>
          <w:szCs w:val="22"/>
        </w:rPr>
        <w:t>Equator Principles, UNEP Principles for Responsible Banking</w:t>
      </w:r>
      <w:r w:rsidR="004F2BCF" w:rsidRPr="004B030A">
        <w:rPr>
          <w:rFonts w:cstheme="minorHAnsi"/>
          <w:sz w:val="22"/>
          <w:szCs w:val="22"/>
        </w:rPr>
        <w:t>, and UN Sustainable Development Goals.</w:t>
      </w:r>
      <w:r w:rsidR="0047360E" w:rsidRPr="004B030A">
        <w:rPr>
          <w:rFonts w:cstheme="minorHAnsi"/>
          <w:sz w:val="22"/>
          <w:szCs w:val="22"/>
        </w:rPr>
        <w:t xml:space="preserve"> </w:t>
      </w:r>
      <w:r w:rsidR="0010040F" w:rsidRPr="004B030A">
        <w:rPr>
          <w:rFonts w:cstheme="minorHAnsi"/>
          <w:sz w:val="22"/>
          <w:szCs w:val="22"/>
        </w:rPr>
        <w:t xml:space="preserve">There has also been a proliferation of industry-led guidance on how to address </w:t>
      </w:r>
      <w:r w:rsidR="008863DC" w:rsidRPr="004B030A">
        <w:rPr>
          <w:rFonts w:cstheme="minorHAnsi"/>
          <w:sz w:val="22"/>
          <w:szCs w:val="22"/>
        </w:rPr>
        <w:t xml:space="preserve">ESG issues, including </w:t>
      </w:r>
      <w:r w:rsidR="0010040F" w:rsidRPr="004B030A">
        <w:rPr>
          <w:rFonts w:cstheme="minorHAnsi"/>
          <w:sz w:val="22"/>
          <w:szCs w:val="22"/>
        </w:rPr>
        <w:t>human rights</w:t>
      </w:r>
      <w:r w:rsidR="008863DC" w:rsidRPr="004B030A">
        <w:rPr>
          <w:rFonts w:cstheme="minorHAnsi"/>
          <w:sz w:val="22"/>
          <w:szCs w:val="22"/>
        </w:rPr>
        <w:t xml:space="preserve"> </w:t>
      </w:r>
      <w:r w:rsidR="0010040F" w:rsidRPr="004B030A">
        <w:rPr>
          <w:rFonts w:cstheme="minorHAnsi"/>
          <w:sz w:val="22"/>
          <w:szCs w:val="22"/>
        </w:rPr>
        <w:t>impacts.</w:t>
      </w:r>
      <w:r w:rsidR="0010040F" w:rsidRPr="004B030A">
        <w:rPr>
          <w:rStyle w:val="FootnoteReference"/>
          <w:rFonts w:cstheme="minorHAnsi"/>
          <w:sz w:val="22"/>
          <w:szCs w:val="22"/>
        </w:rPr>
        <w:footnoteReference w:id="3"/>
      </w:r>
      <w:r w:rsidR="0010040F" w:rsidRPr="004B030A">
        <w:rPr>
          <w:rFonts w:cstheme="minorHAnsi"/>
          <w:sz w:val="22"/>
          <w:szCs w:val="22"/>
        </w:rPr>
        <w:t xml:space="preserve"> </w:t>
      </w:r>
      <w:r w:rsidR="00445729" w:rsidRPr="004B030A">
        <w:rPr>
          <w:rFonts w:cstheme="minorHAnsi"/>
          <w:sz w:val="22"/>
          <w:szCs w:val="22"/>
        </w:rPr>
        <w:t xml:space="preserve">This alignment is </w:t>
      </w:r>
      <w:r w:rsidR="00FA03E8" w:rsidRPr="004B030A">
        <w:rPr>
          <w:rFonts w:cstheme="minorHAnsi"/>
          <w:sz w:val="22"/>
          <w:szCs w:val="22"/>
        </w:rPr>
        <w:t xml:space="preserve">further complemented by the emergence of a suite of reporting and disclosure requirements, which encourage (or in some cases </w:t>
      </w:r>
      <w:r w:rsidR="00C81186" w:rsidRPr="004B030A">
        <w:rPr>
          <w:rFonts w:cstheme="minorHAnsi"/>
          <w:sz w:val="22"/>
          <w:szCs w:val="22"/>
        </w:rPr>
        <w:t xml:space="preserve">compel) </w:t>
      </w:r>
      <w:r w:rsidR="00FA03E8" w:rsidRPr="004B030A">
        <w:rPr>
          <w:rFonts w:cstheme="minorHAnsi"/>
          <w:sz w:val="22"/>
          <w:szCs w:val="22"/>
        </w:rPr>
        <w:t xml:space="preserve">investors to be more transparent about their environmental and social performance, alongside financial performance. </w:t>
      </w:r>
      <w:r w:rsidR="00445729" w:rsidRPr="004B030A">
        <w:rPr>
          <w:rFonts w:cstheme="minorHAnsi"/>
          <w:sz w:val="22"/>
          <w:szCs w:val="22"/>
        </w:rPr>
        <w:t xml:space="preserve">These developments signify </w:t>
      </w:r>
      <w:r w:rsidR="0011612E" w:rsidRPr="004B030A">
        <w:rPr>
          <w:rFonts w:cstheme="minorHAnsi"/>
          <w:sz w:val="22"/>
          <w:szCs w:val="22"/>
        </w:rPr>
        <w:t>a</w:t>
      </w:r>
      <w:r w:rsidR="00625307" w:rsidRPr="004B030A">
        <w:rPr>
          <w:rFonts w:cstheme="minorHAnsi"/>
          <w:sz w:val="22"/>
          <w:szCs w:val="22"/>
        </w:rPr>
        <w:t xml:space="preserve"> growing </w:t>
      </w:r>
      <w:r w:rsidR="0011612E" w:rsidRPr="004B030A">
        <w:rPr>
          <w:rFonts w:cstheme="minorHAnsi"/>
          <w:sz w:val="22"/>
          <w:szCs w:val="22"/>
        </w:rPr>
        <w:t xml:space="preserve">commitment to </w:t>
      </w:r>
      <w:r w:rsidR="00625307" w:rsidRPr="004B030A">
        <w:rPr>
          <w:rFonts w:cstheme="minorHAnsi"/>
          <w:sz w:val="22"/>
          <w:szCs w:val="22"/>
        </w:rPr>
        <w:t xml:space="preserve">responsible </w:t>
      </w:r>
      <w:r w:rsidR="0011612E" w:rsidRPr="004B030A">
        <w:rPr>
          <w:rFonts w:cstheme="minorHAnsi"/>
          <w:sz w:val="22"/>
          <w:szCs w:val="22"/>
        </w:rPr>
        <w:t>investing and a conscious effort to mitigate harmful effects on society.</w:t>
      </w:r>
    </w:p>
    <w:p w14:paraId="24345003" w14:textId="77777777" w:rsidR="00C06F31" w:rsidRPr="004B030A" w:rsidRDefault="00C06F31" w:rsidP="005835D4">
      <w:pPr>
        <w:jc w:val="both"/>
        <w:rPr>
          <w:rFonts w:cstheme="minorHAnsi"/>
          <w:sz w:val="22"/>
          <w:szCs w:val="22"/>
        </w:rPr>
      </w:pPr>
    </w:p>
    <w:p w14:paraId="17F29B5F" w14:textId="21694547" w:rsidR="00C06F31" w:rsidRPr="004B030A" w:rsidRDefault="002071C7" w:rsidP="005835D4">
      <w:pPr>
        <w:jc w:val="both"/>
        <w:rPr>
          <w:rFonts w:cstheme="minorHAnsi"/>
          <w:sz w:val="22"/>
          <w:szCs w:val="22"/>
        </w:rPr>
      </w:pPr>
      <w:r w:rsidRPr="004B030A">
        <w:rPr>
          <w:rFonts w:cstheme="minorHAnsi"/>
          <w:sz w:val="22"/>
          <w:szCs w:val="22"/>
        </w:rPr>
        <w:t>T</w:t>
      </w:r>
      <w:r w:rsidR="008863DC" w:rsidRPr="004B030A">
        <w:rPr>
          <w:rFonts w:cstheme="minorHAnsi"/>
          <w:sz w:val="22"/>
          <w:szCs w:val="22"/>
        </w:rPr>
        <w:t>he</w:t>
      </w:r>
      <w:r w:rsidRPr="004B030A">
        <w:rPr>
          <w:rFonts w:cstheme="minorHAnsi"/>
          <w:sz w:val="22"/>
          <w:szCs w:val="22"/>
        </w:rPr>
        <w:t xml:space="preserve"> g</w:t>
      </w:r>
      <w:r w:rsidR="00EB4C89" w:rsidRPr="004B030A">
        <w:rPr>
          <w:rFonts w:cstheme="minorHAnsi"/>
          <w:sz w:val="22"/>
          <w:szCs w:val="22"/>
        </w:rPr>
        <w:t>rowing attention on ESG issues</w:t>
      </w:r>
      <w:r w:rsidR="00780A1F" w:rsidRPr="004B030A">
        <w:rPr>
          <w:rFonts w:cstheme="minorHAnsi"/>
          <w:sz w:val="22"/>
          <w:szCs w:val="22"/>
        </w:rPr>
        <w:t xml:space="preserve">, </w:t>
      </w:r>
      <w:r w:rsidR="00EB4C89" w:rsidRPr="004B030A">
        <w:rPr>
          <w:rFonts w:cstheme="minorHAnsi"/>
          <w:sz w:val="22"/>
          <w:szCs w:val="22"/>
        </w:rPr>
        <w:t>and expectations regarding responsible investment and lending</w:t>
      </w:r>
      <w:r w:rsidR="00780A1F" w:rsidRPr="004B030A">
        <w:rPr>
          <w:rFonts w:cstheme="minorHAnsi"/>
          <w:sz w:val="22"/>
          <w:szCs w:val="22"/>
        </w:rPr>
        <w:t>,</w:t>
      </w:r>
      <w:r w:rsidR="000D22A4" w:rsidRPr="004B030A">
        <w:rPr>
          <w:rFonts w:cstheme="minorHAnsi"/>
          <w:sz w:val="22"/>
          <w:szCs w:val="22"/>
        </w:rPr>
        <w:t xml:space="preserve"> </w:t>
      </w:r>
      <w:r w:rsidR="00CF1D22" w:rsidRPr="004B030A">
        <w:rPr>
          <w:rFonts w:cstheme="minorHAnsi"/>
          <w:sz w:val="22"/>
          <w:szCs w:val="22"/>
        </w:rPr>
        <w:t xml:space="preserve">are </w:t>
      </w:r>
      <w:r w:rsidR="0001493E" w:rsidRPr="004B030A">
        <w:rPr>
          <w:rFonts w:cstheme="minorHAnsi"/>
          <w:sz w:val="22"/>
          <w:szCs w:val="22"/>
        </w:rPr>
        <w:t>also</w:t>
      </w:r>
      <w:r w:rsidR="000D22A4" w:rsidRPr="004B030A">
        <w:rPr>
          <w:rFonts w:cstheme="minorHAnsi"/>
          <w:sz w:val="22"/>
          <w:szCs w:val="22"/>
        </w:rPr>
        <w:t xml:space="preserve"> consistent with </w:t>
      </w:r>
      <w:r w:rsidR="00780A1F" w:rsidRPr="004B030A">
        <w:rPr>
          <w:rFonts w:cstheme="minorHAnsi"/>
          <w:sz w:val="22"/>
          <w:szCs w:val="22"/>
        </w:rPr>
        <w:t xml:space="preserve">the </w:t>
      </w:r>
      <w:r w:rsidR="00BA00B5" w:rsidRPr="004B030A">
        <w:rPr>
          <w:rFonts w:cstheme="minorHAnsi"/>
          <w:sz w:val="22"/>
          <w:szCs w:val="22"/>
        </w:rPr>
        <w:t xml:space="preserve">contemporary </w:t>
      </w:r>
      <w:r w:rsidR="00C456CC" w:rsidRPr="004B030A">
        <w:rPr>
          <w:rFonts w:cstheme="minorHAnsi"/>
          <w:sz w:val="22"/>
          <w:szCs w:val="22"/>
        </w:rPr>
        <w:t xml:space="preserve">geopolitical </w:t>
      </w:r>
      <w:r w:rsidR="000D22A4" w:rsidRPr="004B030A">
        <w:rPr>
          <w:rFonts w:cstheme="minorHAnsi"/>
          <w:sz w:val="22"/>
          <w:szCs w:val="22"/>
        </w:rPr>
        <w:t>trends</w:t>
      </w:r>
      <w:r w:rsidR="00EB4C89" w:rsidRPr="004B030A">
        <w:rPr>
          <w:rFonts w:cstheme="minorHAnsi"/>
          <w:sz w:val="22"/>
          <w:szCs w:val="22"/>
        </w:rPr>
        <w:t xml:space="preserve"> </w:t>
      </w:r>
      <w:r w:rsidR="00EC0C62" w:rsidRPr="004B030A">
        <w:rPr>
          <w:rFonts w:cstheme="minorHAnsi"/>
          <w:sz w:val="22"/>
          <w:szCs w:val="22"/>
        </w:rPr>
        <w:t>shining a light on</w:t>
      </w:r>
      <w:r w:rsidR="00D00AB2" w:rsidRPr="004B030A">
        <w:rPr>
          <w:rFonts w:cstheme="minorHAnsi"/>
          <w:sz w:val="22"/>
          <w:szCs w:val="22"/>
        </w:rPr>
        <w:t xml:space="preserve"> </w:t>
      </w:r>
      <w:r w:rsidR="004E330C" w:rsidRPr="004B030A">
        <w:rPr>
          <w:rFonts w:cstheme="minorHAnsi"/>
          <w:sz w:val="22"/>
          <w:szCs w:val="22"/>
        </w:rPr>
        <w:t>corporate involvement in conflict environments</w:t>
      </w:r>
      <w:r w:rsidR="009A3D50" w:rsidRPr="004B030A">
        <w:rPr>
          <w:rFonts w:cstheme="minorHAnsi"/>
          <w:sz w:val="22"/>
          <w:szCs w:val="22"/>
        </w:rPr>
        <w:t xml:space="preserve">. </w:t>
      </w:r>
      <w:r w:rsidR="00E46A6F" w:rsidRPr="004B030A">
        <w:rPr>
          <w:rFonts w:cstheme="minorHAnsi"/>
          <w:sz w:val="22"/>
          <w:szCs w:val="22"/>
        </w:rPr>
        <w:t xml:space="preserve">Major global events, including the conflict in Ukraine, and </w:t>
      </w:r>
      <w:r w:rsidR="00F66F5D" w:rsidRPr="004B030A">
        <w:rPr>
          <w:rFonts w:cstheme="minorHAnsi"/>
          <w:sz w:val="22"/>
          <w:szCs w:val="22"/>
        </w:rPr>
        <w:t xml:space="preserve">instances of </w:t>
      </w:r>
      <w:r w:rsidR="00EB29D5" w:rsidRPr="004B030A">
        <w:rPr>
          <w:rFonts w:cstheme="minorHAnsi"/>
          <w:sz w:val="22"/>
          <w:szCs w:val="22"/>
        </w:rPr>
        <w:t xml:space="preserve">criminal and civil claims </w:t>
      </w:r>
      <w:r w:rsidR="00EC0C62" w:rsidRPr="004B030A">
        <w:rPr>
          <w:rFonts w:cstheme="minorHAnsi"/>
          <w:sz w:val="22"/>
          <w:szCs w:val="22"/>
        </w:rPr>
        <w:t xml:space="preserve">based on IHL violations brought </w:t>
      </w:r>
      <w:r w:rsidR="00EB29D5" w:rsidRPr="004B030A">
        <w:rPr>
          <w:rFonts w:cstheme="minorHAnsi"/>
          <w:sz w:val="22"/>
          <w:szCs w:val="22"/>
        </w:rPr>
        <w:t>in Europe</w:t>
      </w:r>
      <w:r w:rsidR="00EC0C62" w:rsidRPr="004B030A">
        <w:rPr>
          <w:rFonts w:cstheme="minorHAnsi"/>
          <w:sz w:val="22"/>
          <w:szCs w:val="22"/>
        </w:rPr>
        <w:t>an and US courts</w:t>
      </w:r>
      <w:r w:rsidR="00F66F5D" w:rsidRPr="004B030A">
        <w:rPr>
          <w:rFonts w:cstheme="minorHAnsi"/>
          <w:sz w:val="22"/>
          <w:szCs w:val="22"/>
        </w:rPr>
        <w:t xml:space="preserve">, </w:t>
      </w:r>
      <w:r w:rsidR="004E330C" w:rsidRPr="004B030A">
        <w:rPr>
          <w:rFonts w:cstheme="minorHAnsi"/>
          <w:sz w:val="22"/>
          <w:szCs w:val="22"/>
        </w:rPr>
        <w:t xml:space="preserve">bring </w:t>
      </w:r>
      <w:r w:rsidR="00F66F5D" w:rsidRPr="004B030A">
        <w:rPr>
          <w:rFonts w:cstheme="minorHAnsi"/>
          <w:sz w:val="22"/>
          <w:szCs w:val="22"/>
        </w:rPr>
        <w:t xml:space="preserve">IHL </w:t>
      </w:r>
      <w:r w:rsidR="009E5CEA" w:rsidRPr="004B030A">
        <w:rPr>
          <w:rFonts w:cstheme="minorHAnsi"/>
          <w:sz w:val="22"/>
          <w:szCs w:val="22"/>
        </w:rPr>
        <w:t xml:space="preserve">and its relevance </w:t>
      </w:r>
      <w:r w:rsidR="00F66F5D" w:rsidRPr="004B030A">
        <w:rPr>
          <w:rFonts w:cstheme="minorHAnsi"/>
          <w:sz w:val="22"/>
          <w:szCs w:val="22"/>
        </w:rPr>
        <w:t>into sharper focus</w:t>
      </w:r>
      <w:r w:rsidR="004E330C" w:rsidRPr="004B030A">
        <w:rPr>
          <w:rFonts w:cstheme="minorHAnsi"/>
          <w:sz w:val="22"/>
          <w:szCs w:val="22"/>
        </w:rPr>
        <w:t xml:space="preserve"> and </w:t>
      </w:r>
      <w:r w:rsidR="009E5CEA" w:rsidRPr="004B030A">
        <w:rPr>
          <w:rFonts w:cstheme="minorHAnsi"/>
          <w:sz w:val="22"/>
          <w:szCs w:val="22"/>
        </w:rPr>
        <w:t>underscore a</w:t>
      </w:r>
      <w:r w:rsidR="006F310E" w:rsidRPr="004B030A">
        <w:rPr>
          <w:rFonts w:cstheme="minorHAnsi"/>
          <w:sz w:val="22"/>
          <w:szCs w:val="22"/>
        </w:rPr>
        <w:t>n urgent</w:t>
      </w:r>
      <w:r w:rsidR="009E5CEA" w:rsidRPr="004B030A">
        <w:rPr>
          <w:rFonts w:cstheme="minorHAnsi"/>
          <w:sz w:val="22"/>
          <w:szCs w:val="22"/>
        </w:rPr>
        <w:t xml:space="preserve"> need for a nuanced understanding of conflict sensitivity</w:t>
      </w:r>
      <w:r w:rsidR="00EC0C62" w:rsidRPr="004B030A">
        <w:rPr>
          <w:rFonts w:cstheme="minorHAnsi"/>
          <w:sz w:val="22"/>
          <w:szCs w:val="22"/>
        </w:rPr>
        <w:t>, including IHL risks,</w:t>
      </w:r>
      <w:r w:rsidR="009E5CEA" w:rsidRPr="004B030A">
        <w:rPr>
          <w:rFonts w:cstheme="minorHAnsi"/>
          <w:sz w:val="22"/>
          <w:szCs w:val="22"/>
        </w:rPr>
        <w:t xml:space="preserve"> in investment </w:t>
      </w:r>
      <w:r w:rsidR="00C81EFA" w:rsidRPr="004B030A">
        <w:rPr>
          <w:rFonts w:cstheme="minorHAnsi"/>
          <w:sz w:val="22"/>
          <w:szCs w:val="22"/>
        </w:rPr>
        <w:t xml:space="preserve">risk assessment and </w:t>
      </w:r>
      <w:r w:rsidR="009E5CEA" w:rsidRPr="004B030A">
        <w:rPr>
          <w:rFonts w:cstheme="minorHAnsi"/>
          <w:sz w:val="22"/>
          <w:szCs w:val="22"/>
        </w:rPr>
        <w:t>decision-making.</w:t>
      </w:r>
    </w:p>
    <w:p w14:paraId="40F6C6D2" w14:textId="77777777" w:rsidR="00444A83" w:rsidRPr="004B030A" w:rsidRDefault="00444A83" w:rsidP="00444A83">
      <w:pPr>
        <w:autoSpaceDE w:val="0"/>
        <w:autoSpaceDN w:val="0"/>
        <w:adjustRightInd w:val="0"/>
        <w:snapToGrid w:val="0"/>
        <w:jc w:val="both"/>
        <w:rPr>
          <w:rFonts w:cstheme="minorHAnsi"/>
          <w:sz w:val="22"/>
          <w:szCs w:val="22"/>
        </w:rPr>
      </w:pPr>
    </w:p>
    <w:p w14:paraId="36C57F10" w14:textId="73C9A944" w:rsidR="007246FB" w:rsidRPr="004B030A" w:rsidRDefault="007246FB" w:rsidP="005835D4">
      <w:pPr>
        <w:autoSpaceDE w:val="0"/>
        <w:autoSpaceDN w:val="0"/>
        <w:adjustRightInd w:val="0"/>
        <w:snapToGrid w:val="0"/>
        <w:jc w:val="both"/>
        <w:rPr>
          <w:rFonts w:cstheme="minorHAnsi"/>
          <w:b/>
          <w:bCs/>
          <w:sz w:val="22"/>
          <w:szCs w:val="22"/>
        </w:rPr>
      </w:pPr>
      <w:r w:rsidRPr="004B030A">
        <w:rPr>
          <w:rFonts w:cstheme="minorHAnsi"/>
          <w:b/>
          <w:bCs/>
          <w:sz w:val="22"/>
          <w:szCs w:val="22"/>
        </w:rPr>
        <w:t xml:space="preserve">The existing </w:t>
      </w:r>
      <w:r w:rsidR="00091CFB" w:rsidRPr="004B030A">
        <w:rPr>
          <w:rFonts w:cstheme="minorHAnsi"/>
          <w:b/>
          <w:bCs/>
          <w:sz w:val="22"/>
          <w:szCs w:val="22"/>
        </w:rPr>
        <w:t xml:space="preserve">governance </w:t>
      </w:r>
      <w:proofErr w:type="gramStart"/>
      <w:r w:rsidRPr="004B030A">
        <w:rPr>
          <w:rFonts w:cstheme="minorHAnsi"/>
          <w:b/>
          <w:bCs/>
          <w:sz w:val="22"/>
          <w:szCs w:val="22"/>
        </w:rPr>
        <w:t>landscape</w:t>
      </w:r>
      <w:proofErr w:type="gramEnd"/>
    </w:p>
    <w:p w14:paraId="2EA9B0E4" w14:textId="1E214E74" w:rsidR="006A491A" w:rsidRPr="004B030A" w:rsidRDefault="00260EAF" w:rsidP="005835D4">
      <w:pPr>
        <w:autoSpaceDE w:val="0"/>
        <w:autoSpaceDN w:val="0"/>
        <w:adjustRightInd w:val="0"/>
        <w:snapToGrid w:val="0"/>
        <w:jc w:val="both"/>
        <w:rPr>
          <w:rFonts w:cstheme="minorHAnsi"/>
          <w:sz w:val="22"/>
          <w:szCs w:val="22"/>
        </w:rPr>
      </w:pPr>
      <w:r w:rsidRPr="004B030A">
        <w:rPr>
          <w:rFonts w:cstheme="minorHAnsi"/>
          <w:sz w:val="22"/>
          <w:szCs w:val="22"/>
        </w:rPr>
        <w:t>Although</w:t>
      </w:r>
      <w:r w:rsidR="006B12DF" w:rsidRPr="004B030A">
        <w:rPr>
          <w:rFonts w:cstheme="minorHAnsi"/>
          <w:sz w:val="22"/>
          <w:szCs w:val="22"/>
        </w:rPr>
        <w:t xml:space="preserve"> </w:t>
      </w:r>
      <w:r w:rsidRPr="004B030A">
        <w:rPr>
          <w:rFonts w:cstheme="minorHAnsi"/>
          <w:sz w:val="22"/>
          <w:szCs w:val="22"/>
        </w:rPr>
        <w:t xml:space="preserve">there are several legal frameworks that apply in situations of armed conflict, including IHL and international refugee law, businesses generally only familiarise themselves with international human rights law and the risks, rights and responsibilities that flow from relevant human rights treaties. </w:t>
      </w:r>
      <w:r w:rsidR="006A491A" w:rsidRPr="004B030A">
        <w:rPr>
          <w:rFonts w:cstheme="minorHAnsi"/>
          <w:sz w:val="22"/>
          <w:szCs w:val="22"/>
        </w:rPr>
        <w:t xml:space="preserve">As a result, there is a </w:t>
      </w:r>
      <w:r w:rsidR="006A491A" w:rsidRPr="004B030A">
        <w:rPr>
          <w:rFonts w:ascii="CalibriLight" w:eastAsia="Times New Roman" w:hAnsi="CalibriLight" w:cs="CalibriLight"/>
          <w:color w:val="000000"/>
          <w:sz w:val="22"/>
          <w:szCs w:val="22"/>
          <w:lang w:val="x-none"/>
        </w:rPr>
        <w:t xml:space="preserve">knowledge gap </w:t>
      </w:r>
      <w:r w:rsidR="006A491A" w:rsidRPr="004B030A">
        <w:rPr>
          <w:rFonts w:ascii="CalibriLight" w:eastAsia="Times New Roman" w:hAnsi="CalibriLight" w:cs="CalibriLight"/>
          <w:color w:val="000000"/>
          <w:sz w:val="22"/>
          <w:szCs w:val="22"/>
          <w:lang w:val="en-US"/>
        </w:rPr>
        <w:t xml:space="preserve">among investors – but also </w:t>
      </w:r>
      <w:r w:rsidR="006A491A" w:rsidRPr="004B030A">
        <w:rPr>
          <w:rFonts w:ascii="CalibriLight" w:eastAsia="Times New Roman" w:hAnsi="CalibriLight" w:cs="CalibriLight"/>
          <w:color w:val="000000"/>
          <w:sz w:val="22"/>
          <w:szCs w:val="22"/>
          <w:lang w:val="x-none"/>
        </w:rPr>
        <w:t xml:space="preserve">in the </w:t>
      </w:r>
      <w:r w:rsidR="006A491A" w:rsidRPr="004B030A">
        <w:rPr>
          <w:rFonts w:ascii="CalibriLight" w:eastAsia="Times New Roman" w:hAnsi="CalibriLight" w:cs="CalibriLight"/>
          <w:color w:val="000000"/>
          <w:sz w:val="22"/>
          <w:szCs w:val="22"/>
          <w:lang w:val="en-US"/>
        </w:rPr>
        <w:t xml:space="preserve">private </w:t>
      </w:r>
      <w:r w:rsidR="006A491A" w:rsidRPr="004B030A">
        <w:rPr>
          <w:rFonts w:ascii="CalibriLight" w:eastAsia="Times New Roman" w:hAnsi="CalibriLight" w:cs="CalibriLight"/>
          <w:color w:val="000000"/>
          <w:sz w:val="22"/>
          <w:szCs w:val="22"/>
          <w:lang w:val="x-none"/>
        </w:rPr>
        <w:t xml:space="preserve">sector </w:t>
      </w:r>
      <w:r w:rsidR="006A491A" w:rsidRPr="004B030A">
        <w:rPr>
          <w:rFonts w:ascii="CalibriLight" w:eastAsia="Times New Roman" w:hAnsi="CalibriLight" w:cs="CalibriLight"/>
          <w:color w:val="000000"/>
          <w:sz w:val="22"/>
          <w:szCs w:val="22"/>
          <w:lang w:val="en-US"/>
        </w:rPr>
        <w:t xml:space="preserve">broadly – </w:t>
      </w:r>
      <w:r w:rsidR="006A491A" w:rsidRPr="004B030A">
        <w:rPr>
          <w:rFonts w:ascii="CalibriLight" w:eastAsia="Times New Roman" w:hAnsi="CalibriLight" w:cs="CalibriLight"/>
          <w:color w:val="000000"/>
          <w:sz w:val="22"/>
          <w:szCs w:val="22"/>
          <w:lang w:val="x-none"/>
        </w:rPr>
        <w:t xml:space="preserve">regarding </w:t>
      </w:r>
      <w:r w:rsidR="006A491A" w:rsidRPr="004B030A">
        <w:rPr>
          <w:rFonts w:ascii="CalibriLight" w:eastAsia="Times New Roman" w:hAnsi="CalibriLight" w:cs="CalibriLight"/>
          <w:color w:val="000000"/>
          <w:sz w:val="22"/>
          <w:szCs w:val="22"/>
          <w:lang w:val="en-US"/>
        </w:rPr>
        <w:t xml:space="preserve">corporate awareness of IHL and </w:t>
      </w:r>
      <w:r w:rsidR="006A491A" w:rsidRPr="004B030A">
        <w:rPr>
          <w:rFonts w:ascii="CalibriLight" w:eastAsia="Times New Roman" w:hAnsi="CalibriLight" w:cs="CalibriLight"/>
          <w:color w:val="000000"/>
          <w:sz w:val="22"/>
          <w:szCs w:val="22"/>
          <w:lang w:val="x-none"/>
        </w:rPr>
        <w:t>organisational exposure to</w:t>
      </w:r>
      <w:r w:rsidR="006A491A" w:rsidRPr="004B030A">
        <w:rPr>
          <w:rFonts w:ascii="CalibriLight" w:eastAsia="Times New Roman" w:hAnsi="CalibriLight" w:cs="CalibriLight"/>
          <w:color w:val="000000"/>
          <w:sz w:val="22"/>
          <w:szCs w:val="22"/>
          <w:lang w:val="en-US"/>
        </w:rPr>
        <w:t xml:space="preserve"> </w:t>
      </w:r>
      <w:r w:rsidR="006A491A" w:rsidRPr="004B030A">
        <w:rPr>
          <w:rFonts w:ascii="CalibriLight" w:eastAsia="Times New Roman" w:hAnsi="CalibriLight" w:cs="CalibriLight"/>
          <w:color w:val="000000"/>
          <w:sz w:val="22"/>
          <w:szCs w:val="22"/>
          <w:lang w:val="x-none"/>
        </w:rPr>
        <w:t xml:space="preserve">conflict-affected </w:t>
      </w:r>
      <w:r w:rsidR="006A491A" w:rsidRPr="004B030A">
        <w:rPr>
          <w:rFonts w:ascii="CalibriLight" w:eastAsia="Times New Roman" w:hAnsi="CalibriLight" w:cs="CalibriLight"/>
          <w:color w:val="000000"/>
          <w:sz w:val="22"/>
          <w:szCs w:val="22"/>
          <w:lang w:val="en-US"/>
        </w:rPr>
        <w:t>areas</w:t>
      </w:r>
      <w:r w:rsidR="006A491A" w:rsidRPr="004B030A">
        <w:rPr>
          <w:rFonts w:ascii="CalibriLight" w:eastAsia="Times New Roman" w:hAnsi="CalibriLight" w:cs="CalibriLight"/>
          <w:color w:val="000000"/>
          <w:sz w:val="22"/>
          <w:szCs w:val="22"/>
          <w:lang w:val="x-none"/>
        </w:rPr>
        <w:t>.</w:t>
      </w:r>
      <w:r w:rsidR="006A491A" w:rsidRPr="004B030A">
        <w:rPr>
          <w:rFonts w:ascii="CalibriLight" w:eastAsia="Times New Roman" w:hAnsi="CalibriLight" w:cs="CalibriLight"/>
          <w:color w:val="000000"/>
          <w:sz w:val="22"/>
          <w:szCs w:val="22"/>
          <w:lang w:val="en-US"/>
        </w:rPr>
        <w:t xml:space="preserve">  </w:t>
      </w:r>
    </w:p>
    <w:p w14:paraId="4BF5EF18" w14:textId="77777777" w:rsidR="006A491A" w:rsidRPr="004B030A" w:rsidRDefault="006A491A" w:rsidP="005835D4">
      <w:pPr>
        <w:autoSpaceDE w:val="0"/>
        <w:autoSpaceDN w:val="0"/>
        <w:adjustRightInd w:val="0"/>
        <w:snapToGrid w:val="0"/>
        <w:jc w:val="both"/>
        <w:rPr>
          <w:rFonts w:ascii="CalibriLight" w:eastAsia="Times New Roman" w:hAnsi="CalibriLight" w:cs="CalibriLight"/>
          <w:color w:val="000000"/>
          <w:sz w:val="22"/>
          <w:szCs w:val="22"/>
          <w:lang w:val="en-US"/>
        </w:rPr>
      </w:pPr>
    </w:p>
    <w:p w14:paraId="32099C0A" w14:textId="609B33A6" w:rsidR="00B6495F" w:rsidRPr="004B030A" w:rsidRDefault="003D1BD6" w:rsidP="005835D4">
      <w:pPr>
        <w:autoSpaceDE w:val="0"/>
        <w:autoSpaceDN w:val="0"/>
        <w:adjustRightInd w:val="0"/>
        <w:snapToGrid w:val="0"/>
        <w:jc w:val="both"/>
        <w:rPr>
          <w:rFonts w:ascii="CalibriLight" w:eastAsia="Times New Roman" w:hAnsi="CalibriLight" w:cs="CalibriLight"/>
          <w:color w:val="000000"/>
          <w:sz w:val="22"/>
          <w:szCs w:val="22"/>
          <w:lang w:val="en-US"/>
        </w:rPr>
      </w:pPr>
      <w:r w:rsidRPr="004B030A">
        <w:rPr>
          <w:rFonts w:ascii="CalibriLight" w:eastAsia="Times New Roman" w:hAnsi="CalibriLight" w:cs="CalibriLight"/>
          <w:color w:val="000000"/>
          <w:sz w:val="22"/>
          <w:szCs w:val="22"/>
          <w:lang w:val="en-US"/>
        </w:rPr>
        <w:t xml:space="preserve">To a degree, the sector has begun to </w:t>
      </w:r>
      <w:r w:rsidR="00A649A3" w:rsidRPr="004B030A">
        <w:rPr>
          <w:rFonts w:ascii="CalibriLight" w:eastAsia="Times New Roman" w:hAnsi="CalibriLight" w:cs="CalibriLight"/>
          <w:color w:val="000000"/>
          <w:sz w:val="22"/>
          <w:szCs w:val="22"/>
          <w:lang w:val="en-US"/>
        </w:rPr>
        <w:t>address</w:t>
      </w:r>
      <w:r w:rsidRPr="004B030A">
        <w:rPr>
          <w:rFonts w:ascii="CalibriLight" w:eastAsia="Times New Roman" w:hAnsi="CalibriLight" w:cs="CalibriLight"/>
          <w:color w:val="000000"/>
          <w:sz w:val="22"/>
          <w:szCs w:val="22"/>
          <w:lang w:val="en-US"/>
        </w:rPr>
        <w:t xml:space="preserve"> this gap through the widespread acceptance and adoption of </w:t>
      </w:r>
      <w:r w:rsidR="00CF26FD" w:rsidRPr="004B030A">
        <w:rPr>
          <w:rFonts w:ascii="CalibriLight" w:eastAsia="Times New Roman" w:hAnsi="CalibriLight" w:cs="CalibriLight"/>
          <w:color w:val="000000"/>
          <w:sz w:val="22"/>
          <w:szCs w:val="22"/>
          <w:lang w:val="en-US"/>
        </w:rPr>
        <w:t>the concept of heightened human rights due diligence (hHRDD).</w:t>
      </w:r>
      <w:r w:rsidR="00B6495F" w:rsidRPr="004B030A">
        <w:rPr>
          <w:rFonts w:ascii="CalibriLight" w:eastAsia="Times New Roman" w:hAnsi="CalibriLight" w:cs="CalibriLight"/>
          <w:color w:val="000000"/>
          <w:sz w:val="22"/>
          <w:szCs w:val="22"/>
          <w:lang w:val="en-US"/>
        </w:rPr>
        <w:t xml:space="preserve"> </w:t>
      </w:r>
      <w:r w:rsidR="00A649A3" w:rsidRPr="004B030A">
        <w:rPr>
          <w:rFonts w:cstheme="minorHAnsi"/>
          <w:sz w:val="22"/>
          <w:szCs w:val="22"/>
        </w:rPr>
        <w:t xml:space="preserve">According to the UNGPs, the risk of businesses becoming involved in serious human rights abuses increases exponentially in contexts of armed conflict. In such situations, businesses are expected to not only respect major international human rights treaties, but also to ‘respect the standards of international humanitarian law’. Under the UNGPs, businesses are called upon to conduct hHRDD to strengthen their understanding of the context in which they operate and to ensure their activities do not contribute to violence by identifying potential triggers and drivers of the conflict.  </w:t>
      </w:r>
    </w:p>
    <w:p w14:paraId="56E3BD63" w14:textId="77777777" w:rsidR="00B6495F" w:rsidRPr="004B030A" w:rsidRDefault="00B6495F" w:rsidP="005835D4">
      <w:pPr>
        <w:jc w:val="both"/>
        <w:rPr>
          <w:rFonts w:cstheme="minorHAnsi"/>
          <w:sz w:val="22"/>
          <w:szCs w:val="22"/>
        </w:rPr>
      </w:pPr>
    </w:p>
    <w:p w14:paraId="06F8C91C" w14:textId="2C7DBA23" w:rsidR="0071730F" w:rsidRPr="004B030A" w:rsidRDefault="00A649A3" w:rsidP="005835D4">
      <w:pPr>
        <w:jc w:val="both"/>
        <w:rPr>
          <w:rFonts w:cstheme="minorHAnsi"/>
          <w:sz w:val="22"/>
          <w:szCs w:val="22"/>
        </w:rPr>
      </w:pPr>
      <w:r w:rsidRPr="004B030A">
        <w:rPr>
          <w:rFonts w:cstheme="minorHAnsi"/>
          <w:sz w:val="22"/>
          <w:szCs w:val="22"/>
        </w:rPr>
        <w:t xml:space="preserve">Similar references also exist in other </w:t>
      </w:r>
      <w:r w:rsidR="002245A0" w:rsidRPr="004B030A">
        <w:rPr>
          <w:rFonts w:cstheme="minorHAnsi"/>
          <w:sz w:val="22"/>
          <w:szCs w:val="22"/>
        </w:rPr>
        <w:t xml:space="preserve">major </w:t>
      </w:r>
      <w:r w:rsidR="0071730F" w:rsidRPr="004B030A">
        <w:rPr>
          <w:rFonts w:cstheme="minorHAnsi"/>
          <w:sz w:val="22"/>
          <w:szCs w:val="22"/>
        </w:rPr>
        <w:t>initiatives and frameworks,</w:t>
      </w:r>
      <w:r w:rsidR="002245A0" w:rsidRPr="004B030A">
        <w:rPr>
          <w:rFonts w:cstheme="minorHAnsi"/>
          <w:sz w:val="22"/>
          <w:szCs w:val="22"/>
        </w:rPr>
        <w:t xml:space="preserve"> for instance</w:t>
      </w:r>
      <w:r w:rsidR="0071730F" w:rsidRPr="004B030A">
        <w:rPr>
          <w:rFonts w:cstheme="minorHAnsi"/>
          <w:sz w:val="22"/>
          <w:szCs w:val="22"/>
        </w:rPr>
        <w:t xml:space="preserve"> </w:t>
      </w:r>
      <w:r w:rsidRPr="004B030A">
        <w:rPr>
          <w:rFonts w:cstheme="minorHAnsi"/>
          <w:sz w:val="22"/>
          <w:szCs w:val="22"/>
        </w:rPr>
        <w:t>the OECD Guidelines</w:t>
      </w:r>
      <w:r w:rsidR="0003370F" w:rsidRPr="004B030A">
        <w:rPr>
          <w:rFonts w:cstheme="minorHAnsi"/>
          <w:sz w:val="22"/>
          <w:szCs w:val="22"/>
        </w:rPr>
        <w:t xml:space="preserve"> and the Voluntary Principles on Security and Human Rights</w:t>
      </w:r>
      <w:r w:rsidR="002245A0" w:rsidRPr="004B030A">
        <w:rPr>
          <w:rFonts w:cstheme="minorHAnsi"/>
          <w:sz w:val="22"/>
          <w:szCs w:val="22"/>
        </w:rPr>
        <w:t xml:space="preserve">, as well as in industry guidance documents, </w:t>
      </w:r>
      <w:r w:rsidR="00255FF7" w:rsidRPr="004B030A">
        <w:rPr>
          <w:rFonts w:cstheme="minorHAnsi"/>
          <w:sz w:val="22"/>
          <w:szCs w:val="22"/>
        </w:rPr>
        <w:t xml:space="preserve">including </w:t>
      </w:r>
      <w:r w:rsidR="0051176A" w:rsidRPr="004B030A">
        <w:rPr>
          <w:rFonts w:cstheme="minorHAnsi"/>
          <w:sz w:val="22"/>
          <w:szCs w:val="22"/>
        </w:rPr>
        <w:t xml:space="preserve">the </w:t>
      </w:r>
      <w:r w:rsidR="00255FF7" w:rsidRPr="004B030A">
        <w:rPr>
          <w:rFonts w:cstheme="minorHAnsi"/>
          <w:sz w:val="22"/>
          <w:szCs w:val="22"/>
        </w:rPr>
        <w:t xml:space="preserve">UN Global Compact and PRI’s </w:t>
      </w:r>
      <w:r w:rsidR="0051176A" w:rsidRPr="004B030A">
        <w:rPr>
          <w:rFonts w:cstheme="minorHAnsi"/>
          <w:i/>
          <w:iCs/>
          <w:sz w:val="22"/>
          <w:szCs w:val="22"/>
        </w:rPr>
        <w:t xml:space="preserve">Guidance on Responsible Business in Conflict-Affected and </w:t>
      </w:r>
      <w:r w:rsidR="0051176A" w:rsidRPr="004B030A">
        <w:rPr>
          <w:rFonts w:cstheme="minorHAnsi"/>
          <w:i/>
          <w:iCs/>
          <w:sz w:val="22"/>
          <w:szCs w:val="22"/>
        </w:rPr>
        <w:lastRenderedPageBreak/>
        <w:t>High-Risk Areas</w:t>
      </w:r>
      <w:r w:rsidR="00D22A72" w:rsidRPr="004B030A">
        <w:rPr>
          <w:rFonts w:cstheme="minorHAnsi"/>
          <w:sz w:val="22"/>
          <w:szCs w:val="22"/>
        </w:rPr>
        <w:t xml:space="preserve">, and </w:t>
      </w:r>
      <w:r w:rsidR="001E29C0" w:rsidRPr="004B030A">
        <w:rPr>
          <w:rFonts w:cstheme="minorHAnsi"/>
          <w:sz w:val="22"/>
          <w:szCs w:val="22"/>
        </w:rPr>
        <w:t xml:space="preserve">the </w:t>
      </w:r>
      <w:r w:rsidR="001E29C0" w:rsidRPr="004B030A">
        <w:rPr>
          <w:rFonts w:cstheme="minorHAnsi"/>
          <w:i/>
          <w:iCs/>
          <w:sz w:val="22"/>
          <w:szCs w:val="22"/>
        </w:rPr>
        <w:t>OECD Due Diligence Guidance for Responsible Supply Chains of Minerals from Conflict-Affected and High-Risk Areas</w:t>
      </w:r>
      <w:r w:rsidR="004720AF" w:rsidRPr="004B030A">
        <w:rPr>
          <w:rFonts w:cstheme="minorHAnsi"/>
          <w:sz w:val="22"/>
          <w:szCs w:val="22"/>
        </w:rPr>
        <w:t>.</w:t>
      </w:r>
      <w:r w:rsidR="0003370F" w:rsidRPr="004B030A">
        <w:rPr>
          <w:rFonts w:cstheme="minorHAnsi"/>
          <w:sz w:val="22"/>
          <w:szCs w:val="22"/>
        </w:rPr>
        <w:t xml:space="preserve"> I</w:t>
      </w:r>
      <w:r w:rsidR="0071730F" w:rsidRPr="004B030A">
        <w:rPr>
          <w:rFonts w:cstheme="minorHAnsi"/>
          <w:sz w:val="22"/>
          <w:szCs w:val="22"/>
        </w:rPr>
        <w:t xml:space="preserve">n 2020, </w:t>
      </w:r>
      <w:r w:rsidR="0003370F" w:rsidRPr="004B030A">
        <w:rPr>
          <w:rFonts w:cstheme="minorHAnsi"/>
          <w:sz w:val="22"/>
          <w:szCs w:val="22"/>
        </w:rPr>
        <w:t xml:space="preserve">this </w:t>
      </w:r>
      <w:r w:rsidR="0071730F" w:rsidRPr="004B030A">
        <w:rPr>
          <w:rFonts w:cstheme="minorHAnsi"/>
          <w:sz w:val="22"/>
          <w:szCs w:val="22"/>
        </w:rPr>
        <w:t xml:space="preserve">Working Group issued their report on </w:t>
      </w:r>
      <w:r w:rsidR="0071730F" w:rsidRPr="004B030A">
        <w:rPr>
          <w:rFonts w:cstheme="minorHAnsi"/>
          <w:i/>
          <w:iCs/>
          <w:sz w:val="22"/>
          <w:szCs w:val="22"/>
        </w:rPr>
        <w:t>‘Business, human rights and conflict-affected regions: towards heightened action’</w:t>
      </w:r>
      <w:r w:rsidR="0071730F" w:rsidRPr="004B030A">
        <w:rPr>
          <w:rFonts w:cstheme="minorHAnsi"/>
          <w:sz w:val="22"/>
          <w:szCs w:val="22"/>
        </w:rPr>
        <w:t xml:space="preserve">, which reiterated the need for businesses to respect the standards of IHL in situations of armed conflict, and to ensure they allocate resources and attention to IHL and conflict-related issues. </w:t>
      </w:r>
      <w:r w:rsidR="00970740" w:rsidRPr="004B030A">
        <w:rPr>
          <w:rFonts w:cstheme="minorHAnsi"/>
          <w:sz w:val="22"/>
          <w:szCs w:val="22"/>
        </w:rPr>
        <w:t>More recently, i</w:t>
      </w:r>
      <w:r w:rsidR="0071730F" w:rsidRPr="004B030A">
        <w:rPr>
          <w:rFonts w:cstheme="minorHAnsi"/>
          <w:sz w:val="22"/>
          <w:szCs w:val="22"/>
        </w:rPr>
        <w:t xml:space="preserve">n 2022, the Working Group </w:t>
      </w:r>
      <w:r w:rsidR="00970740" w:rsidRPr="004B030A">
        <w:rPr>
          <w:rFonts w:cstheme="minorHAnsi"/>
          <w:sz w:val="22"/>
          <w:szCs w:val="22"/>
        </w:rPr>
        <w:t xml:space="preserve">and the UNDP </w:t>
      </w:r>
      <w:r w:rsidR="0071730F" w:rsidRPr="004B030A">
        <w:rPr>
          <w:rFonts w:cstheme="minorHAnsi"/>
          <w:sz w:val="22"/>
          <w:szCs w:val="22"/>
        </w:rPr>
        <w:t xml:space="preserve">published </w:t>
      </w:r>
      <w:r w:rsidR="00970740" w:rsidRPr="004B030A">
        <w:rPr>
          <w:rFonts w:cstheme="minorHAnsi"/>
          <w:sz w:val="22"/>
          <w:szCs w:val="22"/>
        </w:rPr>
        <w:t xml:space="preserve">a guide on </w:t>
      </w:r>
      <w:r w:rsidR="0071730F" w:rsidRPr="004B030A">
        <w:rPr>
          <w:rFonts w:cstheme="minorHAnsi"/>
          <w:i/>
          <w:iCs/>
          <w:sz w:val="22"/>
          <w:szCs w:val="22"/>
        </w:rPr>
        <w:t>‘Heightened Human Rights Due Diligence for Business in Conflict-Affected Contexts</w:t>
      </w:r>
      <w:r w:rsidR="00970740" w:rsidRPr="004B030A">
        <w:rPr>
          <w:rFonts w:cstheme="minorHAnsi"/>
          <w:i/>
          <w:iCs/>
          <w:sz w:val="22"/>
          <w:szCs w:val="22"/>
        </w:rPr>
        <w:t>’</w:t>
      </w:r>
      <w:r w:rsidR="006B6058" w:rsidRPr="004B030A">
        <w:rPr>
          <w:rFonts w:cstheme="minorHAnsi"/>
          <w:sz w:val="22"/>
          <w:szCs w:val="22"/>
        </w:rPr>
        <w:t>.</w:t>
      </w:r>
      <w:r w:rsidR="00866CD1">
        <w:rPr>
          <w:rFonts w:cstheme="minorHAnsi"/>
          <w:sz w:val="22"/>
          <w:szCs w:val="22"/>
        </w:rPr>
        <w:t xml:space="preserve"> </w:t>
      </w:r>
      <w:r w:rsidR="00E16F5F" w:rsidRPr="004B030A">
        <w:rPr>
          <w:rFonts w:cstheme="minorHAnsi"/>
          <w:sz w:val="22"/>
          <w:szCs w:val="22"/>
        </w:rPr>
        <w:t xml:space="preserve">The guide, written </w:t>
      </w:r>
      <w:r w:rsidR="0071730F" w:rsidRPr="004B030A">
        <w:rPr>
          <w:rFonts w:cstheme="minorHAnsi"/>
          <w:sz w:val="22"/>
          <w:szCs w:val="22"/>
        </w:rPr>
        <w:t>for businesses and other actors</w:t>
      </w:r>
      <w:r w:rsidR="006B6E2A" w:rsidRPr="004B030A">
        <w:rPr>
          <w:rFonts w:cstheme="minorHAnsi"/>
          <w:sz w:val="22"/>
          <w:szCs w:val="22"/>
        </w:rPr>
        <w:t xml:space="preserve">, </w:t>
      </w:r>
      <w:r w:rsidR="001519F8" w:rsidRPr="004B030A">
        <w:rPr>
          <w:rFonts w:cstheme="minorHAnsi"/>
          <w:sz w:val="22"/>
          <w:szCs w:val="22"/>
        </w:rPr>
        <w:t xml:space="preserve">references IHL and </w:t>
      </w:r>
      <w:r w:rsidR="006B6E2A" w:rsidRPr="004B030A">
        <w:rPr>
          <w:rFonts w:cstheme="minorHAnsi"/>
          <w:sz w:val="22"/>
          <w:szCs w:val="22"/>
        </w:rPr>
        <w:t>outlin</w:t>
      </w:r>
      <w:r w:rsidR="00E16F5F" w:rsidRPr="004B030A">
        <w:rPr>
          <w:rFonts w:cstheme="minorHAnsi"/>
          <w:sz w:val="22"/>
          <w:szCs w:val="22"/>
        </w:rPr>
        <w:t>es</w:t>
      </w:r>
      <w:r w:rsidR="006B6E2A" w:rsidRPr="004B030A">
        <w:rPr>
          <w:rFonts w:cstheme="minorHAnsi"/>
          <w:sz w:val="22"/>
          <w:szCs w:val="22"/>
        </w:rPr>
        <w:t xml:space="preserve"> </w:t>
      </w:r>
      <w:r w:rsidR="0071730F" w:rsidRPr="004B030A">
        <w:rPr>
          <w:rFonts w:cstheme="minorHAnsi"/>
          <w:sz w:val="22"/>
          <w:szCs w:val="22"/>
        </w:rPr>
        <w:t xml:space="preserve">how </w:t>
      </w:r>
      <w:r w:rsidR="006B6E2A" w:rsidRPr="004B030A">
        <w:rPr>
          <w:rFonts w:cstheme="minorHAnsi"/>
          <w:sz w:val="22"/>
          <w:szCs w:val="22"/>
        </w:rPr>
        <w:t xml:space="preserve">they might </w:t>
      </w:r>
      <w:r w:rsidR="0071730F" w:rsidRPr="004B030A">
        <w:rPr>
          <w:rFonts w:cstheme="minorHAnsi"/>
          <w:sz w:val="22"/>
          <w:szCs w:val="22"/>
        </w:rPr>
        <w:t xml:space="preserve">meet their responsibilities </w:t>
      </w:r>
      <w:r w:rsidR="006B6E2A" w:rsidRPr="004B030A">
        <w:rPr>
          <w:rFonts w:cstheme="minorHAnsi"/>
          <w:sz w:val="22"/>
          <w:szCs w:val="22"/>
        </w:rPr>
        <w:t>in accordance with</w:t>
      </w:r>
      <w:r w:rsidR="0071730F" w:rsidRPr="004B030A">
        <w:rPr>
          <w:rFonts w:cstheme="minorHAnsi"/>
          <w:sz w:val="22"/>
          <w:szCs w:val="22"/>
        </w:rPr>
        <w:t xml:space="preserve"> hHRDD in conflict-affected areas</w:t>
      </w:r>
      <w:r w:rsidR="00E16F5F" w:rsidRPr="004B030A">
        <w:rPr>
          <w:rFonts w:cstheme="minorHAnsi"/>
          <w:sz w:val="22"/>
          <w:szCs w:val="22"/>
        </w:rPr>
        <w:t xml:space="preserve">. </w:t>
      </w:r>
      <w:r w:rsidR="008C2789" w:rsidRPr="004B030A">
        <w:rPr>
          <w:rFonts w:cstheme="minorHAnsi"/>
          <w:sz w:val="22"/>
          <w:szCs w:val="22"/>
        </w:rPr>
        <w:t>In August 2023, the OHCHR</w:t>
      </w:r>
      <w:r w:rsidR="00F96F5E" w:rsidRPr="004B030A">
        <w:rPr>
          <w:rFonts w:cstheme="minorHAnsi"/>
          <w:sz w:val="22"/>
          <w:szCs w:val="22"/>
        </w:rPr>
        <w:t>’s latest contribution to business guidance was the release of</w:t>
      </w:r>
      <w:r w:rsidR="008C2789" w:rsidRPr="004B030A">
        <w:rPr>
          <w:rFonts w:cstheme="minorHAnsi"/>
          <w:sz w:val="22"/>
          <w:szCs w:val="22"/>
        </w:rPr>
        <w:t xml:space="preserve"> ‘Business and Human Rights in Challenging Contexts’</w:t>
      </w:r>
      <w:r w:rsidR="001519F8" w:rsidRPr="004B030A">
        <w:rPr>
          <w:rFonts w:cstheme="minorHAnsi"/>
          <w:sz w:val="22"/>
          <w:szCs w:val="22"/>
        </w:rPr>
        <w:t xml:space="preserve">, which seeks </w:t>
      </w:r>
      <w:r w:rsidR="008C2789" w:rsidRPr="004B030A">
        <w:rPr>
          <w:rFonts w:cstheme="minorHAnsi"/>
          <w:sz w:val="22"/>
          <w:szCs w:val="22"/>
        </w:rPr>
        <w:t>to provide guidance to companies on how to implement their adherence t</w:t>
      </w:r>
      <w:r w:rsidR="00F96F5E" w:rsidRPr="004B030A">
        <w:rPr>
          <w:rFonts w:cstheme="minorHAnsi"/>
          <w:sz w:val="22"/>
          <w:szCs w:val="22"/>
        </w:rPr>
        <w:t>o</w:t>
      </w:r>
      <w:r w:rsidR="008C2789" w:rsidRPr="004B030A">
        <w:rPr>
          <w:rFonts w:cstheme="minorHAnsi"/>
          <w:sz w:val="22"/>
          <w:szCs w:val="22"/>
        </w:rPr>
        <w:t xml:space="preserve"> the UNGPs in challenging contexts</w:t>
      </w:r>
      <w:r w:rsidR="00F96F5E" w:rsidRPr="004B030A">
        <w:rPr>
          <w:rFonts w:cstheme="minorHAnsi"/>
          <w:sz w:val="22"/>
          <w:szCs w:val="22"/>
        </w:rPr>
        <w:t>, including conflict-affected areas</w:t>
      </w:r>
      <w:r w:rsidR="008C2789" w:rsidRPr="004B030A">
        <w:rPr>
          <w:rFonts w:cstheme="minorHAnsi"/>
          <w:sz w:val="22"/>
          <w:szCs w:val="22"/>
        </w:rPr>
        <w:t>.</w:t>
      </w:r>
      <w:r w:rsidR="001519F8" w:rsidRPr="004B030A">
        <w:rPr>
          <w:rFonts w:cstheme="minorHAnsi"/>
          <w:sz w:val="22"/>
          <w:szCs w:val="22"/>
        </w:rPr>
        <w:t xml:space="preserve"> </w:t>
      </w:r>
      <w:r w:rsidR="008C2789" w:rsidRPr="004B030A">
        <w:rPr>
          <w:rFonts w:cstheme="minorHAnsi"/>
          <w:sz w:val="22"/>
          <w:szCs w:val="22"/>
        </w:rPr>
        <w:t xml:space="preserve">IHL was not mentioned or referenced at all in this document.  </w:t>
      </w:r>
    </w:p>
    <w:p w14:paraId="7FBD7DEE" w14:textId="77777777" w:rsidR="00A649A3" w:rsidRPr="004B030A" w:rsidRDefault="00A649A3" w:rsidP="005835D4">
      <w:pPr>
        <w:jc w:val="both"/>
        <w:rPr>
          <w:rFonts w:cstheme="minorHAnsi"/>
          <w:sz w:val="22"/>
          <w:szCs w:val="22"/>
        </w:rPr>
      </w:pPr>
    </w:p>
    <w:p w14:paraId="36B8CE2E" w14:textId="7766890D" w:rsidR="00D82DA1" w:rsidRPr="004B030A" w:rsidRDefault="008C2789" w:rsidP="005835D4">
      <w:pPr>
        <w:jc w:val="both"/>
        <w:rPr>
          <w:rFonts w:cstheme="minorHAnsi"/>
          <w:sz w:val="22"/>
          <w:szCs w:val="22"/>
        </w:rPr>
      </w:pPr>
      <w:r w:rsidRPr="004B030A">
        <w:rPr>
          <w:rFonts w:cstheme="minorHAnsi"/>
          <w:sz w:val="22"/>
          <w:szCs w:val="22"/>
        </w:rPr>
        <w:t>D</w:t>
      </w:r>
      <w:r w:rsidR="007207D9" w:rsidRPr="004B030A">
        <w:rPr>
          <w:rFonts w:cstheme="minorHAnsi"/>
          <w:sz w:val="22"/>
          <w:szCs w:val="22"/>
        </w:rPr>
        <w:t>e</w:t>
      </w:r>
      <w:r w:rsidR="00A649A3" w:rsidRPr="004B030A">
        <w:rPr>
          <w:rFonts w:cstheme="minorHAnsi"/>
          <w:sz w:val="22"/>
          <w:szCs w:val="22"/>
        </w:rPr>
        <w:t>spite</w:t>
      </w:r>
      <w:r w:rsidR="005A2C0C" w:rsidRPr="004B030A">
        <w:rPr>
          <w:rFonts w:cstheme="minorHAnsi"/>
          <w:sz w:val="22"/>
          <w:szCs w:val="22"/>
        </w:rPr>
        <w:t xml:space="preserve"> </w:t>
      </w:r>
      <w:r w:rsidR="00A649A3" w:rsidRPr="004B030A">
        <w:rPr>
          <w:rFonts w:cstheme="minorHAnsi"/>
          <w:sz w:val="22"/>
          <w:szCs w:val="22"/>
        </w:rPr>
        <w:t xml:space="preserve">explicit </w:t>
      </w:r>
      <w:r w:rsidR="006B6E2A" w:rsidRPr="004B030A">
        <w:rPr>
          <w:rFonts w:cstheme="minorHAnsi"/>
          <w:sz w:val="22"/>
          <w:szCs w:val="22"/>
        </w:rPr>
        <w:t xml:space="preserve">and implicit </w:t>
      </w:r>
      <w:r w:rsidR="00A649A3" w:rsidRPr="004B030A">
        <w:rPr>
          <w:rFonts w:cstheme="minorHAnsi"/>
          <w:sz w:val="22"/>
          <w:szCs w:val="22"/>
        </w:rPr>
        <w:t>references to IHL</w:t>
      </w:r>
      <w:r w:rsidR="006B6E2A" w:rsidRPr="004B030A">
        <w:rPr>
          <w:rFonts w:cstheme="minorHAnsi"/>
          <w:sz w:val="22"/>
          <w:szCs w:val="22"/>
        </w:rPr>
        <w:t xml:space="preserve"> and armed conflict</w:t>
      </w:r>
      <w:r w:rsidR="00A649A3" w:rsidRPr="004B030A">
        <w:rPr>
          <w:rFonts w:cstheme="minorHAnsi"/>
          <w:sz w:val="22"/>
          <w:szCs w:val="22"/>
        </w:rPr>
        <w:t xml:space="preserve"> </w:t>
      </w:r>
      <w:r w:rsidR="006B6E2A" w:rsidRPr="004B030A">
        <w:rPr>
          <w:rFonts w:cstheme="minorHAnsi"/>
          <w:sz w:val="22"/>
          <w:szCs w:val="22"/>
        </w:rPr>
        <w:t>across the existing normative landscape</w:t>
      </w:r>
      <w:r w:rsidR="00A649A3" w:rsidRPr="004B030A">
        <w:rPr>
          <w:rFonts w:cstheme="minorHAnsi"/>
          <w:sz w:val="22"/>
          <w:szCs w:val="22"/>
        </w:rPr>
        <w:t xml:space="preserve">, </w:t>
      </w:r>
      <w:r w:rsidR="004D6988" w:rsidRPr="004B030A">
        <w:rPr>
          <w:rFonts w:cstheme="minorHAnsi"/>
          <w:sz w:val="22"/>
          <w:szCs w:val="22"/>
        </w:rPr>
        <w:t xml:space="preserve">there </w:t>
      </w:r>
      <w:r w:rsidR="00A46D4C" w:rsidRPr="004B030A">
        <w:rPr>
          <w:rFonts w:cstheme="minorHAnsi"/>
          <w:sz w:val="22"/>
          <w:szCs w:val="22"/>
        </w:rPr>
        <w:t xml:space="preserve">remains a </w:t>
      </w:r>
      <w:r w:rsidR="004D6988" w:rsidRPr="004B030A">
        <w:rPr>
          <w:rFonts w:cstheme="minorHAnsi"/>
          <w:sz w:val="22"/>
          <w:szCs w:val="22"/>
        </w:rPr>
        <w:t xml:space="preserve">lack of </w:t>
      </w:r>
      <w:r w:rsidR="00A649A3" w:rsidRPr="004B030A">
        <w:rPr>
          <w:rFonts w:cstheme="minorHAnsi"/>
          <w:sz w:val="22"/>
          <w:szCs w:val="22"/>
        </w:rPr>
        <w:t xml:space="preserve">commentary and interpretive guidance </w:t>
      </w:r>
      <w:r w:rsidR="00A46D4C" w:rsidRPr="004B030A">
        <w:rPr>
          <w:rFonts w:cstheme="minorHAnsi"/>
          <w:sz w:val="22"/>
          <w:szCs w:val="22"/>
        </w:rPr>
        <w:t xml:space="preserve">when it comes to </w:t>
      </w:r>
      <w:r w:rsidR="00A649A3" w:rsidRPr="004B030A">
        <w:rPr>
          <w:rFonts w:cstheme="minorHAnsi"/>
          <w:sz w:val="22"/>
          <w:szCs w:val="22"/>
        </w:rPr>
        <w:t>articulat</w:t>
      </w:r>
      <w:r w:rsidR="00EA0229" w:rsidRPr="004B030A">
        <w:rPr>
          <w:rFonts w:cstheme="minorHAnsi"/>
          <w:sz w:val="22"/>
          <w:szCs w:val="22"/>
        </w:rPr>
        <w:t>ing</w:t>
      </w:r>
      <w:r w:rsidR="004D6988" w:rsidRPr="004B030A">
        <w:rPr>
          <w:rFonts w:cstheme="minorHAnsi"/>
          <w:sz w:val="22"/>
          <w:szCs w:val="22"/>
        </w:rPr>
        <w:t xml:space="preserve"> </w:t>
      </w:r>
      <w:r w:rsidR="00197516" w:rsidRPr="004B030A">
        <w:rPr>
          <w:rFonts w:cstheme="minorHAnsi"/>
          <w:sz w:val="22"/>
          <w:szCs w:val="22"/>
        </w:rPr>
        <w:t xml:space="preserve">practical </w:t>
      </w:r>
      <w:r w:rsidR="00A649A3" w:rsidRPr="004B030A">
        <w:rPr>
          <w:rFonts w:cstheme="minorHAnsi"/>
          <w:sz w:val="22"/>
          <w:szCs w:val="22"/>
        </w:rPr>
        <w:t>steps towards effective IHL integration.</w:t>
      </w:r>
      <w:r w:rsidR="006B12DF" w:rsidRPr="004B030A">
        <w:rPr>
          <w:rFonts w:cstheme="minorHAnsi"/>
          <w:sz w:val="22"/>
          <w:szCs w:val="22"/>
        </w:rPr>
        <w:t xml:space="preserve"> </w:t>
      </w:r>
      <w:r w:rsidR="00F96F5E" w:rsidRPr="004B030A">
        <w:rPr>
          <w:rFonts w:cstheme="minorHAnsi"/>
          <w:sz w:val="22"/>
          <w:szCs w:val="22"/>
        </w:rPr>
        <w:t>The latest “Challenging Contexts” guidance illustrates this gap</w:t>
      </w:r>
      <w:r w:rsidR="00963C61" w:rsidRPr="004B030A">
        <w:rPr>
          <w:rFonts w:cstheme="minorHAnsi"/>
          <w:sz w:val="22"/>
          <w:szCs w:val="22"/>
        </w:rPr>
        <w:t>.</w:t>
      </w:r>
    </w:p>
    <w:p w14:paraId="4B1C68D1" w14:textId="77777777" w:rsidR="00FF5ED9" w:rsidRPr="004B030A" w:rsidRDefault="00FF5ED9" w:rsidP="005835D4">
      <w:pPr>
        <w:jc w:val="both"/>
        <w:rPr>
          <w:rFonts w:cstheme="minorHAnsi"/>
          <w:b/>
          <w:bCs/>
          <w:sz w:val="22"/>
          <w:szCs w:val="22"/>
        </w:rPr>
      </w:pPr>
    </w:p>
    <w:p w14:paraId="6B3B53F1" w14:textId="77777777" w:rsidR="007246FB" w:rsidRPr="004B030A" w:rsidRDefault="007246FB" w:rsidP="007246FB">
      <w:pPr>
        <w:jc w:val="both"/>
        <w:rPr>
          <w:rFonts w:cstheme="minorHAnsi"/>
          <w:b/>
          <w:bCs/>
          <w:sz w:val="22"/>
          <w:szCs w:val="22"/>
        </w:rPr>
      </w:pPr>
      <w:r w:rsidRPr="004B030A">
        <w:rPr>
          <w:rFonts w:cstheme="minorHAnsi"/>
          <w:b/>
          <w:bCs/>
          <w:sz w:val="22"/>
          <w:szCs w:val="22"/>
        </w:rPr>
        <w:t>The relevance of IHL and conflict sensitivity</w:t>
      </w:r>
    </w:p>
    <w:p w14:paraId="5E1041E8" w14:textId="7F709F35" w:rsidR="007246FB" w:rsidRPr="004B030A" w:rsidRDefault="007246FB" w:rsidP="007246FB">
      <w:pPr>
        <w:jc w:val="both"/>
        <w:rPr>
          <w:rFonts w:cstheme="minorHAnsi"/>
          <w:sz w:val="22"/>
          <w:szCs w:val="22"/>
        </w:rPr>
      </w:pPr>
      <w:r w:rsidRPr="004B030A">
        <w:rPr>
          <w:rFonts w:cstheme="minorHAnsi"/>
          <w:sz w:val="22"/>
          <w:szCs w:val="22"/>
        </w:rPr>
        <w:t xml:space="preserve">There are more than 100 non-international and international armed conflicts taking place around the world today and a record 339 million people in need of humanitarian assistance and protection, more than double the number ten years ago. </w:t>
      </w:r>
      <w:r w:rsidR="00735B29" w:rsidRPr="004B030A">
        <w:rPr>
          <w:rFonts w:cstheme="minorHAnsi"/>
          <w:sz w:val="22"/>
          <w:szCs w:val="22"/>
        </w:rPr>
        <w:t>The operations of a significant number of investment-intensive industries</w:t>
      </w:r>
      <w:r w:rsidR="00735B29" w:rsidRPr="004B030A">
        <w:rPr>
          <w:rFonts w:cstheme="minorHAnsi"/>
          <w:sz w:val="22"/>
          <w:szCs w:val="22"/>
        </w:rPr>
        <w:t>,</w:t>
      </w:r>
      <w:r w:rsidR="00735B29" w:rsidRPr="004B030A">
        <w:rPr>
          <w:rFonts w:cstheme="minorHAnsi"/>
          <w:sz w:val="22"/>
          <w:szCs w:val="22"/>
        </w:rPr>
        <w:t xml:space="preserve"> such as the extractive and technological sectors</w:t>
      </w:r>
      <w:r w:rsidR="008A08D5" w:rsidRPr="004B030A">
        <w:rPr>
          <w:rFonts w:cstheme="minorHAnsi"/>
          <w:sz w:val="22"/>
          <w:szCs w:val="22"/>
        </w:rPr>
        <w:t xml:space="preserve">, </w:t>
      </w:r>
      <w:r w:rsidR="00735B29" w:rsidRPr="004B030A">
        <w:rPr>
          <w:rFonts w:cstheme="minorHAnsi"/>
          <w:sz w:val="22"/>
          <w:szCs w:val="22"/>
        </w:rPr>
        <w:t>are conducted in conflict-affected areas or directly contribute to armed conflict dynamics</w:t>
      </w:r>
      <w:r w:rsidR="00735B29" w:rsidRPr="004B030A">
        <w:rPr>
          <w:rFonts w:cstheme="minorHAnsi"/>
          <w:sz w:val="22"/>
          <w:szCs w:val="22"/>
        </w:rPr>
        <w:t>.</w:t>
      </w:r>
      <w:r w:rsidR="00AD2CD8">
        <w:rPr>
          <w:rFonts w:cstheme="minorHAnsi"/>
          <w:sz w:val="22"/>
          <w:szCs w:val="22"/>
        </w:rPr>
        <w:t xml:space="preserve"> </w:t>
      </w:r>
      <w:r w:rsidR="00735B29" w:rsidRPr="004B030A">
        <w:rPr>
          <w:rFonts w:cstheme="minorHAnsi"/>
          <w:sz w:val="22"/>
          <w:szCs w:val="22"/>
        </w:rPr>
        <w:t xml:space="preserve">It </w:t>
      </w:r>
      <w:r w:rsidRPr="004B030A">
        <w:rPr>
          <w:rFonts w:cstheme="minorHAnsi"/>
          <w:sz w:val="22"/>
          <w:szCs w:val="22"/>
        </w:rPr>
        <w:t>has therefore become increasingly common for businesses, their investors, supply chains, partners, and customers to encounter these contexts, and evermore pressing to be able to identify and avoid or mitigate the risks that accompany these environments.</w:t>
      </w:r>
    </w:p>
    <w:p w14:paraId="30BD36C7" w14:textId="77777777" w:rsidR="007246FB" w:rsidRPr="004B030A" w:rsidRDefault="007246FB" w:rsidP="007246FB">
      <w:pPr>
        <w:autoSpaceDE w:val="0"/>
        <w:autoSpaceDN w:val="0"/>
        <w:adjustRightInd w:val="0"/>
        <w:snapToGrid w:val="0"/>
        <w:jc w:val="both"/>
        <w:rPr>
          <w:rFonts w:cstheme="minorHAnsi"/>
          <w:sz w:val="22"/>
          <w:szCs w:val="22"/>
        </w:rPr>
      </w:pPr>
    </w:p>
    <w:p w14:paraId="65EB2D6F" w14:textId="6591842E" w:rsidR="007246FB" w:rsidRPr="004B030A" w:rsidRDefault="007246FB" w:rsidP="007246FB">
      <w:pPr>
        <w:jc w:val="both"/>
        <w:rPr>
          <w:rFonts w:cstheme="minorHAnsi"/>
          <w:sz w:val="22"/>
          <w:szCs w:val="22"/>
        </w:rPr>
      </w:pPr>
      <w:r w:rsidRPr="004B030A">
        <w:rPr>
          <w:rFonts w:cstheme="minorHAnsi"/>
          <w:sz w:val="22"/>
          <w:szCs w:val="22"/>
        </w:rPr>
        <w:t>Businesses can – and frequently do – have a negative impact on conflict, including sparking or intensifying conflict. Furthermore, it is widely acknowledged that the most egregious human rights abuses occur in conflict-affected areas. Beyond this heightened risk of human rights abuses, private actors also risk</w:t>
      </w:r>
      <w:r w:rsidR="00586DAB" w:rsidRPr="004B030A">
        <w:rPr>
          <w:rFonts w:cstheme="minorHAnsi"/>
          <w:sz w:val="22"/>
          <w:szCs w:val="22"/>
        </w:rPr>
        <w:t xml:space="preserve"> perpetrating or b</w:t>
      </w:r>
      <w:r w:rsidRPr="004B030A">
        <w:rPr>
          <w:rFonts w:cstheme="minorHAnsi"/>
          <w:sz w:val="22"/>
          <w:szCs w:val="22"/>
        </w:rPr>
        <w:t>eing complicit in</w:t>
      </w:r>
      <w:r w:rsidR="00586DAB" w:rsidRPr="004B030A">
        <w:rPr>
          <w:rFonts w:cstheme="minorHAnsi"/>
          <w:sz w:val="22"/>
          <w:szCs w:val="22"/>
        </w:rPr>
        <w:t xml:space="preserve"> </w:t>
      </w:r>
      <w:r w:rsidRPr="004B030A">
        <w:rPr>
          <w:rFonts w:cstheme="minorHAnsi"/>
          <w:sz w:val="22"/>
          <w:szCs w:val="22"/>
        </w:rPr>
        <w:t xml:space="preserve">serious violations of IHL, including war crimes, on account of IHL being triggered once a situation of armed conflict arises. </w:t>
      </w:r>
      <w:r w:rsidR="00E97879" w:rsidRPr="004B030A">
        <w:rPr>
          <w:rFonts w:cstheme="minorHAnsi"/>
          <w:sz w:val="22"/>
          <w:szCs w:val="22"/>
        </w:rPr>
        <w:t xml:space="preserve">This is because </w:t>
      </w:r>
      <w:r w:rsidR="00ED6EB3" w:rsidRPr="004B030A">
        <w:rPr>
          <w:rFonts w:cstheme="minorHAnsi"/>
          <w:sz w:val="22"/>
          <w:szCs w:val="22"/>
        </w:rPr>
        <w:t xml:space="preserve">IHL does not just bind States, organised armed groups and soldiers, </w:t>
      </w:r>
      <w:r w:rsidR="00E97879" w:rsidRPr="004B030A">
        <w:rPr>
          <w:rFonts w:cstheme="minorHAnsi"/>
          <w:sz w:val="22"/>
          <w:szCs w:val="22"/>
        </w:rPr>
        <w:t xml:space="preserve">but </w:t>
      </w:r>
      <w:r w:rsidR="00ED6EB3" w:rsidRPr="004B030A">
        <w:rPr>
          <w:rFonts w:cstheme="minorHAnsi"/>
          <w:sz w:val="22"/>
          <w:szCs w:val="22"/>
        </w:rPr>
        <w:t xml:space="preserve">it </w:t>
      </w:r>
      <w:r w:rsidR="002F1477" w:rsidRPr="004B030A">
        <w:rPr>
          <w:rFonts w:cstheme="minorHAnsi"/>
          <w:sz w:val="22"/>
          <w:szCs w:val="22"/>
        </w:rPr>
        <w:t xml:space="preserve">also </w:t>
      </w:r>
      <w:r w:rsidR="00ED6EB3" w:rsidRPr="004B030A">
        <w:rPr>
          <w:rFonts w:cstheme="minorHAnsi"/>
          <w:sz w:val="22"/>
          <w:szCs w:val="22"/>
        </w:rPr>
        <w:t xml:space="preserve">binds </w:t>
      </w:r>
      <w:r w:rsidR="002F1477" w:rsidRPr="004B030A">
        <w:rPr>
          <w:rFonts w:cstheme="minorHAnsi"/>
          <w:sz w:val="22"/>
          <w:szCs w:val="22"/>
        </w:rPr>
        <w:t xml:space="preserve">any </w:t>
      </w:r>
      <w:r w:rsidR="00ED6EB3" w:rsidRPr="004B030A">
        <w:rPr>
          <w:rFonts w:cstheme="minorHAnsi"/>
          <w:sz w:val="22"/>
          <w:szCs w:val="22"/>
        </w:rPr>
        <w:t xml:space="preserve">actor whose activities are closely linked to an armed conflict. Consequently, although States and organised armed groups bear the greatest responsibility for implementing IHL, a business carrying out activities that are closely linked to an armed conflict must also respect applicable rules of IHL. </w:t>
      </w:r>
      <w:r w:rsidRPr="004B030A">
        <w:rPr>
          <w:rFonts w:cstheme="minorHAnsi"/>
          <w:sz w:val="22"/>
          <w:szCs w:val="22"/>
        </w:rPr>
        <w:t xml:space="preserve">This </w:t>
      </w:r>
      <w:r w:rsidR="002F1477" w:rsidRPr="004B030A">
        <w:rPr>
          <w:rFonts w:cstheme="minorHAnsi"/>
          <w:sz w:val="22"/>
          <w:szCs w:val="22"/>
        </w:rPr>
        <w:t xml:space="preserve">gives rise to </w:t>
      </w:r>
      <w:r w:rsidRPr="004B030A">
        <w:rPr>
          <w:rFonts w:cstheme="minorHAnsi"/>
          <w:sz w:val="22"/>
          <w:szCs w:val="22"/>
        </w:rPr>
        <w:t xml:space="preserve">unique </w:t>
      </w:r>
      <w:r w:rsidR="002F1477" w:rsidRPr="004B030A">
        <w:rPr>
          <w:rFonts w:cstheme="minorHAnsi"/>
          <w:sz w:val="22"/>
          <w:szCs w:val="22"/>
        </w:rPr>
        <w:t>risks</w:t>
      </w:r>
      <w:r w:rsidRPr="004B030A">
        <w:rPr>
          <w:rFonts w:cstheme="minorHAnsi"/>
          <w:sz w:val="22"/>
          <w:szCs w:val="22"/>
        </w:rPr>
        <w:t>, distinct from more commonly understood human rights-related risks. For example:</w:t>
      </w:r>
    </w:p>
    <w:p w14:paraId="0A3ADD8F" w14:textId="77777777" w:rsidR="007246FB" w:rsidRPr="004B030A" w:rsidRDefault="007246FB" w:rsidP="007246FB">
      <w:pPr>
        <w:jc w:val="both"/>
        <w:rPr>
          <w:rFonts w:cstheme="minorHAnsi"/>
          <w:sz w:val="22"/>
          <w:szCs w:val="22"/>
        </w:rPr>
      </w:pPr>
    </w:p>
    <w:p w14:paraId="0F526F73" w14:textId="1A5BCD08" w:rsidR="007246FB" w:rsidRPr="004B030A" w:rsidRDefault="007246FB" w:rsidP="007246FB">
      <w:pPr>
        <w:pStyle w:val="ListParagraph"/>
        <w:numPr>
          <w:ilvl w:val="0"/>
          <w:numId w:val="28"/>
        </w:numPr>
        <w:jc w:val="both"/>
        <w:rPr>
          <w:rFonts w:cstheme="minorHAnsi"/>
          <w:sz w:val="22"/>
          <w:szCs w:val="22"/>
        </w:rPr>
      </w:pPr>
      <w:r w:rsidRPr="004B030A">
        <w:rPr>
          <w:rFonts w:cstheme="minorHAnsi"/>
          <w:sz w:val="22"/>
          <w:szCs w:val="22"/>
        </w:rPr>
        <w:t xml:space="preserve">Committing or being complicit in </w:t>
      </w:r>
      <w:r w:rsidRPr="004B030A">
        <w:rPr>
          <w:rFonts w:cstheme="minorHAnsi"/>
          <w:b/>
          <w:bCs/>
          <w:sz w:val="22"/>
          <w:szCs w:val="22"/>
        </w:rPr>
        <w:t>pillage</w:t>
      </w:r>
      <w:r w:rsidRPr="004B030A">
        <w:rPr>
          <w:rFonts w:cstheme="minorHAnsi"/>
          <w:sz w:val="22"/>
          <w:szCs w:val="22"/>
        </w:rPr>
        <w:t xml:space="preserve">, that is, acquiring property </w:t>
      </w:r>
      <w:r w:rsidR="00417787" w:rsidRPr="004B030A">
        <w:rPr>
          <w:rFonts w:cstheme="minorHAnsi"/>
          <w:sz w:val="22"/>
          <w:szCs w:val="22"/>
        </w:rPr>
        <w:t xml:space="preserve">(including transfer of company shares) </w:t>
      </w:r>
      <w:r w:rsidRPr="004B030A">
        <w:rPr>
          <w:rFonts w:cstheme="minorHAnsi"/>
          <w:sz w:val="22"/>
          <w:szCs w:val="22"/>
        </w:rPr>
        <w:t xml:space="preserve">or natural resources without the freely given consent of the </w:t>
      </w:r>
      <w:proofErr w:type="gramStart"/>
      <w:r w:rsidRPr="004B030A">
        <w:rPr>
          <w:rFonts w:cstheme="minorHAnsi"/>
          <w:sz w:val="22"/>
          <w:szCs w:val="22"/>
        </w:rPr>
        <w:t>owner;</w:t>
      </w:r>
      <w:proofErr w:type="gramEnd"/>
    </w:p>
    <w:p w14:paraId="688A409A" w14:textId="77777777" w:rsidR="007246FB" w:rsidRPr="004B030A" w:rsidRDefault="007246FB" w:rsidP="007246FB">
      <w:pPr>
        <w:pStyle w:val="ListParagraph"/>
        <w:numPr>
          <w:ilvl w:val="0"/>
          <w:numId w:val="28"/>
        </w:numPr>
        <w:jc w:val="both"/>
        <w:rPr>
          <w:rFonts w:cstheme="minorHAnsi"/>
          <w:sz w:val="22"/>
          <w:szCs w:val="22"/>
        </w:rPr>
      </w:pPr>
      <w:r w:rsidRPr="004B030A">
        <w:rPr>
          <w:rFonts w:cstheme="minorHAnsi"/>
          <w:sz w:val="22"/>
          <w:szCs w:val="22"/>
        </w:rPr>
        <w:t xml:space="preserve">Criminal liability risks relating to </w:t>
      </w:r>
      <w:r w:rsidRPr="004B030A">
        <w:rPr>
          <w:rFonts w:cstheme="minorHAnsi"/>
          <w:b/>
          <w:bCs/>
          <w:sz w:val="22"/>
          <w:szCs w:val="22"/>
        </w:rPr>
        <w:t>military occupation</w:t>
      </w:r>
      <w:r w:rsidRPr="004B030A">
        <w:rPr>
          <w:rFonts w:cstheme="minorHAnsi"/>
          <w:sz w:val="22"/>
          <w:szCs w:val="22"/>
        </w:rPr>
        <w:t xml:space="preserve">, for example involvement, participation or assistance in settling civilians in occupied territories, and maintaining or developing </w:t>
      </w:r>
      <w:proofErr w:type="gramStart"/>
      <w:r w:rsidRPr="004B030A">
        <w:rPr>
          <w:rFonts w:cstheme="minorHAnsi"/>
          <w:sz w:val="22"/>
          <w:szCs w:val="22"/>
        </w:rPr>
        <w:t>settlements;</w:t>
      </w:r>
      <w:proofErr w:type="gramEnd"/>
    </w:p>
    <w:p w14:paraId="310C0897" w14:textId="394E8580" w:rsidR="00417787" w:rsidRPr="004B030A" w:rsidRDefault="00417787" w:rsidP="007246FB">
      <w:pPr>
        <w:pStyle w:val="ListParagraph"/>
        <w:numPr>
          <w:ilvl w:val="0"/>
          <w:numId w:val="28"/>
        </w:numPr>
        <w:jc w:val="both"/>
        <w:rPr>
          <w:rFonts w:cstheme="minorHAnsi"/>
          <w:sz w:val="22"/>
          <w:szCs w:val="22"/>
        </w:rPr>
      </w:pPr>
      <w:r w:rsidRPr="004B030A">
        <w:rPr>
          <w:rFonts w:cstheme="minorHAnsi"/>
          <w:sz w:val="22"/>
          <w:szCs w:val="22"/>
        </w:rPr>
        <w:t>Being complicit in</w:t>
      </w:r>
      <w:r w:rsidRPr="004B030A">
        <w:rPr>
          <w:rFonts w:cstheme="minorHAnsi"/>
          <w:sz w:val="22"/>
          <w:szCs w:val="22"/>
        </w:rPr>
        <w:t xml:space="preserve">, </w:t>
      </w:r>
      <w:r w:rsidRPr="004B030A">
        <w:rPr>
          <w:rFonts w:cstheme="minorHAnsi"/>
          <w:sz w:val="22"/>
          <w:szCs w:val="22"/>
        </w:rPr>
        <w:t xml:space="preserve">allowing or facilitating the dissemination of </w:t>
      </w:r>
      <w:r w:rsidRPr="004B030A">
        <w:rPr>
          <w:rFonts w:cstheme="minorHAnsi"/>
          <w:b/>
          <w:bCs/>
          <w:sz w:val="22"/>
          <w:szCs w:val="22"/>
        </w:rPr>
        <w:t>misinformation, disinformation and hate speech</w:t>
      </w:r>
      <w:r w:rsidRPr="004B030A">
        <w:rPr>
          <w:rFonts w:cstheme="minorHAnsi"/>
          <w:sz w:val="22"/>
          <w:szCs w:val="22"/>
        </w:rPr>
        <w:t xml:space="preserve"> leading to serious violations of </w:t>
      </w:r>
      <w:proofErr w:type="gramStart"/>
      <w:r w:rsidRPr="004B030A">
        <w:rPr>
          <w:rFonts w:cstheme="minorHAnsi"/>
          <w:sz w:val="22"/>
          <w:szCs w:val="22"/>
        </w:rPr>
        <w:t>IHL</w:t>
      </w:r>
      <w:r w:rsidRPr="004B030A">
        <w:rPr>
          <w:rFonts w:cstheme="minorHAnsi"/>
          <w:sz w:val="22"/>
          <w:szCs w:val="22"/>
        </w:rPr>
        <w:t>;</w:t>
      </w:r>
      <w:proofErr w:type="gramEnd"/>
    </w:p>
    <w:p w14:paraId="1ADD4C22" w14:textId="4BDB9561" w:rsidR="007246FB" w:rsidRPr="004B030A" w:rsidRDefault="007246FB" w:rsidP="007246FB">
      <w:pPr>
        <w:pStyle w:val="ListParagraph"/>
        <w:numPr>
          <w:ilvl w:val="0"/>
          <w:numId w:val="28"/>
        </w:numPr>
        <w:jc w:val="both"/>
        <w:rPr>
          <w:rFonts w:cstheme="minorHAnsi"/>
          <w:sz w:val="22"/>
          <w:szCs w:val="22"/>
        </w:rPr>
      </w:pPr>
      <w:r w:rsidRPr="004B030A">
        <w:rPr>
          <w:rFonts w:cstheme="minorHAnsi"/>
          <w:sz w:val="22"/>
          <w:szCs w:val="22"/>
        </w:rPr>
        <w:t xml:space="preserve">Committing or being complicit in the </w:t>
      </w:r>
      <w:r w:rsidRPr="004B030A">
        <w:rPr>
          <w:rFonts w:cstheme="minorHAnsi"/>
          <w:b/>
          <w:bCs/>
          <w:sz w:val="22"/>
          <w:szCs w:val="22"/>
        </w:rPr>
        <w:t>forced displacement</w:t>
      </w:r>
      <w:r w:rsidRPr="004B030A">
        <w:rPr>
          <w:rFonts w:cstheme="minorHAnsi"/>
          <w:sz w:val="22"/>
          <w:szCs w:val="22"/>
        </w:rPr>
        <w:t xml:space="preserve"> </w:t>
      </w:r>
      <w:r w:rsidRPr="004B030A">
        <w:rPr>
          <w:rFonts w:cstheme="minorHAnsi"/>
          <w:b/>
          <w:bCs/>
          <w:sz w:val="22"/>
          <w:szCs w:val="22"/>
        </w:rPr>
        <w:t>of</w:t>
      </w:r>
      <w:r w:rsidRPr="004B030A">
        <w:rPr>
          <w:rFonts w:cstheme="minorHAnsi"/>
          <w:sz w:val="22"/>
          <w:szCs w:val="22"/>
        </w:rPr>
        <w:t xml:space="preserve">, </w:t>
      </w:r>
      <w:r w:rsidRPr="004B030A">
        <w:rPr>
          <w:rFonts w:cstheme="minorHAnsi"/>
          <w:b/>
          <w:bCs/>
          <w:sz w:val="22"/>
          <w:szCs w:val="22"/>
        </w:rPr>
        <w:t>or attacks on, civilians</w:t>
      </w:r>
      <w:r w:rsidRPr="004B030A">
        <w:rPr>
          <w:rFonts w:cstheme="minorHAnsi"/>
          <w:sz w:val="22"/>
          <w:szCs w:val="22"/>
        </w:rPr>
        <w:t xml:space="preserve"> </w:t>
      </w:r>
      <w:r w:rsidR="00966744" w:rsidRPr="004B030A">
        <w:rPr>
          <w:rFonts w:cstheme="minorHAnsi"/>
          <w:sz w:val="22"/>
          <w:szCs w:val="22"/>
        </w:rPr>
        <w:t>with the support or acceptance of State forces or non-State armed groups in circumstances linked to the armed conflict; and</w:t>
      </w:r>
    </w:p>
    <w:p w14:paraId="36BE7551" w14:textId="77777777" w:rsidR="007246FB" w:rsidRPr="004B030A" w:rsidRDefault="007246FB" w:rsidP="007246FB">
      <w:pPr>
        <w:pStyle w:val="ListParagraph"/>
        <w:numPr>
          <w:ilvl w:val="0"/>
          <w:numId w:val="28"/>
        </w:numPr>
        <w:jc w:val="both"/>
        <w:rPr>
          <w:rFonts w:cstheme="minorHAnsi"/>
          <w:sz w:val="22"/>
          <w:szCs w:val="22"/>
        </w:rPr>
      </w:pPr>
      <w:r w:rsidRPr="004B030A">
        <w:rPr>
          <w:rFonts w:cstheme="minorHAnsi"/>
          <w:sz w:val="22"/>
          <w:szCs w:val="22"/>
        </w:rPr>
        <w:lastRenderedPageBreak/>
        <w:t xml:space="preserve">Losing the </w:t>
      </w:r>
      <w:r w:rsidRPr="004B030A">
        <w:rPr>
          <w:rFonts w:cstheme="minorHAnsi"/>
          <w:b/>
          <w:bCs/>
          <w:sz w:val="22"/>
          <w:szCs w:val="22"/>
        </w:rPr>
        <w:t xml:space="preserve">protected civilian status </w:t>
      </w:r>
      <w:r w:rsidRPr="004B030A">
        <w:rPr>
          <w:rFonts w:cstheme="minorHAnsi"/>
          <w:sz w:val="22"/>
          <w:szCs w:val="22"/>
        </w:rPr>
        <w:t xml:space="preserve">afforded to businesses by failing to carefully manage their operations, personnel and connections to the ongoing armed conflict, thus becoming a </w:t>
      </w:r>
      <w:r w:rsidRPr="004B030A">
        <w:rPr>
          <w:rFonts w:cstheme="minorHAnsi"/>
          <w:b/>
          <w:bCs/>
          <w:sz w:val="22"/>
          <w:szCs w:val="22"/>
        </w:rPr>
        <w:t xml:space="preserve">potential military objective </w:t>
      </w:r>
      <w:r w:rsidRPr="004B030A">
        <w:rPr>
          <w:rFonts w:cstheme="minorHAnsi"/>
          <w:sz w:val="22"/>
          <w:szCs w:val="22"/>
        </w:rPr>
        <w:t xml:space="preserve">(for instance, when company security providers engage in hostilities). </w:t>
      </w:r>
    </w:p>
    <w:p w14:paraId="43A76A69" w14:textId="77777777" w:rsidR="007246FB" w:rsidRPr="004B030A" w:rsidRDefault="007246FB" w:rsidP="007246FB">
      <w:pPr>
        <w:autoSpaceDE w:val="0"/>
        <w:autoSpaceDN w:val="0"/>
        <w:adjustRightInd w:val="0"/>
        <w:snapToGrid w:val="0"/>
        <w:jc w:val="both"/>
        <w:rPr>
          <w:rFonts w:cstheme="minorHAnsi"/>
          <w:sz w:val="22"/>
          <w:szCs w:val="22"/>
        </w:rPr>
      </w:pPr>
    </w:p>
    <w:p w14:paraId="08AA0AA6" w14:textId="77777777" w:rsidR="007246FB" w:rsidRPr="004B030A" w:rsidRDefault="007246FB" w:rsidP="007246FB">
      <w:pPr>
        <w:autoSpaceDE w:val="0"/>
        <w:autoSpaceDN w:val="0"/>
        <w:adjustRightInd w:val="0"/>
        <w:snapToGrid w:val="0"/>
        <w:jc w:val="both"/>
        <w:rPr>
          <w:rFonts w:cstheme="minorHAnsi"/>
          <w:sz w:val="22"/>
          <w:szCs w:val="22"/>
        </w:rPr>
      </w:pPr>
      <w:r w:rsidRPr="004B030A">
        <w:rPr>
          <w:rFonts w:cstheme="minorHAnsi"/>
          <w:sz w:val="22"/>
          <w:szCs w:val="22"/>
        </w:rPr>
        <w:t>Considering these complex and multifaceted risks, it is imperative for investors not only to understand the potential implications of financing activities and operations in conflict-affected areas, but also to adopt robust risk mitigation and ethical conduct strategies that align with IHL.</w:t>
      </w:r>
    </w:p>
    <w:p w14:paraId="2F40FD1F" w14:textId="77777777" w:rsidR="007246FB" w:rsidRPr="004B030A" w:rsidRDefault="007246FB" w:rsidP="005835D4">
      <w:pPr>
        <w:jc w:val="both"/>
        <w:rPr>
          <w:rFonts w:cstheme="minorHAnsi"/>
          <w:b/>
          <w:bCs/>
          <w:sz w:val="22"/>
          <w:szCs w:val="22"/>
        </w:rPr>
      </w:pPr>
    </w:p>
    <w:p w14:paraId="60CF8B5B" w14:textId="2734B789" w:rsidR="00CA0B8F" w:rsidRPr="004B030A" w:rsidRDefault="00D277D0" w:rsidP="005D0D66">
      <w:pPr>
        <w:jc w:val="both"/>
        <w:rPr>
          <w:rFonts w:cstheme="minorHAnsi"/>
          <w:b/>
          <w:bCs/>
          <w:sz w:val="22"/>
          <w:szCs w:val="22"/>
        </w:rPr>
      </w:pPr>
      <w:r w:rsidRPr="004B030A">
        <w:rPr>
          <w:rFonts w:cstheme="minorHAnsi"/>
          <w:b/>
          <w:bCs/>
          <w:sz w:val="22"/>
          <w:szCs w:val="22"/>
        </w:rPr>
        <w:t>Investors’ current engagement with IHL and conflict sensitivity</w:t>
      </w:r>
    </w:p>
    <w:p w14:paraId="11B3B68B" w14:textId="0324911E" w:rsidR="006579BC" w:rsidRPr="004B030A" w:rsidRDefault="00D157D8" w:rsidP="005D0D66">
      <w:pPr>
        <w:autoSpaceDE w:val="0"/>
        <w:autoSpaceDN w:val="0"/>
        <w:adjustRightInd w:val="0"/>
        <w:snapToGrid w:val="0"/>
        <w:jc w:val="both"/>
        <w:rPr>
          <w:rFonts w:cstheme="minorHAnsi"/>
          <w:sz w:val="22"/>
          <w:szCs w:val="22"/>
          <w:lang w:val="en-US"/>
        </w:rPr>
      </w:pPr>
      <w:r w:rsidRPr="004B030A">
        <w:rPr>
          <w:rFonts w:cstheme="minorHAnsi"/>
          <w:sz w:val="22"/>
          <w:szCs w:val="22"/>
        </w:rPr>
        <w:t>In 2022, Australian Red Cross engaged Deloitte Australia to undertake a review of the extent to which the financial sector incorporates IHL and conflict-related considerations in investment and operational decision-making.</w:t>
      </w:r>
      <w:r w:rsidR="000C47DC" w:rsidRPr="004B030A">
        <w:rPr>
          <w:rStyle w:val="FootnoteReference"/>
          <w:rFonts w:cstheme="minorHAnsi"/>
          <w:sz w:val="22"/>
          <w:szCs w:val="22"/>
        </w:rPr>
        <w:footnoteReference w:id="4"/>
      </w:r>
      <w:r w:rsidRPr="004B030A">
        <w:rPr>
          <w:rFonts w:cstheme="minorHAnsi"/>
          <w:sz w:val="22"/>
          <w:szCs w:val="22"/>
        </w:rPr>
        <w:t> </w:t>
      </w:r>
      <w:r w:rsidR="00A02632" w:rsidRPr="004B030A">
        <w:rPr>
          <w:rFonts w:cstheme="minorHAnsi"/>
          <w:sz w:val="22"/>
          <w:szCs w:val="22"/>
        </w:rPr>
        <w:t xml:space="preserve">The </w:t>
      </w:r>
      <w:r w:rsidR="00AD365C" w:rsidRPr="004B030A">
        <w:rPr>
          <w:rFonts w:cstheme="minorHAnsi"/>
          <w:sz w:val="22"/>
          <w:szCs w:val="22"/>
        </w:rPr>
        <w:t xml:space="preserve">review was limited to Australian institutions, so the findings aren’t necessarily indicative of </w:t>
      </w:r>
      <w:r w:rsidR="000A793B" w:rsidRPr="004B030A">
        <w:rPr>
          <w:rFonts w:cstheme="minorHAnsi"/>
          <w:sz w:val="22"/>
          <w:szCs w:val="22"/>
        </w:rPr>
        <w:t xml:space="preserve">the </w:t>
      </w:r>
      <w:r w:rsidR="00AD365C" w:rsidRPr="004B030A">
        <w:rPr>
          <w:rFonts w:cstheme="minorHAnsi"/>
          <w:sz w:val="22"/>
          <w:szCs w:val="22"/>
        </w:rPr>
        <w:t>global</w:t>
      </w:r>
      <w:r w:rsidR="00481454" w:rsidRPr="004B030A">
        <w:rPr>
          <w:rFonts w:cstheme="minorHAnsi"/>
          <w:sz w:val="22"/>
          <w:szCs w:val="22"/>
        </w:rPr>
        <w:t xml:space="preserve"> </w:t>
      </w:r>
      <w:r w:rsidR="000A793B" w:rsidRPr="004B030A">
        <w:rPr>
          <w:rFonts w:cstheme="minorHAnsi"/>
          <w:sz w:val="22"/>
          <w:szCs w:val="22"/>
        </w:rPr>
        <w:t>context</w:t>
      </w:r>
      <w:r w:rsidR="003E02B0" w:rsidRPr="004B030A">
        <w:rPr>
          <w:rFonts w:cstheme="minorHAnsi"/>
          <w:sz w:val="22"/>
          <w:szCs w:val="22"/>
        </w:rPr>
        <w:t xml:space="preserve">, but it does </w:t>
      </w:r>
      <w:r w:rsidR="001153C5" w:rsidRPr="004B030A">
        <w:rPr>
          <w:rFonts w:cstheme="minorHAnsi"/>
          <w:sz w:val="22"/>
          <w:szCs w:val="22"/>
        </w:rPr>
        <w:t xml:space="preserve">offer valuable </w:t>
      </w:r>
      <w:r w:rsidR="003E02B0" w:rsidRPr="004B030A">
        <w:rPr>
          <w:rFonts w:cstheme="minorHAnsi"/>
          <w:sz w:val="22"/>
          <w:szCs w:val="22"/>
        </w:rPr>
        <w:t xml:space="preserve">insight </w:t>
      </w:r>
      <w:r w:rsidR="001153C5" w:rsidRPr="004B030A">
        <w:rPr>
          <w:rFonts w:cstheme="minorHAnsi"/>
          <w:sz w:val="22"/>
          <w:szCs w:val="22"/>
        </w:rPr>
        <w:t xml:space="preserve">into the </w:t>
      </w:r>
      <w:r w:rsidR="000C47DC" w:rsidRPr="004B030A">
        <w:rPr>
          <w:rFonts w:cstheme="minorHAnsi"/>
          <w:sz w:val="22"/>
          <w:szCs w:val="22"/>
        </w:rPr>
        <w:t>general</w:t>
      </w:r>
      <w:r w:rsidR="001153C5" w:rsidRPr="004B030A">
        <w:rPr>
          <w:rFonts w:cstheme="minorHAnsi"/>
          <w:sz w:val="22"/>
          <w:szCs w:val="22"/>
        </w:rPr>
        <w:t xml:space="preserve"> state of </w:t>
      </w:r>
      <w:r w:rsidR="000C47DC" w:rsidRPr="004B030A">
        <w:rPr>
          <w:rFonts w:cstheme="minorHAnsi"/>
          <w:sz w:val="22"/>
          <w:szCs w:val="22"/>
        </w:rPr>
        <w:t xml:space="preserve">IHL and conflict awareness in the finance </w:t>
      </w:r>
      <w:r w:rsidR="000C47DC" w:rsidRPr="004B030A">
        <w:rPr>
          <w:rFonts w:ascii="CalibriLight" w:eastAsia="Times New Roman" w:hAnsi="CalibriLight" w:cs="CalibriLight"/>
          <w:color w:val="000000"/>
          <w:sz w:val="22"/>
          <w:szCs w:val="22"/>
          <w:lang w:val="en-US"/>
        </w:rPr>
        <w:t>sector.</w:t>
      </w:r>
      <w:r w:rsidR="00F93A36" w:rsidRPr="004B030A">
        <w:rPr>
          <w:rFonts w:ascii="CalibriLight" w:eastAsia="Times New Roman" w:hAnsi="CalibriLight" w:cs="CalibriLight"/>
          <w:color w:val="000000"/>
          <w:sz w:val="22"/>
          <w:szCs w:val="22"/>
          <w:lang w:val="en-US"/>
        </w:rPr>
        <w:t xml:space="preserve"> In addition, </w:t>
      </w:r>
      <w:r w:rsidR="004405B3" w:rsidRPr="004B030A">
        <w:rPr>
          <w:rFonts w:ascii="CalibriLight" w:eastAsia="Times New Roman" w:hAnsi="CalibriLight" w:cs="CalibriLight"/>
          <w:color w:val="000000"/>
          <w:sz w:val="22"/>
          <w:szCs w:val="22"/>
          <w:lang w:val="en-US"/>
        </w:rPr>
        <w:t xml:space="preserve">the report indicates that </w:t>
      </w:r>
      <w:r w:rsidR="00F93A36" w:rsidRPr="004B030A">
        <w:rPr>
          <w:rFonts w:ascii="CalibriLight" w:eastAsia="Times New Roman" w:hAnsi="CalibriLight" w:cs="CalibriLight"/>
          <w:color w:val="000000"/>
          <w:sz w:val="22"/>
          <w:szCs w:val="22"/>
          <w:lang w:val="en-US"/>
        </w:rPr>
        <w:t xml:space="preserve">consultations with non-Australian stakeholders </w:t>
      </w:r>
      <w:r w:rsidR="00D8123C" w:rsidRPr="004B030A">
        <w:rPr>
          <w:rFonts w:ascii="CalibriLight" w:eastAsia="Times New Roman" w:hAnsi="CalibriLight" w:cs="CalibriLight"/>
          <w:color w:val="000000"/>
          <w:sz w:val="22"/>
          <w:szCs w:val="22"/>
          <w:lang w:val="en-US"/>
        </w:rPr>
        <w:t>suggest</w:t>
      </w:r>
      <w:r w:rsidR="00AA3B01" w:rsidRPr="004B030A">
        <w:rPr>
          <w:rFonts w:ascii="CalibriLight" w:eastAsia="Times New Roman" w:hAnsi="CalibriLight" w:cs="CalibriLight"/>
          <w:color w:val="000000"/>
          <w:sz w:val="22"/>
          <w:szCs w:val="22"/>
          <w:lang w:val="en-US"/>
        </w:rPr>
        <w:t>ed</w:t>
      </w:r>
      <w:r w:rsidR="004405B3" w:rsidRPr="004B030A">
        <w:rPr>
          <w:rFonts w:ascii="CalibriLight" w:eastAsia="Times New Roman" w:hAnsi="CalibriLight" w:cs="CalibriLight"/>
          <w:color w:val="000000"/>
          <w:sz w:val="22"/>
          <w:szCs w:val="22"/>
          <w:lang w:val="en-US"/>
        </w:rPr>
        <w:t xml:space="preserve"> </w:t>
      </w:r>
      <w:r w:rsidR="00AD4FDA" w:rsidRPr="004B030A">
        <w:rPr>
          <w:rFonts w:ascii="CalibriLight" w:eastAsia="Times New Roman" w:hAnsi="CalibriLight" w:cs="CalibriLight"/>
          <w:color w:val="000000"/>
          <w:sz w:val="22"/>
          <w:szCs w:val="22"/>
          <w:lang w:val="en-US"/>
        </w:rPr>
        <w:t xml:space="preserve">that </w:t>
      </w:r>
      <w:r w:rsidR="006061F9" w:rsidRPr="004B030A">
        <w:rPr>
          <w:rFonts w:ascii="CalibriLight" w:eastAsia="Times New Roman" w:hAnsi="CalibriLight" w:cs="CalibriLight"/>
          <w:color w:val="000000"/>
          <w:sz w:val="22"/>
          <w:szCs w:val="22"/>
          <w:lang w:val="en-US"/>
        </w:rPr>
        <w:t xml:space="preserve">Australian </w:t>
      </w:r>
      <w:r w:rsidR="00AA3B01" w:rsidRPr="004B030A">
        <w:rPr>
          <w:rFonts w:ascii="CalibriLight" w:eastAsia="Times New Roman" w:hAnsi="CalibriLight" w:cs="CalibriLight"/>
          <w:color w:val="000000"/>
          <w:sz w:val="22"/>
          <w:szCs w:val="22"/>
          <w:lang w:val="en-US"/>
        </w:rPr>
        <w:t>investors</w:t>
      </w:r>
      <w:r w:rsidR="006579BC" w:rsidRPr="004B030A">
        <w:rPr>
          <w:rFonts w:ascii="CalibriLight" w:eastAsia="Times New Roman" w:hAnsi="CalibriLight" w:cs="CalibriLight"/>
          <w:color w:val="000000"/>
          <w:sz w:val="22"/>
          <w:szCs w:val="22"/>
          <w:lang w:val="en-US"/>
        </w:rPr>
        <w:t xml:space="preserve"> </w:t>
      </w:r>
      <w:r w:rsidR="006061F9" w:rsidRPr="004B030A">
        <w:rPr>
          <w:rFonts w:ascii="CalibriLight" w:eastAsia="Times New Roman" w:hAnsi="CalibriLight" w:cs="CalibriLight"/>
          <w:color w:val="000000"/>
          <w:sz w:val="22"/>
          <w:szCs w:val="22"/>
          <w:lang w:val="en-US"/>
        </w:rPr>
        <w:t xml:space="preserve">aren’t any less </w:t>
      </w:r>
      <w:r w:rsidR="006579BC" w:rsidRPr="004B030A">
        <w:rPr>
          <w:rFonts w:ascii="CalibriLight" w:eastAsia="Times New Roman" w:hAnsi="CalibriLight" w:cs="CalibriLight"/>
          <w:color w:val="000000"/>
          <w:sz w:val="22"/>
          <w:szCs w:val="22"/>
          <w:lang w:val="en-US"/>
        </w:rPr>
        <w:t xml:space="preserve">mature </w:t>
      </w:r>
      <w:r w:rsidR="006061F9" w:rsidRPr="004B030A">
        <w:rPr>
          <w:rFonts w:ascii="CalibriLight" w:eastAsia="Times New Roman" w:hAnsi="CalibriLight" w:cs="CalibriLight"/>
          <w:color w:val="000000"/>
          <w:sz w:val="22"/>
          <w:szCs w:val="22"/>
          <w:lang w:val="en-US"/>
        </w:rPr>
        <w:t xml:space="preserve">than their European counterparts, </w:t>
      </w:r>
      <w:r w:rsidR="006579BC" w:rsidRPr="004B030A">
        <w:rPr>
          <w:rFonts w:ascii="CalibriLight" w:eastAsia="Times New Roman" w:hAnsi="CalibriLight" w:cs="CalibriLight"/>
          <w:color w:val="000000"/>
          <w:sz w:val="22"/>
          <w:szCs w:val="22"/>
          <w:lang w:val="en-US"/>
        </w:rPr>
        <w:t>in terms of approaches to IHL</w:t>
      </w:r>
      <w:r w:rsidR="006061F9" w:rsidRPr="004B030A">
        <w:rPr>
          <w:rFonts w:ascii="CalibriLight" w:eastAsia="Times New Roman" w:hAnsi="CalibriLight" w:cs="CalibriLight"/>
          <w:color w:val="000000"/>
          <w:sz w:val="22"/>
          <w:szCs w:val="22"/>
          <w:lang w:val="en-US"/>
        </w:rPr>
        <w:t xml:space="preserve"> or conflict</w:t>
      </w:r>
      <w:r w:rsidR="00B07E44" w:rsidRPr="004B030A">
        <w:rPr>
          <w:rFonts w:ascii="CalibriLight" w:eastAsia="Times New Roman" w:hAnsi="CalibriLight" w:cs="CalibriLight"/>
          <w:color w:val="000000"/>
          <w:sz w:val="22"/>
          <w:szCs w:val="22"/>
          <w:lang w:val="en-US"/>
        </w:rPr>
        <w:t xml:space="preserve"> sensitivity</w:t>
      </w:r>
      <w:r w:rsidR="00675BDC" w:rsidRPr="004B030A">
        <w:rPr>
          <w:rFonts w:ascii="CalibriLight" w:eastAsia="Times New Roman" w:hAnsi="CalibriLight" w:cs="CalibriLight"/>
          <w:color w:val="000000"/>
          <w:sz w:val="22"/>
          <w:szCs w:val="22"/>
          <w:lang w:val="en-US"/>
        </w:rPr>
        <w:t xml:space="preserve">, despite </w:t>
      </w:r>
      <w:r w:rsidR="006579BC" w:rsidRPr="004B030A">
        <w:rPr>
          <w:rFonts w:ascii="CalibriLight" w:eastAsia="Times New Roman" w:hAnsi="CalibriLight" w:cs="CalibriLight"/>
          <w:color w:val="000000"/>
          <w:sz w:val="22"/>
          <w:szCs w:val="22"/>
          <w:lang w:val="en-US"/>
        </w:rPr>
        <w:t>ESG</w:t>
      </w:r>
      <w:r w:rsidR="006579BC" w:rsidRPr="004B030A">
        <w:rPr>
          <w:rFonts w:ascii="CalibriLight" w:eastAsia="Times New Roman" w:hAnsi="CalibriLight" w:cs="CalibriLight"/>
          <w:color w:val="000000"/>
          <w:sz w:val="22"/>
          <w:szCs w:val="22"/>
          <w:lang w:val="x-none"/>
        </w:rPr>
        <w:t xml:space="preserve"> integration </w:t>
      </w:r>
      <w:r w:rsidR="00675BDC" w:rsidRPr="004B030A">
        <w:rPr>
          <w:rFonts w:ascii="CalibriLight" w:eastAsia="Times New Roman" w:hAnsi="CalibriLight" w:cs="CalibriLight"/>
          <w:color w:val="000000"/>
          <w:sz w:val="22"/>
          <w:szCs w:val="22"/>
          <w:lang w:val="en-US"/>
        </w:rPr>
        <w:t xml:space="preserve">being </w:t>
      </w:r>
      <w:r w:rsidR="006579BC" w:rsidRPr="004B030A">
        <w:rPr>
          <w:rFonts w:ascii="CalibriLight" w:eastAsia="Times New Roman" w:hAnsi="CalibriLight" w:cs="CalibriLight"/>
          <w:color w:val="000000"/>
          <w:sz w:val="22"/>
          <w:szCs w:val="22"/>
          <w:lang w:val="x-none"/>
        </w:rPr>
        <w:t>arguably more advanced in</w:t>
      </w:r>
      <w:r w:rsidR="006579BC" w:rsidRPr="004B030A">
        <w:rPr>
          <w:rFonts w:ascii="CalibriLight" w:eastAsia="Times New Roman" w:hAnsi="CalibriLight" w:cs="CalibriLight"/>
          <w:color w:val="000000"/>
          <w:sz w:val="22"/>
          <w:szCs w:val="22"/>
          <w:lang w:val="en-US"/>
        </w:rPr>
        <w:t xml:space="preserve"> </w:t>
      </w:r>
      <w:r w:rsidR="006579BC" w:rsidRPr="004B030A">
        <w:rPr>
          <w:rFonts w:ascii="CalibriLight" w:eastAsia="Times New Roman" w:hAnsi="CalibriLight" w:cs="CalibriLight"/>
          <w:color w:val="000000"/>
          <w:sz w:val="22"/>
          <w:szCs w:val="22"/>
          <w:lang w:val="x-none"/>
        </w:rPr>
        <w:t>Europe than Australia</w:t>
      </w:r>
      <w:r w:rsidR="00675BDC" w:rsidRPr="004B030A">
        <w:rPr>
          <w:rFonts w:ascii="CalibriLight" w:eastAsia="Times New Roman" w:hAnsi="CalibriLight" w:cs="CalibriLight"/>
          <w:color w:val="000000"/>
          <w:sz w:val="22"/>
          <w:szCs w:val="22"/>
          <w:lang w:val="en-US"/>
        </w:rPr>
        <w:t>.</w:t>
      </w:r>
    </w:p>
    <w:p w14:paraId="53BE4CA9" w14:textId="77777777" w:rsidR="004822DE" w:rsidRPr="0087544E" w:rsidRDefault="004822DE" w:rsidP="005D0D66">
      <w:pPr>
        <w:autoSpaceDE w:val="0"/>
        <w:autoSpaceDN w:val="0"/>
        <w:adjustRightInd w:val="0"/>
        <w:snapToGrid w:val="0"/>
        <w:jc w:val="both"/>
        <w:rPr>
          <w:rFonts w:cstheme="minorHAnsi"/>
          <w:sz w:val="22"/>
          <w:szCs w:val="22"/>
          <w:lang w:val="en-US"/>
        </w:rPr>
      </w:pPr>
    </w:p>
    <w:p w14:paraId="00F465D2" w14:textId="552F4EAF" w:rsidR="00FC2327" w:rsidRPr="004B030A" w:rsidRDefault="00B07E44" w:rsidP="005D0D66">
      <w:pPr>
        <w:autoSpaceDE w:val="0"/>
        <w:autoSpaceDN w:val="0"/>
        <w:adjustRightInd w:val="0"/>
        <w:snapToGrid w:val="0"/>
        <w:jc w:val="both"/>
        <w:rPr>
          <w:rFonts w:cstheme="minorHAnsi"/>
          <w:sz w:val="22"/>
          <w:szCs w:val="22"/>
        </w:rPr>
      </w:pPr>
      <w:r w:rsidRPr="004B030A">
        <w:rPr>
          <w:rFonts w:cstheme="minorHAnsi"/>
          <w:sz w:val="22"/>
          <w:szCs w:val="22"/>
        </w:rPr>
        <w:t>The</w:t>
      </w:r>
      <w:r w:rsidR="00FC2327" w:rsidRPr="004B030A">
        <w:rPr>
          <w:rFonts w:cstheme="minorHAnsi"/>
          <w:sz w:val="22"/>
          <w:szCs w:val="22"/>
        </w:rPr>
        <w:t xml:space="preserve"> </w:t>
      </w:r>
      <w:r w:rsidR="008E30DD" w:rsidRPr="004B030A">
        <w:rPr>
          <w:rFonts w:cstheme="minorHAnsi"/>
          <w:sz w:val="22"/>
          <w:szCs w:val="22"/>
        </w:rPr>
        <w:t xml:space="preserve">research </w:t>
      </w:r>
      <w:r w:rsidRPr="004B030A">
        <w:rPr>
          <w:rFonts w:cstheme="minorHAnsi"/>
          <w:sz w:val="22"/>
          <w:szCs w:val="22"/>
        </w:rPr>
        <w:t xml:space="preserve">ultimately </w:t>
      </w:r>
      <w:r w:rsidR="00FC2327" w:rsidRPr="004B030A">
        <w:rPr>
          <w:rFonts w:cstheme="minorHAnsi"/>
          <w:sz w:val="22"/>
          <w:szCs w:val="22"/>
        </w:rPr>
        <w:t>confirmed</w:t>
      </w:r>
      <w:r w:rsidR="009C2FCC" w:rsidRPr="004B030A">
        <w:rPr>
          <w:rFonts w:cstheme="minorHAnsi"/>
          <w:sz w:val="22"/>
          <w:szCs w:val="22"/>
        </w:rPr>
        <w:t xml:space="preserve"> </w:t>
      </w:r>
      <w:r w:rsidR="008E30DD" w:rsidRPr="004B030A">
        <w:rPr>
          <w:rFonts w:cstheme="minorHAnsi"/>
          <w:sz w:val="22"/>
          <w:szCs w:val="22"/>
        </w:rPr>
        <w:t>that</w:t>
      </w:r>
      <w:r w:rsidR="00FC2327" w:rsidRPr="004B030A">
        <w:rPr>
          <w:rFonts w:cstheme="minorHAnsi"/>
          <w:sz w:val="22"/>
          <w:szCs w:val="22"/>
        </w:rPr>
        <w:t xml:space="preserve"> IHL is not a formal consideration for</w:t>
      </w:r>
      <w:r w:rsidR="00F96F5E" w:rsidRPr="004B030A">
        <w:rPr>
          <w:rFonts w:cstheme="minorHAnsi"/>
          <w:sz w:val="22"/>
          <w:szCs w:val="22"/>
        </w:rPr>
        <w:t xml:space="preserve"> most</w:t>
      </w:r>
      <w:r w:rsidR="00FC2327" w:rsidRPr="004B030A">
        <w:rPr>
          <w:rFonts w:cstheme="minorHAnsi"/>
          <w:sz w:val="22"/>
          <w:szCs w:val="22"/>
        </w:rPr>
        <w:t xml:space="preserve"> investors. </w:t>
      </w:r>
      <w:r w:rsidR="00CD029B" w:rsidRPr="004B030A">
        <w:rPr>
          <w:rFonts w:cstheme="minorHAnsi"/>
          <w:sz w:val="22"/>
          <w:szCs w:val="22"/>
        </w:rPr>
        <w:t xml:space="preserve">Many institutions favour a highly risk-averse </w:t>
      </w:r>
      <w:r w:rsidR="0016629A" w:rsidRPr="004B030A">
        <w:rPr>
          <w:rFonts w:cstheme="minorHAnsi"/>
          <w:sz w:val="22"/>
          <w:szCs w:val="22"/>
        </w:rPr>
        <w:t xml:space="preserve">and </w:t>
      </w:r>
      <w:r w:rsidR="00CD029B" w:rsidRPr="004B030A">
        <w:rPr>
          <w:rFonts w:cstheme="minorHAnsi"/>
          <w:sz w:val="22"/>
          <w:szCs w:val="22"/>
        </w:rPr>
        <w:t>avoidant approach to having links to conflict-affected regions or sectors</w:t>
      </w:r>
      <w:r w:rsidR="001E39EE" w:rsidRPr="004B030A">
        <w:rPr>
          <w:rFonts w:cstheme="minorHAnsi"/>
          <w:sz w:val="22"/>
          <w:szCs w:val="22"/>
        </w:rPr>
        <w:t xml:space="preserve">, largely for compliance or reputational reasons. </w:t>
      </w:r>
      <w:r w:rsidR="00FC2327" w:rsidRPr="004B030A">
        <w:rPr>
          <w:rFonts w:cstheme="minorHAnsi"/>
          <w:sz w:val="22"/>
          <w:szCs w:val="22"/>
        </w:rPr>
        <w:t>In circumstances where conflict is considered</w:t>
      </w:r>
      <w:r w:rsidR="0049727A" w:rsidRPr="004B030A">
        <w:rPr>
          <w:rFonts w:cstheme="minorHAnsi"/>
          <w:sz w:val="22"/>
          <w:szCs w:val="22"/>
        </w:rPr>
        <w:t xml:space="preserve"> by investors</w:t>
      </w:r>
      <w:r w:rsidR="00FC2327" w:rsidRPr="004B030A">
        <w:rPr>
          <w:rFonts w:cstheme="minorHAnsi"/>
          <w:sz w:val="22"/>
          <w:szCs w:val="22"/>
        </w:rPr>
        <w:t xml:space="preserve">, there is some reference to compliance with legal frameworks enforcing sanctions or responding to financial crimes such as anti-money laundering or corruption. There are also other references to risk in terms of avoiding commitments in high-risk sectors like weapons manufacturing and conflict minerals. </w:t>
      </w:r>
      <w:r w:rsidR="004822DE" w:rsidRPr="004B030A">
        <w:rPr>
          <w:rFonts w:cstheme="minorHAnsi"/>
          <w:sz w:val="22"/>
          <w:szCs w:val="22"/>
        </w:rPr>
        <w:t>Recent conflicts</w:t>
      </w:r>
      <w:r w:rsidR="003C723C" w:rsidRPr="004B030A">
        <w:rPr>
          <w:rFonts w:cstheme="minorHAnsi"/>
          <w:sz w:val="22"/>
          <w:szCs w:val="22"/>
        </w:rPr>
        <w:t xml:space="preserve"> and </w:t>
      </w:r>
      <w:r w:rsidR="004822DE" w:rsidRPr="004B030A">
        <w:rPr>
          <w:rFonts w:cstheme="minorHAnsi"/>
          <w:sz w:val="22"/>
          <w:szCs w:val="22"/>
        </w:rPr>
        <w:t>increased scrutiny around supply chains and human rights practices</w:t>
      </w:r>
      <w:r w:rsidR="003C723C" w:rsidRPr="004B030A">
        <w:rPr>
          <w:rFonts w:cstheme="minorHAnsi"/>
          <w:sz w:val="22"/>
          <w:szCs w:val="22"/>
        </w:rPr>
        <w:t xml:space="preserve"> </w:t>
      </w:r>
      <w:r w:rsidR="004822DE" w:rsidRPr="004B030A">
        <w:rPr>
          <w:rFonts w:cstheme="minorHAnsi"/>
          <w:sz w:val="22"/>
          <w:szCs w:val="22"/>
        </w:rPr>
        <w:t xml:space="preserve">have put conflict-related considerations on the radar for some institutions. </w:t>
      </w:r>
      <w:r w:rsidR="0049727A" w:rsidRPr="004B030A">
        <w:rPr>
          <w:rFonts w:cstheme="minorHAnsi"/>
          <w:sz w:val="22"/>
          <w:szCs w:val="22"/>
        </w:rPr>
        <w:t xml:space="preserve">However, overall, there is </w:t>
      </w:r>
      <w:r w:rsidR="001E39EE" w:rsidRPr="004B030A">
        <w:rPr>
          <w:rFonts w:cstheme="minorHAnsi"/>
          <w:sz w:val="22"/>
          <w:szCs w:val="22"/>
        </w:rPr>
        <w:t>still v</w:t>
      </w:r>
      <w:r w:rsidR="0049727A" w:rsidRPr="004B030A">
        <w:rPr>
          <w:rFonts w:cstheme="minorHAnsi"/>
          <w:sz w:val="22"/>
          <w:szCs w:val="22"/>
        </w:rPr>
        <w:t>ery limited reference to armed conflict (and no reference to IHL) in ESG and human rights policies, risk management processes or investment frameworks.</w:t>
      </w:r>
    </w:p>
    <w:p w14:paraId="141015AA" w14:textId="77777777" w:rsidR="00FC2327" w:rsidRPr="004B030A" w:rsidRDefault="00FC2327" w:rsidP="005D0D66">
      <w:pPr>
        <w:autoSpaceDE w:val="0"/>
        <w:autoSpaceDN w:val="0"/>
        <w:adjustRightInd w:val="0"/>
        <w:snapToGrid w:val="0"/>
        <w:jc w:val="both"/>
        <w:rPr>
          <w:rFonts w:cstheme="minorHAnsi"/>
          <w:sz w:val="22"/>
          <w:szCs w:val="22"/>
        </w:rPr>
      </w:pPr>
    </w:p>
    <w:p w14:paraId="7E847F64" w14:textId="2AF15442" w:rsidR="00777314" w:rsidRPr="004B030A" w:rsidRDefault="00D100D0" w:rsidP="005D0D66">
      <w:pPr>
        <w:autoSpaceDE w:val="0"/>
        <w:autoSpaceDN w:val="0"/>
        <w:adjustRightInd w:val="0"/>
        <w:snapToGrid w:val="0"/>
        <w:jc w:val="both"/>
        <w:rPr>
          <w:rFonts w:cstheme="minorHAnsi"/>
          <w:sz w:val="22"/>
          <w:szCs w:val="22"/>
        </w:rPr>
      </w:pPr>
      <w:r w:rsidRPr="004B030A">
        <w:rPr>
          <w:rFonts w:cstheme="minorHAnsi"/>
          <w:sz w:val="22"/>
          <w:szCs w:val="22"/>
        </w:rPr>
        <w:t xml:space="preserve">That </w:t>
      </w:r>
      <w:r w:rsidR="00494956" w:rsidRPr="004B030A">
        <w:rPr>
          <w:rFonts w:cstheme="minorHAnsi"/>
          <w:sz w:val="22"/>
          <w:szCs w:val="22"/>
        </w:rPr>
        <w:t xml:space="preserve">said, </w:t>
      </w:r>
      <w:r w:rsidR="00740ACB" w:rsidRPr="004B030A">
        <w:rPr>
          <w:rFonts w:cstheme="minorHAnsi"/>
          <w:sz w:val="22"/>
          <w:szCs w:val="22"/>
        </w:rPr>
        <w:t xml:space="preserve">this landscape is evolving. The research found that there is an appetite among </w:t>
      </w:r>
      <w:r w:rsidR="00046D17" w:rsidRPr="004B030A">
        <w:rPr>
          <w:rFonts w:cstheme="minorHAnsi"/>
          <w:sz w:val="22"/>
          <w:szCs w:val="22"/>
        </w:rPr>
        <w:t xml:space="preserve">investors </w:t>
      </w:r>
      <w:r w:rsidR="00740ACB" w:rsidRPr="004B030A">
        <w:rPr>
          <w:rFonts w:cstheme="minorHAnsi"/>
          <w:sz w:val="22"/>
          <w:szCs w:val="22"/>
        </w:rPr>
        <w:t xml:space="preserve">for </w:t>
      </w:r>
      <w:r w:rsidR="000B5A58" w:rsidRPr="004B030A">
        <w:rPr>
          <w:rFonts w:cstheme="minorHAnsi"/>
          <w:sz w:val="22"/>
          <w:szCs w:val="22"/>
        </w:rPr>
        <w:t xml:space="preserve">deeper awareness and engagement in </w:t>
      </w:r>
      <w:r w:rsidR="00360174" w:rsidRPr="004B030A">
        <w:rPr>
          <w:rFonts w:cstheme="minorHAnsi"/>
          <w:sz w:val="22"/>
          <w:szCs w:val="22"/>
        </w:rPr>
        <w:t xml:space="preserve">IHL and conflict-related issues. </w:t>
      </w:r>
      <w:r w:rsidR="005D0D66" w:rsidRPr="004B030A">
        <w:rPr>
          <w:rFonts w:cstheme="minorHAnsi"/>
          <w:sz w:val="22"/>
          <w:szCs w:val="22"/>
        </w:rPr>
        <w:t xml:space="preserve">In some cases, investors had already started to think about their indirect exposure to conflict. </w:t>
      </w:r>
      <w:r w:rsidR="007A76D3" w:rsidRPr="004B030A">
        <w:rPr>
          <w:rFonts w:cstheme="minorHAnsi"/>
          <w:sz w:val="22"/>
          <w:szCs w:val="22"/>
        </w:rPr>
        <w:t xml:space="preserve">Several </w:t>
      </w:r>
      <w:r w:rsidR="00046D17" w:rsidRPr="004B030A">
        <w:rPr>
          <w:rFonts w:cstheme="minorHAnsi"/>
          <w:sz w:val="22"/>
          <w:szCs w:val="22"/>
        </w:rPr>
        <w:t xml:space="preserve">institutions expressed an interest in </w:t>
      </w:r>
      <w:r w:rsidR="00C42BD8" w:rsidRPr="004B030A">
        <w:rPr>
          <w:rFonts w:cstheme="minorHAnsi"/>
          <w:sz w:val="22"/>
          <w:szCs w:val="22"/>
        </w:rPr>
        <w:t>receiving further guidance on questions such as:</w:t>
      </w:r>
    </w:p>
    <w:p w14:paraId="7AF77FDD" w14:textId="2CE22864" w:rsidR="00E8427C" w:rsidRPr="004B030A" w:rsidRDefault="00E8427C" w:rsidP="005D0D66">
      <w:pPr>
        <w:pStyle w:val="ListParagraph"/>
        <w:numPr>
          <w:ilvl w:val="0"/>
          <w:numId w:val="38"/>
        </w:numPr>
        <w:autoSpaceDE w:val="0"/>
        <w:autoSpaceDN w:val="0"/>
        <w:adjustRightInd w:val="0"/>
        <w:snapToGrid w:val="0"/>
        <w:jc w:val="both"/>
        <w:rPr>
          <w:rFonts w:cstheme="minorHAnsi"/>
          <w:sz w:val="22"/>
          <w:szCs w:val="22"/>
        </w:rPr>
      </w:pPr>
      <w:r w:rsidRPr="004B030A">
        <w:rPr>
          <w:rFonts w:cstheme="minorHAnsi"/>
          <w:sz w:val="22"/>
          <w:szCs w:val="22"/>
        </w:rPr>
        <w:t xml:space="preserve">How exposed are financial institutions </w:t>
      </w:r>
      <w:r w:rsidR="00852B78" w:rsidRPr="004B030A">
        <w:rPr>
          <w:rFonts w:cstheme="minorHAnsi"/>
          <w:sz w:val="22"/>
          <w:szCs w:val="22"/>
        </w:rPr>
        <w:t>(directly or indirectly) to armed conflict</w:t>
      </w:r>
      <w:r w:rsidRPr="004B030A">
        <w:rPr>
          <w:rFonts w:cstheme="minorHAnsi"/>
          <w:sz w:val="22"/>
          <w:szCs w:val="22"/>
        </w:rPr>
        <w:t>?</w:t>
      </w:r>
      <w:r w:rsidR="00852B78" w:rsidRPr="004B030A">
        <w:rPr>
          <w:rFonts w:cstheme="minorHAnsi"/>
          <w:sz w:val="22"/>
          <w:szCs w:val="22"/>
        </w:rPr>
        <w:t xml:space="preserve"> How material are conflict-related risks for financial institutions?</w:t>
      </w:r>
    </w:p>
    <w:p w14:paraId="03F14649" w14:textId="6904F2C5" w:rsidR="00E8427C" w:rsidRPr="004B030A" w:rsidRDefault="00E8427C" w:rsidP="005D0D66">
      <w:pPr>
        <w:pStyle w:val="ListParagraph"/>
        <w:numPr>
          <w:ilvl w:val="0"/>
          <w:numId w:val="38"/>
        </w:numPr>
        <w:autoSpaceDE w:val="0"/>
        <w:autoSpaceDN w:val="0"/>
        <w:adjustRightInd w:val="0"/>
        <w:snapToGrid w:val="0"/>
        <w:jc w:val="both"/>
        <w:rPr>
          <w:rFonts w:cstheme="minorHAnsi"/>
          <w:sz w:val="22"/>
          <w:szCs w:val="22"/>
        </w:rPr>
      </w:pPr>
      <w:r w:rsidRPr="004B030A">
        <w:rPr>
          <w:rFonts w:cstheme="minorHAnsi"/>
          <w:sz w:val="22"/>
          <w:szCs w:val="22"/>
        </w:rPr>
        <w:t>What does good</w:t>
      </w:r>
      <w:r w:rsidR="00852B78" w:rsidRPr="004B030A">
        <w:rPr>
          <w:rFonts w:cstheme="minorHAnsi"/>
          <w:sz w:val="22"/>
          <w:szCs w:val="22"/>
        </w:rPr>
        <w:t xml:space="preserve"> practice</w:t>
      </w:r>
      <w:r w:rsidRPr="004B030A">
        <w:rPr>
          <w:rFonts w:cstheme="minorHAnsi"/>
          <w:sz w:val="22"/>
          <w:szCs w:val="22"/>
        </w:rPr>
        <w:t xml:space="preserve"> look like in terms of conflict-sensitive </w:t>
      </w:r>
      <w:r w:rsidR="00852B78" w:rsidRPr="004B030A">
        <w:rPr>
          <w:rFonts w:cstheme="minorHAnsi"/>
          <w:sz w:val="22"/>
          <w:szCs w:val="22"/>
        </w:rPr>
        <w:t>investment</w:t>
      </w:r>
      <w:r w:rsidRPr="004B030A">
        <w:rPr>
          <w:rFonts w:cstheme="minorHAnsi"/>
          <w:sz w:val="22"/>
          <w:szCs w:val="22"/>
        </w:rPr>
        <w:t>?</w:t>
      </w:r>
    </w:p>
    <w:p w14:paraId="68D678C3" w14:textId="45A6FB9A" w:rsidR="00C42BD8" w:rsidRPr="004B030A" w:rsidRDefault="00E8427C" w:rsidP="005D0D66">
      <w:pPr>
        <w:pStyle w:val="ListParagraph"/>
        <w:numPr>
          <w:ilvl w:val="0"/>
          <w:numId w:val="38"/>
        </w:numPr>
        <w:autoSpaceDE w:val="0"/>
        <w:autoSpaceDN w:val="0"/>
        <w:adjustRightInd w:val="0"/>
        <w:snapToGrid w:val="0"/>
        <w:jc w:val="both"/>
        <w:rPr>
          <w:rFonts w:cstheme="minorHAnsi"/>
          <w:sz w:val="22"/>
          <w:szCs w:val="22"/>
        </w:rPr>
      </w:pPr>
      <w:r w:rsidRPr="004B030A">
        <w:rPr>
          <w:rFonts w:cstheme="minorHAnsi"/>
          <w:sz w:val="22"/>
          <w:szCs w:val="22"/>
        </w:rPr>
        <w:t xml:space="preserve">How does IHL differ to, or build on, existing human rights </w:t>
      </w:r>
      <w:r w:rsidR="00852B78" w:rsidRPr="004B030A">
        <w:rPr>
          <w:rFonts w:cstheme="minorHAnsi"/>
          <w:sz w:val="22"/>
          <w:szCs w:val="22"/>
        </w:rPr>
        <w:t xml:space="preserve">responsibilities </w:t>
      </w:r>
      <w:r w:rsidRPr="004B030A">
        <w:rPr>
          <w:rFonts w:cstheme="minorHAnsi"/>
          <w:sz w:val="22"/>
          <w:szCs w:val="22"/>
        </w:rPr>
        <w:t>and other due diligence processes?</w:t>
      </w:r>
    </w:p>
    <w:p w14:paraId="7DD47552" w14:textId="54749271" w:rsidR="007F0553" w:rsidRPr="004B030A" w:rsidRDefault="007F0553" w:rsidP="007F0553">
      <w:pPr>
        <w:autoSpaceDE w:val="0"/>
        <w:autoSpaceDN w:val="0"/>
        <w:adjustRightInd w:val="0"/>
        <w:snapToGrid w:val="0"/>
        <w:jc w:val="both"/>
        <w:rPr>
          <w:rFonts w:cstheme="minorHAnsi"/>
          <w:sz w:val="22"/>
          <w:szCs w:val="22"/>
        </w:rPr>
      </w:pPr>
    </w:p>
    <w:p w14:paraId="1722EB3F" w14:textId="3BD9E7A6" w:rsidR="00264514" w:rsidRPr="004B030A" w:rsidRDefault="00264514" w:rsidP="007F0553">
      <w:pPr>
        <w:autoSpaceDE w:val="0"/>
        <w:autoSpaceDN w:val="0"/>
        <w:adjustRightInd w:val="0"/>
        <w:snapToGrid w:val="0"/>
        <w:jc w:val="both"/>
        <w:rPr>
          <w:rFonts w:cstheme="minorHAnsi"/>
          <w:sz w:val="22"/>
          <w:szCs w:val="22"/>
        </w:rPr>
      </w:pPr>
      <w:r w:rsidRPr="004B030A">
        <w:rPr>
          <w:rFonts w:cstheme="minorHAnsi"/>
          <w:sz w:val="22"/>
          <w:szCs w:val="22"/>
        </w:rPr>
        <w:t xml:space="preserve">We recommend that any </w:t>
      </w:r>
      <w:r w:rsidR="00963C61" w:rsidRPr="004B030A">
        <w:rPr>
          <w:rFonts w:cstheme="minorHAnsi"/>
          <w:sz w:val="22"/>
          <w:szCs w:val="22"/>
        </w:rPr>
        <w:t>Working Group</w:t>
      </w:r>
      <w:r w:rsidRPr="004B030A">
        <w:rPr>
          <w:rFonts w:cstheme="minorHAnsi"/>
          <w:sz w:val="22"/>
          <w:szCs w:val="22"/>
        </w:rPr>
        <w:t xml:space="preserve"> guidance should </w:t>
      </w:r>
      <w:r w:rsidR="00E343B0">
        <w:rPr>
          <w:rFonts w:cstheme="minorHAnsi"/>
          <w:sz w:val="22"/>
          <w:szCs w:val="22"/>
        </w:rPr>
        <w:t xml:space="preserve">also </w:t>
      </w:r>
      <w:r w:rsidRPr="004B030A">
        <w:rPr>
          <w:rFonts w:cstheme="minorHAnsi"/>
          <w:sz w:val="22"/>
          <w:szCs w:val="22"/>
        </w:rPr>
        <w:t xml:space="preserve">address these questions or produce supplementary guidance specifically on UNGP </w:t>
      </w:r>
      <w:r w:rsidR="00707329" w:rsidRPr="004B030A">
        <w:rPr>
          <w:rFonts w:cstheme="minorHAnsi"/>
          <w:sz w:val="22"/>
          <w:szCs w:val="22"/>
        </w:rPr>
        <w:t xml:space="preserve">implementation </w:t>
      </w:r>
      <w:r w:rsidRPr="004B030A">
        <w:rPr>
          <w:rFonts w:cstheme="minorHAnsi"/>
          <w:sz w:val="22"/>
          <w:szCs w:val="22"/>
        </w:rPr>
        <w:t>for investors in conflict-affected areas.</w:t>
      </w:r>
    </w:p>
    <w:p w14:paraId="292B2AF1" w14:textId="77777777" w:rsidR="00264514" w:rsidRPr="004B030A" w:rsidRDefault="00264514" w:rsidP="007F0553">
      <w:pPr>
        <w:autoSpaceDE w:val="0"/>
        <w:autoSpaceDN w:val="0"/>
        <w:adjustRightInd w:val="0"/>
        <w:snapToGrid w:val="0"/>
        <w:jc w:val="both"/>
        <w:rPr>
          <w:rFonts w:cstheme="minorHAnsi"/>
          <w:sz w:val="22"/>
          <w:szCs w:val="22"/>
        </w:rPr>
      </w:pPr>
    </w:p>
    <w:p w14:paraId="76EE0178" w14:textId="4897ACFE" w:rsidR="006D159D" w:rsidRPr="004B030A" w:rsidRDefault="006D159D" w:rsidP="007F0553">
      <w:pPr>
        <w:autoSpaceDE w:val="0"/>
        <w:autoSpaceDN w:val="0"/>
        <w:adjustRightInd w:val="0"/>
        <w:snapToGrid w:val="0"/>
        <w:jc w:val="both"/>
        <w:rPr>
          <w:rFonts w:cstheme="minorHAnsi"/>
          <w:sz w:val="22"/>
          <w:szCs w:val="22"/>
        </w:rPr>
      </w:pPr>
      <w:r w:rsidRPr="004B030A">
        <w:rPr>
          <w:rFonts w:cstheme="minorHAnsi"/>
          <w:b/>
          <w:bCs/>
          <w:sz w:val="22"/>
          <w:szCs w:val="22"/>
        </w:rPr>
        <w:t>Conclusion</w:t>
      </w:r>
    </w:p>
    <w:p w14:paraId="15B370C9" w14:textId="3198AA64" w:rsidR="00FE53AA" w:rsidRPr="004B030A" w:rsidRDefault="002012F1" w:rsidP="005835D4">
      <w:pPr>
        <w:jc w:val="both"/>
        <w:rPr>
          <w:rFonts w:cstheme="minorHAnsi"/>
          <w:sz w:val="22"/>
          <w:szCs w:val="22"/>
        </w:rPr>
      </w:pPr>
      <w:r w:rsidRPr="004B030A">
        <w:rPr>
          <w:rFonts w:cstheme="minorHAnsi"/>
          <w:sz w:val="22"/>
          <w:szCs w:val="22"/>
        </w:rPr>
        <w:t>Business</w:t>
      </w:r>
      <w:r w:rsidR="00CD7F23" w:rsidRPr="004B030A">
        <w:rPr>
          <w:rFonts w:cstheme="minorHAnsi"/>
          <w:sz w:val="22"/>
          <w:szCs w:val="22"/>
        </w:rPr>
        <w:t xml:space="preserve"> </w:t>
      </w:r>
      <w:r w:rsidR="00E36B31" w:rsidRPr="004B030A">
        <w:rPr>
          <w:rFonts w:cstheme="minorHAnsi"/>
          <w:sz w:val="22"/>
          <w:szCs w:val="22"/>
        </w:rPr>
        <w:t xml:space="preserve">and investor </w:t>
      </w:r>
      <w:r w:rsidR="00CD7F23" w:rsidRPr="004B030A">
        <w:rPr>
          <w:rFonts w:cstheme="minorHAnsi"/>
          <w:sz w:val="22"/>
          <w:szCs w:val="22"/>
        </w:rPr>
        <w:t xml:space="preserve">responses to contemporary </w:t>
      </w:r>
      <w:r w:rsidR="00883D38" w:rsidRPr="004B030A">
        <w:rPr>
          <w:rFonts w:cstheme="minorHAnsi"/>
          <w:sz w:val="22"/>
          <w:szCs w:val="22"/>
        </w:rPr>
        <w:t xml:space="preserve">geopolitical </w:t>
      </w:r>
      <w:r w:rsidR="00CD7F23" w:rsidRPr="004B030A">
        <w:rPr>
          <w:rFonts w:cstheme="minorHAnsi"/>
          <w:sz w:val="22"/>
          <w:szCs w:val="22"/>
        </w:rPr>
        <w:t xml:space="preserve">events, including the </w:t>
      </w:r>
      <w:r w:rsidR="00AE7DB2" w:rsidRPr="004B030A">
        <w:rPr>
          <w:rFonts w:cstheme="minorHAnsi"/>
          <w:sz w:val="22"/>
          <w:szCs w:val="22"/>
        </w:rPr>
        <w:t>ongoing conflict in Ukraine</w:t>
      </w:r>
      <w:r w:rsidR="00CD7F23" w:rsidRPr="004B030A">
        <w:rPr>
          <w:rFonts w:cstheme="minorHAnsi"/>
          <w:sz w:val="22"/>
          <w:szCs w:val="22"/>
        </w:rPr>
        <w:t xml:space="preserve">, </w:t>
      </w:r>
      <w:r w:rsidR="00AE7DB2" w:rsidRPr="004B030A">
        <w:rPr>
          <w:rFonts w:cstheme="minorHAnsi"/>
          <w:sz w:val="22"/>
          <w:szCs w:val="22"/>
        </w:rPr>
        <w:t xml:space="preserve">have </w:t>
      </w:r>
      <w:r w:rsidR="00883D38" w:rsidRPr="004B030A">
        <w:rPr>
          <w:rFonts w:cstheme="minorHAnsi"/>
          <w:sz w:val="22"/>
          <w:szCs w:val="22"/>
        </w:rPr>
        <w:t xml:space="preserve">revealed a knowledge gap across the global </w:t>
      </w:r>
      <w:r w:rsidRPr="004B030A">
        <w:rPr>
          <w:rFonts w:cstheme="minorHAnsi"/>
          <w:sz w:val="22"/>
          <w:szCs w:val="22"/>
        </w:rPr>
        <w:t xml:space="preserve">corporate </w:t>
      </w:r>
      <w:r w:rsidR="00883D38" w:rsidRPr="004B030A">
        <w:rPr>
          <w:rFonts w:cstheme="minorHAnsi"/>
          <w:sz w:val="22"/>
          <w:szCs w:val="22"/>
        </w:rPr>
        <w:t>sector regarding exposure to armed conflict</w:t>
      </w:r>
      <w:r w:rsidRPr="004B030A">
        <w:rPr>
          <w:rFonts w:cstheme="minorHAnsi"/>
          <w:sz w:val="22"/>
          <w:szCs w:val="22"/>
        </w:rPr>
        <w:t xml:space="preserve">. </w:t>
      </w:r>
      <w:r w:rsidR="00882F4C" w:rsidRPr="004B030A">
        <w:rPr>
          <w:rFonts w:cstheme="minorHAnsi"/>
          <w:sz w:val="22"/>
          <w:szCs w:val="22"/>
        </w:rPr>
        <w:t xml:space="preserve">Despite </w:t>
      </w:r>
      <w:r w:rsidR="006F3D43" w:rsidRPr="004B030A">
        <w:rPr>
          <w:rFonts w:cstheme="minorHAnsi"/>
          <w:sz w:val="22"/>
          <w:szCs w:val="22"/>
        </w:rPr>
        <w:t xml:space="preserve">explicit and implicit references to IHL </w:t>
      </w:r>
      <w:r w:rsidR="00091CFB" w:rsidRPr="004B030A">
        <w:rPr>
          <w:rFonts w:cstheme="minorHAnsi"/>
          <w:sz w:val="22"/>
          <w:szCs w:val="22"/>
        </w:rPr>
        <w:t>in many governance instruments and guidance</w:t>
      </w:r>
      <w:r w:rsidR="000A1BD9" w:rsidRPr="004B030A">
        <w:rPr>
          <w:rFonts w:cstheme="minorHAnsi"/>
          <w:sz w:val="22"/>
          <w:szCs w:val="22"/>
        </w:rPr>
        <w:t>, the</w:t>
      </w:r>
      <w:r w:rsidR="001A4DE2" w:rsidRPr="004B030A">
        <w:rPr>
          <w:rFonts w:cstheme="minorHAnsi"/>
          <w:sz w:val="22"/>
          <w:szCs w:val="22"/>
        </w:rPr>
        <w:t xml:space="preserve"> adoption of ESG strategies and the</w:t>
      </w:r>
      <w:r w:rsidR="000A1BD9" w:rsidRPr="004B030A">
        <w:rPr>
          <w:rFonts w:cstheme="minorHAnsi"/>
          <w:sz w:val="22"/>
          <w:szCs w:val="22"/>
        </w:rPr>
        <w:t xml:space="preserve"> </w:t>
      </w:r>
      <w:r w:rsidR="00E67EC3" w:rsidRPr="004B030A">
        <w:rPr>
          <w:rFonts w:cstheme="minorHAnsi"/>
          <w:sz w:val="22"/>
          <w:szCs w:val="22"/>
        </w:rPr>
        <w:t>implementation</w:t>
      </w:r>
      <w:r w:rsidR="000A1BD9" w:rsidRPr="004B030A">
        <w:rPr>
          <w:rFonts w:cstheme="minorHAnsi"/>
          <w:sz w:val="22"/>
          <w:szCs w:val="22"/>
        </w:rPr>
        <w:t xml:space="preserve"> of </w:t>
      </w:r>
      <w:r w:rsidR="00E54579" w:rsidRPr="004B030A">
        <w:rPr>
          <w:rFonts w:cstheme="minorHAnsi"/>
          <w:sz w:val="22"/>
          <w:szCs w:val="22"/>
        </w:rPr>
        <w:t xml:space="preserve">the UNGPs vis-à-vis </w:t>
      </w:r>
      <w:r w:rsidR="000A1BD9" w:rsidRPr="004B030A">
        <w:rPr>
          <w:rFonts w:cstheme="minorHAnsi"/>
          <w:sz w:val="22"/>
          <w:szCs w:val="22"/>
        </w:rPr>
        <w:t xml:space="preserve">IHL has not been fully realised.  </w:t>
      </w:r>
      <w:r w:rsidR="0023423A" w:rsidRPr="004B030A">
        <w:rPr>
          <w:rFonts w:cstheme="minorHAnsi"/>
          <w:sz w:val="22"/>
          <w:szCs w:val="22"/>
        </w:rPr>
        <w:lastRenderedPageBreak/>
        <w:t xml:space="preserve">As we know, businesses can either exacerbate or mitigate conflicts, making it crucial for the financial sector to go beyond traditional human rights considerations in the context of armed conflicts. </w:t>
      </w:r>
    </w:p>
    <w:p w14:paraId="4251EFB6" w14:textId="77777777" w:rsidR="00424524" w:rsidRPr="004B030A" w:rsidRDefault="00424524" w:rsidP="005835D4">
      <w:pPr>
        <w:jc w:val="both"/>
        <w:rPr>
          <w:rFonts w:cstheme="minorHAnsi"/>
          <w:sz w:val="22"/>
          <w:szCs w:val="22"/>
        </w:rPr>
      </w:pPr>
    </w:p>
    <w:p w14:paraId="02B1EC6F" w14:textId="23BB5121" w:rsidR="00AB71AA" w:rsidRPr="004B030A" w:rsidRDefault="005442EF" w:rsidP="005442EF">
      <w:pPr>
        <w:jc w:val="both"/>
        <w:rPr>
          <w:rFonts w:cstheme="minorHAnsi"/>
          <w:sz w:val="22"/>
          <w:szCs w:val="22"/>
        </w:rPr>
      </w:pPr>
      <w:r w:rsidRPr="004B030A">
        <w:rPr>
          <w:rFonts w:cstheme="minorHAnsi"/>
          <w:sz w:val="22"/>
          <w:szCs w:val="22"/>
        </w:rPr>
        <w:t>T</w:t>
      </w:r>
      <w:r w:rsidR="00A576C4" w:rsidRPr="004B030A">
        <w:rPr>
          <w:rFonts w:cstheme="minorHAnsi"/>
          <w:sz w:val="22"/>
          <w:szCs w:val="22"/>
        </w:rPr>
        <w:t>he humanitarian</w:t>
      </w:r>
      <w:r w:rsidR="00AE7DB2" w:rsidRPr="004B030A">
        <w:rPr>
          <w:rFonts w:cstheme="minorHAnsi"/>
          <w:sz w:val="22"/>
          <w:szCs w:val="22"/>
        </w:rPr>
        <w:t xml:space="preserve"> impact of armed conflicts</w:t>
      </w:r>
      <w:r w:rsidR="00A576C4" w:rsidRPr="004B030A">
        <w:rPr>
          <w:rFonts w:cstheme="minorHAnsi"/>
          <w:sz w:val="22"/>
          <w:szCs w:val="22"/>
        </w:rPr>
        <w:t xml:space="preserve"> around the world will continue </w:t>
      </w:r>
      <w:r w:rsidR="00AE7DB2" w:rsidRPr="004B030A">
        <w:rPr>
          <w:rFonts w:cstheme="minorHAnsi"/>
          <w:sz w:val="22"/>
          <w:szCs w:val="22"/>
        </w:rPr>
        <w:t xml:space="preserve">to be felt by individuals, communities and the environment </w:t>
      </w:r>
      <w:r w:rsidR="00A576C4" w:rsidRPr="004B030A">
        <w:rPr>
          <w:rFonts w:cstheme="minorHAnsi"/>
          <w:sz w:val="22"/>
          <w:szCs w:val="22"/>
        </w:rPr>
        <w:t>for many years to come</w:t>
      </w:r>
      <w:r w:rsidR="00AE7DB2" w:rsidRPr="004B030A">
        <w:rPr>
          <w:rFonts w:cstheme="minorHAnsi"/>
          <w:sz w:val="22"/>
          <w:szCs w:val="22"/>
        </w:rPr>
        <w:t xml:space="preserve">. </w:t>
      </w:r>
      <w:r w:rsidR="00A576C4" w:rsidRPr="004B030A">
        <w:rPr>
          <w:rFonts w:cstheme="minorHAnsi"/>
          <w:sz w:val="22"/>
          <w:szCs w:val="22"/>
        </w:rPr>
        <w:t>A</w:t>
      </w:r>
      <w:r w:rsidR="00AE7DB2" w:rsidRPr="004B030A">
        <w:rPr>
          <w:rFonts w:cstheme="minorHAnsi"/>
          <w:sz w:val="22"/>
          <w:szCs w:val="22"/>
        </w:rPr>
        <w:t>ll societal actors have a role to play in minimising human suffering in such situations</w:t>
      </w:r>
      <w:r w:rsidR="00A576C4" w:rsidRPr="004B030A">
        <w:rPr>
          <w:rFonts w:cstheme="minorHAnsi"/>
          <w:sz w:val="22"/>
          <w:szCs w:val="22"/>
        </w:rPr>
        <w:t>, including businesses and those entities that invest in them</w:t>
      </w:r>
      <w:r w:rsidR="006D159D" w:rsidRPr="004B030A">
        <w:rPr>
          <w:rFonts w:cstheme="minorHAnsi"/>
          <w:sz w:val="22"/>
          <w:szCs w:val="22"/>
        </w:rPr>
        <w:t>.</w:t>
      </w:r>
      <w:r w:rsidR="00E343B0">
        <w:rPr>
          <w:rFonts w:cstheme="minorHAnsi"/>
          <w:sz w:val="22"/>
          <w:szCs w:val="22"/>
        </w:rPr>
        <w:t xml:space="preserve"> </w:t>
      </w:r>
      <w:r w:rsidR="00AB71AA" w:rsidRPr="004B030A">
        <w:rPr>
          <w:rFonts w:cstheme="minorHAnsi"/>
          <w:sz w:val="22"/>
          <w:szCs w:val="22"/>
        </w:rPr>
        <w:t xml:space="preserve">John </w:t>
      </w:r>
      <w:proofErr w:type="spellStart"/>
      <w:r w:rsidR="00AB71AA" w:rsidRPr="004B030A">
        <w:rPr>
          <w:rFonts w:cstheme="minorHAnsi"/>
          <w:sz w:val="22"/>
          <w:szCs w:val="22"/>
        </w:rPr>
        <w:t>Ruggie</w:t>
      </w:r>
      <w:proofErr w:type="spellEnd"/>
      <w:r w:rsidR="00AB71AA" w:rsidRPr="004B030A">
        <w:rPr>
          <w:rFonts w:cstheme="minorHAnsi"/>
          <w:sz w:val="22"/>
          <w:szCs w:val="22"/>
        </w:rPr>
        <w:t xml:space="preserve"> recognised this, as has the UN Working Group</w:t>
      </w:r>
      <w:r w:rsidR="00630F00">
        <w:rPr>
          <w:rFonts w:cstheme="minorHAnsi"/>
          <w:sz w:val="22"/>
          <w:szCs w:val="22"/>
        </w:rPr>
        <w:t xml:space="preserve"> by </w:t>
      </w:r>
      <w:r w:rsidR="000E185B" w:rsidRPr="004B030A">
        <w:rPr>
          <w:rFonts w:cstheme="minorHAnsi"/>
          <w:sz w:val="22"/>
          <w:szCs w:val="22"/>
        </w:rPr>
        <w:t>including in</w:t>
      </w:r>
      <w:r w:rsidR="00AB71AA" w:rsidRPr="004B030A">
        <w:rPr>
          <w:rFonts w:cstheme="minorHAnsi"/>
          <w:sz w:val="22"/>
          <w:szCs w:val="22"/>
        </w:rPr>
        <w:t xml:space="preserve"> its agenda the operation of the UNGPs in conflict-affected situations in the past.</w:t>
      </w:r>
    </w:p>
    <w:p w14:paraId="5A00496A" w14:textId="77777777" w:rsidR="00AB71AA" w:rsidRPr="004B030A" w:rsidRDefault="00AB71AA" w:rsidP="005442EF">
      <w:pPr>
        <w:jc w:val="both"/>
        <w:rPr>
          <w:rFonts w:cstheme="minorHAnsi"/>
          <w:sz w:val="22"/>
          <w:szCs w:val="22"/>
        </w:rPr>
      </w:pPr>
    </w:p>
    <w:p w14:paraId="2C82A20B" w14:textId="64242651" w:rsidR="00AB71AA" w:rsidRPr="004B030A" w:rsidRDefault="00F46DB1" w:rsidP="005442EF">
      <w:pPr>
        <w:jc w:val="both"/>
        <w:rPr>
          <w:rFonts w:cstheme="minorHAnsi"/>
          <w:sz w:val="22"/>
          <w:szCs w:val="22"/>
        </w:rPr>
      </w:pPr>
      <w:r w:rsidRPr="004B030A">
        <w:rPr>
          <w:rFonts w:cstheme="minorHAnsi"/>
          <w:sz w:val="22"/>
          <w:szCs w:val="22"/>
        </w:rPr>
        <w:t xml:space="preserve">The Working Group has a unique opportunity to bring IHL and conflict-related risks to the forefront of its discussions. We </w:t>
      </w:r>
      <w:r w:rsidR="00E21653" w:rsidRPr="004B030A">
        <w:rPr>
          <w:rFonts w:cstheme="minorHAnsi"/>
          <w:sz w:val="22"/>
          <w:szCs w:val="22"/>
        </w:rPr>
        <w:t>urge the Working Group to ensure that IHL is not overlooked in its guidance to investors, offering clear steps for its incorporation</w:t>
      </w:r>
      <w:r w:rsidRPr="004B030A">
        <w:rPr>
          <w:rFonts w:cstheme="minorHAnsi"/>
          <w:sz w:val="22"/>
          <w:szCs w:val="22"/>
        </w:rPr>
        <w:t xml:space="preserve"> in the investment process</w:t>
      </w:r>
      <w:r w:rsidR="00AB71AA" w:rsidRPr="004B030A">
        <w:rPr>
          <w:rFonts w:cstheme="minorHAnsi"/>
          <w:sz w:val="22"/>
          <w:szCs w:val="22"/>
        </w:rPr>
        <w:t xml:space="preserve"> where appropriate</w:t>
      </w:r>
      <w:r w:rsidRPr="004B030A">
        <w:rPr>
          <w:rFonts w:cstheme="minorHAnsi"/>
          <w:sz w:val="22"/>
          <w:szCs w:val="22"/>
        </w:rPr>
        <w:t xml:space="preserve">.  </w:t>
      </w:r>
    </w:p>
    <w:p w14:paraId="2C4C48B0" w14:textId="77777777" w:rsidR="00AB71AA" w:rsidRPr="004B030A" w:rsidRDefault="00AB71AA" w:rsidP="005442EF">
      <w:pPr>
        <w:jc w:val="both"/>
        <w:rPr>
          <w:rFonts w:cstheme="minorHAnsi"/>
          <w:sz w:val="22"/>
          <w:szCs w:val="22"/>
        </w:rPr>
      </w:pPr>
    </w:p>
    <w:p w14:paraId="4291E581" w14:textId="366DC5DC" w:rsidR="006D159D" w:rsidRPr="004B030A" w:rsidRDefault="00E21653" w:rsidP="005442EF">
      <w:pPr>
        <w:jc w:val="both"/>
        <w:rPr>
          <w:rFonts w:cstheme="minorHAnsi"/>
          <w:sz w:val="22"/>
          <w:szCs w:val="22"/>
        </w:rPr>
      </w:pPr>
      <w:r w:rsidRPr="004B030A">
        <w:rPr>
          <w:rFonts w:cstheme="minorHAnsi"/>
          <w:sz w:val="22"/>
          <w:szCs w:val="22"/>
        </w:rPr>
        <w:t>We look forward to continued collaboration to advance the integration of IHL and conflict sensitivity into the financial sector, promoting responsible and ethical investment practices that contribute to global peace and stability.</w:t>
      </w:r>
    </w:p>
    <w:p w14:paraId="5BD6B0BB" w14:textId="77777777" w:rsidR="006D159D" w:rsidRPr="004B030A" w:rsidRDefault="006D159D" w:rsidP="005835D4">
      <w:pPr>
        <w:jc w:val="both"/>
        <w:rPr>
          <w:rFonts w:cstheme="minorHAnsi"/>
          <w:sz w:val="22"/>
          <w:szCs w:val="22"/>
        </w:rPr>
      </w:pPr>
    </w:p>
    <w:p w14:paraId="05AA282E" w14:textId="2D1D5704" w:rsidR="006F2BBE" w:rsidRPr="004B030A" w:rsidRDefault="009D15F2" w:rsidP="005835D4">
      <w:pPr>
        <w:spacing w:line="360" w:lineRule="auto"/>
        <w:jc w:val="both"/>
        <w:rPr>
          <w:rFonts w:cstheme="minorHAnsi"/>
          <w:sz w:val="22"/>
          <w:szCs w:val="22"/>
        </w:rPr>
      </w:pPr>
      <w:r w:rsidRPr="004B030A">
        <w:rPr>
          <w:rFonts w:cstheme="minorHAnsi"/>
          <w:sz w:val="22"/>
          <w:szCs w:val="22"/>
        </w:rPr>
        <w:t>Yours sincerely,</w:t>
      </w:r>
    </w:p>
    <w:p w14:paraId="02693C14" w14:textId="39F0AE16" w:rsidR="00DE1E58" w:rsidRDefault="00B6540F" w:rsidP="005835D4">
      <w:pPr>
        <w:tabs>
          <w:tab w:val="left" w:pos="5103"/>
        </w:tabs>
        <w:ind w:right="-25"/>
        <w:jc w:val="both"/>
        <w:rPr>
          <w:rFonts w:cstheme="minorHAnsi"/>
          <w:sz w:val="22"/>
          <w:szCs w:val="22"/>
        </w:rPr>
      </w:pPr>
      <w:r w:rsidRPr="004B030A">
        <w:rPr>
          <w:rFonts w:cstheme="minorHAnsi"/>
          <w:noProof/>
          <w:sz w:val="22"/>
          <w:szCs w:val="22"/>
          <w:lang w:eastAsia="en-AU"/>
        </w:rPr>
        <w:drawing>
          <wp:inline distT="0" distB="0" distL="0" distR="0" wp14:anchorId="3FD630DC" wp14:editId="171D2E48">
            <wp:extent cx="1047750" cy="563764"/>
            <wp:effectExtent l="0" t="0" r="0" b="825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Signature 1.png"/>
                    <pic:cNvPicPr/>
                  </pic:nvPicPr>
                  <pic:blipFill>
                    <a:blip r:embed="rId12">
                      <a:extLst>
                        <a:ext uri="{28A0092B-C50C-407E-A947-70E740481C1C}">
                          <a14:useLocalDpi xmlns:a14="http://schemas.microsoft.com/office/drawing/2010/main" val="0"/>
                        </a:ext>
                      </a:extLst>
                    </a:blip>
                    <a:stretch>
                      <a:fillRect/>
                    </a:stretch>
                  </pic:blipFill>
                  <pic:spPr>
                    <a:xfrm>
                      <a:off x="0" y="0"/>
                      <a:ext cx="1064408" cy="572727"/>
                    </a:xfrm>
                    <a:prstGeom prst="rect">
                      <a:avLst/>
                    </a:prstGeom>
                  </pic:spPr>
                </pic:pic>
              </a:graphicData>
            </a:graphic>
          </wp:inline>
        </w:drawing>
      </w:r>
      <w:r w:rsidRPr="004B030A">
        <w:rPr>
          <w:rFonts w:cstheme="minorHAnsi"/>
          <w:noProof/>
          <w:sz w:val="22"/>
          <w:szCs w:val="22"/>
          <w:lang w:eastAsia="en-AU"/>
        </w:rPr>
        <w:t xml:space="preserve"> </w:t>
      </w:r>
      <w:r w:rsidRPr="004B030A">
        <w:rPr>
          <w:rFonts w:cstheme="minorHAnsi"/>
          <w:noProof/>
          <w:sz w:val="22"/>
          <w:szCs w:val="22"/>
          <w:lang w:eastAsia="en-AU"/>
        </w:rPr>
        <w:tab/>
      </w:r>
      <w:r w:rsidRPr="004B030A">
        <w:rPr>
          <w:rFonts w:cstheme="minorHAnsi"/>
          <w:noProof/>
          <w:sz w:val="22"/>
          <w:szCs w:val="22"/>
          <w:lang w:eastAsia="en-AU"/>
        </w:rPr>
        <w:drawing>
          <wp:inline distT="0" distB="0" distL="0" distR="0" wp14:anchorId="55854923" wp14:editId="75539A67">
            <wp:extent cx="850624" cy="4953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53191" cy="496795"/>
                    </a:xfrm>
                    <a:prstGeom prst="rect">
                      <a:avLst/>
                    </a:prstGeom>
                  </pic:spPr>
                </pic:pic>
              </a:graphicData>
            </a:graphic>
          </wp:inline>
        </w:drawing>
      </w:r>
    </w:p>
    <w:p w14:paraId="5302CE10" w14:textId="77777777" w:rsidR="001D43E1" w:rsidRPr="001D43E1" w:rsidRDefault="001D43E1" w:rsidP="005835D4">
      <w:pPr>
        <w:tabs>
          <w:tab w:val="left" w:pos="5103"/>
        </w:tabs>
        <w:ind w:right="-25"/>
        <w:jc w:val="both"/>
        <w:rPr>
          <w:rFonts w:cstheme="minorHAnsi"/>
          <w:sz w:val="10"/>
          <w:szCs w:val="10"/>
        </w:rPr>
      </w:pPr>
    </w:p>
    <w:p w14:paraId="5114BF67" w14:textId="2581DF88" w:rsidR="00B6540F" w:rsidRPr="004B030A" w:rsidRDefault="00B6540F" w:rsidP="005835D4">
      <w:pPr>
        <w:tabs>
          <w:tab w:val="left" w:pos="5103"/>
        </w:tabs>
        <w:ind w:right="-25"/>
        <w:jc w:val="both"/>
        <w:rPr>
          <w:rFonts w:cstheme="minorHAnsi"/>
          <w:b/>
          <w:color w:val="C00000"/>
          <w:sz w:val="22"/>
          <w:szCs w:val="22"/>
        </w:rPr>
      </w:pPr>
      <w:r w:rsidRPr="004B030A">
        <w:rPr>
          <w:rFonts w:cstheme="minorHAnsi"/>
          <w:b/>
          <w:color w:val="C00000"/>
          <w:sz w:val="22"/>
          <w:szCs w:val="22"/>
        </w:rPr>
        <w:t>Ms Fauve Kurnadi</w:t>
      </w:r>
      <w:r w:rsidRPr="004B030A">
        <w:rPr>
          <w:rFonts w:cstheme="minorHAnsi"/>
          <w:b/>
          <w:color w:val="C00000"/>
          <w:sz w:val="22"/>
          <w:szCs w:val="22"/>
        </w:rPr>
        <w:tab/>
        <w:t>Dr Jonathan Kolieb</w:t>
      </w:r>
    </w:p>
    <w:p w14:paraId="23FFC549" w14:textId="4D030DE5" w:rsidR="00B6540F" w:rsidRPr="004B030A" w:rsidRDefault="00B6540F" w:rsidP="005835D4">
      <w:pPr>
        <w:tabs>
          <w:tab w:val="left" w:pos="5103"/>
        </w:tabs>
        <w:ind w:right="-25"/>
        <w:jc w:val="both"/>
        <w:rPr>
          <w:rFonts w:cstheme="minorHAnsi"/>
          <w:b/>
          <w:sz w:val="22"/>
          <w:szCs w:val="22"/>
        </w:rPr>
      </w:pPr>
      <w:r w:rsidRPr="004B030A">
        <w:rPr>
          <w:rFonts w:cstheme="minorHAnsi"/>
          <w:b/>
          <w:sz w:val="22"/>
          <w:szCs w:val="22"/>
        </w:rPr>
        <w:t xml:space="preserve">Legal Adviser – Private Sector Engagement </w:t>
      </w:r>
      <w:r w:rsidRPr="004B030A">
        <w:rPr>
          <w:rFonts w:cstheme="minorHAnsi"/>
          <w:b/>
          <w:sz w:val="22"/>
          <w:szCs w:val="22"/>
        </w:rPr>
        <w:tab/>
        <w:t>Senior Lecturer | Peace and Conflict Lead</w:t>
      </w:r>
    </w:p>
    <w:p w14:paraId="26404675" w14:textId="77777777" w:rsidR="00B6540F" w:rsidRPr="004B030A" w:rsidRDefault="00B6540F" w:rsidP="005835D4">
      <w:pPr>
        <w:tabs>
          <w:tab w:val="left" w:pos="5103"/>
        </w:tabs>
        <w:ind w:right="-25"/>
        <w:jc w:val="both"/>
        <w:rPr>
          <w:rFonts w:cstheme="minorHAnsi"/>
          <w:b/>
          <w:sz w:val="22"/>
          <w:szCs w:val="22"/>
        </w:rPr>
      </w:pPr>
      <w:r w:rsidRPr="004B030A">
        <w:rPr>
          <w:rFonts w:cstheme="minorHAnsi"/>
          <w:b/>
          <w:sz w:val="22"/>
          <w:szCs w:val="22"/>
        </w:rPr>
        <w:t>International Humanitarian Law</w:t>
      </w:r>
      <w:r w:rsidRPr="004B030A">
        <w:rPr>
          <w:rFonts w:cstheme="minorHAnsi"/>
          <w:b/>
          <w:sz w:val="22"/>
          <w:szCs w:val="22"/>
        </w:rPr>
        <w:tab/>
        <w:t>Business and Human Rights Centre</w:t>
      </w:r>
    </w:p>
    <w:p w14:paraId="28B5CC9D" w14:textId="44CC2DDE" w:rsidR="00B6540F" w:rsidRPr="004B030A" w:rsidRDefault="00B6540F" w:rsidP="005835D4">
      <w:pPr>
        <w:tabs>
          <w:tab w:val="left" w:pos="5103"/>
        </w:tabs>
        <w:ind w:right="-25"/>
        <w:jc w:val="both"/>
        <w:rPr>
          <w:rFonts w:cstheme="minorHAnsi"/>
          <w:sz w:val="22"/>
          <w:szCs w:val="22"/>
        </w:rPr>
      </w:pPr>
      <w:r w:rsidRPr="004B030A">
        <w:rPr>
          <w:rFonts w:cstheme="minorHAnsi"/>
          <w:sz w:val="22"/>
          <w:szCs w:val="22"/>
        </w:rPr>
        <w:t>Australian Red Cross</w:t>
      </w:r>
      <w:r w:rsidRPr="004B030A">
        <w:rPr>
          <w:rFonts w:cstheme="minorHAnsi"/>
          <w:sz w:val="22"/>
          <w:szCs w:val="22"/>
        </w:rPr>
        <w:tab/>
        <w:t>RMIT University</w:t>
      </w:r>
    </w:p>
    <w:p w14:paraId="732DB34E" w14:textId="416DD396" w:rsidR="00C3460F" w:rsidRPr="004B030A" w:rsidRDefault="00B6540F" w:rsidP="005835D4">
      <w:pPr>
        <w:tabs>
          <w:tab w:val="left" w:pos="5103"/>
        </w:tabs>
        <w:ind w:right="-25"/>
        <w:jc w:val="both"/>
        <w:rPr>
          <w:rFonts w:cstheme="minorHAnsi"/>
          <w:sz w:val="22"/>
          <w:szCs w:val="22"/>
        </w:rPr>
      </w:pPr>
      <w:r w:rsidRPr="004B030A">
        <w:rPr>
          <w:rFonts w:cstheme="minorHAnsi"/>
          <w:sz w:val="22"/>
          <w:szCs w:val="22"/>
        </w:rPr>
        <w:t xml:space="preserve">Email: </w:t>
      </w:r>
      <w:hyperlink r:id="rId14" w:history="1">
        <w:r w:rsidRPr="004B030A">
          <w:rPr>
            <w:rStyle w:val="Hyperlink"/>
            <w:rFonts w:cstheme="minorHAnsi"/>
            <w:sz w:val="22"/>
            <w:szCs w:val="22"/>
          </w:rPr>
          <w:t>fkurnadi@redcross.org.au</w:t>
        </w:r>
      </w:hyperlink>
      <w:r w:rsidRPr="004B030A">
        <w:rPr>
          <w:rFonts w:cstheme="minorHAnsi"/>
          <w:sz w:val="22"/>
          <w:szCs w:val="22"/>
        </w:rPr>
        <w:t xml:space="preserve"> </w:t>
      </w:r>
      <w:r w:rsidRPr="004B030A">
        <w:rPr>
          <w:rFonts w:cstheme="minorHAnsi"/>
          <w:sz w:val="22"/>
          <w:szCs w:val="22"/>
        </w:rPr>
        <w:tab/>
        <w:t xml:space="preserve">Email: </w:t>
      </w:r>
      <w:hyperlink r:id="rId15" w:history="1">
        <w:r w:rsidRPr="004B030A">
          <w:rPr>
            <w:rStyle w:val="Hyperlink"/>
            <w:rFonts w:cstheme="minorHAnsi"/>
            <w:sz w:val="22"/>
            <w:szCs w:val="22"/>
          </w:rPr>
          <w:t>jonathan.kolieb@rmit.edu.au</w:t>
        </w:r>
      </w:hyperlink>
      <w:r w:rsidRPr="004B030A">
        <w:rPr>
          <w:rFonts w:cstheme="minorHAnsi"/>
          <w:sz w:val="22"/>
          <w:szCs w:val="22"/>
        </w:rPr>
        <w:t xml:space="preserve"> </w:t>
      </w:r>
    </w:p>
    <w:p w14:paraId="53432121" w14:textId="6126FA14" w:rsidR="003E76E4" w:rsidRPr="004B030A" w:rsidRDefault="003E76E4" w:rsidP="005835D4">
      <w:pPr>
        <w:tabs>
          <w:tab w:val="left" w:pos="5103"/>
        </w:tabs>
        <w:ind w:right="-25"/>
        <w:jc w:val="both"/>
        <w:rPr>
          <w:rFonts w:cstheme="minorHAnsi"/>
          <w:noProof/>
          <w:sz w:val="22"/>
          <w:szCs w:val="22"/>
          <w:lang w:eastAsia="en-AU"/>
        </w:rPr>
      </w:pPr>
    </w:p>
    <w:p w14:paraId="2F54CC13" w14:textId="512378A0" w:rsidR="003E76E4" w:rsidRPr="004B030A" w:rsidRDefault="00DF64D7" w:rsidP="005835D4">
      <w:pPr>
        <w:tabs>
          <w:tab w:val="left" w:pos="5103"/>
        </w:tabs>
        <w:ind w:right="-25"/>
        <w:jc w:val="both"/>
        <w:rPr>
          <w:rFonts w:cstheme="minorHAnsi"/>
          <w:noProof/>
          <w:sz w:val="22"/>
          <w:szCs w:val="22"/>
          <w:lang w:eastAsia="en-AU"/>
        </w:rPr>
      </w:pPr>
      <w:r w:rsidRPr="004B030A">
        <w:rPr>
          <w:rFonts w:cstheme="minorHAnsi"/>
          <w:noProof/>
          <w:sz w:val="22"/>
          <w:szCs w:val="22"/>
        </w:rPr>
        <w:drawing>
          <wp:inline distT="0" distB="0" distL="0" distR="0" wp14:anchorId="3FE7C8DC" wp14:editId="22740CB3">
            <wp:extent cx="1174750" cy="48571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5277" cy="498336"/>
                    </a:xfrm>
                    <a:prstGeom prst="rect">
                      <a:avLst/>
                    </a:prstGeom>
                    <a:noFill/>
                    <a:ln>
                      <a:noFill/>
                    </a:ln>
                  </pic:spPr>
                </pic:pic>
              </a:graphicData>
            </a:graphic>
          </wp:inline>
        </w:drawing>
      </w:r>
    </w:p>
    <w:p w14:paraId="1B71F084" w14:textId="77777777" w:rsidR="00DE1E58" w:rsidRPr="001D43E1" w:rsidRDefault="00DE1E58" w:rsidP="005835D4">
      <w:pPr>
        <w:tabs>
          <w:tab w:val="left" w:pos="5103"/>
        </w:tabs>
        <w:ind w:right="-25"/>
        <w:jc w:val="both"/>
        <w:rPr>
          <w:rFonts w:cstheme="minorHAnsi"/>
          <w:b/>
          <w:color w:val="C00000"/>
          <w:sz w:val="10"/>
          <w:szCs w:val="10"/>
        </w:rPr>
      </w:pPr>
    </w:p>
    <w:p w14:paraId="64ACC708" w14:textId="1A326C50" w:rsidR="003E76E4" w:rsidRPr="004B030A" w:rsidRDefault="003E76E4" w:rsidP="005835D4">
      <w:pPr>
        <w:tabs>
          <w:tab w:val="left" w:pos="5103"/>
        </w:tabs>
        <w:ind w:right="-25"/>
        <w:jc w:val="both"/>
        <w:rPr>
          <w:rFonts w:cstheme="minorHAnsi"/>
          <w:b/>
          <w:color w:val="C00000"/>
          <w:sz w:val="22"/>
          <w:szCs w:val="22"/>
        </w:rPr>
      </w:pPr>
      <w:r w:rsidRPr="004B030A">
        <w:rPr>
          <w:rFonts w:cstheme="minorHAnsi"/>
          <w:b/>
          <w:color w:val="C00000"/>
          <w:sz w:val="22"/>
          <w:szCs w:val="22"/>
        </w:rPr>
        <w:t xml:space="preserve">Mr Claude Voillat </w:t>
      </w:r>
      <w:r w:rsidRPr="004B030A">
        <w:rPr>
          <w:rFonts w:cstheme="minorHAnsi"/>
          <w:b/>
          <w:color w:val="C00000"/>
          <w:sz w:val="22"/>
          <w:szCs w:val="22"/>
        </w:rPr>
        <w:tab/>
      </w:r>
    </w:p>
    <w:p w14:paraId="1DA11262" w14:textId="0DEBD681" w:rsidR="003E76E4" w:rsidRPr="004B030A" w:rsidRDefault="003E76E4" w:rsidP="005835D4">
      <w:pPr>
        <w:tabs>
          <w:tab w:val="left" w:pos="5103"/>
        </w:tabs>
        <w:ind w:right="-25"/>
        <w:jc w:val="both"/>
        <w:rPr>
          <w:rFonts w:cstheme="minorHAnsi"/>
          <w:b/>
          <w:sz w:val="22"/>
          <w:szCs w:val="22"/>
        </w:rPr>
      </w:pPr>
      <w:r w:rsidRPr="004B030A">
        <w:rPr>
          <w:rFonts w:cstheme="minorHAnsi"/>
          <w:b/>
          <w:sz w:val="22"/>
          <w:szCs w:val="22"/>
        </w:rPr>
        <w:t>Economic Adviser</w:t>
      </w:r>
      <w:r w:rsidRPr="004B030A">
        <w:rPr>
          <w:rFonts w:cstheme="minorHAnsi"/>
          <w:b/>
          <w:sz w:val="22"/>
          <w:szCs w:val="22"/>
        </w:rPr>
        <w:tab/>
      </w:r>
      <w:r w:rsidRPr="004B030A">
        <w:rPr>
          <w:rFonts w:cstheme="minorHAnsi"/>
          <w:b/>
          <w:sz w:val="22"/>
          <w:szCs w:val="22"/>
        </w:rPr>
        <w:tab/>
      </w:r>
    </w:p>
    <w:p w14:paraId="20E8E4C4" w14:textId="722398B3" w:rsidR="003E76E4" w:rsidRPr="004B030A" w:rsidRDefault="003E76E4" w:rsidP="005835D4">
      <w:pPr>
        <w:tabs>
          <w:tab w:val="left" w:pos="5103"/>
        </w:tabs>
        <w:ind w:right="-25"/>
        <w:jc w:val="both"/>
        <w:rPr>
          <w:rFonts w:cstheme="minorHAnsi"/>
          <w:sz w:val="22"/>
          <w:szCs w:val="22"/>
        </w:rPr>
      </w:pPr>
      <w:r w:rsidRPr="004B030A">
        <w:rPr>
          <w:rFonts w:cstheme="minorHAnsi"/>
          <w:sz w:val="22"/>
          <w:szCs w:val="22"/>
        </w:rPr>
        <w:t>International Committee of the Red Cross</w:t>
      </w:r>
      <w:r w:rsidRPr="004B030A">
        <w:rPr>
          <w:rFonts w:cstheme="minorHAnsi"/>
          <w:sz w:val="22"/>
          <w:szCs w:val="22"/>
        </w:rPr>
        <w:tab/>
      </w:r>
    </w:p>
    <w:p w14:paraId="294C0AF9" w14:textId="6B1BD82E" w:rsidR="009A7809" w:rsidRPr="004B030A" w:rsidRDefault="003E76E4" w:rsidP="005835D4">
      <w:pPr>
        <w:tabs>
          <w:tab w:val="left" w:pos="5103"/>
        </w:tabs>
        <w:ind w:right="-25"/>
        <w:jc w:val="both"/>
        <w:rPr>
          <w:rFonts w:cstheme="minorHAnsi"/>
          <w:sz w:val="22"/>
          <w:szCs w:val="22"/>
        </w:rPr>
      </w:pPr>
      <w:r w:rsidRPr="004B030A">
        <w:rPr>
          <w:rFonts w:cstheme="minorHAnsi"/>
          <w:sz w:val="22"/>
          <w:szCs w:val="22"/>
        </w:rPr>
        <w:t xml:space="preserve">Email: </w:t>
      </w:r>
      <w:hyperlink r:id="rId17" w:history="1">
        <w:r w:rsidRPr="004B030A">
          <w:rPr>
            <w:rStyle w:val="Hyperlink"/>
            <w:rFonts w:cstheme="minorHAnsi"/>
            <w:sz w:val="22"/>
            <w:szCs w:val="22"/>
          </w:rPr>
          <w:t>cvoillat@icrc.org</w:t>
        </w:r>
      </w:hyperlink>
    </w:p>
    <w:p w14:paraId="162F4024" w14:textId="77777777" w:rsidR="006A2257" w:rsidRPr="004B030A" w:rsidRDefault="006A2257" w:rsidP="005835D4">
      <w:pPr>
        <w:jc w:val="both"/>
        <w:rPr>
          <w:rFonts w:cstheme="minorHAnsi"/>
          <w:b/>
          <w:bCs/>
          <w:sz w:val="22"/>
          <w:szCs w:val="22"/>
        </w:rPr>
      </w:pPr>
    </w:p>
    <w:p w14:paraId="031AE7DB" w14:textId="77777777" w:rsidR="00DE1E58" w:rsidRPr="004B030A" w:rsidRDefault="00DE1E58" w:rsidP="005835D4">
      <w:pPr>
        <w:jc w:val="both"/>
        <w:rPr>
          <w:rFonts w:cstheme="minorHAnsi"/>
          <w:b/>
          <w:bCs/>
          <w:sz w:val="22"/>
          <w:szCs w:val="22"/>
        </w:rPr>
      </w:pPr>
      <w:r w:rsidRPr="004B030A">
        <w:rPr>
          <w:rFonts w:cstheme="minorHAnsi"/>
          <w:b/>
          <w:bCs/>
          <w:sz w:val="22"/>
          <w:szCs w:val="22"/>
        </w:rPr>
        <w:br w:type="page"/>
      </w:r>
    </w:p>
    <w:p w14:paraId="329DEA34" w14:textId="77777777" w:rsidR="00DE1E58" w:rsidRPr="004B030A" w:rsidRDefault="00DE1E58" w:rsidP="005835D4">
      <w:pPr>
        <w:jc w:val="both"/>
        <w:rPr>
          <w:rFonts w:cstheme="minorHAnsi"/>
          <w:b/>
          <w:bCs/>
          <w:sz w:val="22"/>
          <w:szCs w:val="22"/>
        </w:rPr>
      </w:pPr>
      <w:r w:rsidRPr="004B030A">
        <w:rPr>
          <w:rFonts w:cstheme="minorHAnsi"/>
          <w:b/>
          <w:bCs/>
          <w:sz w:val="22"/>
          <w:szCs w:val="22"/>
        </w:rPr>
        <w:lastRenderedPageBreak/>
        <w:t>Annex A</w:t>
      </w:r>
    </w:p>
    <w:p w14:paraId="271D4AB0" w14:textId="6B302F92" w:rsidR="00CD7F50" w:rsidRPr="004B030A" w:rsidRDefault="00C3460F" w:rsidP="005835D4">
      <w:pPr>
        <w:jc w:val="both"/>
        <w:rPr>
          <w:rFonts w:cstheme="minorHAnsi"/>
          <w:b/>
          <w:bCs/>
          <w:sz w:val="22"/>
          <w:szCs w:val="22"/>
        </w:rPr>
      </w:pPr>
      <w:r w:rsidRPr="004B030A">
        <w:rPr>
          <w:rFonts w:cstheme="minorHAnsi"/>
          <w:b/>
          <w:bCs/>
          <w:sz w:val="22"/>
          <w:szCs w:val="22"/>
        </w:rPr>
        <w:t xml:space="preserve">List of </w:t>
      </w:r>
      <w:r w:rsidR="009D5D88" w:rsidRPr="004B030A">
        <w:rPr>
          <w:rFonts w:cstheme="minorHAnsi"/>
          <w:b/>
          <w:bCs/>
          <w:sz w:val="22"/>
          <w:szCs w:val="22"/>
        </w:rPr>
        <w:t xml:space="preserve">relevant </w:t>
      </w:r>
      <w:r w:rsidRPr="004B030A">
        <w:rPr>
          <w:rFonts w:cstheme="minorHAnsi"/>
          <w:b/>
          <w:bCs/>
          <w:sz w:val="22"/>
          <w:szCs w:val="22"/>
        </w:rPr>
        <w:t>resources</w:t>
      </w:r>
      <w:r w:rsidR="009D5D88" w:rsidRPr="004B030A">
        <w:rPr>
          <w:rFonts w:cstheme="minorHAnsi"/>
          <w:b/>
          <w:bCs/>
          <w:sz w:val="22"/>
          <w:szCs w:val="22"/>
        </w:rPr>
        <w:t xml:space="preserve"> (written or edited by the undersigned)</w:t>
      </w:r>
    </w:p>
    <w:p w14:paraId="07DC4828" w14:textId="77777777" w:rsidR="00C716C5" w:rsidRPr="004B030A" w:rsidRDefault="00C716C5" w:rsidP="005835D4">
      <w:pPr>
        <w:rPr>
          <w:rFonts w:cstheme="minorHAnsi"/>
          <w:b/>
          <w:bCs/>
          <w:sz w:val="22"/>
          <w:szCs w:val="22"/>
        </w:rPr>
      </w:pPr>
    </w:p>
    <w:p w14:paraId="102241E1" w14:textId="0CA9F44E" w:rsidR="00441A1B" w:rsidRPr="004B030A" w:rsidRDefault="006D159D" w:rsidP="005835D4">
      <w:pPr>
        <w:pStyle w:val="NoSpacing"/>
        <w:numPr>
          <w:ilvl w:val="0"/>
          <w:numId w:val="30"/>
        </w:numPr>
        <w:rPr>
          <w:rFonts w:cstheme="minorHAnsi"/>
        </w:rPr>
      </w:pPr>
      <w:r w:rsidRPr="004B030A">
        <w:rPr>
          <w:rFonts w:cstheme="minorHAnsi"/>
        </w:rPr>
        <w:t>Australian Red Cross and RMIT University,</w:t>
      </w:r>
      <w:r w:rsidR="00441A1B" w:rsidRPr="004B030A">
        <w:rPr>
          <w:rFonts w:cstheme="minorHAnsi"/>
        </w:rPr>
        <w:t xml:space="preserve"> </w:t>
      </w:r>
      <w:r w:rsidR="00441A1B" w:rsidRPr="004B030A">
        <w:rPr>
          <w:rFonts w:cstheme="minorHAnsi"/>
          <w:i/>
        </w:rPr>
        <w:t>Doing Responsible Business in Armed Conflict: Risks, Rights and Responsibilities</w:t>
      </w:r>
      <w:r w:rsidRPr="004B030A">
        <w:rPr>
          <w:rFonts w:cstheme="minorHAnsi"/>
          <w:i/>
        </w:rPr>
        <w:t xml:space="preserve"> </w:t>
      </w:r>
      <w:r w:rsidR="00441A1B" w:rsidRPr="004B030A">
        <w:rPr>
          <w:rFonts w:cstheme="minorHAnsi"/>
        </w:rPr>
        <w:t>(June 2020)</w:t>
      </w:r>
      <w:r w:rsidR="00C0117D" w:rsidRPr="004B030A">
        <w:rPr>
          <w:rFonts w:cstheme="minorHAnsi"/>
        </w:rPr>
        <w:t xml:space="preserve"> </w:t>
      </w:r>
      <w:hyperlink r:id="rId18" w:history="1">
        <w:r w:rsidR="002504AD" w:rsidRPr="004B030A">
          <w:rPr>
            <w:rStyle w:val="Hyperlink"/>
            <w:rFonts w:cstheme="minorHAnsi"/>
          </w:rPr>
          <w:t>https://www.redcross.org.au/getmedia/7ef922ac-7360-4bd9-97f9-fb9517547eba/Doing-Responsible-Business-in-Armed-Conflict-final-publication-WEB.pdf.aspx</w:t>
        </w:r>
      </w:hyperlink>
      <w:r w:rsidR="00441A1B" w:rsidRPr="004B030A">
        <w:rPr>
          <w:rFonts w:cstheme="minorHAnsi"/>
        </w:rPr>
        <w:t xml:space="preserve"> </w:t>
      </w:r>
    </w:p>
    <w:p w14:paraId="0D461C86" w14:textId="77777777" w:rsidR="00441A1B" w:rsidRPr="004B030A" w:rsidRDefault="00441A1B" w:rsidP="005835D4">
      <w:pPr>
        <w:pStyle w:val="NoSpacing"/>
        <w:ind w:left="709"/>
        <w:rPr>
          <w:rFonts w:cstheme="minorHAnsi"/>
        </w:rPr>
      </w:pPr>
    </w:p>
    <w:p w14:paraId="55C0F49B" w14:textId="6F0E0EED" w:rsidR="00441A1B" w:rsidRPr="004B030A" w:rsidRDefault="006D159D" w:rsidP="005835D4">
      <w:pPr>
        <w:pStyle w:val="NoSpacing"/>
        <w:numPr>
          <w:ilvl w:val="0"/>
          <w:numId w:val="30"/>
        </w:numPr>
        <w:rPr>
          <w:rFonts w:cstheme="minorHAnsi"/>
        </w:rPr>
      </w:pPr>
      <w:r w:rsidRPr="004B030A">
        <w:rPr>
          <w:rFonts w:cstheme="minorHAnsi"/>
        </w:rPr>
        <w:t xml:space="preserve">Australian Red Cross and RMIT University, </w:t>
      </w:r>
      <w:r w:rsidR="00441A1B" w:rsidRPr="004B030A">
        <w:rPr>
          <w:rFonts w:cstheme="minorHAnsi"/>
          <w:i/>
        </w:rPr>
        <w:t>Seven Indicators of Corporate Best Practice in International Humanitarian Law</w:t>
      </w:r>
      <w:r w:rsidRPr="004B030A">
        <w:rPr>
          <w:rFonts w:cstheme="minorHAnsi"/>
          <w:i/>
        </w:rPr>
        <w:t xml:space="preserve"> </w:t>
      </w:r>
      <w:r w:rsidR="00441A1B" w:rsidRPr="004B030A">
        <w:rPr>
          <w:rFonts w:cstheme="minorHAnsi"/>
        </w:rPr>
        <w:t>(January 2021)</w:t>
      </w:r>
      <w:r w:rsidR="00C0117D" w:rsidRPr="004B030A">
        <w:rPr>
          <w:rFonts w:cstheme="minorHAnsi"/>
        </w:rPr>
        <w:t xml:space="preserve"> </w:t>
      </w:r>
    </w:p>
    <w:p w14:paraId="6674B36D" w14:textId="39A7C745" w:rsidR="00441A1B" w:rsidRPr="004B030A" w:rsidRDefault="003C301A" w:rsidP="005835D4">
      <w:pPr>
        <w:pStyle w:val="NoSpacing"/>
        <w:ind w:left="720"/>
        <w:rPr>
          <w:rFonts w:cstheme="minorHAnsi"/>
        </w:rPr>
      </w:pPr>
      <w:hyperlink r:id="rId19" w:history="1">
        <w:r w:rsidR="002504AD" w:rsidRPr="004B030A">
          <w:rPr>
            <w:rStyle w:val="Hyperlink"/>
            <w:rFonts w:cstheme="minorHAnsi"/>
          </w:rPr>
          <w:t>https://www.redcross.org.au/getmedia/7a742c8c-e184-4c0b-9146-ae4e2edef8bc/7-indicators-of-corp-best-prac-FINAL-2021.pdf.aspx</w:t>
        </w:r>
      </w:hyperlink>
    </w:p>
    <w:p w14:paraId="261443A0" w14:textId="77777777" w:rsidR="00441A1B" w:rsidRPr="004B030A" w:rsidRDefault="00441A1B" w:rsidP="005835D4">
      <w:pPr>
        <w:pStyle w:val="NoSpacing"/>
        <w:ind w:left="709"/>
        <w:rPr>
          <w:rFonts w:cstheme="minorHAnsi"/>
        </w:rPr>
      </w:pPr>
    </w:p>
    <w:p w14:paraId="149CB0F6" w14:textId="2D68B84A" w:rsidR="006D159D" w:rsidRPr="004B030A" w:rsidRDefault="006D159D" w:rsidP="005835D4">
      <w:pPr>
        <w:pStyle w:val="NoSpacing"/>
        <w:numPr>
          <w:ilvl w:val="0"/>
          <w:numId w:val="30"/>
        </w:numPr>
        <w:rPr>
          <w:rStyle w:val="authors"/>
          <w:rFonts w:cstheme="minorHAnsi"/>
        </w:rPr>
      </w:pPr>
      <w:r w:rsidRPr="004B030A">
        <w:rPr>
          <w:rStyle w:val="authors"/>
          <w:rFonts w:cstheme="minorHAnsi"/>
        </w:rPr>
        <w:t xml:space="preserve">Geneva Centre for Security Sector Governance, International Committee of the Red Cross, and Geneva </w:t>
      </w:r>
      <w:proofErr w:type="spellStart"/>
      <w:r w:rsidRPr="004B030A">
        <w:rPr>
          <w:rStyle w:val="authors"/>
          <w:rFonts w:cstheme="minorHAnsi"/>
        </w:rPr>
        <w:t>Center</w:t>
      </w:r>
      <w:proofErr w:type="spellEnd"/>
      <w:r w:rsidRPr="004B030A">
        <w:rPr>
          <w:rStyle w:val="authors"/>
          <w:rFonts w:cstheme="minorHAnsi"/>
        </w:rPr>
        <w:t xml:space="preserve"> for Business and Human Rights, </w:t>
      </w:r>
      <w:r w:rsidRPr="004B030A">
        <w:rPr>
          <w:rStyle w:val="authors"/>
          <w:rFonts w:cstheme="minorHAnsi"/>
          <w:i/>
          <w:iCs/>
        </w:rPr>
        <w:t>Addressing Security and Human Rights Challenges in Complex Environments: A Practical Toolkit</w:t>
      </w:r>
      <w:r w:rsidRPr="004B030A">
        <w:rPr>
          <w:rStyle w:val="authors"/>
          <w:rFonts w:cstheme="minorHAnsi"/>
        </w:rPr>
        <w:t xml:space="preserve"> (2022) </w:t>
      </w:r>
      <w:hyperlink r:id="rId20" w:history="1">
        <w:r w:rsidR="00C0117D" w:rsidRPr="004B030A">
          <w:rPr>
            <w:rStyle w:val="Hyperlink"/>
            <w:rFonts w:cstheme="minorHAnsi"/>
          </w:rPr>
          <w:t>https://securityhumanrightshub.org/toolkit/a-practical-toolkit.pdf</w:t>
        </w:r>
      </w:hyperlink>
      <w:r w:rsidRPr="004B030A">
        <w:rPr>
          <w:rStyle w:val="authors"/>
          <w:rFonts w:cstheme="minorHAnsi"/>
        </w:rPr>
        <w:t xml:space="preserve"> </w:t>
      </w:r>
    </w:p>
    <w:p w14:paraId="04E38BE0" w14:textId="77777777" w:rsidR="006D159D" w:rsidRPr="004B030A" w:rsidRDefault="006D159D" w:rsidP="005835D4">
      <w:pPr>
        <w:pStyle w:val="NoSpacing"/>
        <w:ind w:left="720"/>
        <w:rPr>
          <w:rStyle w:val="authors"/>
          <w:rFonts w:cstheme="minorHAnsi"/>
        </w:rPr>
      </w:pPr>
    </w:p>
    <w:p w14:paraId="72732198" w14:textId="095F9BF4" w:rsidR="00441A1B" w:rsidRPr="004B030A" w:rsidRDefault="00441A1B" w:rsidP="005835D4">
      <w:pPr>
        <w:pStyle w:val="NoSpacing"/>
        <w:numPr>
          <w:ilvl w:val="0"/>
          <w:numId w:val="30"/>
        </w:numPr>
        <w:rPr>
          <w:rStyle w:val="pagerange"/>
          <w:rFonts w:cstheme="minorHAnsi"/>
        </w:rPr>
      </w:pPr>
      <w:r w:rsidRPr="004B030A">
        <w:rPr>
          <w:rStyle w:val="authors"/>
          <w:rFonts w:cstheme="minorHAnsi"/>
          <w:shd w:val="clear" w:color="auto" w:fill="FFFFFF"/>
        </w:rPr>
        <w:t>Jonathan Kolieb</w:t>
      </w:r>
      <w:r w:rsidRPr="004B030A">
        <w:rPr>
          <w:rFonts w:cstheme="minorHAnsi"/>
          <w:shd w:val="clear" w:color="auto" w:fill="FFFFFF"/>
        </w:rPr>
        <w:t>, ‘</w:t>
      </w:r>
      <w:r w:rsidRPr="004B030A">
        <w:rPr>
          <w:rStyle w:val="arttitle"/>
          <w:rFonts w:cstheme="minorHAnsi"/>
          <w:shd w:val="clear" w:color="auto" w:fill="FFFFFF"/>
        </w:rPr>
        <w:t>Don’t forget the Geneva Conventions: achieving responsible business conduct in conflict-affected areas through adherence to international humanitarian law,’</w:t>
      </w:r>
      <w:r w:rsidRPr="004B030A">
        <w:rPr>
          <w:rFonts w:cstheme="minorHAnsi"/>
          <w:shd w:val="clear" w:color="auto" w:fill="FFFFFF"/>
        </w:rPr>
        <w:t> </w:t>
      </w:r>
      <w:r w:rsidRPr="004B030A">
        <w:rPr>
          <w:rStyle w:val="serialtitle"/>
          <w:rFonts w:cstheme="minorHAnsi"/>
          <w:i/>
          <w:shd w:val="clear" w:color="auto" w:fill="FFFFFF"/>
        </w:rPr>
        <w:t>Australian Journal of Human Rights</w:t>
      </w:r>
      <w:r w:rsidRPr="004B030A">
        <w:rPr>
          <w:rStyle w:val="serialtitle"/>
          <w:rFonts w:cstheme="minorHAnsi"/>
          <w:shd w:val="clear" w:color="auto" w:fill="FFFFFF"/>
        </w:rPr>
        <w:t xml:space="preserve"> (2020) Vol.</w:t>
      </w:r>
      <w:r w:rsidRPr="004B030A">
        <w:rPr>
          <w:rFonts w:cstheme="minorHAnsi"/>
          <w:shd w:val="clear" w:color="auto" w:fill="FFFFFF"/>
        </w:rPr>
        <w:t> </w:t>
      </w:r>
      <w:r w:rsidRPr="004B030A">
        <w:rPr>
          <w:rStyle w:val="volumeissue"/>
          <w:rFonts w:cstheme="minorHAnsi"/>
          <w:shd w:val="clear" w:color="auto" w:fill="FFFFFF"/>
        </w:rPr>
        <w:t>26:1,</w:t>
      </w:r>
      <w:r w:rsidRPr="004B030A">
        <w:rPr>
          <w:rFonts w:cstheme="minorHAnsi"/>
          <w:shd w:val="clear" w:color="auto" w:fill="FFFFFF"/>
        </w:rPr>
        <w:t> </w:t>
      </w:r>
      <w:r w:rsidRPr="004B030A">
        <w:rPr>
          <w:rStyle w:val="pagerange"/>
          <w:rFonts w:cstheme="minorHAnsi"/>
          <w:shd w:val="clear" w:color="auto" w:fill="FFFFFF"/>
        </w:rPr>
        <w:t>142-164.</w:t>
      </w:r>
      <w:r w:rsidR="00C0117D" w:rsidRPr="004B030A">
        <w:rPr>
          <w:rStyle w:val="pagerange"/>
          <w:rFonts w:cstheme="minorHAnsi"/>
          <w:shd w:val="clear" w:color="auto" w:fill="FFFFFF"/>
        </w:rPr>
        <w:t xml:space="preserve"> </w:t>
      </w:r>
    </w:p>
    <w:p w14:paraId="45DCC791" w14:textId="5360AAEA" w:rsidR="00441A1B" w:rsidRPr="004B030A" w:rsidRDefault="003C301A" w:rsidP="005835D4">
      <w:pPr>
        <w:pStyle w:val="NoSpacing"/>
        <w:ind w:left="720"/>
        <w:rPr>
          <w:rStyle w:val="Hyperlink"/>
          <w:rFonts w:cstheme="minorHAnsi"/>
        </w:rPr>
      </w:pPr>
      <w:hyperlink r:id="rId21" w:history="1">
        <w:r w:rsidR="002504AD" w:rsidRPr="004B030A">
          <w:rPr>
            <w:rStyle w:val="Hyperlink"/>
            <w:rFonts w:cstheme="minorHAnsi"/>
          </w:rPr>
          <w:t>https://doi.org/10.1080/1323238X.2020.1792137</w:t>
        </w:r>
      </w:hyperlink>
    </w:p>
    <w:p w14:paraId="6D4A56A5" w14:textId="57EADCDE" w:rsidR="00A43C5D" w:rsidRPr="004B030A" w:rsidRDefault="00A43C5D" w:rsidP="005835D4">
      <w:pPr>
        <w:pStyle w:val="NoSpacing"/>
        <w:rPr>
          <w:rStyle w:val="Hyperlink"/>
          <w:rFonts w:cstheme="minorHAnsi"/>
        </w:rPr>
      </w:pPr>
    </w:p>
    <w:p w14:paraId="3E1709B3" w14:textId="2F1ADEAD" w:rsidR="00BC3FE3" w:rsidRPr="004B030A" w:rsidRDefault="00A43C5D" w:rsidP="005835D4">
      <w:pPr>
        <w:pStyle w:val="NoSpacing"/>
        <w:numPr>
          <w:ilvl w:val="0"/>
          <w:numId w:val="30"/>
        </w:numPr>
        <w:rPr>
          <w:rFonts w:cstheme="minorHAnsi"/>
          <w:iCs/>
          <w:color w:val="4472C4" w:themeColor="accent1"/>
        </w:rPr>
      </w:pPr>
      <w:r w:rsidRPr="004B030A">
        <w:rPr>
          <w:rFonts w:cstheme="minorHAnsi"/>
        </w:rPr>
        <w:t xml:space="preserve">Fauve Kurnadi and </w:t>
      </w:r>
      <w:r w:rsidR="00037B25" w:rsidRPr="004B030A">
        <w:rPr>
          <w:rFonts w:cstheme="minorHAnsi"/>
        </w:rPr>
        <w:t>Adaena Sinclair-Blakemore</w:t>
      </w:r>
      <w:r w:rsidRPr="004B030A">
        <w:rPr>
          <w:rFonts w:cstheme="minorHAnsi"/>
        </w:rPr>
        <w:t xml:space="preserve">, </w:t>
      </w:r>
      <w:r w:rsidR="00F95DD9" w:rsidRPr="004B030A">
        <w:rPr>
          <w:rFonts w:cstheme="minorHAnsi"/>
        </w:rPr>
        <w:t>‘</w:t>
      </w:r>
      <w:r w:rsidR="00B019EC" w:rsidRPr="004B030A">
        <w:rPr>
          <w:rFonts w:cstheme="minorHAnsi"/>
          <w:iCs/>
        </w:rPr>
        <w:t>Investing in the laws of war: international humanitarian law and the financial sector</w:t>
      </w:r>
      <w:r w:rsidR="00F95DD9" w:rsidRPr="004B030A">
        <w:rPr>
          <w:rFonts w:cstheme="minorHAnsi"/>
          <w:iCs/>
        </w:rPr>
        <w:t>’</w:t>
      </w:r>
      <w:r w:rsidRPr="004B030A">
        <w:rPr>
          <w:rFonts w:cstheme="minorHAnsi"/>
          <w:iCs/>
        </w:rPr>
        <w:t xml:space="preserve">, </w:t>
      </w:r>
      <w:r w:rsidR="00B019EC" w:rsidRPr="004B030A">
        <w:rPr>
          <w:rFonts w:cstheme="minorHAnsi"/>
          <w:i/>
        </w:rPr>
        <w:t xml:space="preserve">Humanitarian Law and Policy </w:t>
      </w:r>
      <w:r w:rsidRPr="004B030A">
        <w:rPr>
          <w:rFonts w:cstheme="minorHAnsi"/>
          <w:i/>
        </w:rPr>
        <w:t>Blog</w:t>
      </w:r>
      <w:r w:rsidR="00F95DD9" w:rsidRPr="004B030A">
        <w:rPr>
          <w:rFonts w:cstheme="minorHAnsi"/>
          <w:iCs/>
        </w:rPr>
        <w:t xml:space="preserve">, </w:t>
      </w:r>
      <w:r w:rsidR="00B019EC" w:rsidRPr="004B030A">
        <w:rPr>
          <w:rFonts w:cstheme="minorHAnsi"/>
          <w:iCs/>
        </w:rPr>
        <w:t xml:space="preserve">International Committee of the </w:t>
      </w:r>
      <w:r w:rsidR="00F95DD9" w:rsidRPr="004B030A">
        <w:rPr>
          <w:rFonts w:cstheme="minorHAnsi"/>
          <w:iCs/>
        </w:rPr>
        <w:t>Red Cross (202</w:t>
      </w:r>
      <w:r w:rsidR="00B019EC" w:rsidRPr="004B030A">
        <w:rPr>
          <w:rFonts w:cstheme="minorHAnsi"/>
          <w:iCs/>
        </w:rPr>
        <w:t>3</w:t>
      </w:r>
      <w:r w:rsidR="00F95DD9" w:rsidRPr="004B030A">
        <w:rPr>
          <w:rFonts w:cstheme="minorHAnsi"/>
          <w:iCs/>
        </w:rPr>
        <w:t>)</w:t>
      </w:r>
      <w:r w:rsidR="00964115" w:rsidRPr="004B030A">
        <w:rPr>
          <w:rFonts w:cstheme="minorHAnsi"/>
          <w:iCs/>
        </w:rPr>
        <w:t xml:space="preserve"> </w:t>
      </w:r>
      <w:hyperlink r:id="rId22" w:history="1">
        <w:r w:rsidR="00964115" w:rsidRPr="004B030A">
          <w:rPr>
            <w:rStyle w:val="Hyperlink"/>
            <w:rFonts w:cstheme="minorHAnsi"/>
          </w:rPr>
          <w:t>Investing in the laws of war: IHL and the financial sector (icrc.org)</w:t>
        </w:r>
      </w:hyperlink>
      <w:r w:rsidR="00B019EC" w:rsidRPr="004B030A">
        <w:rPr>
          <w:rFonts w:cstheme="minorHAnsi"/>
          <w:iCs/>
        </w:rPr>
        <w:t>.</w:t>
      </w:r>
    </w:p>
    <w:sectPr w:rsidR="00BC3FE3" w:rsidRPr="004B030A" w:rsidSect="004B030A">
      <w:footerReference w:type="default" r:id="rId23"/>
      <w:headerReference w:type="first" r:id="rId24"/>
      <w:pgSz w:w="11900" w:h="16840"/>
      <w:pgMar w:top="1701" w:right="1270" w:bottom="1418" w:left="1270" w:header="709" w:footer="11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29F0" w14:textId="77777777" w:rsidR="00AC7A74" w:rsidRDefault="00AC7A74" w:rsidP="00323435">
      <w:r>
        <w:separator/>
      </w:r>
    </w:p>
  </w:endnote>
  <w:endnote w:type="continuationSeparator" w:id="0">
    <w:p w14:paraId="6717AA5E" w14:textId="77777777" w:rsidR="00AC7A74" w:rsidRDefault="00AC7A74" w:rsidP="0032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166574"/>
      <w:docPartObj>
        <w:docPartGallery w:val="Page Numbers (Bottom of Page)"/>
        <w:docPartUnique/>
      </w:docPartObj>
    </w:sdtPr>
    <w:sdtEndPr>
      <w:rPr>
        <w:noProof/>
        <w:sz w:val="22"/>
        <w:szCs w:val="22"/>
      </w:rPr>
    </w:sdtEndPr>
    <w:sdtContent>
      <w:p w14:paraId="6BE8CB1A" w14:textId="47080455" w:rsidR="00466E9B" w:rsidRPr="000E185B" w:rsidRDefault="00466E9B">
        <w:pPr>
          <w:pStyle w:val="Footer"/>
          <w:jc w:val="right"/>
          <w:rPr>
            <w:sz w:val="22"/>
            <w:szCs w:val="22"/>
          </w:rPr>
        </w:pPr>
        <w:r w:rsidRPr="000E185B">
          <w:rPr>
            <w:sz w:val="22"/>
            <w:szCs w:val="22"/>
          </w:rPr>
          <w:fldChar w:fldCharType="begin"/>
        </w:r>
        <w:r w:rsidRPr="000E185B">
          <w:rPr>
            <w:sz w:val="22"/>
            <w:szCs w:val="22"/>
          </w:rPr>
          <w:instrText xml:space="preserve"> PAGE   \* MERGEFORMAT </w:instrText>
        </w:r>
        <w:r w:rsidRPr="000E185B">
          <w:rPr>
            <w:sz w:val="22"/>
            <w:szCs w:val="22"/>
          </w:rPr>
          <w:fldChar w:fldCharType="separate"/>
        </w:r>
        <w:r w:rsidRPr="000E185B">
          <w:rPr>
            <w:noProof/>
            <w:sz w:val="22"/>
            <w:szCs w:val="22"/>
          </w:rPr>
          <w:t>2</w:t>
        </w:r>
        <w:r w:rsidRPr="000E185B">
          <w:rPr>
            <w:noProof/>
            <w:sz w:val="22"/>
            <w:szCs w:val="22"/>
          </w:rPr>
          <w:fldChar w:fldCharType="end"/>
        </w:r>
      </w:p>
    </w:sdtContent>
  </w:sdt>
  <w:p w14:paraId="2115508A" w14:textId="6F4347E1" w:rsidR="00FB0E39" w:rsidRDefault="00FB0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CC07A" w14:textId="77777777" w:rsidR="00AC7A74" w:rsidRDefault="00AC7A74" w:rsidP="00323435">
      <w:r>
        <w:separator/>
      </w:r>
    </w:p>
  </w:footnote>
  <w:footnote w:type="continuationSeparator" w:id="0">
    <w:p w14:paraId="1C6EE4E4" w14:textId="77777777" w:rsidR="00AC7A74" w:rsidRDefault="00AC7A74" w:rsidP="00323435">
      <w:r>
        <w:continuationSeparator/>
      </w:r>
    </w:p>
  </w:footnote>
  <w:footnote w:id="1">
    <w:p w14:paraId="522920BD" w14:textId="42CD79EA" w:rsidR="000217A8" w:rsidRPr="009E440F" w:rsidRDefault="000217A8">
      <w:pPr>
        <w:pStyle w:val="FootnoteText"/>
        <w:rPr>
          <w:rFonts w:cstheme="minorHAnsi"/>
        </w:rPr>
      </w:pPr>
      <w:r w:rsidRPr="009E440F">
        <w:rPr>
          <w:rStyle w:val="FootnoteReference"/>
          <w:rFonts w:cstheme="minorHAnsi"/>
        </w:rPr>
        <w:footnoteRef/>
      </w:r>
      <w:r w:rsidRPr="009E440F">
        <w:rPr>
          <w:rFonts w:cstheme="minorHAnsi"/>
        </w:rPr>
        <w:t xml:space="preserve"> See </w:t>
      </w:r>
      <w:r w:rsidRPr="009E440F">
        <w:rPr>
          <w:rFonts w:cstheme="minorHAnsi"/>
          <w:b/>
          <w:bCs/>
        </w:rPr>
        <w:t>Annex A</w:t>
      </w:r>
      <w:r w:rsidRPr="009E440F">
        <w:rPr>
          <w:rFonts w:cstheme="minorHAnsi"/>
        </w:rPr>
        <w:t xml:space="preserve"> for a list of relevant resources written or edited by the undersigned.</w:t>
      </w:r>
    </w:p>
  </w:footnote>
  <w:footnote w:id="2">
    <w:p w14:paraId="2327433E" w14:textId="7758E0AE" w:rsidR="00EB4CB1" w:rsidRPr="009E440F" w:rsidRDefault="00EB4CB1">
      <w:pPr>
        <w:pStyle w:val="FootnoteText"/>
        <w:rPr>
          <w:rFonts w:cstheme="minorHAnsi"/>
        </w:rPr>
      </w:pPr>
      <w:r w:rsidRPr="009E440F">
        <w:rPr>
          <w:rStyle w:val="FootnoteReference"/>
          <w:rFonts w:cstheme="minorHAnsi"/>
        </w:rPr>
        <w:footnoteRef/>
      </w:r>
      <w:r w:rsidRPr="009E440F">
        <w:rPr>
          <w:rFonts w:cstheme="minorHAnsi"/>
        </w:rPr>
        <w:t xml:space="preserve"> Deloitte, 2022, </w:t>
      </w:r>
      <w:r w:rsidR="005E3F42" w:rsidRPr="009E440F">
        <w:rPr>
          <w:rFonts w:cstheme="minorHAnsi"/>
        </w:rPr>
        <w:t xml:space="preserve">‘Ingraining sustainability in the next era of ESG investing’,  </w:t>
      </w:r>
      <w:r w:rsidRPr="009E440F">
        <w:rPr>
          <w:rFonts w:cstheme="minorHAnsi"/>
        </w:rPr>
        <w:t>&lt;</w:t>
      </w:r>
      <w:hyperlink r:id="rId1" w:history="1">
        <w:r w:rsidRPr="009E440F">
          <w:rPr>
            <w:rStyle w:val="Hyperlink"/>
            <w:rFonts w:cstheme="minorHAnsi"/>
            <w:color w:val="auto"/>
          </w:rPr>
          <w:t>https://www2.deloitte.com/content/dam/insights/articles/us154481_cfs-the-next-era-of-esg-investing-sustainability-at-the-core/DI_The-next-era-of-ESG-investing.pdf</w:t>
        </w:r>
      </w:hyperlink>
      <w:r w:rsidRPr="009E440F">
        <w:rPr>
          <w:rFonts w:cstheme="minorHAnsi"/>
        </w:rPr>
        <w:t>&gt;</w:t>
      </w:r>
      <w:r w:rsidR="00E2234C" w:rsidRPr="009E440F">
        <w:rPr>
          <w:rFonts w:cstheme="minorHAnsi"/>
        </w:rPr>
        <w:t>.</w:t>
      </w:r>
    </w:p>
  </w:footnote>
  <w:footnote w:id="3">
    <w:p w14:paraId="6C079E1B" w14:textId="77777777" w:rsidR="0010040F" w:rsidRPr="009E440F" w:rsidRDefault="0010040F" w:rsidP="0010040F">
      <w:pPr>
        <w:pStyle w:val="FootnoteText"/>
        <w:rPr>
          <w:rFonts w:cstheme="minorHAnsi"/>
          <w:lang w:val="en-US"/>
        </w:rPr>
      </w:pPr>
      <w:r w:rsidRPr="009E440F">
        <w:rPr>
          <w:rStyle w:val="FootnoteReference"/>
          <w:rFonts w:cstheme="minorHAnsi"/>
        </w:rPr>
        <w:footnoteRef/>
      </w:r>
      <w:r w:rsidRPr="009E440F">
        <w:rPr>
          <w:rFonts w:cstheme="minorHAnsi"/>
        </w:rPr>
        <w:t xml:space="preserve"> </w:t>
      </w:r>
      <w:r w:rsidRPr="009E440F">
        <w:rPr>
          <w:rFonts w:cstheme="minorHAnsi"/>
          <w:lang w:val="en-US"/>
        </w:rPr>
        <w:t>See for example, Responsible Investment Association of Australasia, 2023, ‘Investor Toolkit on Human Rights and Armed Conflict’ &lt;</w:t>
      </w:r>
      <w:hyperlink r:id="rId2" w:history="1">
        <w:r w:rsidRPr="009E440F">
          <w:rPr>
            <w:rStyle w:val="Hyperlink"/>
            <w:rFonts w:cstheme="minorHAnsi"/>
            <w:color w:val="auto"/>
            <w:lang w:val="en-US"/>
          </w:rPr>
          <w:t>https://responsibleinvestment.org/wp-content/uploads/2023/05/Investor-Toolkit-on-Human-Rights-and-Armed-Conflict.pdf</w:t>
        </w:r>
      </w:hyperlink>
      <w:r w:rsidRPr="009E440F">
        <w:rPr>
          <w:rFonts w:cstheme="minorHAnsi"/>
          <w:lang w:val="en-US"/>
        </w:rPr>
        <w:t>&gt;.</w:t>
      </w:r>
    </w:p>
  </w:footnote>
  <w:footnote w:id="4">
    <w:p w14:paraId="7BA716CE" w14:textId="66AEB9E0" w:rsidR="000C47DC" w:rsidRPr="009E440F" w:rsidRDefault="000C47DC">
      <w:pPr>
        <w:pStyle w:val="FootnoteText"/>
        <w:rPr>
          <w:rFonts w:cstheme="minorHAnsi"/>
          <w:lang w:val="en-US"/>
        </w:rPr>
      </w:pPr>
      <w:r w:rsidRPr="009E440F">
        <w:rPr>
          <w:rStyle w:val="FootnoteReference"/>
          <w:rFonts w:cstheme="minorHAnsi"/>
        </w:rPr>
        <w:footnoteRef/>
      </w:r>
      <w:r w:rsidRPr="009E440F">
        <w:rPr>
          <w:rFonts w:cstheme="minorHAnsi"/>
        </w:rPr>
        <w:t xml:space="preserve"> </w:t>
      </w:r>
      <w:r w:rsidR="009E440F" w:rsidRPr="009E440F">
        <w:rPr>
          <w:rFonts w:cstheme="minorHAnsi"/>
          <w:shd w:val="clear" w:color="auto" w:fill="FFFFFF"/>
        </w:rPr>
        <w:t>Deloitte 2022, </w:t>
      </w:r>
      <w:r w:rsidR="009E440F" w:rsidRPr="009E440F">
        <w:rPr>
          <w:rFonts w:cstheme="minorHAnsi"/>
          <w:i/>
          <w:iCs/>
          <w:shd w:val="clear" w:color="auto" w:fill="FFFFFF"/>
        </w:rPr>
        <w:t>Responsible business and international humanitarian law in the finance sector</w:t>
      </w:r>
      <w:r w:rsidR="009E440F" w:rsidRPr="009E440F">
        <w:rPr>
          <w:rFonts w:cstheme="minorHAnsi"/>
          <w:shd w:val="clear" w:color="auto" w:fill="FFFFFF"/>
        </w:rPr>
        <w:t>, unpublished confidential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D87C" w14:textId="1FF0C63D" w:rsidR="00D86D7E" w:rsidRDefault="006307FA">
    <w:pPr>
      <w:pStyle w:val="Header"/>
    </w:pPr>
    <w:r w:rsidRPr="00C513F5">
      <w:rPr>
        <w:noProof/>
        <w:lang w:eastAsia="en-AU"/>
      </w:rPr>
      <w:drawing>
        <wp:anchor distT="0" distB="0" distL="114300" distR="114300" simplePos="0" relativeHeight="251659264" behindDoc="0" locked="0" layoutInCell="1" allowOverlap="1" wp14:anchorId="60CC058A" wp14:editId="0EDBF08B">
          <wp:simplePos x="0" y="0"/>
          <wp:positionH relativeFrom="margin">
            <wp:posOffset>4297045</wp:posOffset>
          </wp:positionH>
          <wp:positionV relativeFrom="paragraph">
            <wp:posOffset>131445</wp:posOffset>
          </wp:positionV>
          <wp:extent cx="1430655" cy="496570"/>
          <wp:effectExtent l="0" t="0" r="0" b="0"/>
          <wp:wrapSquare wrapText="bothSides"/>
          <wp:docPr id="132943668" name="Picture 132943668">
            <a:extLst xmlns:a="http://schemas.openxmlformats.org/drawingml/2006/main">
              <a:ext uri="{FF2B5EF4-FFF2-40B4-BE49-F238E27FC236}">
                <a16:creationId xmlns:a16="http://schemas.microsoft.com/office/drawing/2014/main" id="{A02BB425-B24B-4D5A-8AD0-A3533D0E70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A02BB425-B24B-4D5A-8AD0-A3533D0E702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0655" cy="4965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3120" behindDoc="0" locked="0" layoutInCell="1" allowOverlap="1" wp14:anchorId="1C86667E" wp14:editId="34BDC653">
          <wp:simplePos x="0" y="0"/>
          <wp:positionH relativeFrom="column">
            <wp:posOffset>-171450</wp:posOffset>
          </wp:positionH>
          <wp:positionV relativeFrom="paragraph">
            <wp:posOffset>-5715</wp:posOffset>
          </wp:positionV>
          <wp:extent cx="1905000" cy="795020"/>
          <wp:effectExtent l="0" t="0" r="0" b="5080"/>
          <wp:wrapTight wrapText="bothSides">
            <wp:wrapPolygon edited="0">
              <wp:start x="0" y="0"/>
              <wp:lineTo x="0" y="21220"/>
              <wp:lineTo x="21384" y="21220"/>
              <wp:lineTo x="21384" y="0"/>
              <wp:lineTo x="0" y="0"/>
            </wp:wrapPolygon>
          </wp:wrapTight>
          <wp:docPr id="929088548" name="Picture 929088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_Logo_Master_RGB.jpg"/>
                  <pic:cNvPicPr/>
                </pic:nvPicPr>
                <pic:blipFill>
                  <a:blip r:embed="rId2">
                    <a:extLst>
                      <a:ext uri="{28A0092B-C50C-407E-A947-70E740481C1C}">
                        <a14:useLocalDpi xmlns:a14="http://schemas.microsoft.com/office/drawing/2010/main" val="0"/>
                      </a:ext>
                    </a:extLst>
                  </a:blip>
                  <a:stretch>
                    <a:fillRect/>
                  </a:stretch>
                </pic:blipFill>
                <pic:spPr>
                  <a:xfrm>
                    <a:off x="0" y="0"/>
                    <a:ext cx="1905000" cy="795020"/>
                  </a:xfrm>
                  <a:prstGeom prst="rect">
                    <a:avLst/>
                  </a:prstGeom>
                </pic:spPr>
              </pic:pic>
            </a:graphicData>
          </a:graphic>
          <wp14:sizeRelH relativeFrom="page">
            <wp14:pctWidth>0</wp14:pctWidth>
          </wp14:sizeRelH>
          <wp14:sizeRelV relativeFrom="page">
            <wp14:pctHeight>0</wp14:pctHeight>
          </wp14:sizeRelV>
        </wp:anchor>
      </w:drawing>
    </w:r>
    <w:r w:rsidR="00C11C8C">
      <w:rPr>
        <w:noProof/>
      </w:rPr>
      <w:drawing>
        <wp:anchor distT="0" distB="0" distL="114300" distR="114300" simplePos="0" relativeHeight="251663360" behindDoc="1" locked="0" layoutInCell="1" allowOverlap="1" wp14:anchorId="632578A9" wp14:editId="3E5FC685">
          <wp:simplePos x="0" y="0"/>
          <wp:positionH relativeFrom="margin">
            <wp:posOffset>2628265</wp:posOffset>
          </wp:positionH>
          <wp:positionV relativeFrom="paragraph">
            <wp:posOffset>-68580</wp:posOffset>
          </wp:positionV>
          <wp:extent cx="687705" cy="793750"/>
          <wp:effectExtent l="0" t="0" r="0" b="6350"/>
          <wp:wrapTight wrapText="bothSides">
            <wp:wrapPolygon edited="0">
              <wp:start x="6582" y="0"/>
              <wp:lineTo x="3590" y="2592"/>
              <wp:lineTo x="1795" y="5702"/>
              <wp:lineTo x="2393" y="8294"/>
              <wp:lineTo x="0" y="15552"/>
              <wp:lineTo x="0" y="21254"/>
              <wp:lineTo x="20942" y="21254"/>
              <wp:lineTo x="20942" y="16070"/>
              <wp:lineTo x="19745" y="6739"/>
              <wp:lineTo x="17352" y="3110"/>
              <wp:lineTo x="14360" y="0"/>
              <wp:lineTo x="6582" y="0"/>
            </wp:wrapPolygon>
          </wp:wrapTight>
          <wp:docPr id="34123206" name="Picture 34123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7705" cy="793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C74E4D" w14:textId="4D6111B2" w:rsidR="00D86D7E" w:rsidRDefault="00D86D7E">
    <w:pPr>
      <w:pStyle w:val="Header"/>
    </w:pPr>
  </w:p>
  <w:p w14:paraId="65B75E03" w14:textId="5AFCA850" w:rsidR="00D86D7E" w:rsidRDefault="008A3099">
    <w:pPr>
      <w:pStyle w:val="Header"/>
    </w:pPr>
    <w:r>
      <w:tab/>
    </w:r>
  </w:p>
  <w:p w14:paraId="6DC38D1E" w14:textId="77777777" w:rsidR="001A6218" w:rsidRDefault="001A6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ED6"/>
    <w:multiLevelType w:val="multilevel"/>
    <w:tmpl w:val="E37EE23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1B53B3C"/>
    <w:multiLevelType w:val="hybridMultilevel"/>
    <w:tmpl w:val="438E0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030F3"/>
    <w:multiLevelType w:val="multilevel"/>
    <w:tmpl w:val="23B43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CB7E05"/>
    <w:multiLevelType w:val="hybridMultilevel"/>
    <w:tmpl w:val="8DA2088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4" w15:restartNumberingAfterBreak="0">
    <w:nsid w:val="0E8E7E87"/>
    <w:multiLevelType w:val="hybridMultilevel"/>
    <w:tmpl w:val="21E0F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24287F"/>
    <w:multiLevelType w:val="hybridMultilevel"/>
    <w:tmpl w:val="9310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B4E8A"/>
    <w:multiLevelType w:val="hybridMultilevel"/>
    <w:tmpl w:val="A6A8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312AE"/>
    <w:multiLevelType w:val="hybridMultilevel"/>
    <w:tmpl w:val="97DA2EA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4640D7"/>
    <w:multiLevelType w:val="hybridMultilevel"/>
    <w:tmpl w:val="97DA2EAA"/>
    <w:lvl w:ilvl="0" w:tplc="CBB44FC0">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1C2DD2"/>
    <w:multiLevelType w:val="hybridMultilevel"/>
    <w:tmpl w:val="FD3A6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E67B32"/>
    <w:multiLevelType w:val="hybridMultilevel"/>
    <w:tmpl w:val="91D06716"/>
    <w:lvl w:ilvl="0" w:tplc="126AB296">
      <w:start w:val="1"/>
      <w:numFmt w:val="upperLetter"/>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1AA2A53"/>
    <w:multiLevelType w:val="hybridMultilevel"/>
    <w:tmpl w:val="5D003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93ECE"/>
    <w:multiLevelType w:val="multilevel"/>
    <w:tmpl w:val="5E3A4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4E4A62"/>
    <w:multiLevelType w:val="hybridMultilevel"/>
    <w:tmpl w:val="42CAB7F2"/>
    <w:lvl w:ilvl="0" w:tplc="F20C7740">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930634D"/>
    <w:multiLevelType w:val="hybridMultilevel"/>
    <w:tmpl w:val="B6346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29110F"/>
    <w:multiLevelType w:val="hybridMultilevel"/>
    <w:tmpl w:val="44C6B4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23417F"/>
    <w:multiLevelType w:val="multilevel"/>
    <w:tmpl w:val="BBD2F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7113EA"/>
    <w:multiLevelType w:val="hybridMultilevel"/>
    <w:tmpl w:val="4A74B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D01AEC"/>
    <w:multiLevelType w:val="multilevel"/>
    <w:tmpl w:val="9B8CD834"/>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9" w15:restartNumberingAfterBreak="0">
    <w:nsid w:val="3DDA07E9"/>
    <w:multiLevelType w:val="hybridMultilevel"/>
    <w:tmpl w:val="40B6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94E41"/>
    <w:multiLevelType w:val="hybridMultilevel"/>
    <w:tmpl w:val="2D880586"/>
    <w:lvl w:ilvl="0" w:tplc="26027CF4">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50A4A18"/>
    <w:multiLevelType w:val="hybridMultilevel"/>
    <w:tmpl w:val="A1E69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534B97"/>
    <w:multiLevelType w:val="hybridMultilevel"/>
    <w:tmpl w:val="35A4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776F2"/>
    <w:multiLevelType w:val="hybridMultilevel"/>
    <w:tmpl w:val="91C4885C"/>
    <w:lvl w:ilvl="0" w:tplc="92C070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F611F7"/>
    <w:multiLevelType w:val="multilevel"/>
    <w:tmpl w:val="EB38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7D440E"/>
    <w:multiLevelType w:val="multilevel"/>
    <w:tmpl w:val="173E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E95D97"/>
    <w:multiLevelType w:val="hybridMultilevel"/>
    <w:tmpl w:val="92EA80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7E82016"/>
    <w:multiLevelType w:val="hybridMultilevel"/>
    <w:tmpl w:val="F634AC04"/>
    <w:lvl w:ilvl="0" w:tplc="CBB44FC0">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A263C4E"/>
    <w:multiLevelType w:val="hybridMultilevel"/>
    <w:tmpl w:val="B98E3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F814B6"/>
    <w:multiLevelType w:val="hybridMultilevel"/>
    <w:tmpl w:val="79C6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50C45"/>
    <w:multiLevelType w:val="multilevel"/>
    <w:tmpl w:val="D1462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DD62E0"/>
    <w:multiLevelType w:val="multilevel"/>
    <w:tmpl w:val="07AE1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5F77AE"/>
    <w:multiLevelType w:val="hybridMultilevel"/>
    <w:tmpl w:val="39061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14066"/>
    <w:multiLevelType w:val="hybridMultilevel"/>
    <w:tmpl w:val="73DAF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231688"/>
    <w:multiLevelType w:val="hybridMultilevel"/>
    <w:tmpl w:val="2C60E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DF0993"/>
    <w:multiLevelType w:val="hybridMultilevel"/>
    <w:tmpl w:val="18664F6E"/>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A2740E"/>
    <w:multiLevelType w:val="hybridMultilevel"/>
    <w:tmpl w:val="3BC69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1471CB"/>
    <w:multiLevelType w:val="multilevel"/>
    <w:tmpl w:val="A9C43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2199771">
    <w:abstractNumId w:val="37"/>
  </w:num>
  <w:num w:numId="2" w16cid:durableId="415368972">
    <w:abstractNumId w:val="0"/>
  </w:num>
  <w:num w:numId="3" w16cid:durableId="1323662889">
    <w:abstractNumId w:val="25"/>
  </w:num>
  <w:num w:numId="4" w16cid:durableId="121465471">
    <w:abstractNumId w:val="24"/>
  </w:num>
  <w:num w:numId="5" w16cid:durableId="755830875">
    <w:abstractNumId w:val="31"/>
  </w:num>
  <w:num w:numId="6" w16cid:durableId="1311132121">
    <w:abstractNumId w:val="16"/>
  </w:num>
  <w:num w:numId="7" w16cid:durableId="186254438">
    <w:abstractNumId w:val="12"/>
  </w:num>
  <w:num w:numId="8" w16cid:durableId="1159543028">
    <w:abstractNumId w:val="1"/>
  </w:num>
  <w:num w:numId="9" w16cid:durableId="752581867">
    <w:abstractNumId w:val="28"/>
  </w:num>
  <w:num w:numId="10" w16cid:durableId="1511483142">
    <w:abstractNumId w:val="19"/>
  </w:num>
  <w:num w:numId="11" w16cid:durableId="90200767">
    <w:abstractNumId w:val="22"/>
  </w:num>
  <w:num w:numId="12" w16cid:durableId="1347488161">
    <w:abstractNumId w:val="32"/>
  </w:num>
  <w:num w:numId="13" w16cid:durableId="330909990">
    <w:abstractNumId w:val="5"/>
  </w:num>
  <w:num w:numId="14" w16cid:durableId="2015565683">
    <w:abstractNumId w:val="34"/>
  </w:num>
  <w:num w:numId="15" w16cid:durableId="1663775416">
    <w:abstractNumId w:val="29"/>
  </w:num>
  <w:num w:numId="16" w16cid:durableId="278463246">
    <w:abstractNumId w:val="10"/>
  </w:num>
  <w:num w:numId="17" w16cid:durableId="871765025">
    <w:abstractNumId w:val="26"/>
  </w:num>
  <w:num w:numId="18" w16cid:durableId="1774351145">
    <w:abstractNumId w:val="35"/>
  </w:num>
  <w:num w:numId="19" w16cid:durableId="1829319917">
    <w:abstractNumId w:val="13"/>
  </w:num>
  <w:num w:numId="20" w16cid:durableId="1101561505">
    <w:abstractNumId w:val="20"/>
  </w:num>
  <w:num w:numId="21" w16cid:durableId="6690235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7080782">
    <w:abstractNumId w:val="6"/>
  </w:num>
  <w:num w:numId="23" w16cid:durableId="1589532333">
    <w:abstractNumId w:val="4"/>
  </w:num>
  <w:num w:numId="24" w16cid:durableId="376584365">
    <w:abstractNumId w:val="15"/>
  </w:num>
  <w:num w:numId="25" w16cid:durableId="788859444">
    <w:abstractNumId w:val="33"/>
  </w:num>
  <w:num w:numId="26" w16cid:durableId="2110811815">
    <w:abstractNumId w:val="14"/>
  </w:num>
  <w:num w:numId="27" w16cid:durableId="1912621664">
    <w:abstractNumId w:val="11"/>
  </w:num>
  <w:num w:numId="28" w16cid:durableId="942568858">
    <w:abstractNumId w:val="36"/>
  </w:num>
  <w:num w:numId="29" w16cid:durableId="1108695953">
    <w:abstractNumId w:val="9"/>
  </w:num>
  <w:num w:numId="30" w16cid:durableId="1519150495">
    <w:abstractNumId w:val="23"/>
  </w:num>
  <w:num w:numId="31" w16cid:durableId="1868786741">
    <w:abstractNumId w:val="3"/>
  </w:num>
  <w:num w:numId="32" w16cid:durableId="1375156882">
    <w:abstractNumId w:val="2"/>
  </w:num>
  <w:num w:numId="33" w16cid:durableId="1208571676">
    <w:abstractNumId w:val="30"/>
  </w:num>
  <w:num w:numId="34" w16cid:durableId="470371922">
    <w:abstractNumId w:val="27"/>
  </w:num>
  <w:num w:numId="35" w16cid:durableId="334234367">
    <w:abstractNumId w:val="8"/>
  </w:num>
  <w:num w:numId="36" w16cid:durableId="1150486495">
    <w:abstractNumId w:val="7"/>
  </w:num>
  <w:num w:numId="37" w16cid:durableId="1836607075">
    <w:abstractNumId w:val="17"/>
  </w:num>
  <w:num w:numId="38" w16cid:durableId="148697036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Tvg2yaiCQYoHpBdYIezLTDRolMyS50wdRklmsgHJ34jj0f8l2XHvx9EhJ1bMXJyA0Vd2LgjRgTDPXuC4xRNk4Q==" w:salt="OwChnWkfPGGBLqkv6H3B8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1D6"/>
    <w:rsid w:val="000000FD"/>
    <w:rsid w:val="00006BA6"/>
    <w:rsid w:val="00007CD6"/>
    <w:rsid w:val="0001272D"/>
    <w:rsid w:val="000143E1"/>
    <w:rsid w:val="0001493E"/>
    <w:rsid w:val="000217A8"/>
    <w:rsid w:val="00032CDC"/>
    <w:rsid w:val="0003370F"/>
    <w:rsid w:val="000374F0"/>
    <w:rsid w:val="00037B25"/>
    <w:rsid w:val="00041F54"/>
    <w:rsid w:val="00044673"/>
    <w:rsid w:val="00045112"/>
    <w:rsid w:val="00046D17"/>
    <w:rsid w:val="00051095"/>
    <w:rsid w:val="00053DFE"/>
    <w:rsid w:val="000545A8"/>
    <w:rsid w:val="00055D5E"/>
    <w:rsid w:val="00060F58"/>
    <w:rsid w:val="000644D8"/>
    <w:rsid w:val="00070C11"/>
    <w:rsid w:val="00071067"/>
    <w:rsid w:val="00072CD9"/>
    <w:rsid w:val="00074A37"/>
    <w:rsid w:val="00074E47"/>
    <w:rsid w:val="00080077"/>
    <w:rsid w:val="00080D4C"/>
    <w:rsid w:val="000816DE"/>
    <w:rsid w:val="00082A0F"/>
    <w:rsid w:val="000837FC"/>
    <w:rsid w:val="00085137"/>
    <w:rsid w:val="000902AD"/>
    <w:rsid w:val="00091CFB"/>
    <w:rsid w:val="000A1BD9"/>
    <w:rsid w:val="000A2FC7"/>
    <w:rsid w:val="000A793B"/>
    <w:rsid w:val="000B1ACA"/>
    <w:rsid w:val="000B3773"/>
    <w:rsid w:val="000B4A0F"/>
    <w:rsid w:val="000B5A58"/>
    <w:rsid w:val="000C3A9A"/>
    <w:rsid w:val="000C47DC"/>
    <w:rsid w:val="000D097F"/>
    <w:rsid w:val="000D22A4"/>
    <w:rsid w:val="000D2700"/>
    <w:rsid w:val="000D3497"/>
    <w:rsid w:val="000D5B72"/>
    <w:rsid w:val="000D5DBA"/>
    <w:rsid w:val="000D7866"/>
    <w:rsid w:val="000D7C8A"/>
    <w:rsid w:val="000E185B"/>
    <w:rsid w:val="000E7894"/>
    <w:rsid w:val="000E7A44"/>
    <w:rsid w:val="000F1679"/>
    <w:rsid w:val="000F1D78"/>
    <w:rsid w:val="000F2D73"/>
    <w:rsid w:val="0010040F"/>
    <w:rsid w:val="001020ED"/>
    <w:rsid w:val="001066E9"/>
    <w:rsid w:val="001121A9"/>
    <w:rsid w:val="001136AF"/>
    <w:rsid w:val="00113E9D"/>
    <w:rsid w:val="00114E72"/>
    <w:rsid w:val="001153C5"/>
    <w:rsid w:val="00115B72"/>
    <w:rsid w:val="0011612E"/>
    <w:rsid w:val="00126CD9"/>
    <w:rsid w:val="00130FBC"/>
    <w:rsid w:val="00131FC3"/>
    <w:rsid w:val="00133D33"/>
    <w:rsid w:val="001360AC"/>
    <w:rsid w:val="00144ECC"/>
    <w:rsid w:val="0014751C"/>
    <w:rsid w:val="001511F4"/>
    <w:rsid w:val="001519F8"/>
    <w:rsid w:val="00155BB5"/>
    <w:rsid w:val="001604D6"/>
    <w:rsid w:val="001606B1"/>
    <w:rsid w:val="0016629A"/>
    <w:rsid w:val="001711BB"/>
    <w:rsid w:val="001777EE"/>
    <w:rsid w:val="00182D50"/>
    <w:rsid w:val="00185CA7"/>
    <w:rsid w:val="00186C52"/>
    <w:rsid w:val="00187718"/>
    <w:rsid w:val="00190E72"/>
    <w:rsid w:val="0019559B"/>
    <w:rsid w:val="00195C2B"/>
    <w:rsid w:val="00196B24"/>
    <w:rsid w:val="00197516"/>
    <w:rsid w:val="001A1749"/>
    <w:rsid w:val="001A3439"/>
    <w:rsid w:val="001A4DE2"/>
    <w:rsid w:val="001A574E"/>
    <w:rsid w:val="001A6218"/>
    <w:rsid w:val="001B0C0F"/>
    <w:rsid w:val="001B3EEF"/>
    <w:rsid w:val="001C377B"/>
    <w:rsid w:val="001C4B3C"/>
    <w:rsid w:val="001C4DF1"/>
    <w:rsid w:val="001C6EFF"/>
    <w:rsid w:val="001C770F"/>
    <w:rsid w:val="001C7A83"/>
    <w:rsid w:val="001D1647"/>
    <w:rsid w:val="001D43E1"/>
    <w:rsid w:val="001D72E6"/>
    <w:rsid w:val="001E01D1"/>
    <w:rsid w:val="001E29C0"/>
    <w:rsid w:val="001E39EE"/>
    <w:rsid w:val="001E768D"/>
    <w:rsid w:val="001F333E"/>
    <w:rsid w:val="001F7D24"/>
    <w:rsid w:val="002012F1"/>
    <w:rsid w:val="00202BE3"/>
    <w:rsid w:val="00205578"/>
    <w:rsid w:val="00206F61"/>
    <w:rsid w:val="002071C7"/>
    <w:rsid w:val="00207DF7"/>
    <w:rsid w:val="002131B7"/>
    <w:rsid w:val="0021423E"/>
    <w:rsid w:val="002245A0"/>
    <w:rsid w:val="0023423A"/>
    <w:rsid w:val="00241355"/>
    <w:rsid w:val="002414D8"/>
    <w:rsid w:val="00242894"/>
    <w:rsid w:val="002465DB"/>
    <w:rsid w:val="002504AD"/>
    <w:rsid w:val="002541F5"/>
    <w:rsid w:val="002556DB"/>
    <w:rsid w:val="00255FF7"/>
    <w:rsid w:val="00260ADE"/>
    <w:rsid w:val="00260CF6"/>
    <w:rsid w:val="00260EAF"/>
    <w:rsid w:val="00262000"/>
    <w:rsid w:val="0026324C"/>
    <w:rsid w:val="00264514"/>
    <w:rsid w:val="00274D28"/>
    <w:rsid w:val="002B014F"/>
    <w:rsid w:val="002B1506"/>
    <w:rsid w:val="002C0A8F"/>
    <w:rsid w:val="002C2FEE"/>
    <w:rsid w:val="002C5F0B"/>
    <w:rsid w:val="002D1FAB"/>
    <w:rsid w:val="002D4DA6"/>
    <w:rsid w:val="002D797D"/>
    <w:rsid w:val="002E760D"/>
    <w:rsid w:val="002F143C"/>
    <w:rsid w:val="002F1477"/>
    <w:rsid w:val="002F607B"/>
    <w:rsid w:val="00301E26"/>
    <w:rsid w:val="003100B8"/>
    <w:rsid w:val="00312074"/>
    <w:rsid w:val="003133C3"/>
    <w:rsid w:val="00313A06"/>
    <w:rsid w:val="00321874"/>
    <w:rsid w:val="00323435"/>
    <w:rsid w:val="00326CC1"/>
    <w:rsid w:val="00326E04"/>
    <w:rsid w:val="0033119A"/>
    <w:rsid w:val="00343145"/>
    <w:rsid w:val="00346ACC"/>
    <w:rsid w:val="00347E36"/>
    <w:rsid w:val="00360174"/>
    <w:rsid w:val="0036043B"/>
    <w:rsid w:val="00360C0F"/>
    <w:rsid w:val="00371151"/>
    <w:rsid w:val="0037414D"/>
    <w:rsid w:val="00374567"/>
    <w:rsid w:val="00375E04"/>
    <w:rsid w:val="00377D2A"/>
    <w:rsid w:val="00380BB1"/>
    <w:rsid w:val="0038172F"/>
    <w:rsid w:val="00381D98"/>
    <w:rsid w:val="0038776E"/>
    <w:rsid w:val="00390FCA"/>
    <w:rsid w:val="003A453C"/>
    <w:rsid w:val="003A499A"/>
    <w:rsid w:val="003A57AD"/>
    <w:rsid w:val="003A5D79"/>
    <w:rsid w:val="003B4F86"/>
    <w:rsid w:val="003C045B"/>
    <w:rsid w:val="003C2D13"/>
    <w:rsid w:val="003C301A"/>
    <w:rsid w:val="003C4BD3"/>
    <w:rsid w:val="003C723C"/>
    <w:rsid w:val="003C75BB"/>
    <w:rsid w:val="003D0D17"/>
    <w:rsid w:val="003D0E87"/>
    <w:rsid w:val="003D1016"/>
    <w:rsid w:val="003D1BD6"/>
    <w:rsid w:val="003D2106"/>
    <w:rsid w:val="003D7830"/>
    <w:rsid w:val="003E02B0"/>
    <w:rsid w:val="003E361B"/>
    <w:rsid w:val="003E4F64"/>
    <w:rsid w:val="003E610D"/>
    <w:rsid w:val="003E76E4"/>
    <w:rsid w:val="003E77AE"/>
    <w:rsid w:val="003E7EE2"/>
    <w:rsid w:val="00401ADC"/>
    <w:rsid w:val="0040255C"/>
    <w:rsid w:val="004026AA"/>
    <w:rsid w:val="00403B4C"/>
    <w:rsid w:val="0040604E"/>
    <w:rsid w:val="00406205"/>
    <w:rsid w:val="00407BC6"/>
    <w:rsid w:val="00410109"/>
    <w:rsid w:val="00410482"/>
    <w:rsid w:val="00412C02"/>
    <w:rsid w:val="00414497"/>
    <w:rsid w:val="00414CE5"/>
    <w:rsid w:val="004168E9"/>
    <w:rsid w:val="00417280"/>
    <w:rsid w:val="00417787"/>
    <w:rsid w:val="00420BAB"/>
    <w:rsid w:val="004213BB"/>
    <w:rsid w:val="00424524"/>
    <w:rsid w:val="00426CFA"/>
    <w:rsid w:val="00433A05"/>
    <w:rsid w:val="00437E25"/>
    <w:rsid w:val="004405B3"/>
    <w:rsid w:val="0044092B"/>
    <w:rsid w:val="00441A1B"/>
    <w:rsid w:val="00444A83"/>
    <w:rsid w:val="00445729"/>
    <w:rsid w:val="00446970"/>
    <w:rsid w:val="004513BD"/>
    <w:rsid w:val="00466CCC"/>
    <w:rsid w:val="00466E9B"/>
    <w:rsid w:val="004720AF"/>
    <w:rsid w:val="0047360E"/>
    <w:rsid w:val="00480562"/>
    <w:rsid w:val="00481454"/>
    <w:rsid w:val="00481FD5"/>
    <w:rsid w:val="004822DE"/>
    <w:rsid w:val="004824A3"/>
    <w:rsid w:val="0048319A"/>
    <w:rsid w:val="004867A8"/>
    <w:rsid w:val="004906E8"/>
    <w:rsid w:val="004930B0"/>
    <w:rsid w:val="00494956"/>
    <w:rsid w:val="00495597"/>
    <w:rsid w:val="0049671B"/>
    <w:rsid w:val="0049727A"/>
    <w:rsid w:val="004A6430"/>
    <w:rsid w:val="004B030A"/>
    <w:rsid w:val="004B193A"/>
    <w:rsid w:val="004B4032"/>
    <w:rsid w:val="004B6EA8"/>
    <w:rsid w:val="004C4F48"/>
    <w:rsid w:val="004C6B28"/>
    <w:rsid w:val="004D6988"/>
    <w:rsid w:val="004E2499"/>
    <w:rsid w:val="004E330C"/>
    <w:rsid w:val="004E41FB"/>
    <w:rsid w:val="004E6247"/>
    <w:rsid w:val="004E654A"/>
    <w:rsid w:val="004E756F"/>
    <w:rsid w:val="004E7D8A"/>
    <w:rsid w:val="004F1633"/>
    <w:rsid w:val="004F2BCF"/>
    <w:rsid w:val="004F4BC4"/>
    <w:rsid w:val="004F5887"/>
    <w:rsid w:val="004F7185"/>
    <w:rsid w:val="004F7981"/>
    <w:rsid w:val="00500034"/>
    <w:rsid w:val="00505073"/>
    <w:rsid w:val="00505B1D"/>
    <w:rsid w:val="00507B1D"/>
    <w:rsid w:val="00507BA9"/>
    <w:rsid w:val="0051176A"/>
    <w:rsid w:val="00514699"/>
    <w:rsid w:val="00522126"/>
    <w:rsid w:val="005243D2"/>
    <w:rsid w:val="00524670"/>
    <w:rsid w:val="005377B2"/>
    <w:rsid w:val="005442EF"/>
    <w:rsid w:val="0055278D"/>
    <w:rsid w:val="00554B26"/>
    <w:rsid w:val="005560D0"/>
    <w:rsid w:val="005625C7"/>
    <w:rsid w:val="005702A5"/>
    <w:rsid w:val="00570D23"/>
    <w:rsid w:val="00573C49"/>
    <w:rsid w:val="00574E2C"/>
    <w:rsid w:val="00580ED5"/>
    <w:rsid w:val="00581238"/>
    <w:rsid w:val="00581996"/>
    <w:rsid w:val="00581A2A"/>
    <w:rsid w:val="005835D4"/>
    <w:rsid w:val="00586DAB"/>
    <w:rsid w:val="005876B1"/>
    <w:rsid w:val="00591340"/>
    <w:rsid w:val="00591EFB"/>
    <w:rsid w:val="00594B8A"/>
    <w:rsid w:val="00597ADD"/>
    <w:rsid w:val="005A2C0C"/>
    <w:rsid w:val="005A307F"/>
    <w:rsid w:val="005A3B64"/>
    <w:rsid w:val="005A545D"/>
    <w:rsid w:val="005A6E94"/>
    <w:rsid w:val="005A75CA"/>
    <w:rsid w:val="005B1053"/>
    <w:rsid w:val="005B1133"/>
    <w:rsid w:val="005B6A1E"/>
    <w:rsid w:val="005C2714"/>
    <w:rsid w:val="005C2B47"/>
    <w:rsid w:val="005C2C9A"/>
    <w:rsid w:val="005C517B"/>
    <w:rsid w:val="005D0D66"/>
    <w:rsid w:val="005D201C"/>
    <w:rsid w:val="005E0609"/>
    <w:rsid w:val="005E32B8"/>
    <w:rsid w:val="005E3F42"/>
    <w:rsid w:val="005E48A5"/>
    <w:rsid w:val="005E7B7B"/>
    <w:rsid w:val="006052AC"/>
    <w:rsid w:val="006061F9"/>
    <w:rsid w:val="00606CFA"/>
    <w:rsid w:val="00606D57"/>
    <w:rsid w:val="00612C48"/>
    <w:rsid w:val="00617F7C"/>
    <w:rsid w:val="00620E9E"/>
    <w:rsid w:val="00625307"/>
    <w:rsid w:val="00625D33"/>
    <w:rsid w:val="00627E7F"/>
    <w:rsid w:val="006307FA"/>
    <w:rsid w:val="00630F00"/>
    <w:rsid w:val="006361D0"/>
    <w:rsid w:val="0063672D"/>
    <w:rsid w:val="0064099E"/>
    <w:rsid w:val="006428C3"/>
    <w:rsid w:val="006440C9"/>
    <w:rsid w:val="006452AE"/>
    <w:rsid w:val="00653EA4"/>
    <w:rsid w:val="00656F5E"/>
    <w:rsid w:val="0065741B"/>
    <w:rsid w:val="0065799F"/>
    <w:rsid w:val="006579BC"/>
    <w:rsid w:val="00661B92"/>
    <w:rsid w:val="006632FB"/>
    <w:rsid w:val="00665203"/>
    <w:rsid w:val="00675BDC"/>
    <w:rsid w:val="00685061"/>
    <w:rsid w:val="0068688C"/>
    <w:rsid w:val="00686E88"/>
    <w:rsid w:val="00690766"/>
    <w:rsid w:val="00695D9D"/>
    <w:rsid w:val="006960D9"/>
    <w:rsid w:val="00696D26"/>
    <w:rsid w:val="006A07C0"/>
    <w:rsid w:val="006A2257"/>
    <w:rsid w:val="006A4344"/>
    <w:rsid w:val="006A44AA"/>
    <w:rsid w:val="006A491A"/>
    <w:rsid w:val="006A544F"/>
    <w:rsid w:val="006B0CA6"/>
    <w:rsid w:val="006B12DF"/>
    <w:rsid w:val="006B2F40"/>
    <w:rsid w:val="006B6058"/>
    <w:rsid w:val="006B6E2A"/>
    <w:rsid w:val="006B7241"/>
    <w:rsid w:val="006C3D23"/>
    <w:rsid w:val="006C5611"/>
    <w:rsid w:val="006D159D"/>
    <w:rsid w:val="006D3E34"/>
    <w:rsid w:val="006D76D0"/>
    <w:rsid w:val="006E1D19"/>
    <w:rsid w:val="006E1ECC"/>
    <w:rsid w:val="006E3F30"/>
    <w:rsid w:val="006E5102"/>
    <w:rsid w:val="006F0278"/>
    <w:rsid w:val="006F2BBE"/>
    <w:rsid w:val="006F310E"/>
    <w:rsid w:val="006F3D43"/>
    <w:rsid w:val="006F43F4"/>
    <w:rsid w:val="006F48BE"/>
    <w:rsid w:val="0070126C"/>
    <w:rsid w:val="00706BB5"/>
    <w:rsid w:val="00707329"/>
    <w:rsid w:val="00711DAA"/>
    <w:rsid w:val="0071730F"/>
    <w:rsid w:val="00717440"/>
    <w:rsid w:val="007207D9"/>
    <w:rsid w:val="0072299F"/>
    <w:rsid w:val="007246FB"/>
    <w:rsid w:val="007312C3"/>
    <w:rsid w:val="00731F74"/>
    <w:rsid w:val="00732AE6"/>
    <w:rsid w:val="00733F25"/>
    <w:rsid w:val="00735B29"/>
    <w:rsid w:val="0073643F"/>
    <w:rsid w:val="00737200"/>
    <w:rsid w:val="007401AA"/>
    <w:rsid w:val="00740ACB"/>
    <w:rsid w:val="00740B64"/>
    <w:rsid w:val="00741F66"/>
    <w:rsid w:val="007439D0"/>
    <w:rsid w:val="00744499"/>
    <w:rsid w:val="00744A26"/>
    <w:rsid w:val="0074593C"/>
    <w:rsid w:val="007470BB"/>
    <w:rsid w:val="0076147A"/>
    <w:rsid w:val="0076299D"/>
    <w:rsid w:val="007633B7"/>
    <w:rsid w:val="00764643"/>
    <w:rsid w:val="00765772"/>
    <w:rsid w:val="00766AE4"/>
    <w:rsid w:val="0077344B"/>
    <w:rsid w:val="0077684A"/>
    <w:rsid w:val="00777314"/>
    <w:rsid w:val="00780A1F"/>
    <w:rsid w:val="0078175C"/>
    <w:rsid w:val="00782095"/>
    <w:rsid w:val="0078392D"/>
    <w:rsid w:val="00786DB6"/>
    <w:rsid w:val="00787E23"/>
    <w:rsid w:val="0079268E"/>
    <w:rsid w:val="007A0A05"/>
    <w:rsid w:val="007A25E1"/>
    <w:rsid w:val="007A43B6"/>
    <w:rsid w:val="007A73CB"/>
    <w:rsid w:val="007A76D3"/>
    <w:rsid w:val="007A7BCA"/>
    <w:rsid w:val="007B20B1"/>
    <w:rsid w:val="007B76E1"/>
    <w:rsid w:val="007C0078"/>
    <w:rsid w:val="007C073D"/>
    <w:rsid w:val="007C0CD6"/>
    <w:rsid w:val="007C119D"/>
    <w:rsid w:val="007D0365"/>
    <w:rsid w:val="007D08A8"/>
    <w:rsid w:val="007D34A9"/>
    <w:rsid w:val="007D42D2"/>
    <w:rsid w:val="007D50BB"/>
    <w:rsid w:val="007E0103"/>
    <w:rsid w:val="007E0A53"/>
    <w:rsid w:val="007E2DC3"/>
    <w:rsid w:val="007F0553"/>
    <w:rsid w:val="007F7119"/>
    <w:rsid w:val="00800C21"/>
    <w:rsid w:val="008046CC"/>
    <w:rsid w:val="008067E4"/>
    <w:rsid w:val="0081016D"/>
    <w:rsid w:val="00821242"/>
    <w:rsid w:val="0082294E"/>
    <w:rsid w:val="008235D2"/>
    <w:rsid w:val="008262A7"/>
    <w:rsid w:val="00832DD9"/>
    <w:rsid w:val="008340FA"/>
    <w:rsid w:val="00836FD1"/>
    <w:rsid w:val="0084552F"/>
    <w:rsid w:val="00845D94"/>
    <w:rsid w:val="00852A38"/>
    <w:rsid w:val="00852B78"/>
    <w:rsid w:val="008616A3"/>
    <w:rsid w:val="00866CD1"/>
    <w:rsid w:val="0087544E"/>
    <w:rsid w:val="00876F8C"/>
    <w:rsid w:val="00882146"/>
    <w:rsid w:val="00882F4C"/>
    <w:rsid w:val="00883D38"/>
    <w:rsid w:val="00883F8B"/>
    <w:rsid w:val="008863DC"/>
    <w:rsid w:val="0088668D"/>
    <w:rsid w:val="00886EBE"/>
    <w:rsid w:val="00887F22"/>
    <w:rsid w:val="0089063F"/>
    <w:rsid w:val="00891117"/>
    <w:rsid w:val="00893475"/>
    <w:rsid w:val="00894C92"/>
    <w:rsid w:val="00896CAD"/>
    <w:rsid w:val="008A08D5"/>
    <w:rsid w:val="008A3099"/>
    <w:rsid w:val="008A4ABD"/>
    <w:rsid w:val="008A5C02"/>
    <w:rsid w:val="008B2B49"/>
    <w:rsid w:val="008C2789"/>
    <w:rsid w:val="008C3C32"/>
    <w:rsid w:val="008D4AD1"/>
    <w:rsid w:val="008D63EA"/>
    <w:rsid w:val="008E30DD"/>
    <w:rsid w:val="008E3180"/>
    <w:rsid w:val="008E4694"/>
    <w:rsid w:val="008E5E6D"/>
    <w:rsid w:val="008F59D7"/>
    <w:rsid w:val="008F5DCE"/>
    <w:rsid w:val="008F6237"/>
    <w:rsid w:val="009022FA"/>
    <w:rsid w:val="009040AE"/>
    <w:rsid w:val="00906D8F"/>
    <w:rsid w:val="00913C4B"/>
    <w:rsid w:val="00915078"/>
    <w:rsid w:val="0091762C"/>
    <w:rsid w:val="00920AF7"/>
    <w:rsid w:val="00922D64"/>
    <w:rsid w:val="00925D24"/>
    <w:rsid w:val="00925E7A"/>
    <w:rsid w:val="00926B47"/>
    <w:rsid w:val="00927D61"/>
    <w:rsid w:val="00932A3D"/>
    <w:rsid w:val="00935B9E"/>
    <w:rsid w:val="0094197C"/>
    <w:rsid w:val="0094553D"/>
    <w:rsid w:val="00947381"/>
    <w:rsid w:val="00947F2E"/>
    <w:rsid w:val="009511F8"/>
    <w:rsid w:val="00952DC2"/>
    <w:rsid w:val="00953F40"/>
    <w:rsid w:val="00954642"/>
    <w:rsid w:val="0096089D"/>
    <w:rsid w:val="009615A4"/>
    <w:rsid w:val="009621D4"/>
    <w:rsid w:val="00963C61"/>
    <w:rsid w:val="00964115"/>
    <w:rsid w:val="00966744"/>
    <w:rsid w:val="00970740"/>
    <w:rsid w:val="00970CE7"/>
    <w:rsid w:val="00971AC1"/>
    <w:rsid w:val="00974706"/>
    <w:rsid w:val="00974AF2"/>
    <w:rsid w:val="009769D2"/>
    <w:rsid w:val="00977CA6"/>
    <w:rsid w:val="009823AB"/>
    <w:rsid w:val="009834CE"/>
    <w:rsid w:val="00984099"/>
    <w:rsid w:val="00990E58"/>
    <w:rsid w:val="009A00EE"/>
    <w:rsid w:val="009A3D50"/>
    <w:rsid w:val="009A7809"/>
    <w:rsid w:val="009B10C1"/>
    <w:rsid w:val="009B2115"/>
    <w:rsid w:val="009B47A1"/>
    <w:rsid w:val="009B4B02"/>
    <w:rsid w:val="009C2A8B"/>
    <w:rsid w:val="009C2FCC"/>
    <w:rsid w:val="009C71F6"/>
    <w:rsid w:val="009D0294"/>
    <w:rsid w:val="009D0D40"/>
    <w:rsid w:val="009D15F2"/>
    <w:rsid w:val="009D18D9"/>
    <w:rsid w:val="009D4DC6"/>
    <w:rsid w:val="009D50D1"/>
    <w:rsid w:val="009D5CB0"/>
    <w:rsid w:val="009D5D88"/>
    <w:rsid w:val="009E3CA7"/>
    <w:rsid w:val="009E440F"/>
    <w:rsid w:val="009E5CEA"/>
    <w:rsid w:val="009E65EC"/>
    <w:rsid w:val="009F116F"/>
    <w:rsid w:val="009F2AC5"/>
    <w:rsid w:val="009F4078"/>
    <w:rsid w:val="009F4F92"/>
    <w:rsid w:val="009F7E02"/>
    <w:rsid w:val="00A02632"/>
    <w:rsid w:val="00A16329"/>
    <w:rsid w:val="00A256C1"/>
    <w:rsid w:val="00A34C40"/>
    <w:rsid w:val="00A355DC"/>
    <w:rsid w:val="00A35891"/>
    <w:rsid w:val="00A41011"/>
    <w:rsid w:val="00A41500"/>
    <w:rsid w:val="00A43BEF"/>
    <w:rsid w:val="00A43C5D"/>
    <w:rsid w:val="00A45684"/>
    <w:rsid w:val="00A46988"/>
    <w:rsid w:val="00A46D4C"/>
    <w:rsid w:val="00A51E72"/>
    <w:rsid w:val="00A5471F"/>
    <w:rsid w:val="00A576C4"/>
    <w:rsid w:val="00A63F7D"/>
    <w:rsid w:val="00A649A3"/>
    <w:rsid w:val="00A65DB4"/>
    <w:rsid w:val="00A66CCD"/>
    <w:rsid w:val="00A749B6"/>
    <w:rsid w:val="00A832F9"/>
    <w:rsid w:val="00A86001"/>
    <w:rsid w:val="00A900F7"/>
    <w:rsid w:val="00A9483C"/>
    <w:rsid w:val="00A979DB"/>
    <w:rsid w:val="00AA0654"/>
    <w:rsid w:val="00AA3B01"/>
    <w:rsid w:val="00AA63D0"/>
    <w:rsid w:val="00AB71AA"/>
    <w:rsid w:val="00AC0D7B"/>
    <w:rsid w:val="00AC39F6"/>
    <w:rsid w:val="00AC3D2A"/>
    <w:rsid w:val="00AC5099"/>
    <w:rsid w:val="00AC5429"/>
    <w:rsid w:val="00AC6175"/>
    <w:rsid w:val="00AC63E6"/>
    <w:rsid w:val="00AC7A74"/>
    <w:rsid w:val="00AD2CD8"/>
    <w:rsid w:val="00AD365C"/>
    <w:rsid w:val="00AD4691"/>
    <w:rsid w:val="00AD4FDA"/>
    <w:rsid w:val="00AD5D04"/>
    <w:rsid w:val="00AE0BEB"/>
    <w:rsid w:val="00AE0D2A"/>
    <w:rsid w:val="00AE1FEE"/>
    <w:rsid w:val="00AE3A5F"/>
    <w:rsid w:val="00AE3E94"/>
    <w:rsid w:val="00AE47B5"/>
    <w:rsid w:val="00AE68C8"/>
    <w:rsid w:val="00AE7AB2"/>
    <w:rsid w:val="00AE7DB2"/>
    <w:rsid w:val="00AF444F"/>
    <w:rsid w:val="00AF7B26"/>
    <w:rsid w:val="00B019EC"/>
    <w:rsid w:val="00B01D1A"/>
    <w:rsid w:val="00B03D07"/>
    <w:rsid w:val="00B07AFA"/>
    <w:rsid w:val="00B07E44"/>
    <w:rsid w:val="00B114D8"/>
    <w:rsid w:val="00B11EA7"/>
    <w:rsid w:val="00B14B98"/>
    <w:rsid w:val="00B1668B"/>
    <w:rsid w:val="00B21C72"/>
    <w:rsid w:val="00B25239"/>
    <w:rsid w:val="00B26A4C"/>
    <w:rsid w:val="00B31D74"/>
    <w:rsid w:val="00B32480"/>
    <w:rsid w:val="00B32B8F"/>
    <w:rsid w:val="00B34CED"/>
    <w:rsid w:val="00B37814"/>
    <w:rsid w:val="00B41291"/>
    <w:rsid w:val="00B43106"/>
    <w:rsid w:val="00B54E56"/>
    <w:rsid w:val="00B560D1"/>
    <w:rsid w:val="00B56C9D"/>
    <w:rsid w:val="00B645AF"/>
    <w:rsid w:val="00B6495F"/>
    <w:rsid w:val="00B6540F"/>
    <w:rsid w:val="00B66664"/>
    <w:rsid w:val="00B73EA1"/>
    <w:rsid w:val="00B77FB4"/>
    <w:rsid w:val="00B8572C"/>
    <w:rsid w:val="00B87C5A"/>
    <w:rsid w:val="00B9029B"/>
    <w:rsid w:val="00B92DBD"/>
    <w:rsid w:val="00B92FA5"/>
    <w:rsid w:val="00B93ABE"/>
    <w:rsid w:val="00B97EDD"/>
    <w:rsid w:val="00BA00B5"/>
    <w:rsid w:val="00BA4D4A"/>
    <w:rsid w:val="00BA6EFB"/>
    <w:rsid w:val="00BB297A"/>
    <w:rsid w:val="00BB455E"/>
    <w:rsid w:val="00BB5A26"/>
    <w:rsid w:val="00BC0CF2"/>
    <w:rsid w:val="00BC3FE3"/>
    <w:rsid w:val="00BD1AC2"/>
    <w:rsid w:val="00BD1F7F"/>
    <w:rsid w:val="00BD55EE"/>
    <w:rsid w:val="00BD7B60"/>
    <w:rsid w:val="00BE6352"/>
    <w:rsid w:val="00BF2E69"/>
    <w:rsid w:val="00BF309B"/>
    <w:rsid w:val="00BF405D"/>
    <w:rsid w:val="00BF725D"/>
    <w:rsid w:val="00BF7600"/>
    <w:rsid w:val="00C0117D"/>
    <w:rsid w:val="00C03B45"/>
    <w:rsid w:val="00C04B84"/>
    <w:rsid w:val="00C06F31"/>
    <w:rsid w:val="00C11C8C"/>
    <w:rsid w:val="00C127FD"/>
    <w:rsid w:val="00C13774"/>
    <w:rsid w:val="00C17E58"/>
    <w:rsid w:val="00C221F9"/>
    <w:rsid w:val="00C24711"/>
    <w:rsid w:val="00C24BFE"/>
    <w:rsid w:val="00C33519"/>
    <w:rsid w:val="00C3460F"/>
    <w:rsid w:val="00C3642E"/>
    <w:rsid w:val="00C42BD8"/>
    <w:rsid w:val="00C456CC"/>
    <w:rsid w:val="00C53E91"/>
    <w:rsid w:val="00C550C5"/>
    <w:rsid w:val="00C574FE"/>
    <w:rsid w:val="00C578CC"/>
    <w:rsid w:val="00C57C91"/>
    <w:rsid w:val="00C7079B"/>
    <w:rsid w:val="00C716C5"/>
    <w:rsid w:val="00C7186E"/>
    <w:rsid w:val="00C72D7F"/>
    <w:rsid w:val="00C73BE9"/>
    <w:rsid w:val="00C77610"/>
    <w:rsid w:val="00C8028E"/>
    <w:rsid w:val="00C804C9"/>
    <w:rsid w:val="00C81186"/>
    <w:rsid w:val="00C81EFA"/>
    <w:rsid w:val="00C83579"/>
    <w:rsid w:val="00C86B4C"/>
    <w:rsid w:val="00C904C3"/>
    <w:rsid w:val="00C92A4D"/>
    <w:rsid w:val="00CA00FD"/>
    <w:rsid w:val="00CA0B8F"/>
    <w:rsid w:val="00CB5BD9"/>
    <w:rsid w:val="00CB722E"/>
    <w:rsid w:val="00CB72A7"/>
    <w:rsid w:val="00CD029B"/>
    <w:rsid w:val="00CD27C0"/>
    <w:rsid w:val="00CD5B95"/>
    <w:rsid w:val="00CD7F23"/>
    <w:rsid w:val="00CD7F50"/>
    <w:rsid w:val="00CE2044"/>
    <w:rsid w:val="00CE290E"/>
    <w:rsid w:val="00CE4D05"/>
    <w:rsid w:val="00CF1D22"/>
    <w:rsid w:val="00CF2085"/>
    <w:rsid w:val="00CF26FD"/>
    <w:rsid w:val="00CF2ABB"/>
    <w:rsid w:val="00CF4110"/>
    <w:rsid w:val="00CF77C8"/>
    <w:rsid w:val="00D00AB2"/>
    <w:rsid w:val="00D00F70"/>
    <w:rsid w:val="00D01002"/>
    <w:rsid w:val="00D05CFA"/>
    <w:rsid w:val="00D05E52"/>
    <w:rsid w:val="00D064F9"/>
    <w:rsid w:val="00D06C52"/>
    <w:rsid w:val="00D100D0"/>
    <w:rsid w:val="00D1070F"/>
    <w:rsid w:val="00D112BB"/>
    <w:rsid w:val="00D157D8"/>
    <w:rsid w:val="00D15E9A"/>
    <w:rsid w:val="00D16A8F"/>
    <w:rsid w:val="00D16E7D"/>
    <w:rsid w:val="00D22A72"/>
    <w:rsid w:val="00D26523"/>
    <w:rsid w:val="00D277D0"/>
    <w:rsid w:val="00D27DB6"/>
    <w:rsid w:val="00D31E6B"/>
    <w:rsid w:val="00D36790"/>
    <w:rsid w:val="00D44007"/>
    <w:rsid w:val="00D51252"/>
    <w:rsid w:val="00D528BD"/>
    <w:rsid w:val="00D52A40"/>
    <w:rsid w:val="00D531B6"/>
    <w:rsid w:val="00D57370"/>
    <w:rsid w:val="00D64B34"/>
    <w:rsid w:val="00D65D94"/>
    <w:rsid w:val="00D66BF3"/>
    <w:rsid w:val="00D7142D"/>
    <w:rsid w:val="00D732D6"/>
    <w:rsid w:val="00D7756A"/>
    <w:rsid w:val="00D8123C"/>
    <w:rsid w:val="00D823B8"/>
    <w:rsid w:val="00D82DA1"/>
    <w:rsid w:val="00D86D7E"/>
    <w:rsid w:val="00D87CDD"/>
    <w:rsid w:val="00D94757"/>
    <w:rsid w:val="00D94BB5"/>
    <w:rsid w:val="00D968D7"/>
    <w:rsid w:val="00DA3A34"/>
    <w:rsid w:val="00DA51D6"/>
    <w:rsid w:val="00DB0974"/>
    <w:rsid w:val="00DB20D6"/>
    <w:rsid w:val="00DB39F1"/>
    <w:rsid w:val="00DD1C49"/>
    <w:rsid w:val="00DD4FE7"/>
    <w:rsid w:val="00DE1E58"/>
    <w:rsid w:val="00DE2224"/>
    <w:rsid w:val="00DE2DEF"/>
    <w:rsid w:val="00DF28C0"/>
    <w:rsid w:val="00DF4F1A"/>
    <w:rsid w:val="00DF4FE5"/>
    <w:rsid w:val="00DF64D7"/>
    <w:rsid w:val="00E0329A"/>
    <w:rsid w:val="00E078DF"/>
    <w:rsid w:val="00E125BA"/>
    <w:rsid w:val="00E13BF4"/>
    <w:rsid w:val="00E16F5F"/>
    <w:rsid w:val="00E21653"/>
    <w:rsid w:val="00E2234C"/>
    <w:rsid w:val="00E22B19"/>
    <w:rsid w:val="00E247B2"/>
    <w:rsid w:val="00E3368A"/>
    <w:rsid w:val="00E336C4"/>
    <w:rsid w:val="00E343B0"/>
    <w:rsid w:val="00E36B31"/>
    <w:rsid w:val="00E37ED7"/>
    <w:rsid w:val="00E46A6F"/>
    <w:rsid w:val="00E5188A"/>
    <w:rsid w:val="00E526E5"/>
    <w:rsid w:val="00E54579"/>
    <w:rsid w:val="00E63B7C"/>
    <w:rsid w:val="00E67EC3"/>
    <w:rsid w:val="00E72ADE"/>
    <w:rsid w:val="00E72CAF"/>
    <w:rsid w:val="00E74F53"/>
    <w:rsid w:val="00E768F7"/>
    <w:rsid w:val="00E77E1E"/>
    <w:rsid w:val="00E8427C"/>
    <w:rsid w:val="00E84C97"/>
    <w:rsid w:val="00E85A70"/>
    <w:rsid w:val="00E931EF"/>
    <w:rsid w:val="00E94658"/>
    <w:rsid w:val="00E95C93"/>
    <w:rsid w:val="00E97879"/>
    <w:rsid w:val="00EA0229"/>
    <w:rsid w:val="00EA083A"/>
    <w:rsid w:val="00EA1927"/>
    <w:rsid w:val="00EA3C9F"/>
    <w:rsid w:val="00EB1BE4"/>
    <w:rsid w:val="00EB29D5"/>
    <w:rsid w:val="00EB2BEC"/>
    <w:rsid w:val="00EB3D4F"/>
    <w:rsid w:val="00EB4C89"/>
    <w:rsid w:val="00EB4CB1"/>
    <w:rsid w:val="00EB5A3F"/>
    <w:rsid w:val="00EB7544"/>
    <w:rsid w:val="00EC0C62"/>
    <w:rsid w:val="00EC2E4D"/>
    <w:rsid w:val="00EC6F09"/>
    <w:rsid w:val="00ED030F"/>
    <w:rsid w:val="00ED23C3"/>
    <w:rsid w:val="00ED2FA7"/>
    <w:rsid w:val="00ED662F"/>
    <w:rsid w:val="00ED6EB3"/>
    <w:rsid w:val="00EE0CAB"/>
    <w:rsid w:val="00EE170F"/>
    <w:rsid w:val="00EE3076"/>
    <w:rsid w:val="00EF32D7"/>
    <w:rsid w:val="00EF6426"/>
    <w:rsid w:val="00EF74E5"/>
    <w:rsid w:val="00F0099D"/>
    <w:rsid w:val="00F0139C"/>
    <w:rsid w:val="00F02679"/>
    <w:rsid w:val="00F032AA"/>
    <w:rsid w:val="00F03CE5"/>
    <w:rsid w:val="00F055B7"/>
    <w:rsid w:val="00F0793D"/>
    <w:rsid w:val="00F1016B"/>
    <w:rsid w:val="00F15EEE"/>
    <w:rsid w:val="00F178CC"/>
    <w:rsid w:val="00F25225"/>
    <w:rsid w:val="00F2691B"/>
    <w:rsid w:val="00F26CFB"/>
    <w:rsid w:val="00F33AF4"/>
    <w:rsid w:val="00F43A40"/>
    <w:rsid w:val="00F43B81"/>
    <w:rsid w:val="00F448B6"/>
    <w:rsid w:val="00F46986"/>
    <w:rsid w:val="00F46DB1"/>
    <w:rsid w:val="00F66F5D"/>
    <w:rsid w:val="00F76203"/>
    <w:rsid w:val="00F80930"/>
    <w:rsid w:val="00F8334D"/>
    <w:rsid w:val="00F8360C"/>
    <w:rsid w:val="00F86D17"/>
    <w:rsid w:val="00F86D1F"/>
    <w:rsid w:val="00F876F3"/>
    <w:rsid w:val="00F87C91"/>
    <w:rsid w:val="00F905D4"/>
    <w:rsid w:val="00F911D3"/>
    <w:rsid w:val="00F92A62"/>
    <w:rsid w:val="00F93A36"/>
    <w:rsid w:val="00F95199"/>
    <w:rsid w:val="00F95A8D"/>
    <w:rsid w:val="00F95DD9"/>
    <w:rsid w:val="00F9641C"/>
    <w:rsid w:val="00F96F5E"/>
    <w:rsid w:val="00FA03E8"/>
    <w:rsid w:val="00FA0FFB"/>
    <w:rsid w:val="00FA4278"/>
    <w:rsid w:val="00FB0E39"/>
    <w:rsid w:val="00FB1B18"/>
    <w:rsid w:val="00FB1C5F"/>
    <w:rsid w:val="00FB2106"/>
    <w:rsid w:val="00FB288A"/>
    <w:rsid w:val="00FB39EC"/>
    <w:rsid w:val="00FB6555"/>
    <w:rsid w:val="00FC2327"/>
    <w:rsid w:val="00FC33EC"/>
    <w:rsid w:val="00FC3767"/>
    <w:rsid w:val="00FC684E"/>
    <w:rsid w:val="00FD5165"/>
    <w:rsid w:val="00FE375E"/>
    <w:rsid w:val="00FE53AA"/>
    <w:rsid w:val="00FE5E1D"/>
    <w:rsid w:val="00FE6F02"/>
    <w:rsid w:val="00FF0E5F"/>
    <w:rsid w:val="00FF4029"/>
    <w:rsid w:val="00FF5ED9"/>
    <w:rsid w:val="00FF70E7"/>
    <w:rsid w:val="00FF7375"/>
    <w:rsid w:val="2D50C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791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6E4"/>
  </w:style>
  <w:style w:type="paragraph" w:styleId="Heading1">
    <w:name w:val="heading 1"/>
    <w:basedOn w:val="Normal"/>
    <w:link w:val="Heading1Char"/>
    <w:uiPriority w:val="9"/>
    <w:qFormat/>
    <w:rsid w:val="00EB2BEC"/>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00C2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CB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link w:val="ListParagraphChar"/>
    <w:uiPriority w:val="34"/>
    <w:qFormat/>
    <w:rsid w:val="009D18D9"/>
    <w:pPr>
      <w:ind w:left="720"/>
      <w:contextualSpacing/>
    </w:pPr>
  </w:style>
  <w:style w:type="table" w:styleId="TableGrid">
    <w:name w:val="Table Grid"/>
    <w:basedOn w:val="TableNormal"/>
    <w:uiPriority w:val="59"/>
    <w:rsid w:val="00F2522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3435"/>
    <w:rPr>
      <w:sz w:val="22"/>
      <w:szCs w:val="22"/>
    </w:rPr>
  </w:style>
  <w:style w:type="character" w:styleId="CommentReference">
    <w:name w:val="annotation reference"/>
    <w:basedOn w:val="DefaultParagraphFont"/>
    <w:uiPriority w:val="99"/>
    <w:semiHidden/>
    <w:unhideWhenUsed/>
    <w:rsid w:val="00323435"/>
    <w:rPr>
      <w:sz w:val="16"/>
      <w:szCs w:val="16"/>
    </w:rPr>
  </w:style>
  <w:style w:type="paragraph" w:styleId="CommentText">
    <w:name w:val="annotation text"/>
    <w:basedOn w:val="Normal"/>
    <w:link w:val="CommentTextChar"/>
    <w:uiPriority w:val="99"/>
    <w:unhideWhenUsed/>
    <w:rsid w:val="00323435"/>
    <w:pPr>
      <w:spacing w:after="200"/>
    </w:pPr>
    <w:rPr>
      <w:sz w:val="20"/>
      <w:szCs w:val="20"/>
    </w:rPr>
  </w:style>
  <w:style w:type="character" w:customStyle="1" w:styleId="CommentTextChar">
    <w:name w:val="Comment Text Char"/>
    <w:basedOn w:val="DefaultParagraphFont"/>
    <w:link w:val="CommentText"/>
    <w:uiPriority w:val="99"/>
    <w:rsid w:val="00323435"/>
    <w:rPr>
      <w:sz w:val="20"/>
      <w:szCs w:val="20"/>
    </w:rPr>
  </w:style>
  <w:style w:type="paragraph" w:styleId="FootnoteText">
    <w:name w:val="footnote text"/>
    <w:basedOn w:val="Normal"/>
    <w:link w:val="FootnoteTextChar"/>
    <w:uiPriority w:val="99"/>
    <w:semiHidden/>
    <w:unhideWhenUsed/>
    <w:rsid w:val="00323435"/>
    <w:rPr>
      <w:sz w:val="20"/>
      <w:szCs w:val="20"/>
    </w:rPr>
  </w:style>
  <w:style w:type="character" w:customStyle="1" w:styleId="FootnoteTextChar">
    <w:name w:val="Footnote Text Char"/>
    <w:basedOn w:val="DefaultParagraphFont"/>
    <w:link w:val="FootnoteText"/>
    <w:uiPriority w:val="99"/>
    <w:semiHidden/>
    <w:rsid w:val="00323435"/>
    <w:rPr>
      <w:sz w:val="20"/>
      <w:szCs w:val="20"/>
    </w:rPr>
  </w:style>
  <w:style w:type="character" w:styleId="FootnoteReference">
    <w:name w:val="footnote reference"/>
    <w:basedOn w:val="DefaultParagraphFont"/>
    <w:uiPriority w:val="99"/>
    <w:semiHidden/>
    <w:unhideWhenUsed/>
    <w:rsid w:val="00323435"/>
    <w:rPr>
      <w:vertAlign w:val="superscript"/>
    </w:rPr>
  </w:style>
  <w:style w:type="paragraph" w:styleId="BalloonText">
    <w:name w:val="Balloon Text"/>
    <w:basedOn w:val="Normal"/>
    <w:link w:val="BalloonTextChar"/>
    <w:uiPriority w:val="99"/>
    <w:semiHidden/>
    <w:unhideWhenUsed/>
    <w:rsid w:val="003234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3435"/>
    <w:rPr>
      <w:rFonts w:ascii="Times New Roman" w:hAnsi="Times New Roman" w:cs="Times New Roman"/>
      <w:sz w:val="18"/>
      <w:szCs w:val="18"/>
    </w:rPr>
  </w:style>
  <w:style w:type="paragraph" w:styleId="Header">
    <w:name w:val="header"/>
    <w:basedOn w:val="Normal"/>
    <w:link w:val="HeaderChar"/>
    <w:uiPriority w:val="99"/>
    <w:unhideWhenUsed/>
    <w:rsid w:val="000D5B72"/>
    <w:pPr>
      <w:tabs>
        <w:tab w:val="center" w:pos="4513"/>
        <w:tab w:val="right" w:pos="9026"/>
      </w:tabs>
    </w:pPr>
  </w:style>
  <w:style w:type="character" w:customStyle="1" w:styleId="HeaderChar">
    <w:name w:val="Header Char"/>
    <w:basedOn w:val="DefaultParagraphFont"/>
    <w:link w:val="Header"/>
    <w:uiPriority w:val="99"/>
    <w:rsid w:val="000D5B72"/>
  </w:style>
  <w:style w:type="paragraph" w:styleId="Footer">
    <w:name w:val="footer"/>
    <w:basedOn w:val="Normal"/>
    <w:link w:val="FooterChar"/>
    <w:uiPriority w:val="99"/>
    <w:unhideWhenUsed/>
    <w:rsid w:val="000D5B72"/>
    <w:pPr>
      <w:tabs>
        <w:tab w:val="center" w:pos="4513"/>
        <w:tab w:val="right" w:pos="9026"/>
      </w:tabs>
    </w:pPr>
  </w:style>
  <w:style w:type="character" w:customStyle="1" w:styleId="FooterChar">
    <w:name w:val="Footer Char"/>
    <w:basedOn w:val="DefaultParagraphFont"/>
    <w:link w:val="Footer"/>
    <w:uiPriority w:val="99"/>
    <w:rsid w:val="000D5B72"/>
  </w:style>
  <w:style w:type="paragraph" w:styleId="CommentSubject">
    <w:name w:val="annotation subject"/>
    <w:basedOn w:val="CommentText"/>
    <w:next w:val="CommentText"/>
    <w:link w:val="CommentSubjectChar"/>
    <w:uiPriority w:val="99"/>
    <w:semiHidden/>
    <w:unhideWhenUsed/>
    <w:rsid w:val="0068688C"/>
    <w:pPr>
      <w:spacing w:after="0"/>
    </w:pPr>
    <w:rPr>
      <w:b/>
      <w:bCs/>
    </w:rPr>
  </w:style>
  <w:style w:type="character" w:customStyle="1" w:styleId="CommentSubjectChar">
    <w:name w:val="Comment Subject Char"/>
    <w:basedOn w:val="CommentTextChar"/>
    <w:link w:val="CommentSubject"/>
    <w:uiPriority w:val="99"/>
    <w:semiHidden/>
    <w:rsid w:val="0068688C"/>
    <w:rPr>
      <w:b/>
      <w:bCs/>
      <w:sz w:val="20"/>
      <w:szCs w:val="20"/>
    </w:rPr>
  </w:style>
  <w:style w:type="character" w:customStyle="1" w:styleId="ListParagraphChar">
    <w:name w:val="List Paragraph Char"/>
    <w:basedOn w:val="DefaultParagraphFont"/>
    <w:link w:val="ListParagraph"/>
    <w:uiPriority w:val="34"/>
    <w:locked/>
    <w:rsid w:val="00A45684"/>
  </w:style>
  <w:style w:type="character" w:styleId="Hyperlink">
    <w:name w:val="Hyperlink"/>
    <w:basedOn w:val="DefaultParagraphFont"/>
    <w:unhideWhenUsed/>
    <w:rsid w:val="00893475"/>
    <w:rPr>
      <w:color w:val="0563C1" w:themeColor="hyperlink"/>
      <w:u w:val="single"/>
    </w:rPr>
  </w:style>
  <w:style w:type="character" w:customStyle="1" w:styleId="Heading1Char">
    <w:name w:val="Heading 1 Char"/>
    <w:basedOn w:val="DefaultParagraphFont"/>
    <w:link w:val="Heading1"/>
    <w:uiPriority w:val="9"/>
    <w:rsid w:val="00EB2BEC"/>
    <w:rPr>
      <w:rFonts w:ascii="Times New Roman" w:eastAsia="Times New Roman" w:hAnsi="Times New Roman" w:cs="Times New Roman"/>
      <w:b/>
      <w:bCs/>
      <w:kern w:val="36"/>
      <w:sz w:val="48"/>
      <w:szCs w:val="48"/>
      <w:lang w:eastAsia="en-AU"/>
    </w:rPr>
  </w:style>
  <w:style w:type="paragraph" w:styleId="Revision">
    <w:name w:val="Revision"/>
    <w:hidden/>
    <w:uiPriority w:val="99"/>
    <w:semiHidden/>
    <w:rsid w:val="00500034"/>
  </w:style>
  <w:style w:type="character" w:styleId="UnresolvedMention">
    <w:name w:val="Unresolved Mention"/>
    <w:basedOn w:val="DefaultParagraphFont"/>
    <w:uiPriority w:val="99"/>
    <w:semiHidden/>
    <w:unhideWhenUsed/>
    <w:rsid w:val="00FF0E5F"/>
    <w:rPr>
      <w:color w:val="605E5C"/>
      <w:shd w:val="clear" w:color="auto" w:fill="E1DFDD"/>
    </w:rPr>
  </w:style>
  <w:style w:type="character" w:customStyle="1" w:styleId="authors">
    <w:name w:val="authors"/>
    <w:basedOn w:val="DefaultParagraphFont"/>
    <w:rsid w:val="00441A1B"/>
  </w:style>
  <w:style w:type="character" w:customStyle="1" w:styleId="arttitle">
    <w:name w:val="art_title"/>
    <w:basedOn w:val="DefaultParagraphFont"/>
    <w:rsid w:val="00441A1B"/>
  </w:style>
  <w:style w:type="character" w:customStyle="1" w:styleId="serialtitle">
    <w:name w:val="serial_title"/>
    <w:basedOn w:val="DefaultParagraphFont"/>
    <w:rsid w:val="00441A1B"/>
  </w:style>
  <w:style w:type="character" w:customStyle="1" w:styleId="volumeissue">
    <w:name w:val="volume_issue"/>
    <w:basedOn w:val="DefaultParagraphFont"/>
    <w:rsid w:val="00441A1B"/>
  </w:style>
  <w:style w:type="character" w:customStyle="1" w:styleId="pagerange">
    <w:name w:val="page_range"/>
    <w:basedOn w:val="DefaultParagraphFont"/>
    <w:rsid w:val="00441A1B"/>
  </w:style>
  <w:style w:type="character" w:customStyle="1" w:styleId="Heading2Char">
    <w:name w:val="Heading 2 Char"/>
    <w:basedOn w:val="DefaultParagraphFont"/>
    <w:link w:val="Heading2"/>
    <w:uiPriority w:val="9"/>
    <w:semiHidden/>
    <w:rsid w:val="00800C21"/>
    <w:rPr>
      <w:rFonts w:asciiTheme="majorHAnsi" w:eastAsiaTheme="majorEastAsia" w:hAnsiTheme="majorHAnsi" w:cstheme="majorBidi"/>
      <w:color w:val="2F5496" w:themeColor="accent1" w:themeShade="BF"/>
      <w:sz w:val="26"/>
      <w:szCs w:val="26"/>
    </w:rPr>
  </w:style>
  <w:style w:type="paragraph" w:styleId="z-TopofForm">
    <w:name w:val="HTML Top of Form"/>
    <w:basedOn w:val="Normal"/>
    <w:next w:val="Normal"/>
    <w:link w:val="z-TopofFormChar"/>
    <w:hidden/>
    <w:uiPriority w:val="99"/>
    <w:semiHidden/>
    <w:unhideWhenUsed/>
    <w:rsid w:val="00444A83"/>
    <w:pPr>
      <w:pBdr>
        <w:bottom w:val="single" w:sz="6" w:space="1" w:color="auto"/>
      </w:pBdr>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444A83"/>
    <w:rPr>
      <w:rFonts w:ascii="Arial" w:eastAsia="Times New Roman" w:hAnsi="Arial" w:cs="Arial"/>
      <w:vanish/>
      <w:sz w:val="16"/>
      <w:szCs w:val="16"/>
      <w:lang w:eastAsia="en-AU"/>
    </w:rPr>
  </w:style>
  <w:style w:type="character" w:customStyle="1" w:styleId="cf01">
    <w:name w:val="cf01"/>
    <w:basedOn w:val="DefaultParagraphFont"/>
    <w:rsid w:val="00735B2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1718">
      <w:bodyDiv w:val="1"/>
      <w:marLeft w:val="0"/>
      <w:marRight w:val="0"/>
      <w:marTop w:val="0"/>
      <w:marBottom w:val="0"/>
      <w:divBdr>
        <w:top w:val="none" w:sz="0" w:space="0" w:color="auto"/>
        <w:left w:val="none" w:sz="0" w:space="0" w:color="auto"/>
        <w:bottom w:val="none" w:sz="0" w:space="0" w:color="auto"/>
        <w:right w:val="none" w:sz="0" w:space="0" w:color="auto"/>
      </w:divBdr>
    </w:div>
    <w:div w:id="250746279">
      <w:bodyDiv w:val="1"/>
      <w:marLeft w:val="0"/>
      <w:marRight w:val="0"/>
      <w:marTop w:val="0"/>
      <w:marBottom w:val="0"/>
      <w:divBdr>
        <w:top w:val="none" w:sz="0" w:space="0" w:color="auto"/>
        <w:left w:val="none" w:sz="0" w:space="0" w:color="auto"/>
        <w:bottom w:val="none" w:sz="0" w:space="0" w:color="auto"/>
        <w:right w:val="none" w:sz="0" w:space="0" w:color="auto"/>
      </w:divBdr>
    </w:div>
    <w:div w:id="311452903">
      <w:bodyDiv w:val="1"/>
      <w:marLeft w:val="0"/>
      <w:marRight w:val="0"/>
      <w:marTop w:val="0"/>
      <w:marBottom w:val="0"/>
      <w:divBdr>
        <w:top w:val="none" w:sz="0" w:space="0" w:color="auto"/>
        <w:left w:val="none" w:sz="0" w:space="0" w:color="auto"/>
        <w:bottom w:val="none" w:sz="0" w:space="0" w:color="auto"/>
        <w:right w:val="none" w:sz="0" w:space="0" w:color="auto"/>
      </w:divBdr>
      <w:divsChild>
        <w:div w:id="980772378">
          <w:marLeft w:val="0"/>
          <w:marRight w:val="0"/>
          <w:marTop w:val="0"/>
          <w:marBottom w:val="0"/>
          <w:divBdr>
            <w:top w:val="none" w:sz="0" w:space="0" w:color="auto"/>
            <w:left w:val="none" w:sz="0" w:space="0" w:color="auto"/>
            <w:bottom w:val="none" w:sz="0" w:space="0" w:color="auto"/>
            <w:right w:val="none" w:sz="0" w:space="0" w:color="auto"/>
          </w:divBdr>
          <w:divsChild>
            <w:div w:id="1943412466">
              <w:marLeft w:val="0"/>
              <w:marRight w:val="0"/>
              <w:marTop w:val="0"/>
              <w:marBottom w:val="0"/>
              <w:divBdr>
                <w:top w:val="none" w:sz="0" w:space="0" w:color="auto"/>
                <w:left w:val="none" w:sz="0" w:space="0" w:color="auto"/>
                <w:bottom w:val="none" w:sz="0" w:space="0" w:color="auto"/>
                <w:right w:val="none" w:sz="0" w:space="0" w:color="auto"/>
              </w:divBdr>
              <w:divsChild>
                <w:div w:id="5312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93452">
      <w:bodyDiv w:val="1"/>
      <w:marLeft w:val="0"/>
      <w:marRight w:val="0"/>
      <w:marTop w:val="0"/>
      <w:marBottom w:val="0"/>
      <w:divBdr>
        <w:top w:val="none" w:sz="0" w:space="0" w:color="auto"/>
        <w:left w:val="none" w:sz="0" w:space="0" w:color="auto"/>
        <w:bottom w:val="none" w:sz="0" w:space="0" w:color="auto"/>
        <w:right w:val="none" w:sz="0" w:space="0" w:color="auto"/>
      </w:divBdr>
      <w:divsChild>
        <w:div w:id="1204708306">
          <w:marLeft w:val="0"/>
          <w:marRight w:val="0"/>
          <w:marTop w:val="0"/>
          <w:marBottom w:val="0"/>
          <w:divBdr>
            <w:top w:val="none" w:sz="0" w:space="0" w:color="auto"/>
            <w:left w:val="none" w:sz="0" w:space="0" w:color="auto"/>
            <w:bottom w:val="none" w:sz="0" w:space="0" w:color="auto"/>
            <w:right w:val="none" w:sz="0" w:space="0" w:color="auto"/>
          </w:divBdr>
          <w:divsChild>
            <w:div w:id="1714228263">
              <w:marLeft w:val="0"/>
              <w:marRight w:val="0"/>
              <w:marTop w:val="0"/>
              <w:marBottom w:val="0"/>
              <w:divBdr>
                <w:top w:val="none" w:sz="0" w:space="0" w:color="auto"/>
                <w:left w:val="none" w:sz="0" w:space="0" w:color="auto"/>
                <w:bottom w:val="none" w:sz="0" w:space="0" w:color="auto"/>
                <w:right w:val="none" w:sz="0" w:space="0" w:color="auto"/>
              </w:divBdr>
              <w:divsChild>
                <w:div w:id="202705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4962">
      <w:bodyDiv w:val="1"/>
      <w:marLeft w:val="0"/>
      <w:marRight w:val="0"/>
      <w:marTop w:val="0"/>
      <w:marBottom w:val="0"/>
      <w:divBdr>
        <w:top w:val="none" w:sz="0" w:space="0" w:color="auto"/>
        <w:left w:val="none" w:sz="0" w:space="0" w:color="auto"/>
        <w:bottom w:val="none" w:sz="0" w:space="0" w:color="auto"/>
        <w:right w:val="none" w:sz="0" w:space="0" w:color="auto"/>
      </w:divBdr>
      <w:divsChild>
        <w:div w:id="946154820">
          <w:marLeft w:val="0"/>
          <w:marRight w:val="0"/>
          <w:marTop w:val="0"/>
          <w:marBottom w:val="0"/>
          <w:divBdr>
            <w:top w:val="none" w:sz="0" w:space="0" w:color="auto"/>
            <w:left w:val="none" w:sz="0" w:space="0" w:color="auto"/>
            <w:bottom w:val="none" w:sz="0" w:space="0" w:color="auto"/>
            <w:right w:val="none" w:sz="0" w:space="0" w:color="auto"/>
          </w:divBdr>
          <w:divsChild>
            <w:div w:id="688681213">
              <w:marLeft w:val="0"/>
              <w:marRight w:val="0"/>
              <w:marTop w:val="0"/>
              <w:marBottom w:val="0"/>
              <w:divBdr>
                <w:top w:val="none" w:sz="0" w:space="0" w:color="auto"/>
                <w:left w:val="none" w:sz="0" w:space="0" w:color="auto"/>
                <w:bottom w:val="none" w:sz="0" w:space="0" w:color="auto"/>
                <w:right w:val="none" w:sz="0" w:space="0" w:color="auto"/>
              </w:divBdr>
              <w:divsChild>
                <w:div w:id="193863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02388">
      <w:bodyDiv w:val="1"/>
      <w:marLeft w:val="0"/>
      <w:marRight w:val="0"/>
      <w:marTop w:val="0"/>
      <w:marBottom w:val="0"/>
      <w:divBdr>
        <w:top w:val="none" w:sz="0" w:space="0" w:color="auto"/>
        <w:left w:val="none" w:sz="0" w:space="0" w:color="auto"/>
        <w:bottom w:val="none" w:sz="0" w:space="0" w:color="auto"/>
        <w:right w:val="none" w:sz="0" w:space="0" w:color="auto"/>
      </w:divBdr>
      <w:divsChild>
        <w:div w:id="479617859">
          <w:marLeft w:val="0"/>
          <w:marRight w:val="0"/>
          <w:marTop w:val="0"/>
          <w:marBottom w:val="0"/>
          <w:divBdr>
            <w:top w:val="none" w:sz="0" w:space="0" w:color="auto"/>
            <w:left w:val="none" w:sz="0" w:space="0" w:color="auto"/>
            <w:bottom w:val="none" w:sz="0" w:space="0" w:color="auto"/>
            <w:right w:val="none" w:sz="0" w:space="0" w:color="auto"/>
          </w:divBdr>
          <w:divsChild>
            <w:div w:id="1375959900">
              <w:marLeft w:val="0"/>
              <w:marRight w:val="0"/>
              <w:marTop w:val="0"/>
              <w:marBottom w:val="0"/>
              <w:divBdr>
                <w:top w:val="none" w:sz="0" w:space="0" w:color="auto"/>
                <w:left w:val="none" w:sz="0" w:space="0" w:color="auto"/>
                <w:bottom w:val="none" w:sz="0" w:space="0" w:color="auto"/>
                <w:right w:val="none" w:sz="0" w:space="0" w:color="auto"/>
              </w:divBdr>
              <w:divsChild>
                <w:div w:id="6390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44206">
      <w:bodyDiv w:val="1"/>
      <w:marLeft w:val="0"/>
      <w:marRight w:val="0"/>
      <w:marTop w:val="0"/>
      <w:marBottom w:val="0"/>
      <w:divBdr>
        <w:top w:val="none" w:sz="0" w:space="0" w:color="auto"/>
        <w:left w:val="none" w:sz="0" w:space="0" w:color="auto"/>
        <w:bottom w:val="none" w:sz="0" w:space="0" w:color="auto"/>
        <w:right w:val="none" w:sz="0" w:space="0" w:color="auto"/>
      </w:divBdr>
    </w:div>
    <w:div w:id="884684596">
      <w:bodyDiv w:val="1"/>
      <w:marLeft w:val="0"/>
      <w:marRight w:val="0"/>
      <w:marTop w:val="0"/>
      <w:marBottom w:val="0"/>
      <w:divBdr>
        <w:top w:val="none" w:sz="0" w:space="0" w:color="auto"/>
        <w:left w:val="none" w:sz="0" w:space="0" w:color="auto"/>
        <w:bottom w:val="none" w:sz="0" w:space="0" w:color="auto"/>
        <w:right w:val="none" w:sz="0" w:space="0" w:color="auto"/>
      </w:divBdr>
      <w:divsChild>
        <w:div w:id="1851603690">
          <w:marLeft w:val="0"/>
          <w:marRight w:val="0"/>
          <w:marTop w:val="0"/>
          <w:marBottom w:val="0"/>
          <w:divBdr>
            <w:top w:val="none" w:sz="0" w:space="0" w:color="auto"/>
            <w:left w:val="none" w:sz="0" w:space="0" w:color="auto"/>
            <w:bottom w:val="none" w:sz="0" w:space="0" w:color="auto"/>
            <w:right w:val="none" w:sz="0" w:space="0" w:color="auto"/>
          </w:divBdr>
          <w:divsChild>
            <w:div w:id="2131124183">
              <w:marLeft w:val="0"/>
              <w:marRight w:val="0"/>
              <w:marTop w:val="0"/>
              <w:marBottom w:val="0"/>
              <w:divBdr>
                <w:top w:val="none" w:sz="0" w:space="0" w:color="auto"/>
                <w:left w:val="none" w:sz="0" w:space="0" w:color="auto"/>
                <w:bottom w:val="none" w:sz="0" w:space="0" w:color="auto"/>
                <w:right w:val="none" w:sz="0" w:space="0" w:color="auto"/>
              </w:divBdr>
              <w:divsChild>
                <w:div w:id="788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128729">
      <w:bodyDiv w:val="1"/>
      <w:marLeft w:val="0"/>
      <w:marRight w:val="0"/>
      <w:marTop w:val="0"/>
      <w:marBottom w:val="0"/>
      <w:divBdr>
        <w:top w:val="none" w:sz="0" w:space="0" w:color="auto"/>
        <w:left w:val="none" w:sz="0" w:space="0" w:color="auto"/>
        <w:bottom w:val="none" w:sz="0" w:space="0" w:color="auto"/>
        <w:right w:val="none" w:sz="0" w:space="0" w:color="auto"/>
      </w:divBdr>
    </w:div>
    <w:div w:id="914512507">
      <w:bodyDiv w:val="1"/>
      <w:marLeft w:val="0"/>
      <w:marRight w:val="0"/>
      <w:marTop w:val="0"/>
      <w:marBottom w:val="0"/>
      <w:divBdr>
        <w:top w:val="none" w:sz="0" w:space="0" w:color="auto"/>
        <w:left w:val="none" w:sz="0" w:space="0" w:color="auto"/>
        <w:bottom w:val="none" w:sz="0" w:space="0" w:color="auto"/>
        <w:right w:val="none" w:sz="0" w:space="0" w:color="auto"/>
      </w:divBdr>
    </w:div>
    <w:div w:id="1066730098">
      <w:bodyDiv w:val="1"/>
      <w:marLeft w:val="0"/>
      <w:marRight w:val="0"/>
      <w:marTop w:val="0"/>
      <w:marBottom w:val="0"/>
      <w:divBdr>
        <w:top w:val="none" w:sz="0" w:space="0" w:color="auto"/>
        <w:left w:val="none" w:sz="0" w:space="0" w:color="auto"/>
        <w:bottom w:val="none" w:sz="0" w:space="0" w:color="auto"/>
        <w:right w:val="none" w:sz="0" w:space="0" w:color="auto"/>
      </w:divBdr>
      <w:divsChild>
        <w:div w:id="88696240">
          <w:marLeft w:val="0"/>
          <w:marRight w:val="0"/>
          <w:marTop w:val="0"/>
          <w:marBottom w:val="0"/>
          <w:divBdr>
            <w:top w:val="none" w:sz="0" w:space="0" w:color="auto"/>
            <w:left w:val="none" w:sz="0" w:space="0" w:color="auto"/>
            <w:bottom w:val="none" w:sz="0" w:space="0" w:color="auto"/>
            <w:right w:val="none" w:sz="0" w:space="0" w:color="auto"/>
          </w:divBdr>
          <w:divsChild>
            <w:div w:id="1010989451">
              <w:marLeft w:val="0"/>
              <w:marRight w:val="0"/>
              <w:marTop w:val="0"/>
              <w:marBottom w:val="0"/>
              <w:divBdr>
                <w:top w:val="none" w:sz="0" w:space="0" w:color="auto"/>
                <w:left w:val="none" w:sz="0" w:space="0" w:color="auto"/>
                <w:bottom w:val="none" w:sz="0" w:space="0" w:color="auto"/>
                <w:right w:val="none" w:sz="0" w:space="0" w:color="auto"/>
              </w:divBdr>
              <w:divsChild>
                <w:div w:id="4339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96324">
      <w:bodyDiv w:val="1"/>
      <w:marLeft w:val="0"/>
      <w:marRight w:val="0"/>
      <w:marTop w:val="0"/>
      <w:marBottom w:val="0"/>
      <w:divBdr>
        <w:top w:val="none" w:sz="0" w:space="0" w:color="auto"/>
        <w:left w:val="none" w:sz="0" w:space="0" w:color="auto"/>
        <w:bottom w:val="none" w:sz="0" w:space="0" w:color="auto"/>
        <w:right w:val="none" w:sz="0" w:space="0" w:color="auto"/>
      </w:divBdr>
      <w:divsChild>
        <w:div w:id="742021295">
          <w:marLeft w:val="0"/>
          <w:marRight w:val="0"/>
          <w:marTop w:val="0"/>
          <w:marBottom w:val="0"/>
          <w:divBdr>
            <w:top w:val="none" w:sz="0" w:space="0" w:color="auto"/>
            <w:left w:val="none" w:sz="0" w:space="0" w:color="auto"/>
            <w:bottom w:val="none" w:sz="0" w:space="0" w:color="auto"/>
            <w:right w:val="none" w:sz="0" w:space="0" w:color="auto"/>
          </w:divBdr>
          <w:divsChild>
            <w:div w:id="60257760">
              <w:marLeft w:val="0"/>
              <w:marRight w:val="0"/>
              <w:marTop w:val="0"/>
              <w:marBottom w:val="0"/>
              <w:divBdr>
                <w:top w:val="none" w:sz="0" w:space="0" w:color="auto"/>
                <w:left w:val="none" w:sz="0" w:space="0" w:color="auto"/>
                <w:bottom w:val="none" w:sz="0" w:space="0" w:color="auto"/>
                <w:right w:val="none" w:sz="0" w:space="0" w:color="auto"/>
              </w:divBdr>
              <w:divsChild>
                <w:div w:id="10565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69459">
      <w:bodyDiv w:val="1"/>
      <w:marLeft w:val="0"/>
      <w:marRight w:val="0"/>
      <w:marTop w:val="0"/>
      <w:marBottom w:val="0"/>
      <w:divBdr>
        <w:top w:val="none" w:sz="0" w:space="0" w:color="auto"/>
        <w:left w:val="none" w:sz="0" w:space="0" w:color="auto"/>
        <w:bottom w:val="none" w:sz="0" w:space="0" w:color="auto"/>
        <w:right w:val="none" w:sz="0" w:space="0" w:color="auto"/>
      </w:divBdr>
      <w:divsChild>
        <w:div w:id="1018238634">
          <w:marLeft w:val="0"/>
          <w:marRight w:val="0"/>
          <w:marTop w:val="0"/>
          <w:marBottom w:val="0"/>
          <w:divBdr>
            <w:top w:val="none" w:sz="0" w:space="0" w:color="auto"/>
            <w:left w:val="none" w:sz="0" w:space="0" w:color="auto"/>
            <w:bottom w:val="none" w:sz="0" w:space="0" w:color="auto"/>
            <w:right w:val="none" w:sz="0" w:space="0" w:color="auto"/>
          </w:divBdr>
          <w:divsChild>
            <w:div w:id="310524663">
              <w:marLeft w:val="0"/>
              <w:marRight w:val="0"/>
              <w:marTop w:val="0"/>
              <w:marBottom w:val="0"/>
              <w:divBdr>
                <w:top w:val="none" w:sz="0" w:space="0" w:color="auto"/>
                <w:left w:val="none" w:sz="0" w:space="0" w:color="auto"/>
                <w:bottom w:val="none" w:sz="0" w:space="0" w:color="auto"/>
                <w:right w:val="none" w:sz="0" w:space="0" w:color="auto"/>
              </w:divBdr>
            </w:div>
          </w:divsChild>
        </w:div>
        <w:div w:id="1961717394">
          <w:marLeft w:val="0"/>
          <w:marRight w:val="0"/>
          <w:marTop w:val="0"/>
          <w:marBottom w:val="0"/>
          <w:divBdr>
            <w:top w:val="none" w:sz="0" w:space="0" w:color="auto"/>
            <w:left w:val="none" w:sz="0" w:space="0" w:color="auto"/>
            <w:bottom w:val="none" w:sz="0" w:space="0" w:color="auto"/>
            <w:right w:val="none" w:sz="0" w:space="0" w:color="auto"/>
          </w:divBdr>
          <w:divsChild>
            <w:div w:id="199363885">
              <w:marLeft w:val="0"/>
              <w:marRight w:val="0"/>
              <w:marTop w:val="0"/>
              <w:marBottom w:val="0"/>
              <w:divBdr>
                <w:top w:val="none" w:sz="0" w:space="0" w:color="auto"/>
                <w:left w:val="none" w:sz="0" w:space="0" w:color="auto"/>
                <w:bottom w:val="none" w:sz="0" w:space="0" w:color="auto"/>
                <w:right w:val="none" w:sz="0" w:space="0" w:color="auto"/>
              </w:divBdr>
            </w:div>
          </w:divsChild>
        </w:div>
        <w:div w:id="1547721721">
          <w:marLeft w:val="0"/>
          <w:marRight w:val="0"/>
          <w:marTop w:val="0"/>
          <w:marBottom w:val="0"/>
          <w:divBdr>
            <w:top w:val="none" w:sz="0" w:space="0" w:color="auto"/>
            <w:left w:val="none" w:sz="0" w:space="0" w:color="auto"/>
            <w:bottom w:val="none" w:sz="0" w:space="0" w:color="auto"/>
            <w:right w:val="none" w:sz="0" w:space="0" w:color="auto"/>
          </w:divBdr>
          <w:divsChild>
            <w:div w:id="36206856">
              <w:marLeft w:val="0"/>
              <w:marRight w:val="0"/>
              <w:marTop w:val="0"/>
              <w:marBottom w:val="0"/>
              <w:divBdr>
                <w:top w:val="none" w:sz="0" w:space="0" w:color="auto"/>
                <w:left w:val="none" w:sz="0" w:space="0" w:color="auto"/>
                <w:bottom w:val="none" w:sz="0" w:space="0" w:color="auto"/>
                <w:right w:val="none" w:sz="0" w:space="0" w:color="auto"/>
              </w:divBdr>
            </w:div>
          </w:divsChild>
        </w:div>
        <w:div w:id="1004553659">
          <w:marLeft w:val="0"/>
          <w:marRight w:val="0"/>
          <w:marTop w:val="0"/>
          <w:marBottom w:val="0"/>
          <w:divBdr>
            <w:top w:val="none" w:sz="0" w:space="0" w:color="auto"/>
            <w:left w:val="none" w:sz="0" w:space="0" w:color="auto"/>
            <w:bottom w:val="none" w:sz="0" w:space="0" w:color="auto"/>
            <w:right w:val="none" w:sz="0" w:space="0" w:color="auto"/>
          </w:divBdr>
          <w:divsChild>
            <w:div w:id="2044818181">
              <w:marLeft w:val="0"/>
              <w:marRight w:val="0"/>
              <w:marTop w:val="0"/>
              <w:marBottom w:val="0"/>
              <w:divBdr>
                <w:top w:val="none" w:sz="0" w:space="0" w:color="auto"/>
                <w:left w:val="none" w:sz="0" w:space="0" w:color="auto"/>
                <w:bottom w:val="none" w:sz="0" w:space="0" w:color="auto"/>
                <w:right w:val="none" w:sz="0" w:space="0" w:color="auto"/>
              </w:divBdr>
            </w:div>
          </w:divsChild>
        </w:div>
        <w:div w:id="1497186318">
          <w:marLeft w:val="0"/>
          <w:marRight w:val="0"/>
          <w:marTop w:val="0"/>
          <w:marBottom w:val="0"/>
          <w:divBdr>
            <w:top w:val="none" w:sz="0" w:space="0" w:color="auto"/>
            <w:left w:val="none" w:sz="0" w:space="0" w:color="auto"/>
            <w:bottom w:val="none" w:sz="0" w:space="0" w:color="auto"/>
            <w:right w:val="none" w:sz="0" w:space="0" w:color="auto"/>
          </w:divBdr>
          <w:divsChild>
            <w:div w:id="698969755">
              <w:marLeft w:val="0"/>
              <w:marRight w:val="0"/>
              <w:marTop w:val="0"/>
              <w:marBottom w:val="0"/>
              <w:divBdr>
                <w:top w:val="none" w:sz="0" w:space="0" w:color="auto"/>
                <w:left w:val="none" w:sz="0" w:space="0" w:color="auto"/>
                <w:bottom w:val="none" w:sz="0" w:space="0" w:color="auto"/>
                <w:right w:val="none" w:sz="0" w:space="0" w:color="auto"/>
              </w:divBdr>
            </w:div>
          </w:divsChild>
        </w:div>
        <w:div w:id="1206914800">
          <w:marLeft w:val="0"/>
          <w:marRight w:val="0"/>
          <w:marTop w:val="0"/>
          <w:marBottom w:val="0"/>
          <w:divBdr>
            <w:top w:val="none" w:sz="0" w:space="0" w:color="auto"/>
            <w:left w:val="none" w:sz="0" w:space="0" w:color="auto"/>
            <w:bottom w:val="none" w:sz="0" w:space="0" w:color="auto"/>
            <w:right w:val="none" w:sz="0" w:space="0" w:color="auto"/>
          </w:divBdr>
          <w:divsChild>
            <w:div w:id="1822647802">
              <w:marLeft w:val="0"/>
              <w:marRight w:val="0"/>
              <w:marTop w:val="0"/>
              <w:marBottom w:val="0"/>
              <w:divBdr>
                <w:top w:val="none" w:sz="0" w:space="0" w:color="auto"/>
                <w:left w:val="none" w:sz="0" w:space="0" w:color="auto"/>
                <w:bottom w:val="none" w:sz="0" w:space="0" w:color="auto"/>
                <w:right w:val="none" w:sz="0" w:space="0" w:color="auto"/>
              </w:divBdr>
            </w:div>
          </w:divsChild>
        </w:div>
        <w:div w:id="1498229900">
          <w:marLeft w:val="0"/>
          <w:marRight w:val="0"/>
          <w:marTop w:val="0"/>
          <w:marBottom w:val="0"/>
          <w:divBdr>
            <w:top w:val="none" w:sz="0" w:space="0" w:color="auto"/>
            <w:left w:val="none" w:sz="0" w:space="0" w:color="auto"/>
            <w:bottom w:val="none" w:sz="0" w:space="0" w:color="auto"/>
            <w:right w:val="none" w:sz="0" w:space="0" w:color="auto"/>
          </w:divBdr>
          <w:divsChild>
            <w:div w:id="360327804">
              <w:marLeft w:val="0"/>
              <w:marRight w:val="0"/>
              <w:marTop w:val="0"/>
              <w:marBottom w:val="0"/>
              <w:divBdr>
                <w:top w:val="none" w:sz="0" w:space="0" w:color="auto"/>
                <w:left w:val="none" w:sz="0" w:space="0" w:color="auto"/>
                <w:bottom w:val="none" w:sz="0" w:space="0" w:color="auto"/>
                <w:right w:val="none" w:sz="0" w:space="0" w:color="auto"/>
              </w:divBdr>
            </w:div>
          </w:divsChild>
        </w:div>
        <w:div w:id="659693838">
          <w:marLeft w:val="0"/>
          <w:marRight w:val="0"/>
          <w:marTop w:val="0"/>
          <w:marBottom w:val="0"/>
          <w:divBdr>
            <w:top w:val="none" w:sz="0" w:space="0" w:color="auto"/>
            <w:left w:val="none" w:sz="0" w:space="0" w:color="auto"/>
            <w:bottom w:val="none" w:sz="0" w:space="0" w:color="auto"/>
            <w:right w:val="none" w:sz="0" w:space="0" w:color="auto"/>
          </w:divBdr>
          <w:divsChild>
            <w:div w:id="434331372">
              <w:marLeft w:val="0"/>
              <w:marRight w:val="0"/>
              <w:marTop w:val="0"/>
              <w:marBottom w:val="0"/>
              <w:divBdr>
                <w:top w:val="none" w:sz="0" w:space="0" w:color="auto"/>
                <w:left w:val="none" w:sz="0" w:space="0" w:color="auto"/>
                <w:bottom w:val="none" w:sz="0" w:space="0" w:color="auto"/>
                <w:right w:val="none" w:sz="0" w:space="0" w:color="auto"/>
              </w:divBdr>
            </w:div>
          </w:divsChild>
        </w:div>
        <w:div w:id="657421772">
          <w:marLeft w:val="0"/>
          <w:marRight w:val="0"/>
          <w:marTop w:val="0"/>
          <w:marBottom w:val="0"/>
          <w:divBdr>
            <w:top w:val="none" w:sz="0" w:space="0" w:color="auto"/>
            <w:left w:val="none" w:sz="0" w:space="0" w:color="auto"/>
            <w:bottom w:val="none" w:sz="0" w:space="0" w:color="auto"/>
            <w:right w:val="none" w:sz="0" w:space="0" w:color="auto"/>
          </w:divBdr>
          <w:divsChild>
            <w:div w:id="366566864">
              <w:marLeft w:val="0"/>
              <w:marRight w:val="0"/>
              <w:marTop w:val="0"/>
              <w:marBottom w:val="0"/>
              <w:divBdr>
                <w:top w:val="none" w:sz="0" w:space="0" w:color="auto"/>
                <w:left w:val="none" w:sz="0" w:space="0" w:color="auto"/>
                <w:bottom w:val="none" w:sz="0" w:space="0" w:color="auto"/>
                <w:right w:val="none" w:sz="0" w:space="0" w:color="auto"/>
              </w:divBdr>
            </w:div>
          </w:divsChild>
        </w:div>
        <w:div w:id="747384945">
          <w:marLeft w:val="0"/>
          <w:marRight w:val="0"/>
          <w:marTop w:val="0"/>
          <w:marBottom w:val="0"/>
          <w:divBdr>
            <w:top w:val="none" w:sz="0" w:space="0" w:color="auto"/>
            <w:left w:val="none" w:sz="0" w:space="0" w:color="auto"/>
            <w:bottom w:val="none" w:sz="0" w:space="0" w:color="auto"/>
            <w:right w:val="none" w:sz="0" w:space="0" w:color="auto"/>
          </w:divBdr>
          <w:divsChild>
            <w:div w:id="1133016397">
              <w:marLeft w:val="0"/>
              <w:marRight w:val="0"/>
              <w:marTop w:val="0"/>
              <w:marBottom w:val="0"/>
              <w:divBdr>
                <w:top w:val="none" w:sz="0" w:space="0" w:color="auto"/>
                <w:left w:val="none" w:sz="0" w:space="0" w:color="auto"/>
                <w:bottom w:val="none" w:sz="0" w:space="0" w:color="auto"/>
                <w:right w:val="none" w:sz="0" w:space="0" w:color="auto"/>
              </w:divBdr>
            </w:div>
          </w:divsChild>
        </w:div>
        <w:div w:id="205533606">
          <w:marLeft w:val="0"/>
          <w:marRight w:val="0"/>
          <w:marTop w:val="0"/>
          <w:marBottom w:val="0"/>
          <w:divBdr>
            <w:top w:val="none" w:sz="0" w:space="0" w:color="auto"/>
            <w:left w:val="none" w:sz="0" w:space="0" w:color="auto"/>
            <w:bottom w:val="none" w:sz="0" w:space="0" w:color="auto"/>
            <w:right w:val="none" w:sz="0" w:space="0" w:color="auto"/>
          </w:divBdr>
          <w:divsChild>
            <w:div w:id="2017996713">
              <w:marLeft w:val="0"/>
              <w:marRight w:val="0"/>
              <w:marTop w:val="0"/>
              <w:marBottom w:val="0"/>
              <w:divBdr>
                <w:top w:val="none" w:sz="0" w:space="0" w:color="auto"/>
                <w:left w:val="none" w:sz="0" w:space="0" w:color="auto"/>
                <w:bottom w:val="none" w:sz="0" w:space="0" w:color="auto"/>
                <w:right w:val="none" w:sz="0" w:space="0" w:color="auto"/>
              </w:divBdr>
            </w:div>
          </w:divsChild>
        </w:div>
        <w:div w:id="1230732365">
          <w:marLeft w:val="0"/>
          <w:marRight w:val="0"/>
          <w:marTop w:val="0"/>
          <w:marBottom w:val="0"/>
          <w:divBdr>
            <w:top w:val="none" w:sz="0" w:space="0" w:color="auto"/>
            <w:left w:val="none" w:sz="0" w:space="0" w:color="auto"/>
            <w:bottom w:val="none" w:sz="0" w:space="0" w:color="auto"/>
            <w:right w:val="none" w:sz="0" w:space="0" w:color="auto"/>
          </w:divBdr>
          <w:divsChild>
            <w:div w:id="1322998802">
              <w:marLeft w:val="0"/>
              <w:marRight w:val="0"/>
              <w:marTop w:val="0"/>
              <w:marBottom w:val="0"/>
              <w:divBdr>
                <w:top w:val="none" w:sz="0" w:space="0" w:color="auto"/>
                <w:left w:val="none" w:sz="0" w:space="0" w:color="auto"/>
                <w:bottom w:val="none" w:sz="0" w:space="0" w:color="auto"/>
                <w:right w:val="none" w:sz="0" w:space="0" w:color="auto"/>
              </w:divBdr>
            </w:div>
          </w:divsChild>
        </w:div>
        <w:div w:id="1256086779">
          <w:marLeft w:val="0"/>
          <w:marRight w:val="0"/>
          <w:marTop w:val="0"/>
          <w:marBottom w:val="0"/>
          <w:divBdr>
            <w:top w:val="none" w:sz="0" w:space="0" w:color="auto"/>
            <w:left w:val="none" w:sz="0" w:space="0" w:color="auto"/>
            <w:bottom w:val="none" w:sz="0" w:space="0" w:color="auto"/>
            <w:right w:val="none" w:sz="0" w:space="0" w:color="auto"/>
          </w:divBdr>
          <w:divsChild>
            <w:div w:id="1255288837">
              <w:marLeft w:val="0"/>
              <w:marRight w:val="0"/>
              <w:marTop w:val="0"/>
              <w:marBottom w:val="0"/>
              <w:divBdr>
                <w:top w:val="none" w:sz="0" w:space="0" w:color="auto"/>
                <w:left w:val="none" w:sz="0" w:space="0" w:color="auto"/>
                <w:bottom w:val="none" w:sz="0" w:space="0" w:color="auto"/>
                <w:right w:val="none" w:sz="0" w:space="0" w:color="auto"/>
              </w:divBdr>
            </w:div>
          </w:divsChild>
        </w:div>
        <w:div w:id="1761635804">
          <w:marLeft w:val="0"/>
          <w:marRight w:val="0"/>
          <w:marTop w:val="0"/>
          <w:marBottom w:val="0"/>
          <w:divBdr>
            <w:top w:val="none" w:sz="0" w:space="0" w:color="auto"/>
            <w:left w:val="none" w:sz="0" w:space="0" w:color="auto"/>
            <w:bottom w:val="none" w:sz="0" w:space="0" w:color="auto"/>
            <w:right w:val="none" w:sz="0" w:space="0" w:color="auto"/>
          </w:divBdr>
          <w:divsChild>
            <w:div w:id="614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6900">
      <w:bodyDiv w:val="1"/>
      <w:marLeft w:val="0"/>
      <w:marRight w:val="0"/>
      <w:marTop w:val="0"/>
      <w:marBottom w:val="0"/>
      <w:divBdr>
        <w:top w:val="none" w:sz="0" w:space="0" w:color="auto"/>
        <w:left w:val="none" w:sz="0" w:space="0" w:color="auto"/>
        <w:bottom w:val="none" w:sz="0" w:space="0" w:color="auto"/>
        <w:right w:val="none" w:sz="0" w:space="0" w:color="auto"/>
      </w:divBdr>
    </w:div>
    <w:div w:id="1241989289">
      <w:bodyDiv w:val="1"/>
      <w:marLeft w:val="0"/>
      <w:marRight w:val="0"/>
      <w:marTop w:val="0"/>
      <w:marBottom w:val="0"/>
      <w:divBdr>
        <w:top w:val="none" w:sz="0" w:space="0" w:color="auto"/>
        <w:left w:val="none" w:sz="0" w:space="0" w:color="auto"/>
        <w:bottom w:val="none" w:sz="0" w:space="0" w:color="auto"/>
        <w:right w:val="none" w:sz="0" w:space="0" w:color="auto"/>
      </w:divBdr>
    </w:div>
    <w:div w:id="1445880886">
      <w:bodyDiv w:val="1"/>
      <w:marLeft w:val="0"/>
      <w:marRight w:val="0"/>
      <w:marTop w:val="0"/>
      <w:marBottom w:val="0"/>
      <w:divBdr>
        <w:top w:val="none" w:sz="0" w:space="0" w:color="auto"/>
        <w:left w:val="none" w:sz="0" w:space="0" w:color="auto"/>
        <w:bottom w:val="none" w:sz="0" w:space="0" w:color="auto"/>
        <w:right w:val="none" w:sz="0" w:space="0" w:color="auto"/>
      </w:divBdr>
    </w:div>
    <w:div w:id="1506744492">
      <w:bodyDiv w:val="1"/>
      <w:marLeft w:val="0"/>
      <w:marRight w:val="0"/>
      <w:marTop w:val="0"/>
      <w:marBottom w:val="0"/>
      <w:divBdr>
        <w:top w:val="none" w:sz="0" w:space="0" w:color="auto"/>
        <w:left w:val="none" w:sz="0" w:space="0" w:color="auto"/>
        <w:bottom w:val="none" w:sz="0" w:space="0" w:color="auto"/>
        <w:right w:val="none" w:sz="0" w:space="0" w:color="auto"/>
      </w:divBdr>
      <w:divsChild>
        <w:div w:id="1587960540">
          <w:marLeft w:val="0"/>
          <w:marRight w:val="0"/>
          <w:marTop w:val="0"/>
          <w:marBottom w:val="0"/>
          <w:divBdr>
            <w:top w:val="none" w:sz="0" w:space="0" w:color="auto"/>
            <w:left w:val="none" w:sz="0" w:space="0" w:color="auto"/>
            <w:bottom w:val="none" w:sz="0" w:space="0" w:color="auto"/>
            <w:right w:val="none" w:sz="0" w:space="0" w:color="auto"/>
          </w:divBdr>
          <w:divsChild>
            <w:div w:id="2001617273">
              <w:marLeft w:val="0"/>
              <w:marRight w:val="0"/>
              <w:marTop w:val="0"/>
              <w:marBottom w:val="0"/>
              <w:divBdr>
                <w:top w:val="none" w:sz="0" w:space="0" w:color="auto"/>
                <w:left w:val="none" w:sz="0" w:space="0" w:color="auto"/>
                <w:bottom w:val="none" w:sz="0" w:space="0" w:color="auto"/>
                <w:right w:val="none" w:sz="0" w:space="0" w:color="auto"/>
              </w:divBdr>
              <w:divsChild>
                <w:div w:id="9993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89325">
      <w:bodyDiv w:val="1"/>
      <w:marLeft w:val="0"/>
      <w:marRight w:val="0"/>
      <w:marTop w:val="0"/>
      <w:marBottom w:val="0"/>
      <w:divBdr>
        <w:top w:val="none" w:sz="0" w:space="0" w:color="auto"/>
        <w:left w:val="none" w:sz="0" w:space="0" w:color="auto"/>
        <w:bottom w:val="none" w:sz="0" w:space="0" w:color="auto"/>
        <w:right w:val="none" w:sz="0" w:space="0" w:color="auto"/>
      </w:divBdr>
    </w:div>
    <w:div w:id="1549952710">
      <w:bodyDiv w:val="1"/>
      <w:marLeft w:val="0"/>
      <w:marRight w:val="0"/>
      <w:marTop w:val="0"/>
      <w:marBottom w:val="0"/>
      <w:divBdr>
        <w:top w:val="none" w:sz="0" w:space="0" w:color="auto"/>
        <w:left w:val="none" w:sz="0" w:space="0" w:color="auto"/>
        <w:bottom w:val="none" w:sz="0" w:space="0" w:color="auto"/>
        <w:right w:val="none" w:sz="0" w:space="0" w:color="auto"/>
      </w:divBdr>
      <w:divsChild>
        <w:div w:id="305597797">
          <w:marLeft w:val="0"/>
          <w:marRight w:val="0"/>
          <w:marTop w:val="0"/>
          <w:marBottom w:val="0"/>
          <w:divBdr>
            <w:top w:val="none" w:sz="0" w:space="0" w:color="auto"/>
            <w:left w:val="none" w:sz="0" w:space="0" w:color="auto"/>
            <w:bottom w:val="none" w:sz="0" w:space="0" w:color="auto"/>
            <w:right w:val="none" w:sz="0" w:space="0" w:color="auto"/>
          </w:divBdr>
          <w:divsChild>
            <w:div w:id="697776279">
              <w:marLeft w:val="0"/>
              <w:marRight w:val="0"/>
              <w:marTop w:val="0"/>
              <w:marBottom w:val="0"/>
              <w:divBdr>
                <w:top w:val="none" w:sz="0" w:space="0" w:color="auto"/>
                <w:left w:val="none" w:sz="0" w:space="0" w:color="auto"/>
                <w:bottom w:val="none" w:sz="0" w:space="0" w:color="auto"/>
                <w:right w:val="none" w:sz="0" w:space="0" w:color="auto"/>
              </w:divBdr>
              <w:divsChild>
                <w:div w:id="13430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41085">
      <w:bodyDiv w:val="1"/>
      <w:marLeft w:val="0"/>
      <w:marRight w:val="0"/>
      <w:marTop w:val="0"/>
      <w:marBottom w:val="0"/>
      <w:divBdr>
        <w:top w:val="none" w:sz="0" w:space="0" w:color="auto"/>
        <w:left w:val="none" w:sz="0" w:space="0" w:color="auto"/>
        <w:bottom w:val="none" w:sz="0" w:space="0" w:color="auto"/>
        <w:right w:val="none" w:sz="0" w:space="0" w:color="auto"/>
      </w:divBdr>
    </w:div>
    <w:div w:id="1579515603">
      <w:bodyDiv w:val="1"/>
      <w:marLeft w:val="0"/>
      <w:marRight w:val="0"/>
      <w:marTop w:val="0"/>
      <w:marBottom w:val="0"/>
      <w:divBdr>
        <w:top w:val="none" w:sz="0" w:space="0" w:color="auto"/>
        <w:left w:val="none" w:sz="0" w:space="0" w:color="auto"/>
        <w:bottom w:val="none" w:sz="0" w:space="0" w:color="auto"/>
        <w:right w:val="none" w:sz="0" w:space="0" w:color="auto"/>
      </w:divBdr>
      <w:divsChild>
        <w:div w:id="235363138">
          <w:marLeft w:val="0"/>
          <w:marRight w:val="0"/>
          <w:marTop w:val="0"/>
          <w:marBottom w:val="0"/>
          <w:divBdr>
            <w:top w:val="single" w:sz="2" w:space="0" w:color="D9D9E3"/>
            <w:left w:val="single" w:sz="2" w:space="0" w:color="D9D9E3"/>
            <w:bottom w:val="single" w:sz="2" w:space="0" w:color="D9D9E3"/>
            <w:right w:val="single" w:sz="2" w:space="0" w:color="D9D9E3"/>
          </w:divBdr>
          <w:divsChild>
            <w:div w:id="1069376836">
              <w:marLeft w:val="0"/>
              <w:marRight w:val="0"/>
              <w:marTop w:val="0"/>
              <w:marBottom w:val="0"/>
              <w:divBdr>
                <w:top w:val="single" w:sz="2" w:space="0" w:color="D9D9E3"/>
                <w:left w:val="single" w:sz="2" w:space="0" w:color="D9D9E3"/>
                <w:bottom w:val="single" w:sz="2" w:space="0" w:color="D9D9E3"/>
                <w:right w:val="single" w:sz="2" w:space="0" w:color="D9D9E3"/>
              </w:divBdr>
              <w:divsChild>
                <w:div w:id="830873404">
                  <w:marLeft w:val="0"/>
                  <w:marRight w:val="0"/>
                  <w:marTop w:val="0"/>
                  <w:marBottom w:val="0"/>
                  <w:divBdr>
                    <w:top w:val="single" w:sz="2" w:space="0" w:color="D9D9E3"/>
                    <w:left w:val="single" w:sz="2" w:space="0" w:color="D9D9E3"/>
                    <w:bottom w:val="single" w:sz="2" w:space="0" w:color="D9D9E3"/>
                    <w:right w:val="single" w:sz="2" w:space="0" w:color="D9D9E3"/>
                  </w:divBdr>
                  <w:divsChild>
                    <w:div w:id="1761944206">
                      <w:marLeft w:val="0"/>
                      <w:marRight w:val="0"/>
                      <w:marTop w:val="0"/>
                      <w:marBottom w:val="0"/>
                      <w:divBdr>
                        <w:top w:val="single" w:sz="2" w:space="0" w:color="D9D9E3"/>
                        <w:left w:val="single" w:sz="2" w:space="0" w:color="D9D9E3"/>
                        <w:bottom w:val="single" w:sz="2" w:space="0" w:color="D9D9E3"/>
                        <w:right w:val="single" w:sz="2" w:space="0" w:color="D9D9E3"/>
                      </w:divBdr>
                      <w:divsChild>
                        <w:div w:id="1119447137">
                          <w:marLeft w:val="0"/>
                          <w:marRight w:val="0"/>
                          <w:marTop w:val="0"/>
                          <w:marBottom w:val="0"/>
                          <w:divBdr>
                            <w:top w:val="single" w:sz="2" w:space="0" w:color="auto"/>
                            <w:left w:val="single" w:sz="2" w:space="0" w:color="auto"/>
                            <w:bottom w:val="single" w:sz="6" w:space="0" w:color="auto"/>
                            <w:right w:val="single" w:sz="2" w:space="0" w:color="auto"/>
                          </w:divBdr>
                          <w:divsChild>
                            <w:div w:id="1354302766">
                              <w:marLeft w:val="0"/>
                              <w:marRight w:val="0"/>
                              <w:marTop w:val="100"/>
                              <w:marBottom w:val="100"/>
                              <w:divBdr>
                                <w:top w:val="single" w:sz="2" w:space="0" w:color="D9D9E3"/>
                                <w:left w:val="single" w:sz="2" w:space="0" w:color="D9D9E3"/>
                                <w:bottom w:val="single" w:sz="2" w:space="0" w:color="D9D9E3"/>
                                <w:right w:val="single" w:sz="2" w:space="0" w:color="D9D9E3"/>
                              </w:divBdr>
                              <w:divsChild>
                                <w:div w:id="1841771956">
                                  <w:marLeft w:val="0"/>
                                  <w:marRight w:val="0"/>
                                  <w:marTop w:val="0"/>
                                  <w:marBottom w:val="0"/>
                                  <w:divBdr>
                                    <w:top w:val="single" w:sz="2" w:space="0" w:color="D9D9E3"/>
                                    <w:left w:val="single" w:sz="2" w:space="0" w:color="D9D9E3"/>
                                    <w:bottom w:val="single" w:sz="2" w:space="0" w:color="D9D9E3"/>
                                    <w:right w:val="single" w:sz="2" w:space="0" w:color="D9D9E3"/>
                                  </w:divBdr>
                                  <w:divsChild>
                                    <w:div w:id="107897615">
                                      <w:marLeft w:val="0"/>
                                      <w:marRight w:val="0"/>
                                      <w:marTop w:val="0"/>
                                      <w:marBottom w:val="0"/>
                                      <w:divBdr>
                                        <w:top w:val="single" w:sz="2" w:space="0" w:color="D9D9E3"/>
                                        <w:left w:val="single" w:sz="2" w:space="0" w:color="D9D9E3"/>
                                        <w:bottom w:val="single" w:sz="2" w:space="0" w:color="D9D9E3"/>
                                        <w:right w:val="single" w:sz="2" w:space="0" w:color="D9D9E3"/>
                                      </w:divBdr>
                                      <w:divsChild>
                                        <w:div w:id="458840831">
                                          <w:marLeft w:val="0"/>
                                          <w:marRight w:val="0"/>
                                          <w:marTop w:val="0"/>
                                          <w:marBottom w:val="0"/>
                                          <w:divBdr>
                                            <w:top w:val="single" w:sz="2" w:space="0" w:color="D9D9E3"/>
                                            <w:left w:val="single" w:sz="2" w:space="0" w:color="D9D9E3"/>
                                            <w:bottom w:val="single" w:sz="2" w:space="0" w:color="D9D9E3"/>
                                            <w:right w:val="single" w:sz="2" w:space="0" w:color="D9D9E3"/>
                                          </w:divBdr>
                                          <w:divsChild>
                                            <w:div w:id="1022707604">
                                              <w:marLeft w:val="0"/>
                                              <w:marRight w:val="0"/>
                                              <w:marTop w:val="0"/>
                                              <w:marBottom w:val="0"/>
                                              <w:divBdr>
                                                <w:top w:val="single" w:sz="2" w:space="0" w:color="D9D9E3"/>
                                                <w:left w:val="single" w:sz="2" w:space="0" w:color="D9D9E3"/>
                                                <w:bottom w:val="single" w:sz="2" w:space="0" w:color="D9D9E3"/>
                                                <w:right w:val="single" w:sz="2" w:space="0" w:color="D9D9E3"/>
                                              </w:divBdr>
                                              <w:divsChild>
                                                <w:div w:id="345003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22984142">
          <w:marLeft w:val="0"/>
          <w:marRight w:val="0"/>
          <w:marTop w:val="0"/>
          <w:marBottom w:val="0"/>
          <w:divBdr>
            <w:top w:val="none" w:sz="0" w:space="0" w:color="auto"/>
            <w:left w:val="none" w:sz="0" w:space="0" w:color="auto"/>
            <w:bottom w:val="none" w:sz="0" w:space="0" w:color="auto"/>
            <w:right w:val="none" w:sz="0" w:space="0" w:color="auto"/>
          </w:divBdr>
        </w:div>
      </w:divsChild>
    </w:div>
    <w:div w:id="1660226220">
      <w:bodyDiv w:val="1"/>
      <w:marLeft w:val="0"/>
      <w:marRight w:val="0"/>
      <w:marTop w:val="0"/>
      <w:marBottom w:val="0"/>
      <w:divBdr>
        <w:top w:val="none" w:sz="0" w:space="0" w:color="auto"/>
        <w:left w:val="none" w:sz="0" w:space="0" w:color="auto"/>
        <w:bottom w:val="none" w:sz="0" w:space="0" w:color="auto"/>
        <w:right w:val="none" w:sz="0" w:space="0" w:color="auto"/>
      </w:divBdr>
    </w:div>
    <w:div w:id="1844783053">
      <w:bodyDiv w:val="1"/>
      <w:marLeft w:val="0"/>
      <w:marRight w:val="0"/>
      <w:marTop w:val="0"/>
      <w:marBottom w:val="0"/>
      <w:divBdr>
        <w:top w:val="none" w:sz="0" w:space="0" w:color="auto"/>
        <w:left w:val="none" w:sz="0" w:space="0" w:color="auto"/>
        <w:bottom w:val="none" w:sz="0" w:space="0" w:color="auto"/>
        <w:right w:val="none" w:sz="0" w:space="0" w:color="auto"/>
      </w:divBdr>
      <w:divsChild>
        <w:div w:id="1015692478">
          <w:marLeft w:val="0"/>
          <w:marRight w:val="0"/>
          <w:marTop w:val="0"/>
          <w:marBottom w:val="0"/>
          <w:divBdr>
            <w:top w:val="none" w:sz="0" w:space="0" w:color="auto"/>
            <w:left w:val="none" w:sz="0" w:space="0" w:color="auto"/>
            <w:bottom w:val="none" w:sz="0" w:space="0" w:color="auto"/>
            <w:right w:val="none" w:sz="0" w:space="0" w:color="auto"/>
          </w:divBdr>
          <w:divsChild>
            <w:div w:id="1313563219">
              <w:marLeft w:val="0"/>
              <w:marRight w:val="0"/>
              <w:marTop w:val="0"/>
              <w:marBottom w:val="0"/>
              <w:divBdr>
                <w:top w:val="none" w:sz="0" w:space="0" w:color="auto"/>
                <w:left w:val="none" w:sz="0" w:space="0" w:color="auto"/>
                <w:bottom w:val="none" w:sz="0" w:space="0" w:color="auto"/>
                <w:right w:val="none" w:sz="0" w:space="0" w:color="auto"/>
              </w:divBdr>
              <w:divsChild>
                <w:div w:id="9801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04840">
      <w:bodyDiv w:val="1"/>
      <w:marLeft w:val="0"/>
      <w:marRight w:val="0"/>
      <w:marTop w:val="0"/>
      <w:marBottom w:val="0"/>
      <w:divBdr>
        <w:top w:val="none" w:sz="0" w:space="0" w:color="auto"/>
        <w:left w:val="none" w:sz="0" w:space="0" w:color="auto"/>
        <w:bottom w:val="none" w:sz="0" w:space="0" w:color="auto"/>
        <w:right w:val="none" w:sz="0" w:space="0" w:color="auto"/>
      </w:divBdr>
      <w:divsChild>
        <w:div w:id="1776899434">
          <w:marLeft w:val="0"/>
          <w:marRight w:val="0"/>
          <w:marTop w:val="0"/>
          <w:marBottom w:val="0"/>
          <w:divBdr>
            <w:top w:val="none" w:sz="0" w:space="0" w:color="auto"/>
            <w:left w:val="none" w:sz="0" w:space="0" w:color="auto"/>
            <w:bottom w:val="none" w:sz="0" w:space="0" w:color="auto"/>
            <w:right w:val="none" w:sz="0" w:space="0" w:color="auto"/>
          </w:divBdr>
          <w:divsChild>
            <w:div w:id="1648628148">
              <w:marLeft w:val="0"/>
              <w:marRight w:val="0"/>
              <w:marTop w:val="0"/>
              <w:marBottom w:val="0"/>
              <w:divBdr>
                <w:top w:val="none" w:sz="0" w:space="0" w:color="auto"/>
                <w:left w:val="none" w:sz="0" w:space="0" w:color="auto"/>
                <w:bottom w:val="none" w:sz="0" w:space="0" w:color="auto"/>
                <w:right w:val="none" w:sz="0" w:space="0" w:color="auto"/>
              </w:divBdr>
              <w:divsChild>
                <w:div w:id="1596085657">
                  <w:marLeft w:val="0"/>
                  <w:marRight w:val="0"/>
                  <w:marTop w:val="0"/>
                  <w:marBottom w:val="0"/>
                  <w:divBdr>
                    <w:top w:val="none" w:sz="0" w:space="0" w:color="auto"/>
                    <w:left w:val="none" w:sz="0" w:space="0" w:color="auto"/>
                    <w:bottom w:val="none" w:sz="0" w:space="0" w:color="auto"/>
                    <w:right w:val="none" w:sz="0" w:space="0" w:color="auto"/>
                  </w:divBdr>
                </w:div>
              </w:divsChild>
            </w:div>
            <w:div w:id="2048917697">
              <w:marLeft w:val="0"/>
              <w:marRight w:val="0"/>
              <w:marTop w:val="0"/>
              <w:marBottom w:val="0"/>
              <w:divBdr>
                <w:top w:val="none" w:sz="0" w:space="0" w:color="auto"/>
                <w:left w:val="none" w:sz="0" w:space="0" w:color="auto"/>
                <w:bottom w:val="none" w:sz="0" w:space="0" w:color="auto"/>
                <w:right w:val="none" w:sz="0" w:space="0" w:color="auto"/>
              </w:divBdr>
              <w:divsChild>
                <w:div w:id="7682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98248">
      <w:bodyDiv w:val="1"/>
      <w:marLeft w:val="0"/>
      <w:marRight w:val="0"/>
      <w:marTop w:val="0"/>
      <w:marBottom w:val="0"/>
      <w:divBdr>
        <w:top w:val="none" w:sz="0" w:space="0" w:color="auto"/>
        <w:left w:val="none" w:sz="0" w:space="0" w:color="auto"/>
        <w:bottom w:val="none" w:sz="0" w:space="0" w:color="auto"/>
        <w:right w:val="none" w:sz="0" w:space="0" w:color="auto"/>
      </w:divBdr>
    </w:div>
    <w:div w:id="1934437324">
      <w:bodyDiv w:val="1"/>
      <w:marLeft w:val="0"/>
      <w:marRight w:val="0"/>
      <w:marTop w:val="0"/>
      <w:marBottom w:val="0"/>
      <w:divBdr>
        <w:top w:val="none" w:sz="0" w:space="0" w:color="auto"/>
        <w:left w:val="none" w:sz="0" w:space="0" w:color="auto"/>
        <w:bottom w:val="none" w:sz="0" w:space="0" w:color="auto"/>
        <w:right w:val="none" w:sz="0" w:space="0" w:color="auto"/>
      </w:divBdr>
      <w:divsChild>
        <w:div w:id="1439760390">
          <w:marLeft w:val="0"/>
          <w:marRight w:val="0"/>
          <w:marTop w:val="0"/>
          <w:marBottom w:val="0"/>
          <w:divBdr>
            <w:top w:val="none" w:sz="0" w:space="0" w:color="auto"/>
            <w:left w:val="none" w:sz="0" w:space="0" w:color="auto"/>
            <w:bottom w:val="none" w:sz="0" w:space="0" w:color="auto"/>
            <w:right w:val="none" w:sz="0" w:space="0" w:color="auto"/>
          </w:divBdr>
          <w:divsChild>
            <w:div w:id="996491174">
              <w:marLeft w:val="0"/>
              <w:marRight w:val="0"/>
              <w:marTop w:val="0"/>
              <w:marBottom w:val="0"/>
              <w:divBdr>
                <w:top w:val="none" w:sz="0" w:space="0" w:color="auto"/>
                <w:left w:val="none" w:sz="0" w:space="0" w:color="auto"/>
                <w:bottom w:val="none" w:sz="0" w:space="0" w:color="auto"/>
                <w:right w:val="none" w:sz="0" w:space="0" w:color="auto"/>
              </w:divBdr>
              <w:divsChild>
                <w:div w:id="414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redcross.org.au/getmedia/7ef922ac-7360-4bd9-97f9-fb9517547eba/Doing-Responsible-Business-in-Armed-Conflict-final-publication-WEB.pdf.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i.org/10.1080/1323238X.2020.1792137"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cvoillat@icrc.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securityhumanrightshub.org/toolkit/a-practical-toolki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wg-business@un.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jonathan.kolieb@rmit.edu.a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redcross.org.au/getmedia/7a742c8c-e184-4c0b-9146-ae4e2edef8bc/7-indicators-of-corp-best-prac-FINAL-2021.pdf.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kurnadi@redcross.org.au" TargetMode="External"/><Relationship Id="rId22" Type="http://schemas.openxmlformats.org/officeDocument/2006/relationships/hyperlink" Target="https://blogs.icrc.org/law-and-policy/2023/08/03/investing-in-laws-of-war-ihl-financial-secto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esponsibleinvestment.org/wp-content/uploads/2023/05/Investor-Toolkit-on-Human-Rights-and-Armed-Conflict.pdf" TargetMode="External"/><Relationship Id="rId1" Type="http://schemas.openxmlformats.org/officeDocument/2006/relationships/hyperlink" Target="https://www2.deloitte.com/content/dam/insights/articles/us154481_cfs-the-next-era-of-esg-investing-sustainability-at-the-core/DI_The-next-era-of-ESG-investing.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35e5363-379b-4480-9448-73efe99cab00">
      <UserInfo>
        <DisplayName/>
        <AccountId xsi:nil="true"/>
        <AccountType/>
      </UserInfo>
    </SharedWithUsers>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5FE09-9CF6-45D8-B04A-981D1303797C}">
  <ds:schemaRefs>
    <ds:schemaRef ds:uri="http://schemas.microsoft.com/sharepoint/v3/contenttype/forms"/>
  </ds:schemaRefs>
</ds:datastoreItem>
</file>

<file path=customXml/itemProps2.xml><?xml version="1.0" encoding="utf-8"?>
<ds:datastoreItem xmlns:ds="http://schemas.openxmlformats.org/officeDocument/2006/customXml" ds:itemID="{1B97111D-E241-46B0-BE14-48225E564DB1}">
  <ds:schemaRefs>
    <ds:schemaRef ds:uri="http://schemas.microsoft.com/office/2006/metadata/properties"/>
    <ds:schemaRef ds:uri="http://schemas.microsoft.com/office/infopath/2007/PartnerControls"/>
    <ds:schemaRef ds:uri="ca1dd972-ff61-4440-855b-30fd5f5bfe2e"/>
    <ds:schemaRef ds:uri="f55f59ad-79c1-4721-b9a9-feeabffedd16"/>
  </ds:schemaRefs>
</ds:datastoreItem>
</file>

<file path=customXml/itemProps3.xml><?xml version="1.0" encoding="utf-8"?>
<ds:datastoreItem xmlns:ds="http://schemas.openxmlformats.org/officeDocument/2006/customXml" ds:itemID="{DED702A1-544E-42B4-900C-1523A72C2579}">
  <ds:schemaRefs>
    <ds:schemaRef ds:uri="http://schemas.openxmlformats.org/officeDocument/2006/bibliography"/>
  </ds:schemaRefs>
</ds:datastoreItem>
</file>

<file path=customXml/itemProps4.xml><?xml version="1.0" encoding="utf-8"?>
<ds:datastoreItem xmlns:ds="http://schemas.openxmlformats.org/officeDocument/2006/customXml" ds:itemID="{E1E16303-D7FF-48A5-A7D6-F664AEA716BE}"/>
</file>

<file path=docProps/app.xml><?xml version="1.0" encoding="utf-8"?>
<Properties xmlns="http://schemas.openxmlformats.org/officeDocument/2006/extended-properties" xmlns:vt="http://schemas.openxmlformats.org/officeDocument/2006/docPropsVTypes">
  <Template>Normal</Template>
  <TotalTime>0</TotalTime>
  <Pages>6</Pages>
  <Words>2660</Words>
  <Characters>15166</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2023-09-27T23:05:00Z</dcterms:created>
  <dcterms:modified xsi:type="dcterms:W3CDTF">2023-09-27T23:34:00Z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y fmtid="{D5CDD505-2E9C-101B-9397-08002B2CF9AE}" pid="3" name="Order">
    <vt:r8>1407600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SharedWithUsers">
    <vt:lpwstr/>
  </property>
  <property fmtid="{D5CDD505-2E9C-101B-9397-08002B2CF9AE}" pid="8" name="MSIP_Label_8c3d088b-6243-4963-a2e2-8b321ab7f8fc_Enabled">
    <vt:lpwstr>true</vt:lpwstr>
  </property>
  <property fmtid="{D5CDD505-2E9C-101B-9397-08002B2CF9AE}" pid="9" name="MSIP_Label_8c3d088b-6243-4963-a2e2-8b321ab7f8fc_SetDate">
    <vt:lpwstr>2023-02-02T04:39:39Z</vt:lpwstr>
  </property>
  <property fmtid="{D5CDD505-2E9C-101B-9397-08002B2CF9AE}" pid="10" name="MSIP_Label_8c3d088b-6243-4963-a2e2-8b321ab7f8fc_Method">
    <vt:lpwstr>Standard</vt:lpwstr>
  </property>
  <property fmtid="{D5CDD505-2E9C-101B-9397-08002B2CF9AE}" pid="11" name="MSIP_Label_8c3d088b-6243-4963-a2e2-8b321ab7f8fc_Name">
    <vt:lpwstr>Trusted</vt:lpwstr>
  </property>
  <property fmtid="{D5CDD505-2E9C-101B-9397-08002B2CF9AE}" pid="12" name="MSIP_Label_8c3d088b-6243-4963-a2e2-8b321ab7f8fc_SiteId">
    <vt:lpwstr>d1323671-cdbe-4417-b4d4-bdb24b51316b</vt:lpwstr>
  </property>
  <property fmtid="{D5CDD505-2E9C-101B-9397-08002B2CF9AE}" pid="13" name="MSIP_Label_8c3d088b-6243-4963-a2e2-8b321ab7f8fc_ActionId">
    <vt:lpwstr>3a2a192c-c701-43bb-83a4-5ac0aa224db3</vt:lpwstr>
  </property>
  <property fmtid="{D5CDD505-2E9C-101B-9397-08002B2CF9AE}" pid="14" name="MSIP_Label_8c3d088b-6243-4963-a2e2-8b321ab7f8fc_ContentBits">
    <vt:lpwstr>1</vt:lpwstr>
  </property>
  <property fmtid="{D5CDD505-2E9C-101B-9397-08002B2CF9AE}" pid="15" name="MediaServiceImageTags">
    <vt:lpwstr/>
  </property>
</Properties>
</file>