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B16" w:rsidRPr="00DD2246" w:rsidRDefault="00904B16" w:rsidP="00904B16">
      <w:pPr>
        <w:spacing w:line="264" w:lineRule="auto"/>
        <w:jc w:val="center"/>
        <w:rPr>
          <w:rFonts w:cstheme="minorHAnsi"/>
          <w:b/>
          <w:color w:val="000000" w:themeColor="text1"/>
        </w:rPr>
      </w:pPr>
      <w:r w:rsidRPr="00974211">
        <w:rPr>
          <w:rFonts w:cstheme="minorHAnsi"/>
          <w:b/>
          <w:color w:val="000000" w:themeColor="text1"/>
        </w:rPr>
        <w:t>Llamado a contribuciones: Sector extractivo, transición justa y derechos humanos</w:t>
      </w:r>
    </w:p>
    <w:p w:rsidR="00904B16" w:rsidRPr="00DD2246" w:rsidRDefault="007950F6" w:rsidP="004531D8">
      <w:pPr>
        <w:spacing w:line="264" w:lineRule="auto"/>
        <w:jc w:val="center"/>
        <w:rPr>
          <w:rFonts w:cstheme="minorHAnsi"/>
          <w:b/>
          <w:color w:val="000000" w:themeColor="text1"/>
        </w:rPr>
      </w:pPr>
      <w:r w:rsidRPr="00DD2246">
        <w:rPr>
          <w:rFonts w:cstheme="minorHAnsi"/>
          <w:b/>
          <w:color w:val="000000" w:themeColor="text1"/>
        </w:rPr>
        <w:t xml:space="preserve">Integración de los derechos de los niño, niñas y adolescentes en la agenda de </w:t>
      </w:r>
      <w:r w:rsidR="004531D8" w:rsidRPr="00DD2246">
        <w:rPr>
          <w:rFonts w:cstheme="minorHAnsi"/>
          <w:b/>
          <w:color w:val="000000" w:themeColor="text1"/>
        </w:rPr>
        <w:t xml:space="preserve">empresas y </w:t>
      </w:r>
      <w:r w:rsidRPr="00DD2246">
        <w:rPr>
          <w:rFonts w:cstheme="minorHAnsi"/>
          <w:b/>
          <w:color w:val="000000" w:themeColor="text1"/>
        </w:rPr>
        <w:t>derechos humanos</w:t>
      </w:r>
      <w:r w:rsidR="004531D8" w:rsidRPr="00DD2246">
        <w:rPr>
          <w:rFonts w:cstheme="minorHAnsi"/>
          <w:b/>
          <w:color w:val="000000" w:themeColor="text1"/>
        </w:rPr>
        <w:t xml:space="preserve"> - S</w:t>
      </w:r>
      <w:r w:rsidRPr="00DD2246">
        <w:rPr>
          <w:rFonts w:cstheme="minorHAnsi"/>
          <w:b/>
          <w:color w:val="000000" w:themeColor="text1"/>
        </w:rPr>
        <w:t>ector extractivo y transición justa</w:t>
      </w:r>
    </w:p>
    <w:p w:rsidR="007950F6" w:rsidRDefault="007950F6" w:rsidP="007950F6">
      <w:pPr>
        <w:spacing w:line="264" w:lineRule="auto"/>
        <w:jc w:val="center"/>
        <w:rPr>
          <w:rFonts w:cstheme="minorHAnsi"/>
          <w:b/>
          <w:color w:val="00B0F0"/>
        </w:rPr>
      </w:pPr>
      <w:r>
        <w:rPr>
          <w:rFonts w:cstheme="minorHAnsi"/>
          <w:b/>
          <w:color w:val="00B0F0"/>
        </w:rPr>
        <w:t>Oficina Regional de UNICEF para América Latina y el Caribe</w:t>
      </w:r>
    </w:p>
    <w:p w:rsidR="00DD2246" w:rsidRDefault="00DD2246" w:rsidP="007950F6">
      <w:pPr>
        <w:spacing w:line="264" w:lineRule="auto"/>
        <w:jc w:val="center"/>
        <w:rPr>
          <w:rFonts w:cstheme="minorHAnsi"/>
          <w:b/>
          <w:color w:val="00B0F0"/>
        </w:rPr>
      </w:pPr>
      <w:r>
        <w:rPr>
          <w:rFonts w:cstheme="minorHAnsi"/>
          <w:b/>
          <w:color w:val="00B0F0"/>
        </w:rPr>
        <w:t xml:space="preserve">UNICEF LACRO </w:t>
      </w:r>
    </w:p>
    <w:p w:rsidR="00974211" w:rsidRPr="00974211" w:rsidRDefault="00974211" w:rsidP="004531D8">
      <w:pPr>
        <w:spacing w:line="264" w:lineRule="auto"/>
        <w:rPr>
          <w:rFonts w:cstheme="minorHAnsi"/>
          <w:b/>
          <w:color w:val="00B0F0"/>
        </w:rPr>
      </w:pPr>
    </w:p>
    <w:p w:rsidR="00974211" w:rsidRDefault="00904B16" w:rsidP="00974211">
      <w:pPr>
        <w:shd w:val="clear" w:color="auto" w:fill="FFFFFF"/>
        <w:spacing w:line="264" w:lineRule="auto"/>
        <w:rPr>
          <w:rFonts w:cstheme="minorHAnsi"/>
          <w:b/>
          <w:color w:val="000000" w:themeColor="text1"/>
        </w:rPr>
      </w:pPr>
      <w:r w:rsidRPr="00904B16">
        <w:rPr>
          <w:rFonts w:cstheme="minorHAnsi"/>
          <w:b/>
          <w:color w:val="000000" w:themeColor="text1"/>
        </w:rPr>
        <w:t>Buenas prácticas y otros comentarios</w:t>
      </w:r>
    </w:p>
    <w:p w:rsidR="00904B16" w:rsidRDefault="00904B16" w:rsidP="00904B16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:rsidR="00904B16" w:rsidRDefault="00904B16" w:rsidP="00904B16">
      <w:pPr>
        <w:spacing w:line="264" w:lineRule="auto"/>
        <w:jc w:val="both"/>
        <w:rPr>
          <w:rFonts w:cstheme="minorHAnsi"/>
          <w:bCs/>
          <w:i/>
          <w:iCs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Pregunta 19. </w:t>
      </w:r>
      <w:r w:rsidRPr="00904B16">
        <w:rPr>
          <w:rFonts w:cstheme="minorHAnsi"/>
          <w:bCs/>
          <w:i/>
          <w:iCs/>
          <w:color w:val="000000" w:themeColor="text1"/>
        </w:rPr>
        <w:t>Sírvase proporcionar ejemplos de buenas prácticas con respecto a la integración de los derechos humanos en el sector extractivo en el contexto de la transición energética.</w:t>
      </w:r>
      <w:r>
        <w:rPr>
          <w:rFonts w:cstheme="minorHAnsi"/>
          <w:bCs/>
          <w:i/>
          <w:iCs/>
          <w:color w:val="000000" w:themeColor="text1"/>
        </w:rPr>
        <w:t xml:space="preserve"> </w:t>
      </w:r>
    </w:p>
    <w:p w:rsidR="00B5767D" w:rsidRDefault="00B5767D" w:rsidP="00904B16">
      <w:pPr>
        <w:spacing w:line="264" w:lineRule="auto"/>
        <w:jc w:val="both"/>
        <w:rPr>
          <w:rFonts w:cstheme="minorHAnsi"/>
          <w:bCs/>
          <w:i/>
          <w:iCs/>
          <w:color w:val="000000" w:themeColor="text1"/>
        </w:rPr>
      </w:pPr>
    </w:p>
    <w:p w:rsidR="00F65CF9" w:rsidRPr="00B5767D" w:rsidRDefault="00B5767D" w:rsidP="00904B16">
      <w:pPr>
        <w:spacing w:line="264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La oficina de país de UNICEF en Chile compartirá un ejemplo de buena práctica sobre la participación adolescentes en la Estrategia de Transición Socio-Ecológica Justa del </w:t>
      </w:r>
      <w:r w:rsidR="00F65CF9">
        <w:rPr>
          <w:rFonts w:cstheme="minorHAnsi"/>
          <w:bCs/>
          <w:color w:val="000000" w:themeColor="text1"/>
        </w:rPr>
        <w:t>gobierno nacional</w:t>
      </w:r>
      <w:r>
        <w:rPr>
          <w:rFonts w:cstheme="minorHAnsi"/>
          <w:bCs/>
          <w:color w:val="000000" w:themeColor="text1"/>
        </w:rPr>
        <w:t xml:space="preserve"> (Ministerio de Energía)</w:t>
      </w:r>
      <w:r w:rsidR="00F65CF9">
        <w:rPr>
          <w:rFonts w:cstheme="minorHAnsi"/>
          <w:bCs/>
          <w:color w:val="000000" w:themeColor="text1"/>
        </w:rPr>
        <w:t xml:space="preserve">, en la cual participan las </w:t>
      </w:r>
      <w:r>
        <w:rPr>
          <w:rFonts w:cstheme="minorHAnsi"/>
          <w:bCs/>
          <w:color w:val="000000" w:themeColor="text1"/>
        </w:rPr>
        <w:t xml:space="preserve">empresas </w:t>
      </w:r>
      <w:r w:rsidR="00F65CF9">
        <w:rPr>
          <w:rFonts w:cstheme="minorHAnsi"/>
          <w:bCs/>
          <w:color w:val="000000" w:themeColor="text1"/>
        </w:rPr>
        <w:t>termoeléctricas</w:t>
      </w:r>
      <w:r>
        <w:rPr>
          <w:rFonts w:cstheme="minorHAnsi"/>
          <w:bCs/>
          <w:color w:val="000000" w:themeColor="text1"/>
        </w:rPr>
        <w:t xml:space="preserve"> e</w:t>
      </w:r>
      <w:r w:rsidR="00F65CF9">
        <w:rPr>
          <w:rFonts w:cstheme="minorHAnsi"/>
          <w:bCs/>
          <w:color w:val="000000" w:themeColor="text1"/>
        </w:rPr>
        <w:t xml:space="preserve"> impacta indirectamente al sector minero. UNICEF </w:t>
      </w:r>
      <w:r w:rsidR="00F65CF9" w:rsidRPr="0054314B">
        <w:rPr>
          <w:rFonts w:ascii="Calibri" w:hAnsi="Calibri" w:cs="Calibri"/>
          <w:color w:val="000000" w:themeColor="text1"/>
          <w:lang w:val="es-419"/>
        </w:rPr>
        <w:t>hace parte activa</w:t>
      </w:r>
      <w:r w:rsidR="00F65CF9">
        <w:rPr>
          <w:rFonts w:ascii="Calibri" w:hAnsi="Calibri" w:cs="Calibri"/>
          <w:color w:val="000000" w:themeColor="text1"/>
          <w:lang w:val="es-419"/>
        </w:rPr>
        <w:t xml:space="preserve"> de esta estrategia </w:t>
      </w:r>
      <w:r w:rsidR="00F65CF9" w:rsidRPr="0054314B">
        <w:rPr>
          <w:rFonts w:ascii="Calibri" w:hAnsi="Calibri" w:cs="Calibri"/>
          <w:color w:val="000000" w:themeColor="text1"/>
          <w:lang w:val="es-419"/>
        </w:rPr>
        <w:t>facilitando espacios de participación a adolescentes de los territorios considerados en esta política, y que contribuirán a la elaboración de los planes de acción comunal. Se proyecta que estos planes reconozcan y consideren la voz y el rol de los adolescentes en la agenda climática.</w:t>
      </w:r>
    </w:p>
    <w:p w:rsidR="00904B16" w:rsidRDefault="00904B16" w:rsidP="00904B16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:rsidR="004531D8" w:rsidRDefault="00904B16" w:rsidP="004531D8">
      <w:pPr>
        <w:spacing w:line="264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Otros comentario</w:t>
      </w:r>
      <w:r w:rsidR="004531D8">
        <w:rPr>
          <w:rFonts w:cstheme="minorHAnsi"/>
          <w:b/>
          <w:color w:val="000000" w:themeColor="text1"/>
        </w:rPr>
        <w:t>s</w:t>
      </w:r>
    </w:p>
    <w:p w:rsidR="002A6F3F" w:rsidRDefault="002A6F3F" w:rsidP="004531D8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:rsidR="002A6F3F" w:rsidRDefault="002A6F3F" w:rsidP="004531D8">
      <w:pPr>
        <w:spacing w:line="264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Derechos del Niño y Principios Empresariales</w:t>
      </w:r>
    </w:p>
    <w:p w:rsidR="004531D8" w:rsidRDefault="004531D8" w:rsidP="004531D8">
      <w:pPr>
        <w:jc w:val="both"/>
        <w:rPr>
          <w:rFonts w:cstheme="minorHAnsi"/>
          <w:b/>
          <w:color w:val="000000" w:themeColor="text1"/>
        </w:rPr>
      </w:pPr>
    </w:p>
    <w:p w:rsidR="002A6F3F" w:rsidRDefault="007950F6" w:rsidP="00CF2F93">
      <w:pPr>
        <w:jc w:val="both"/>
        <w:rPr>
          <w:rFonts w:cstheme="minorHAnsi"/>
          <w:bCs/>
          <w:color w:val="000000" w:themeColor="text1"/>
        </w:rPr>
      </w:pPr>
      <w:r w:rsidRPr="004531D8">
        <w:rPr>
          <w:rFonts w:cstheme="minorHAnsi"/>
          <w:bCs/>
          <w:color w:val="000000" w:themeColor="text1"/>
        </w:rPr>
        <w:t xml:space="preserve">Los </w:t>
      </w:r>
      <w:hyperlink r:id="rId7" w:history="1">
        <w:r w:rsidR="004531D8" w:rsidRPr="004531D8">
          <w:rPr>
            <w:rStyle w:val="Hipervnculo"/>
            <w:rFonts w:cstheme="minorHAnsi"/>
            <w:bCs/>
          </w:rPr>
          <w:t>Derechos del Niño y Principios Empresariales</w:t>
        </w:r>
      </w:hyperlink>
      <w:r w:rsidR="004531D8">
        <w:rPr>
          <w:rFonts w:cstheme="minorHAnsi"/>
          <w:bCs/>
          <w:color w:val="000000" w:themeColor="text1"/>
        </w:rPr>
        <w:t xml:space="preserve"> (CRBP) fueron creados por UNICEF, </w:t>
      </w:r>
      <w:r w:rsidR="004531D8" w:rsidRPr="004531D8">
        <w:rPr>
          <w:rFonts w:cstheme="minorHAnsi"/>
          <w:bCs/>
          <w:color w:val="000000" w:themeColor="text1"/>
        </w:rPr>
        <w:t>Save the</w:t>
      </w:r>
      <w:r w:rsidR="004531D8">
        <w:rPr>
          <w:rFonts w:cstheme="minorHAnsi"/>
          <w:bCs/>
          <w:color w:val="000000" w:themeColor="text1"/>
        </w:rPr>
        <w:t xml:space="preserve"> Children y el Pacto Global de las Naciones Unidas en 2013. </w:t>
      </w:r>
      <w:r w:rsidR="004531D8" w:rsidRPr="004531D8">
        <w:rPr>
          <w:rFonts w:cstheme="minorHAnsi"/>
          <w:bCs/>
          <w:color w:val="000000" w:themeColor="text1"/>
        </w:rPr>
        <w:t>Con base en los</w:t>
      </w:r>
      <w:r w:rsidR="004531D8">
        <w:rPr>
          <w:rFonts w:cstheme="minorHAnsi"/>
          <w:bCs/>
          <w:color w:val="000000" w:themeColor="text1"/>
        </w:rPr>
        <w:t xml:space="preserve"> Principios Rectores </w:t>
      </w:r>
      <w:r w:rsidR="004531D8" w:rsidRPr="004531D8">
        <w:rPr>
          <w:rFonts w:cstheme="minorHAnsi"/>
          <w:bCs/>
          <w:color w:val="000000" w:themeColor="text1"/>
        </w:rPr>
        <w:t>sobre las Empresas y los Derechos Humanos</w:t>
      </w:r>
      <w:r w:rsidR="004531D8">
        <w:rPr>
          <w:rFonts w:cstheme="minorHAnsi"/>
          <w:bCs/>
          <w:color w:val="000000" w:themeColor="text1"/>
        </w:rPr>
        <w:t xml:space="preserve">, </w:t>
      </w:r>
      <w:r w:rsidR="004531D8" w:rsidRPr="004531D8">
        <w:rPr>
          <w:rFonts w:cstheme="minorHAnsi"/>
          <w:bCs/>
          <w:color w:val="000000" w:themeColor="text1"/>
        </w:rPr>
        <w:t xml:space="preserve">los CRBP adoptan un enfoque práctico para exponer las implicaciones de la </w:t>
      </w:r>
      <w:hyperlink r:id="rId8" w:history="1">
        <w:r w:rsidR="004531D8" w:rsidRPr="004531D8">
          <w:rPr>
            <w:rStyle w:val="Hipervnculo"/>
            <w:rFonts w:cstheme="minorHAnsi"/>
            <w:bCs/>
          </w:rPr>
          <w:t>Convención sobre los Derechos del Niño</w:t>
        </w:r>
      </w:hyperlink>
      <w:r w:rsidR="004531D8" w:rsidRPr="004531D8">
        <w:rPr>
          <w:rFonts w:cstheme="minorHAnsi"/>
          <w:bCs/>
          <w:color w:val="000000" w:themeColor="text1"/>
        </w:rPr>
        <w:t xml:space="preserve"> para el mundo empresarial: instituciones empresariales, legisladores gubernamentales, reguladores, inversionistas y otras partes interesadas del mundo empresarial</w:t>
      </w:r>
      <w:r w:rsidR="004531D8">
        <w:rPr>
          <w:rFonts w:cstheme="minorHAnsi"/>
          <w:bCs/>
          <w:color w:val="000000" w:themeColor="text1"/>
        </w:rPr>
        <w:t xml:space="preserve">, </w:t>
      </w:r>
      <w:r w:rsidR="004531D8" w:rsidRPr="004531D8">
        <w:rPr>
          <w:rFonts w:cstheme="minorHAnsi"/>
          <w:bCs/>
          <w:color w:val="000000" w:themeColor="text1"/>
        </w:rPr>
        <w:t xml:space="preserve">y las relaciones entre ellos. </w:t>
      </w:r>
    </w:p>
    <w:p w:rsidR="002A6F3F" w:rsidRDefault="002A6F3F" w:rsidP="002A6F3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</w:p>
    <w:p w:rsidR="002A6F3F" w:rsidRDefault="002A6F3F" w:rsidP="002A6F3F">
      <w:pPr>
        <w:spacing w:line="264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L</w:t>
      </w:r>
      <w:r w:rsidRPr="00060A32">
        <w:rPr>
          <w:rFonts w:cstheme="minorHAnsi"/>
          <w:color w:val="000000" w:themeColor="text1"/>
          <w:shd w:val="clear" w:color="auto" w:fill="FFFFFF"/>
        </w:rPr>
        <w:t xml:space="preserve">os CRBP </w:t>
      </w:r>
      <w:r w:rsidR="00575186">
        <w:rPr>
          <w:rFonts w:cstheme="minorHAnsi"/>
          <w:color w:val="000000" w:themeColor="text1"/>
          <w:shd w:val="clear" w:color="auto" w:fill="FFFFFF"/>
        </w:rPr>
        <w:t>son</w:t>
      </w:r>
      <w:r w:rsidRPr="00060A32">
        <w:rPr>
          <w:rFonts w:cstheme="minorHAnsi"/>
          <w:color w:val="000000" w:themeColor="text1"/>
          <w:shd w:val="clear" w:color="auto" w:fill="FFFFFF"/>
        </w:rPr>
        <w:t xml:space="preserve"> el primer conjunto de principios para orientar a las empresas</w:t>
      </w:r>
      <w:r>
        <w:rPr>
          <w:rFonts w:cstheme="minorHAnsi"/>
          <w:color w:val="000000" w:themeColor="text1"/>
          <w:shd w:val="clear" w:color="auto" w:fill="FFFFFF"/>
        </w:rPr>
        <w:t>, inversionistas y gobiernos</w:t>
      </w:r>
      <w:r w:rsidRPr="00060A32">
        <w:rPr>
          <w:rFonts w:cstheme="minorHAnsi"/>
          <w:color w:val="000000" w:themeColor="text1"/>
          <w:shd w:val="clear" w:color="auto" w:fill="FFFFFF"/>
        </w:rPr>
        <w:t xml:space="preserve"> sobre las diferentes medidas que pueden adoptar para respetar y promover los derechos del niño en el lugar de trabajo, el mercado y la comunidad</w:t>
      </w:r>
      <w:r w:rsidRPr="00066009">
        <w:rPr>
          <w:rFonts w:cstheme="minorHAnsi"/>
          <w:color w:val="000000" w:themeColor="text1"/>
          <w:shd w:val="clear" w:color="auto" w:fill="FFFFFF"/>
        </w:rPr>
        <w:t xml:space="preserve">. Los CRBP </w:t>
      </w:r>
      <w:r>
        <w:rPr>
          <w:rFonts w:cstheme="minorHAnsi"/>
          <w:color w:val="000000" w:themeColor="text1"/>
          <w:shd w:val="clear" w:color="auto" w:fill="FFFFFF"/>
        </w:rPr>
        <w:t>hacen un llamado para que las empresas de todos</w:t>
      </w:r>
      <w:r w:rsidRPr="00066009">
        <w:rPr>
          <w:rFonts w:cstheme="minorHAnsi"/>
          <w:color w:val="000000" w:themeColor="text1"/>
          <w:shd w:val="clear" w:color="auto" w:fill="FFFFFF"/>
        </w:rPr>
        <w:t xml:space="preserve"> los tamaños integren el respeto de los derechos del niño en la conducta empresarial responsable, mediante políticas de compromiso, debida diligencia, y acceso a reparación. </w:t>
      </w:r>
    </w:p>
    <w:p w:rsidR="002A6F3F" w:rsidRDefault="002A6F3F" w:rsidP="002A6F3F">
      <w:pPr>
        <w:spacing w:line="264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2A6F3F" w:rsidRPr="002A6F3F" w:rsidRDefault="004531D8" w:rsidP="002A6F3F">
      <w:pPr>
        <w:spacing w:line="264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4531D8">
        <w:rPr>
          <w:rFonts w:cstheme="minorHAnsi"/>
          <w:bCs/>
          <w:color w:val="000000" w:themeColor="text1"/>
        </w:rPr>
        <w:t xml:space="preserve">Los principios </w:t>
      </w:r>
      <w:r w:rsidR="002A6F3F">
        <w:rPr>
          <w:rFonts w:cstheme="minorHAnsi"/>
          <w:bCs/>
          <w:color w:val="000000" w:themeColor="text1"/>
        </w:rPr>
        <w:t xml:space="preserve">también </w:t>
      </w:r>
      <w:r w:rsidRPr="004531D8">
        <w:rPr>
          <w:rFonts w:cstheme="minorHAnsi"/>
          <w:bCs/>
          <w:color w:val="000000" w:themeColor="text1"/>
        </w:rPr>
        <w:t xml:space="preserve">reflejan las diversas maneras en las que las empresas afectan toda la gama de derechos de la niñez y adolescencia, entre ellos: el trabajo infantil y el trabajo digno para padres, madres y cuidadores; el derecho a la seguridad y la salud, incluidas disposiciones de seguridad; los efectos de los productos y servicios, el </w:t>
      </w:r>
      <w:r w:rsidRPr="004531D8">
        <w:rPr>
          <w:rFonts w:cstheme="minorHAnsi"/>
          <w:bCs/>
          <w:i/>
          <w:iCs/>
          <w:color w:val="000000" w:themeColor="text1"/>
        </w:rPr>
        <w:lastRenderedPageBreak/>
        <w:t>marketing</w:t>
      </w:r>
      <w:r w:rsidRPr="004531D8">
        <w:rPr>
          <w:rFonts w:cstheme="minorHAnsi"/>
          <w:bCs/>
          <w:color w:val="000000" w:themeColor="text1"/>
        </w:rPr>
        <w:t xml:space="preserve"> y la publicidad, y las </w:t>
      </w:r>
      <w:r w:rsidRPr="004531D8">
        <w:rPr>
          <w:rFonts w:cstheme="minorHAnsi"/>
          <w:b/>
          <w:color w:val="000000" w:themeColor="text1"/>
        </w:rPr>
        <w:t>cuestiones medio ambientales</w:t>
      </w:r>
      <w:r w:rsidRPr="004531D8">
        <w:rPr>
          <w:rFonts w:cstheme="minorHAnsi"/>
          <w:bCs/>
          <w:color w:val="000000" w:themeColor="text1"/>
        </w:rPr>
        <w:t xml:space="preserve">, </w:t>
      </w:r>
      <w:r w:rsidRPr="002A6F3F">
        <w:rPr>
          <w:rFonts w:cstheme="minorHAnsi"/>
          <w:b/>
          <w:color w:val="000000" w:themeColor="text1"/>
        </w:rPr>
        <w:t xml:space="preserve">como la contaminación y la adquisición y uso de tierras. </w:t>
      </w:r>
    </w:p>
    <w:p w:rsidR="002A6F3F" w:rsidRDefault="002A6F3F" w:rsidP="002A6F3F">
      <w:pPr>
        <w:jc w:val="both"/>
        <w:rPr>
          <w:rFonts w:cstheme="minorHAnsi"/>
          <w:bCs/>
          <w:color w:val="000000" w:themeColor="text1"/>
        </w:rPr>
      </w:pPr>
    </w:p>
    <w:p w:rsidR="004531D8" w:rsidRDefault="004531D8" w:rsidP="002A6F3F">
      <w:pPr>
        <w:jc w:val="both"/>
        <w:rPr>
          <w:rFonts w:cstheme="minorHAnsi"/>
          <w:bCs/>
          <w:color w:val="000000" w:themeColor="text1"/>
        </w:rPr>
      </w:pPr>
      <w:r w:rsidRPr="004531D8">
        <w:rPr>
          <w:rFonts w:cstheme="minorHAnsi"/>
          <w:bCs/>
          <w:color w:val="000000" w:themeColor="text1"/>
        </w:rPr>
        <w:t>El Comité de los Derechos del Niño</w:t>
      </w:r>
      <w:r>
        <w:rPr>
          <w:rFonts w:cstheme="minorHAnsi"/>
          <w:bCs/>
          <w:color w:val="000000" w:themeColor="text1"/>
        </w:rPr>
        <w:t xml:space="preserve"> </w:t>
      </w:r>
      <w:r w:rsidRPr="004531D8">
        <w:rPr>
          <w:rFonts w:cstheme="minorHAnsi"/>
          <w:bCs/>
          <w:color w:val="000000" w:themeColor="text1"/>
        </w:rPr>
        <w:t xml:space="preserve">establece claramente las funciones y responsabilidades de los Estados </w:t>
      </w:r>
      <w:r w:rsidR="002A6F3F" w:rsidRPr="002A6F3F">
        <w:rPr>
          <w:rFonts w:cstheme="minorHAnsi"/>
          <w:bCs/>
          <w:color w:val="000000" w:themeColor="text1"/>
        </w:rPr>
        <w:t>de proteger, respetar y hacer efectivos los derechos humanos de los niños, niñas y adolescentes en relación con la actividad empresarial</w:t>
      </w:r>
      <w:r w:rsidR="002A6F3F">
        <w:rPr>
          <w:rFonts w:cstheme="minorHAnsi"/>
          <w:bCs/>
          <w:color w:val="000000" w:themeColor="text1"/>
        </w:rPr>
        <w:t xml:space="preserve"> </w:t>
      </w:r>
      <w:r w:rsidRPr="004531D8">
        <w:rPr>
          <w:rFonts w:cstheme="minorHAnsi"/>
          <w:bCs/>
          <w:color w:val="000000" w:themeColor="text1"/>
        </w:rPr>
        <w:t xml:space="preserve">en la </w:t>
      </w:r>
      <w:hyperlink r:id="rId9" w:history="1">
        <w:r w:rsidR="002A6F3F" w:rsidRPr="002A6F3F">
          <w:rPr>
            <w:rStyle w:val="Hipervnculo"/>
            <w:rFonts w:cstheme="minorHAnsi"/>
            <w:bCs/>
          </w:rPr>
          <w:t>Observación</w:t>
        </w:r>
        <w:r w:rsidRPr="002A6F3F">
          <w:rPr>
            <w:rStyle w:val="Hipervnculo"/>
            <w:rFonts w:cstheme="minorHAnsi"/>
            <w:bCs/>
          </w:rPr>
          <w:t xml:space="preserve"> General No. 16 (2013)</w:t>
        </w:r>
      </w:hyperlink>
      <w:r w:rsidRPr="004531D8">
        <w:rPr>
          <w:rFonts w:cstheme="minorHAnsi"/>
          <w:bCs/>
          <w:color w:val="000000" w:themeColor="text1"/>
        </w:rPr>
        <w:t xml:space="preserve">: </w:t>
      </w:r>
    </w:p>
    <w:p w:rsidR="004531D8" w:rsidRPr="004531D8" w:rsidRDefault="004531D8" w:rsidP="004531D8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</w:p>
    <w:p w:rsidR="004531D8" w:rsidRPr="004531D8" w:rsidRDefault="004531D8" w:rsidP="004531D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La obligación de proteger significa que los Estados deben adoptar todas las medidas necesarias, apropiadas y de </w:t>
      </w:r>
      <w:r w:rsidR="002A6F3F"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reparación</w:t>
      </w:r>
      <w:r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para prevenir que las empresas causen o contribuyan a que se comentan abusos contra los derechos de los niños, niñas y adolescentes. Una de las implicaciones de esto es que el deber del Estado incluye la </w:t>
      </w:r>
      <w:r w:rsidR="002A6F3F"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adopción</w:t>
      </w:r>
      <w:r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de medidas legislativas y reglamentarias para prevenir que se produzcan impactos adversos graves y sistemáticos en la niñez y adolescencia. </w:t>
      </w:r>
    </w:p>
    <w:p w:rsidR="004531D8" w:rsidRPr="004531D8" w:rsidRDefault="004531D8" w:rsidP="004531D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La obligación de respetar significa que los Estados no deben ayudar, instigar o promover, directa o indirectamente, ninguna </w:t>
      </w:r>
      <w:r w:rsidR="002A6F3F"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vulneración</w:t>
      </w:r>
      <w:r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de los derechos de los niños, niñas y adolescentes, y deben garantizar que todos los actores respeten los derechos de la niñez y adolescencia en el contexto de las actividades y operaciones empresariales. </w:t>
      </w:r>
    </w:p>
    <w:p w:rsidR="004531D8" w:rsidRDefault="004531D8" w:rsidP="00CF2F93">
      <w:pPr>
        <w:pStyle w:val="Normal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4531D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La obligación de cumplir exige que los Estados tomen medidas positivas para facilitar, promover y proporcionar el goce de los derechos de los niños, niñas y adolescentes. Entre otros requisitos para cumplir esta obligación, esto significa que los Estados deben proporcionar entornos jurídicos y normativos estables y predecibles que apoyen y exijan a las empresas el respeto de los derechos de los niños, niñas y adolescentes.</w:t>
      </w:r>
    </w:p>
    <w:p w:rsidR="00CF2F93" w:rsidRPr="004531D8" w:rsidRDefault="00CF2F93" w:rsidP="00CF2F93">
      <w:pPr>
        <w:pStyle w:val="NormalWeb"/>
        <w:spacing w:before="0" w:beforeAutospacing="0" w:after="0" w:afterAutospacing="0"/>
        <w:ind w:left="357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</w:p>
    <w:p w:rsidR="002A6F3F" w:rsidRDefault="002A6F3F" w:rsidP="002A6F3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2A6F3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Principios Empresarial 7</w:t>
      </w:r>
    </w:p>
    <w:p w:rsidR="002A6F3F" w:rsidRDefault="002A6F3F" w:rsidP="002A6F3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2A6F3F" w:rsidRDefault="002A6F3F" w:rsidP="002A6F3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i/>
          <w:iCs/>
          <w:color w:val="000000" w:themeColor="text1"/>
          <w:lang w:eastAsia="en-US"/>
        </w:rPr>
      </w:pPr>
      <w:r w:rsidRPr="002A6F3F">
        <w:rPr>
          <w:rFonts w:asciiTheme="minorHAnsi" w:eastAsiaTheme="minorHAnsi" w:hAnsiTheme="minorHAnsi" w:cstheme="minorHAnsi"/>
          <w:bCs/>
          <w:i/>
          <w:iCs/>
          <w:color w:val="000000" w:themeColor="text1"/>
          <w:lang w:eastAsia="en-US"/>
        </w:rPr>
        <w:t xml:space="preserve">Todas las empresas deben respetar y promover los derechos de los niños, niñas y adolescentes en relación con el medio ambiente y la adquisición y uso de tierras. </w:t>
      </w:r>
    </w:p>
    <w:p w:rsidR="002A6F3F" w:rsidRDefault="002A6F3F" w:rsidP="002A6F3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i/>
          <w:iCs/>
          <w:color w:val="000000" w:themeColor="text1"/>
          <w:lang w:eastAsia="en-US"/>
        </w:rPr>
      </w:pPr>
    </w:p>
    <w:p w:rsidR="002A6F3F" w:rsidRDefault="002A6F3F" w:rsidP="002A6F3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De acuerdo con </w:t>
      </w:r>
      <w:r w:rsidR="00D47A44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el reporte de UNICEF, </w:t>
      </w:r>
      <w:hyperlink r:id="rId10" w:history="1">
        <w:r w:rsidR="00D47A44" w:rsidRPr="00D47A44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La crisis climática es una crisis de los derechos de la infancia: presentación del índice de riesgo climático de la infancia</w:t>
        </w:r>
      </w:hyperlink>
      <w:r w:rsidR="00D47A44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, l</w:t>
      </w:r>
      <w:r w:rsidRPr="002A6F3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os niños, niñas y adolescentes son físicamente más vulnerables, y son menos capaces que los adultos de soportar y sobrevivir a los choques climáticos y ambientales.</w:t>
      </w:r>
      <w:r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</w:t>
      </w:r>
      <w:r w:rsidRPr="002A6F3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Además, su grado de exposición a las consecuencias del cambio climático ocasionado por los humanos es impresionante: </w:t>
      </w:r>
    </w:p>
    <w:p w:rsidR="002A6F3F" w:rsidRPr="002A6F3F" w:rsidRDefault="002A6F3F" w:rsidP="008D6EC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</w:p>
    <w:p w:rsidR="002A6F3F" w:rsidRPr="002A6F3F" w:rsidRDefault="002A6F3F" w:rsidP="008D6EC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A6F3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820 millones están altamente expuestos a ondas de calor </w:t>
      </w:r>
    </w:p>
    <w:p w:rsidR="002A6F3F" w:rsidRPr="002A6F3F" w:rsidRDefault="002A6F3F" w:rsidP="008D6EC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A6F3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400 millones están altamente expuestos a ciclones </w:t>
      </w:r>
    </w:p>
    <w:p w:rsidR="002A6F3F" w:rsidRPr="002A6F3F" w:rsidRDefault="002A6F3F" w:rsidP="008D6EC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A6F3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330 millones están altamente expuestos a inundaciones fluviales </w:t>
      </w:r>
    </w:p>
    <w:p w:rsidR="002A6F3F" w:rsidRPr="002A6F3F" w:rsidRDefault="002A6F3F" w:rsidP="008D6EC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A6F3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240 millones están altamente expuestos a inundaciones costeras </w:t>
      </w:r>
    </w:p>
    <w:p w:rsidR="002A6F3F" w:rsidRPr="002A6F3F" w:rsidRDefault="002A6F3F" w:rsidP="008D6EC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A6F3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920 millones están altamente expuestos a la escasez de agua </w:t>
      </w:r>
    </w:p>
    <w:p w:rsidR="00904B16" w:rsidRDefault="00904B16" w:rsidP="008D6ECF">
      <w:pPr>
        <w:spacing w:line="276" w:lineRule="auto"/>
        <w:jc w:val="both"/>
        <w:rPr>
          <w:rFonts w:cstheme="minorHAnsi"/>
          <w:bCs/>
          <w:color w:val="000000" w:themeColor="text1"/>
        </w:rPr>
      </w:pPr>
    </w:p>
    <w:p w:rsidR="008D6ECF" w:rsidRDefault="008D6ECF" w:rsidP="002A6F3F">
      <w:pPr>
        <w:spacing w:line="264" w:lineRule="auto"/>
        <w:jc w:val="both"/>
        <w:rPr>
          <w:rFonts w:cstheme="minorHAnsi"/>
          <w:bCs/>
          <w:color w:val="000000" w:themeColor="text1"/>
        </w:rPr>
      </w:pPr>
    </w:p>
    <w:p w:rsidR="008D6ECF" w:rsidRDefault="008D6ECF" w:rsidP="002A6F3F">
      <w:pPr>
        <w:spacing w:line="264" w:lineRule="auto"/>
        <w:jc w:val="both"/>
        <w:rPr>
          <w:rFonts w:cstheme="minorHAnsi"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7A44" w:rsidTr="00D47A44">
        <w:tc>
          <w:tcPr>
            <w:tcW w:w="8494" w:type="dxa"/>
          </w:tcPr>
          <w:p w:rsidR="00D47A44" w:rsidRDefault="00D47A44" w:rsidP="00D47A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47A4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Contaminación localizada y minería: los impactos en los niños, niñas y adolescentes </w:t>
            </w:r>
          </w:p>
          <w:p w:rsidR="005762BF" w:rsidRPr="005762BF" w:rsidRDefault="005762BF" w:rsidP="00D47A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D47A44" w:rsidRPr="00D47A44" w:rsidRDefault="00D47A44" w:rsidP="00D47A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Los impactos medio ambientales localizados de la minería pueden incluir el polvo, la </w:t>
            </w:r>
            <w:r w:rsidR="005762BF"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erosión</w:t>
            </w: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los efectos adversos en la </w:t>
            </w:r>
            <w:r w:rsidR="005762BF"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ecología</w:t>
            </w: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 biodiversidad, y la </w:t>
            </w:r>
            <w:r w:rsidR="005762BF"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contaminación</w:t>
            </w: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la tierra, del suelo y de las aguas superficiales por sustancias </w:t>
            </w:r>
            <w:r w:rsidR="005762BF"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químicas</w:t>
            </w: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del proceso de la minería, que incluyen el cianuro, el </w:t>
            </w:r>
            <w:r w:rsidR="005762BF"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arsénico</w:t>
            </w: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el </w:t>
            </w:r>
            <w:r w:rsidR="005762BF"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ácido</w:t>
            </w: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762BF"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sulfúrico</w:t>
            </w: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el mercurio y los metales pesados. Los impactos ambientales tienen el potencial de ocasionar una variedad de enfermedades en los niños, niñas y adolescentes, incluidas enfermedades respiratorias, de la piel y de los ojos. </w:t>
            </w:r>
          </w:p>
          <w:p w:rsidR="00D47A44" w:rsidRPr="00D47A44" w:rsidRDefault="00D47A44" w:rsidP="00D47A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47A44" w:rsidRPr="00D47A44" w:rsidRDefault="00D47A44" w:rsidP="00D47A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Los niños y las niñas son más vulnerables a los impactos ambientales localizados de la actividad minera que los adultos, en particular a la </w:t>
            </w:r>
            <w:r w:rsidR="005762BF"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contaminación</w:t>
            </w:r>
            <w:r w:rsidRPr="00D47A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del agua, del aire y de la tierra, debido a su desarrollo físico progresivo. El hecho de que pasan más tiempo jugando que los adultos y su tendencia de llevarse las manos a la boca hace que tengan más probabilidad de ingerir contaminantes; y sus diversas etapas de desarrollo mental, por ejemplo, causan una incapacidad para leer señales de peligro o advertencia.</w:t>
            </w:r>
            <w:r>
              <w:rPr>
                <w:rStyle w:val="Refdenotaalpi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</w:p>
        </w:tc>
      </w:tr>
    </w:tbl>
    <w:p w:rsidR="00D47A44" w:rsidRDefault="00D47A44" w:rsidP="002A6F3F">
      <w:pPr>
        <w:spacing w:line="264" w:lineRule="auto"/>
        <w:jc w:val="both"/>
        <w:rPr>
          <w:rFonts w:cstheme="minorHAnsi"/>
          <w:bCs/>
          <w:color w:val="000000" w:themeColor="text1"/>
        </w:rPr>
      </w:pPr>
    </w:p>
    <w:p w:rsidR="00CF2F93" w:rsidRPr="00CF2F93" w:rsidRDefault="00CF2F93" w:rsidP="00CF2F93">
      <w:pPr>
        <w:spacing w:line="264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Propuesta - </w:t>
      </w:r>
      <w:r w:rsidRPr="00CF2F93">
        <w:rPr>
          <w:rFonts w:cstheme="minorHAnsi"/>
          <w:b/>
          <w:color w:val="000000" w:themeColor="text1"/>
        </w:rPr>
        <w:t>Observación General No. 26 del Comité de los Derechos del Niño</w:t>
      </w:r>
    </w:p>
    <w:p w:rsidR="00CF2F93" w:rsidRPr="00CF2F93" w:rsidRDefault="00CF2F93" w:rsidP="00CF2F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CF2F93" w:rsidRPr="00CF2F93" w:rsidRDefault="00CF2F93" w:rsidP="00CF2F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F2F93">
        <w:rPr>
          <w:rFonts w:asciiTheme="minorHAnsi" w:hAnsiTheme="minorHAnsi" w:cstheme="minorHAnsi"/>
          <w:color w:val="000000" w:themeColor="text1"/>
        </w:rPr>
        <w:t>Desde 2022 Comité de los Derechos del Niño trabaja en la creación de la </w:t>
      </w:r>
      <w:r w:rsidRPr="00CF2F93">
        <w:rPr>
          <w:rFonts w:asciiTheme="minorHAnsi" w:hAnsiTheme="minorHAnsi" w:cstheme="minorHAnsi"/>
          <w:b/>
          <w:bCs/>
          <w:color w:val="000000" w:themeColor="text1"/>
        </w:rPr>
        <w:t>Observación general No. 26</w:t>
      </w:r>
      <w:r w:rsidRPr="00CF2F93">
        <w:rPr>
          <w:rFonts w:asciiTheme="minorHAnsi" w:hAnsiTheme="minorHAnsi" w:cstheme="minorHAnsi"/>
          <w:color w:val="000000" w:themeColor="text1"/>
        </w:rPr>
        <w:t xml:space="preserve">, </w:t>
      </w:r>
      <w:r w:rsidR="001D394B">
        <w:rPr>
          <w:rFonts w:asciiTheme="minorHAnsi" w:hAnsiTheme="minorHAnsi" w:cstheme="minorHAnsi"/>
          <w:color w:val="000000" w:themeColor="text1"/>
        </w:rPr>
        <w:t xml:space="preserve">que presentará recomendaciones a los </w:t>
      </w:r>
      <w:r w:rsidRPr="00CF2F93">
        <w:rPr>
          <w:rFonts w:asciiTheme="minorHAnsi" w:hAnsiTheme="minorHAnsi" w:cstheme="minorHAnsi"/>
          <w:color w:val="000000" w:themeColor="text1"/>
        </w:rPr>
        <w:t xml:space="preserve">gobiernos para que los niños, niñas y adolescentes vivan en </w:t>
      </w:r>
      <w:r w:rsidR="001D394B">
        <w:rPr>
          <w:rFonts w:asciiTheme="minorHAnsi" w:hAnsiTheme="minorHAnsi" w:cstheme="minorHAnsi"/>
          <w:color w:val="000000" w:themeColor="text1"/>
        </w:rPr>
        <w:t xml:space="preserve">un ambiente </w:t>
      </w:r>
      <w:r w:rsidRPr="00CF2F93">
        <w:rPr>
          <w:rFonts w:asciiTheme="minorHAnsi" w:hAnsiTheme="minorHAnsi" w:cstheme="minorHAnsi"/>
          <w:color w:val="000000" w:themeColor="text1"/>
        </w:rPr>
        <w:t>limpio, verde, sano y sostenible (el 28 de julio de 2022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F2F93">
        <w:rPr>
          <w:rFonts w:asciiTheme="minorHAnsi" w:hAnsiTheme="minorHAnsi" w:cstheme="minorHAnsi"/>
          <w:color w:val="000000" w:themeColor="text1"/>
        </w:rPr>
        <w:t>la Asamblea General de las Naciones Unidas</w:t>
      </w:r>
      <w:r w:rsidRPr="00CF2F93">
        <w:rPr>
          <w:rFonts w:cstheme="minorHAnsi"/>
          <w:color w:val="000000" w:themeColor="text1"/>
        </w:rPr>
        <w:t xml:space="preserve"> </w:t>
      </w:r>
      <w:hyperlink r:id="rId11" w:history="1">
        <w:r w:rsidRPr="00CF2F93">
          <w:rPr>
            <w:rFonts w:asciiTheme="minorHAnsi" w:hAnsiTheme="minorHAnsi" w:cstheme="minorHAnsi"/>
            <w:color w:val="000000" w:themeColor="text1"/>
          </w:rPr>
          <w:t>reconoció</w:t>
        </w:r>
      </w:hyperlink>
      <w:r w:rsidRPr="00CF2F93">
        <w:rPr>
          <w:rFonts w:asciiTheme="minorHAnsi" w:hAnsiTheme="minorHAnsi" w:cstheme="minorHAnsi"/>
          <w:color w:val="000000" w:themeColor="text1"/>
        </w:rPr>
        <w:t> por primera vez que el acceso a un medio</w:t>
      </w:r>
      <w:r w:rsidR="001D394B">
        <w:rPr>
          <w:rFonts w:asciiTheme="minorHAnsi" w:hAnsiTheme="minorHAnsi" w:cstheme="minorHAnsi"/>
          <w:color w:val="000000" w:themeColor="text1"/>
        </w:rPr>
        <w:t xml:space="preserve"> </w:t>
      </w:r>
      <w:r w:rsidRPr="00CF2F93">
        <w:rPr>
          <w:rFonts w:asciiTheme="minorHAnsi" w:hAnsiTheme="minorHAnsi" w:cstheme="minorHAnsi"/>
          <w:color w:val="000000" w:themeColor="text1"/>
        </w:rPr>
        <w:t>ambiente sano, adecuado o ecológico es</w:t>
      </w:r>
      <w:r w:rsidRPr="00CF2F93">
        <w:rPr>
          <w:rFonts w:asciiTheme="minorHAnsi" w:hAnsiTheme="minorHAnsi" w:cstheme="minorHAnsi"/>
          <w:b/>
          <w:bCs/>
          <w:color w:val="000000" w:themeColor="text1"/>
        </w:rPr>
        <w:t> un derecho humano</w:t>
      </w:r>
      <w:r w:rsidRPr="00CF2F93">
        <w:rPr>
          <w:rFonts w:cstheme="minorHAnsi"/>
          <w:color w:val="000000" w:themeColor="text1"/>
        </w:rPr>
        <w:t>).</w:t>
      </w:r>
    </w:p>
    <w:p w:rsidR="00CF2F93" w:rsidRPr="00CF2F93" w:rsidRDefault="00CF2F93" w:rsidP="00CF2F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1D394B" w:rsidRDefault="001D394B" w:rsidP="001D394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El Comité realizó un proceso de consulta en el que participaron </w:t>
      </w:r>
      <w:r w:rsidRPr="001D394B">
        <w:rPr>
          <w:rFonts w:asciiTheme="minorHAnsi" w:hAnsiTheme="minorHAnsi" w:cstheme="minorHAnsi"/>
          <w:b/>
          <w:bCs/>
          <w:color w:val="000000" w:themeColor="text1"/>
        </w:rPr>
        <w:t>7.416 niños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Pr="001D394B">
        <w:rPr>
          <w:rFonts w:asciiTheme="minorHAnsi" w:hAnsiTheme="minorHAnsi" w:cstheme="minorHAnsi"/>
          <w:b/>
          <w:bCs/>
          <w:color w:val="000000" w:themeColor="text1"/>
        </w:rPr>
        <w:t xml:space="preserve">niñas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y adolescentes </w:t>
      </w:r>
      <w:r w:rsidRPr="001D394B">
        <w:rPr>
          <w:rFonts w:asciiTheme="minorHAnsi" w:hAnsiTheme="minorHAnsi" w:cstheme="minorHAnsi"/>
          <w:b/>
          <w:bCs/>
          <w:color w:val="000000" w:themeColor="text1"/>
        </w:rPr>
        <w:t>de 103 países</w:t>
      </w:r>
      <w:r>
        <w:rPr>
          <w:rFonts w:asciiTheme="minorHAnsi" w:hAnsiTheme="minorHAnsi" w:cstheme="minorHAnsi"/>
          <w:color w:val="000000" w:themeColor="text1"/>
        </w:rPr>
        <w:t>.</w:t>
      </w:r>
      <w:r w:rsidRPr="001D394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Se elaboró un </w:t>
      </w:r>
      <w:hyperlink r:id="rId12" w:history="1">
        <w:r w:rsidRPr="001D394B">
          <w:rPr>
            <w:rStyle w:val="Hipervnculo"/>
            <w:rFonts w:asciiTheme="minorHAnsi" w:hAnsiTheme="minorHAnsi" w:cstheme="minorHAnsi"/>
          </w:rPr>
          <w:t>reporte</w:t>
        </w:r>
      </w:hyperlink>
      <w:r>
        <w:rPr>
          <w:rFonts w:asciiTheme="minorHAnsi" w:hAnsiTheme="minorHAnsi" w:cstheme="minorHAnsi"/>
          <w:color w:val="000000" w:themeColor="text1"/>
        </w:rPr>
        <w:t xml:space="preserve"> que reúne los aportes y las percepciones de los niños, niñas y adolescentes sobre la propuesta de la Observación General No. 26. </w:t>
      </w:r>
    </w:p>
    <w:p w:rsidR="00CF2F93" w:rsidRPr="00CF2F93" w:rsidRDefault="00CF2F93" w:rsidP="002A6F3F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:rsidR="001D394B" w:rsidRDefault="00CF2F93" w:rsidP="002A6F3F">
      <w:pPr>
        <w:spacing w:line="264" w:lineRule="auto"/>
        <w:jc w:val="both"/>
        <w:rPr>
          <w:rFonts w:cstheme="minorHAnsi"/>
          <w:bCs/>
          <w:color w:val="000000" w:themeColor="text1"/>
        </w:rPr>
      </w:pPr>
      <w:r w:rsidRPr="00CF2F93">
        <w:rPr>
          <w:rFonts w:cstheme="minorHAnsi"/>
          <w:b/>
          <w:color w:val="000000" w:themeColor="text1"/>
        </w:rPr>
        <w:t>H</w:t>
      </w:r>
      <w:r w:rsidR="00D47A44" w:rsidRPr="00CF2F93">
        <w:rPr>
          <w:rFonts w:cstheme="minorHAnsi"/>
          <w:b/>
          <w:color w:val="000000" w:themeColor="text1"/>
        </w:rPr>
        <w:t xml:space="preserve">erramientas </w:t>
      </w:r>
      <w:r w:rsidRPr="00CF2F93">
        <w:rPr>
          <w:rFonts w:cstheme="minorHAnsi"/>
          <w:b/>
          <w:color w:val="000000" w:themeColor="text1"/>
        </w:rPr>
        <w:t>de UNICEF</w:t>
      </w:r>
      <w:r w:rsidR="001D394B">
        <w:rPr>
          <w:rFonts w:cstheme="minorHAnsi"/>
          <w:bCs/>
          <w:color w:val="000000" w:themeColor="text1"/>
        </w:rPr>
        <w:t xml:space="preserve"> </w:t>
      </w:r>
    </w:p>
    <w:p w:rsidR="001D394B" w:rsidRDefault="001D394B" w:rsidP="002A6F3F">
      <w:pPr>
        <w:spacing w:line="264" w:lineRule="auto"/>
        <w:jc w:val="both"/>
        <w:rPr>
          <w:rFonts w:cstheme="minorHAnsi"/>
          <w:bCs/>
          <w:color w:val="000000" w:themeColor="text1"/>
        </w:rPr>
      </w:pPr>
    </w:p>
    <w:p w:rsidR="00CF2F93" w:rsidRDefault="001D394B" w:rsidP="002A6F3F">
      <w:pPr>
        <w:spacing w:line="264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Desde la adopción de los CRBP, UNICEF ha desarrollado una serie de herramientas dirigidas al sector empresarial para guiar y apoyar la</w:t>
      </w:r>
      <w:r w:rsidR="00D47A44" w:rsidRPr="00CF2F93">
        <w:rPr>
          <w:rFonts w:cstheme="minorHAnsi"/>
          <w:bCs/>
          <w:color w:val="000000" w:themeColor="text1"/>
        </w:rPr>
        <w:t xml:space="preserve"> </w:t>
      </w:r>
      <w:r w:rsidR="00CF2F93" w:rsidRPr="00CF2F93">
        <w:rPr>
          <w:rFonts w:cstheme="minorHAnsi"/>
          <w:bCs/>
          <w:color w:val="000000" w:themeColor="text1"/>
        </w:rPr>
        <w:t>integración de los derechos de los niños, niñas y adolescentes en la debida diligencia</w:t>
      </w:r>
      <w:r>
        <w:rPr>
          <w:rFonts w:cstheme="minorHAnsi"/>
          <w:bCs/>
          <w:color w:val="000000" w:themeColor="text1"/>
        </w:rPr>
        <w:t xml:space="preserve"> </w:t>
      </w:r>
      <w:r w:rsidR="00CF2F93" w:rsidRPr="00CF2F93">
        <w:rPr>
          <w:rFonts w:cstheme="minorHAnsi"/>
          <w:bCs/>
          <w:color w:val="000000" w:themeColor="text1"/>
        </w:rPr>
        <w:t>en materia de</w:t>
      </w:r>
      <w:r>
        <w:rPr>
          <w:rFonts w:cstheme="minorHAnsi"/>
          <w:bCs/>
          <w:color w:val="000000" w:themeColor="text1"/>
        </w:rPr>
        <w:t xml:space="preserve"> </w:t>
      </w:r>
      <w:r w:rsidR="00CF2F93" w:rsidRPr="00CF2F93">
        <w:rPr>
          <w:rFonts w:cstheme="minorHAnsi"/>
          <w:bCs/>
          <w:color w:val="000000" w:themeColor="text1"/>
        </w:rPr>
        <w:t>derechos humanos</w:t>
      </w:r>
      <w:r>
        <w:rPr>
          <w:rFonts w:cstheme="minorHAnsi"/>
          <w:bCs/>
          <w:color w:val="000000" w:themeColor="text1"/>
        </w:rPr>
        <w:t xml:space="preserve">. En particular, para el </w:t>
      </w:r>
      <w:r w:rsidRPr="001D394B">
        <w:rPr>
          <w:rFonts w:cstheme="minorHAnsi"/>
          <w:b/>
          <w:color w:val="000000" w:themeColor="text1"/>
        </w:rPr>
        <w:t>sector extractivo</w:t>
      </w:r>
      <w:r>
        <w:rPr>
          <w:rFonts w:cstheme="minorHAnsi"/>
          <w:bCs/>
          <w:color w:val="000000" w:themeColor="text1"/>
        </w:rPr>
        <w:t xml:space="preserve"> UNICEF cuenta con las siguientes herramientas, estudios y pilotos, que ilustran ejemplos</w:t>
      </w:r>
      <w:r w:rsidR="00B5767D">
        <w:rPr>
          <w:rFonts w:cstheme="minorHAnsi"/>
          <w:bCs/>
          <w:color w:val="000000" w:themeColor="text1"/>
        </w:rPr>
        <w:t>, casos de estudio</w:t>
      </w:r>
      <w:r>
        <w:rPr>
          <w:rFonts w:cstheme="minorHAnsi"/>
          <w:bCs/>
          <w:color w:val="000000" w:themeColor="text1"/>
        </w:rPr>
        <w:t xml:space="preserve"> y buenas prácticas </w:t>
      </w:r>
      <w:r w:rsidR="00B5767D">
        <w:rPr>
          <w:rFonts w:cstheme="minorHAnsi"/>
          <w:bCs/>
          <w:color w:val="000000" w:themeColor="text1"/>
        </w:rPr>
        <w:t xml:space="preserve">empresariales </w:t>
      </w:r>
      <w:r>
        <w:rPr>
          <w:rFonts w:cstheme="minorHAnsi"/>
          <w:bCs/>
          <w:color w:val="000000" w:themeColor="text1"/>
        </w:rPr>
        <w:t xml:space="preserve">sobre </w:t>
      </w:r>
      <w:r w:rsidR="00B5767D">
        <w:rPr>
          <w:rFonts w:cstheme="minorHAnsi"/>
          <w:bCs/>
          <w:color w:val="000000" w:themeColor="text1"/>
        </w:rPr>
        <w:t xml:space="preserve">el </w:t>
      </w:r>
      <w:r>
        <w:rPr>
          <w:rFonts w:cstheme="minorHAnsi"/>
          <w:bCs/>
          <w:color w:val="000000" w:themeColor="text1"/>
        </w:rPr>
        <w:t>aborda</w:t>
      </w:r>
      <w:r w:rsidR="00B5767D">
        <w:rPr>
          <w:rFonts w:cstheme="minorHAnsi"/>
          <w:bCs/>
          <w:color w:val="000000" w:themeColor="text1"/>
        </w:rPr>
        <w:t>je</w:t>
      </w:r>
      <w:r>
        <w:rPr>
          <w:rFonts w:cstheme="minorHAnsi"/>
          <w:bCs/>
          <w:color w:val="000000" w:themeColor="text1"/>
        </w:rPr>
        <w:t xml:space="preserve"> y </w:t>
      </w:r>
      <w:r w:rsidR="00575186">
        <w:rPr>
          <w:rFonts w:cstheme="minorHAnsi"/>
          <w:bCs/>
          <w:color w:val="000000" w:themeColor="text1"/>
        </w:rPr>
        <w:t xml:space="preserve">la </w:t>
      </w:r>
      <w:r>
        <w:rPr>
          <w:rFonts w:cstheme="minorHAnsi"/>
          <w:bCs/>
          <w:color w:val="000000" w:themeColor="text1"/>
        </w:rPr>
        <w:t>gesti</w:t>
      </w:r>
      <w:r w:rsidR="00B5767D">
        <w:rPr>
          <w:rFonts w:cstheme="minorHAnsi"/>
          <w:bCs/>
          <w:color w:val="000000" w:themeColor="text1"/>
        </w:rPr>
        <w:t>ón de</w:t>
      </w:r>
      <w:r>
        <w:rPr>
          <w:rFonts w:cstheme="minorHAnsi"/>
          <w:bCs/>
          <w:color w:val="000000" w:themeColor="text1"/>
        </w:rPr>
        <w:t xml:space="preserve"> impactos adversos de la actividad </w:t>
      </w:r>
      <w:r w:rsidR="00575186">
        <w:rPr>
          <w:rFonts w:cstheme="minorHAnsi"/>
          <w:bCs/>
          <w:color w:val="000000" w:themeColor="text1"/>
        </w:rPr>
        <w:t>extractiva</w:t>
      </w:r>
      <w:r>
        <w:rPr>
          <w:rFonts w:cstheme="minorHAnsi"/>
          <w:bCs/>
          <w:color w:val="000000" w:themeColor="text1"/>
        </w:rPr>
        <w:t xml:space="preserve"> en los derechos de los niños, niñas y adolescentes. </w:t>
      </w:r>
    </w:p>
    <w:p w:rsidR="001D394B" w:rsidRDefault="001D394B" w:rsidP="002A6F3F">
      <w:pPr>
        <w:spacing w:line="264" w:lineRule="auto"/>
        <w:jc w:val="both"/>
        <w:rPr>
          <w:rFonts w:cstheme="minorHAnsi"/>
          <w:bCs/>
          <w:color w:val="000000" w:themeColor="text1"/>
        </w:rPr>
      </w:pPr>
    </w:p>
    <w:p w:rsidR="00DD2246" w:rsidRDefault="00DD2246" w:rsidP="002A6F3F">
      <w:pPr>
        <w:spacing w:line="264" w:lineRule="auto"/>
        <w:jc w:val="both"/>
        <w:rPr>
          <w:rFonts w:cstheme="minorHAnsi"/>
          <w:bCs/>
          <w:color w:val="000000" w:themeColor="text1"/>
        </w:rPr>
      </w:pPr>
      <w:r w:rsidRPr="005762BF">
        <w:rPr>
          <w:rFonts w:cstheme="minorHAnsi"/>
          <w:bCs/>
          <w:i/>
          <w:iCs/>
          <w:color w:val="000000" w:themeColor="text1"/>
          <w:highlight w:val="yellow"/>
        </w:rPr>
        <w:t>(Documento</w:t>
      </w:r>
      <w:r w:rsidR="009A62E4">
        <w:rPr>
          <w:rFonts w:cstheme="minorHAnsi"/>
          <w:bCs/>
          <w:i/>
          <w:iCs/>
          <w:color w:val="000000" w:themeColor="text1"/>
          <w:highlight w:val="yellow"/>
        </w:rPr>
        <w:t>s</w:t>
      </w:r>
      <w:r w:rsidRPr="005762BF">
        <w:rPr>
          <w:rFonts w:cstheme="minorHAnsi"/>
          <w:bCs/>
          <w:i/>
          <w:iCs/>
          <w:color w:val="000000" w:themeColor="text1"/>
          <w:highlight w:val="yellow"/>
        </w:rPr>
        <w:t xml:space="preserve"> en español </w:t>
      </w:r>
      <w:r w:rsidR="009A62E4">
        <w:rPr>
          <w:rFonts w:cstheme="minorHAnsi"/>
          <w:bCs/>
          <w:i/>
          <w:iCs/>
          <w:color w:val="000000" w:themeColor="text1"/>
          <w:highlight w:val="yellow"/>
        </w:rPr>
        <w:t xml:space="preserve">e inglés </w:t>
      </w:r>
      <w:r w:rsidRPr="005762BF">
        <w:rPr>
          <w:rFonts w:cstheme="minorHAnsi"/>
          <w:bCs/>
          <w:i/>
          <w:iCs/>
          <w:color w:val="000000" w:themeColor="text1"/>
          <w:highlight w:val="yellow"/>
        </w:rPr>
        <w:t>adjuntos al correo enviado por UNICEF LACRO</w:t>
      </w:r>
      <w:r w:rsidR="005762BF" w:rsidRPr="005762BF">
        <w:rPr>
          <w:rFonts w:cstheme="minorHAnsi"/>
          <w:bCs/>
          <w:color w:val="000000" w:themeColor="text1"/>
          <w:highlight w:val="yellow"/>
        </w:rPr>
        <w:t>)</w:t>
      </w:r>
    </w:p>
    <w:p w:rsidR="00CF2F93" w:rsidRDefault="001D394B" w:rsidP="00CF2F93">
      <w:pPr>
        <w:pStyle w:val="Prrafodelista"/>
        <w:numPr>
          <w:ilvl w:val="0"/>
          <w:numId w:val="7"/>
        </w:numPr>
        <w:spacing w:line="264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Los Derechos del Niño y el sector minero: Piloto de UNICEF para el sector extractivo (201</w:t>
      </w:r>
      <w:r w:rsidR="00B5767D">
        <w:rPr>
          <w:rFonts w:cstheme="minorHAnsi"/>
          <w:bCs/>
          <w:color w:val="000000" w:themeColor="text1"/>
        </w:rPr>
        <w:t>5</w:t>
      </w:r>
      <w:r>
        <w:rPr>
          <w:rFonts w:cstheme="minorHAnsi"/>
          <w:bCs/>
          <w:color w:val="000000" w:themeColor="text1"/>
        </w:rPr>
        <w:t>)</w:t>
      </w:r>
    </w:p>
    <w:p w:rsidR="001D394B" w:rsidRDefault="00B5767D" w:rsidP="00B5767D">
      <w:pPr>
        <w:pStyle w:val="Prrafodelista"/>
        <w:numPr>
          <w:ilvl w:val="0"/>
          <w:numId w:val="7"/>
        </w:numPr>
        <w:spacing w:line="264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Estudio exploratorio del sector petróleo y gas: P</w:t>
      </w:r>
      <w:r w:rsidRPr="00B5767D">
        <w:rPr>
          <w:rFonts w:cstheme="minorHAnsi"/>
          <w:bCs/>
          <w:color w:val="000000" w:themeColor="text1"/>
        </w:rPr>
        <w:t>iloto de UNICEF</w:t>
      </w:r>
      <w:r>
        <w:rPr>
          <w:rFonts w:cstheme="minorHAnsi"/>
          <w:bCs/>
          <w:color w:val="000000" w:themeColor="text1"/>
        </w:rPr>
        <w:t xml:space="preserve"> para el sector extractivo (2015)</w:t>
      </w:r>
    </w:p>
    <w:p w:rsidR="00B5767D" w:rsidRDefault="00B5767D" w:rsidP="00B5767D">
      <w:pPr>
        <w:pStyle w:val="Prrafodelista"/>
        <w:numPr>
          <w:ilvl w:val="0"/>
          <w:numId w:val="7"/>
        </w:numPr>
        <w:spacing w:line="264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Herramientas prácticas sobre los Derechos del Niño y la Minería: Buenas prácticas para abordar los asuntos de los niños, niñas y adolescentes en la minería a gran escala (2017)</w:t>
      </w:r>
    </w:p>
    <w:p w:rsidR="009A62E4" w:rsidRPr="009A62E4" w:rsidRDefault="009A62E4" w:rsidP="009A62E4">
      <w:pPr>
        <w:pStyle w:val="Prrafodelista"/>
        <w:numPr>
          <w:ilvl w:val="0"/>
          <w:numId w:val="7"/>
        </w:numPr>
        <w:spacing w:line="264" w:lineRule="auto"/>
        <w:jc w:val="both"/>
        <w:rPr>
          <w:rFonts w:cstheme="minorHAnsi"/>
          <w:bCs/>
          <w:color w:val="000000" w:themeColor="text1"/>
        </w:rPr>
      </w:pPr>
      <w:r w:rsidRPr="009A62E4">
        <w:rPr>
          <w:rFonts w:cstheme="minorHAnsi"/>
          <w:bCs/>
          <w:color w:val="000000" w:themeColor="text1"/>
          <w:lang w:val="en-US"/>
        </w:rPr>
        <w:t xml:space="preserve">Discussion brief – a child rights </w:t>
      </w:r>
      <w:r>
        <w:rPr>
          <w:rFonts w:cstheme="minorHAnsi"/>
          <w:bCs/>
          <w:color w:val="000000" w:themeColor="text1"/>
          <w:lang w:val="en-US"/>
        </w:rPr>
        <w:t xml:space="preserve">lens to just transitions – UNICEF Suecia (2022). </w:t>
      </w:r>
      <w:r w:rsidRPr="009A62E4">
        <w:rPr>
          <w:rFonts w:cstheme="minorHAnsi"/>
          <w:bCs/>
          <w:color w:val="000000" w:themeColor="text1"/>
        </w:rPr>
        <w:t>Como resultado de mesas de discusión con empresas de di</w:t>
      </w:r>
      <w:r>
        <w:rPr>
          <w:rFonts w:cstheme="minorHAnsi"/>
          <w:bCs/>
          <w:color w:val="000000" w:themeColor="text1"/>
        </w:rPr>
        <w:t xml:space="preserve">ferentes sectores económicos, se desarrolló esta nota que compila las reflexiones y conclusiones de estos espacios de diálogo en torno a la transición justa con perspectiva de los derechos de la niñez y adolescencia. El documento contiene reflexiones sobre el rol del sector empresarial, así como la integración del enfoque de niñez y adolescencia y la participación adolescente frente al cambio climático y la transición justa. </w:t>
      </w:r>
    </w:p>
    <w:p w:rsidR="00332118" w:rsidRPr="00B5767D" w:rsidRDefault="00000000" w:rsidP="00B5767D">
      <w:pPr>
        <w:pStyle w:val="Prrafodelista"/>
        <w:numPr>
          <w:ilvl w:val="0"/>
          <w:numId w:val="7"/>
        </w:numPr>
        <w:spacing w:line="264" w:lineRule="auto"/>
        <w:jc w:val="both"/>
        <w:rPr>
          <w:rFonts w:cstheme="minorHAnsi"/>
          <w:bCs/>
          <w:color w:val="000000" w:themeColor="text1"/>
        </w:rPr>
      </w:pPr>
      <w:hyperlink r:id="rId13" w:history="1">
        <w:r w:rsidR="00332118" w:rsidRPr="00B5496A">
          <w:rPr>
            <w:rStyle w:val="Hipervnculo"/>
            <w:rFonts w:cstheme="minorHAnsi"/>
            <w:bCs/>
          </w:rPr>
          <w:t>https://sites.unicef.org/csr/index.html</w:t>
        </w:r>
      </w:hyperlink>
      <w:r w:rsidR="00332118">
        <w:rPr>
          <w:rFonts w:cstheme="minorHAnsi"/>
          <w:bCs/>
          <w:color w:val="000000" w:themeColor="text1"/>
        </w:rPr>
        <w:t xml:space="preserve">: Página global de UNICEF donde se encuentran las herramientas por sector económico, incluyendo al sector extractivo (mismas herramientas descritas en este informe pero en su mayoría en inglés). </w:t>
      </w:r>
    </w:p>
    <w:p w:rsidR="00904B16" w:rsidRDefault="00904B16" w:rsidP="00904B16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:rsidR="00904B16" w:rsidRDefault="00904B16" w:rsidP="00904B16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:rsidR="00904B16" w:rsidRDefault="00904B16" w:rsidP="005762BF">
      <w:pPr>
        <w:rPr>
          <w:rFonts w:cstheme="minorHAnsi"/>
          <w:b/>
          <w:color w:val="00B0F0"/>
        </w:rPr>
      </w:pPr>
    </w:p>
    <w:p w:rsidR="00904B16" w:rsidRPr="00974211" w:rsidRDefault="00904B16" w:rsidP="00974211">
      <w:pPr>
        <w:jc w:val="center"/>
        <w:rPr>
          <w:rFonts w:cstheme="minorHAnsi"/>
          <w:b/>
          <w:bCs/>
        </w:rPr>
      </w:pPr>
    </w:p>
    <w:sectPr w:rsidR="00904B16" w:rsidRPr="00974211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A0C" w:rsidRDefault="00776A0C" w:rsidP="00974211">
      <w:r>
        <w:separator/>
      </w:r>
    </w:p>
  </w:endnote>
  <w:endnote w:type="continuationSeparator" w:id="0">
    <w:p w:rsidR="00776A0C" w:rsidRDefault="00776A0C" w:rsidP="009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A0C" w:rsidRDefault="00776A0C" w:rsidP="00974211">
      <w:r>
        <w:separator/>
      </w:r>
    </w:p>
  </w:footnote>
  <w:footnote w:type="continuationSeparator" w:id="0">
    <w:p w:rsidR="00776A0C" w:rsidRDefault="00776A0C" w:rsidP="00974211">
      <w:r>
        <w:continuationSeparator/>
      </w:r>
    </w:p>
  </w:footnote>
  <w:footnote w:id="1">
    <w:p w:rsidR="00D47A44" w:rsidRPr="00D47A44" w:rsidRDefault="00D47A44" w:rsidP="00D47A44">
      <w:pPr>
        <w:pStyle w:val="NormalWeb"/>
        <w:jc w:val="both"/>
        <w:rPr>
          <w:rFonts w:asciiTheme="minorHAnsi" w:hAnsiTheme="minorHAnsi" w:cstheme="minorHAnsi"/>
          <w:sz w:val="18"/>
          <w:szCs w:val="18"/>
        </w:rPr>
      </w:pPr>
      <w:r w:rsidRPr="00D47A4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47A44">
        <w:rPr>
          <w:rFonts w:asciiTheme="minorHAnsi" w:hAnsiTheme="minorHAnsi" w:cstheme="minorHAnsi"/>
          <w:sz w:val="18"/>
          <w:szCs w:val="18"/>
        </w:rPr>
        <w:t xml:space="preserve"> Fondo de las Naciones Unidas para la Infancia, ‘</w:t>
      </w:r>
      <w:hyperlink r:id="rId1" w:history="1">
        <w:r>
          <w:rPr>
            <w:rStyle w:val="Hipervnculo"/>
            <w:rFonts w:asciiTheme="minorHAnsi" w:hAnsiTheme="minorHAnsi" w:cstheme="minorHAnsi"/>
            <w:sz w:val="18"/>
            <w:szCs w:val="18"/>
          </w:rPr>
          <w:t>Los Derechos del Niño y el Sector Minero: Piloto de UNICEF para el sector extractivo</w:t>
        </w:r>
      </w:hyperlink>
      <w:r w:rsidRPr="00D47A44">
        <w:rPr>
          <w:rFonts w:asciiTheme="minorHAnsi" w:hAnsiTheme="minorHAnsi" w:cstheme="minorHAnsi"/>
          <w:sz w:val="18"/>
          <w:szCs w:val="18"/>
        </w:rPr>
        <w:t xml:space="preserve">, UNICEF, Ginebra, marzo de 2015, pág. 13. </w:t>
      </w:r>
    </w:p>
    <w:p w:rsidR="00D47A44" w:rsidRPr="00D47A44" w:rsidRDefault="00D47A4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11" w:rsidRDefault="00974211" w:rsidP="00974211">
    <w:pPr>
      <w:pStyle w:val="Encabezado"/>
      <w:jc w:val="right"/>
    </w:pPr>
    <w:r>
      <w:rPr>
        <w:noProof/>
      </w:rPr>
      <w:drawing>
        <wp:inline distT="0" distB="0" distL="0" distR="0" wp14:anchorId="29FAFFA9" wp14:editId="1D2EB1F7">
          <wp:extent cx="3055066" cy="35872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10" cy="36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5CA8"/>
    <w:multiLevelType w:val="multilevel"/>
    <w:tmpl w:val="A732A6C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1BF26D5"/>
    <w:multiLevelType w:val="multilevel"/>
    <w:tmpl w:val="FB8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F11A26"/>
    <w:multiLevelType w:val="multilevel"/>
    <w:tmpl w:val="C952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679E3"/>
    <w:multiLevelType w:val="multilevel"/>
    <w:tmpl w:val="91365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C15EA7"/>
    <w:multiLevelType w:val="hybridMultilevel"/>
    <w:tmpl w:val="D3C022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6C132F"/>
    <w:multiLevelType w:val="multilevel"/>
    <w:tmpl w:val="5BB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312F57"/>
    <w:multiLevelType w:val="multilevel"/>
    <w:tmpl w:val="CAF81AC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F3421"/>
    <w:multiLevelType w:val="multilevel"/>
    <w:tmpl w:val="2AECF6F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1131270">
    <w:abstractNumId w:val="0"/>
  </w:num>
  <w:num w:numId="2" w16cid:durableId="1877233511">
    <w:abstractNumId w:val="2"/>
  </w:num>
  <w:num w:numId="3" w16cid:durableId="600141224">
    <w:abstractNumId w:val="3"/>
  </w:num>
  <w:num w:numId="4" w16cid:durableId="1184636463">
    <w:abstractNumId w:val="1"/>
  </w:num>
  <w:num w:numId="5" w16cid:durableId="1445341970">
    <w:abstractNumId w:val="7"/>
  </w:num>
  <w:num w:numId="6" w16cid:durableId="2012830000">
    <w:abstractNumId w:val="6"/>
  </w:num>
  <w:num w:numId="7" w16cid:durableId="1230653879">
    <w:abstractNumId w:val="4"/>
  </w:num>
  <w:num w:numId="8" w16cid:durableId="945042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11"/>
    <w:rsid w:val="001D394B"/>
    <w:rsid w:val="002A6F3F"/>
    <w:rsid w:val="00332118"/>
    <w:rsid w:val="003430A6"/>
    <w:rsid w:val="004531D8"/>
    <w:rsid w:val="00571809"/>
    <w:rsid w:val="00575186"/>
    <w:rsid w:val="005762BF"/>
    <w:rsid w:val="00644942"/>
    <w:rsid w:val="00776A0C"/>
    <w:rsid w:val="007950F6"/>
    <w:rsid w:val="008D6ECF"/>
    <w:rsid w:val="00904B16"/>
    <w:rsid w:val="00974211"/>
    <w:rsid w:val="009A62E4"/>
    <w:rsid w:val="00B5767D"/>
    <w:rsid w:val="00CF1574"/>
    <w:rsid w:val="00CF2F93"/>
    <w:rsid w:val="00D45F76"/>
    <w:rsid w:val="00D47A44"/>
    <w:rsid w:val="00DD2246"/>
    <w:rsid w:val="00F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309F8"/>
  <w15:chartTrackingRefBased/>
  <w15:docId w15:val="{BB8D6AE4-750B-6540-A863-EAAB3CD1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742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4211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74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211"/>
  </w:style>
  <w:style w:type="paragraph" w:styleId="Piedepgina">
    <w:name w:val="footer"/>
    <w:basedOn w:val="Normal"/>
    <w:link w:val="PiedepginaCar"/>
    <w:uiPriority w:val="99"/>
    <w:unhideWhenUsed/>
    <w:rsid w:val="009742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211"/>
  </w:style>
  <w:style w:type="character" w:styleId="Textoennegrita">
    <w:name w:val="Strong"/>
    <w:basedOn w:val="Fuentedeprrafopredeter"/>
    <w:uiPriority w:val="22"/>
    <w:qFormat/>
    <w:rsid w:val="00904B16"/>
    <w:rPr>
      <w:b/>
      <w:bCs/>
    </w:rPr>
  </w:style>
  <w:style w:type="paragraph" w:styleId="NormalWeb">
    <w:name w:val="Normal (Web)"/>
    <w:basedOn w:val="Normal"/>
    <w:uiPriority w:val="99"/>
    <w:unhideWhenUsed/>
    <w:rsid w:val="007950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531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31D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4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A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A4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F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s/instruments-mechanisms/instruments/convention-rights-child" TargetMode="External"/><Relationship Id="rId13" Type="http://schemas.openxmlformats.org/officeDocument/2006/relationships/hyperlink" Target="https://sites.unicef.org/csr/index.htm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nicef.org/lac/media/6791/file/PDF%20Derechos%20del%20ni&#195;&#177;o%20y%20principios%20empresariales.pdf" TargetMode="External"/><Relationship Id="rId12" Type="http://schemas.openxmlformats.org/officeDocument/2006/relationships/hyperlink" Target="https://childrightsenvironment.org/reports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un.org/en/story/2022/07/11234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icef.org/reports/climate-crisis-child-rights-crisis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plataformadeinfancia.org/wp-content/uploads/2018/09/observacion-general-16-obligaciones-estado-relacion-con-impacto-sector-empresarial-derechos-nino-2013-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business-humanrights.org/media/documents/files/documents/UNICEF_REPORT_ON_CHILD_RIGHTS_AND_THE_MINING_SECTOR_APRIL_27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2" ma:contentTypeDescription="Create a new document." ma:contentTypeScope="" ma:versionID="b03a9ca0f58b7180e5670647e9f3ac12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248b4766c80033b2846011ec563a1e4a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92cb1-67bb-4ce5-82db-0b25b399d117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0B33826-45A0-45C7-95BD-EA98A4B09FA8}"/>
</file>

<file path=customXml/itemProps2.xml><?xml version="1.0" encoding="utf-8"?>
<ds:datastoreItem xmlns:ds="http://schemas.openxmlformats.org/officeDocument/2006/customXml" ds:itemID="{6B0D7548-9BEE-484D-98C7-7863E4186A6E}"/>
</file>

<file path=customXml/itemProps3.xml><?xml version="1.0" encoding="utf-8"?>
<ds:datastoreItem xmlns:ds="http://schemas.openxmlformats.org/officeDocument/2006/customXml" ds:itemID="{744923C8-B3E9-4186-8E09-53462E716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Gonzalez Ruiz</dc:creator>
  <cp:keywords/>
  <dc:description/>
  <cp:lastModifiedBy>Ana Maria Gonzalez Ruiz</cp:lastModifiedBy>
  <cp:revision>10</cp:revision>
  <dcterms:created xsi:type="dcterms:W3CDTF">2023-05-29T17:19:00Z</dcterms:created>
  <dcterms:modified xsi:type="dcterms:W3CDTF">2023-05-29T21:34:00Z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0x010100D3257166D5221D45AC4BE86DE2E261D0</vt:lpwstr>
  </property>
</Properties>
</file>