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27C5C" w14:textId="77777777" w:rsidR="00C94273" w:rsidRDefault="00000000">
      <w:pPr>
        <w:pStyle w:val="Standard"/>
        <w:spacing w:line="276" w:lineRule="auto"/>
        <w:jc w:val="right"/>
        <w:rPr>
          <w:rFonts w:hint="eastAsia"/>
        </w:rPr>
      </w:pPr>
      <w:r>
        <w:rPr>
          <w:rFonts w:ascii="Cambria" w:hAnsi="Cambria"/>
          <w:color w:val="000000"/>
          <w:sz w:val="22"/>
        </w:rPr>
        <w:t>WALHI South Sulawesi</w:t>
      </w:r>
    </w:p>
    <w:p w14:paraId="5279A239" w14:textId="77777777" w:rsidR="00C94273" w:rsidRDefault="00000000">
      <w:pPr>
        <w:pStyle w:val="Standard"/>
        <w:spacing w:line="276" w:lineRule="auto"/>
        <w:jc w:val="right"/>
        <w:rPr>
          <w:rFonts w:hint="eastAsia"/>
        </w:rPr>
      </w:pPr>
      <w:r>
        <w:rPr>
          <w:rFonts w:ascii="Cambria" w:hAnsi="Cambria"/>
          <w:color w:val="000000"/>
          <w:sz w:val="22"/>
        </w:rPr>
        <w:t>JL. Aroepala, Kompleks Permata Hijau Lestari Blok Q1, No.8,</w:t>
      </w:r>
    </w:p>
    <w:p w14:paraId="1F514584" w14:textId="77777777" w:rsidR="00C94273" w:rsidRDefault="00000000">
      <w:pPr>
        <w:pStyle w:val="Standard"/>
        <w:spacing w:line="276" w:lineRule="auto"/>
        <w:jc w:val="right"/>
        <w:rPr>
          <w:rFonts w:hint="eastAsia"/>
        </w:rPr>
      </w:pPr>
      <w:r>
        <w:rPr>
          <w:rFonts w:ascii="Cambria" w:hAnsi="Cambria"/>
          <w:color w:val="000000"/>
          <w:sz w:val="22"/>
        </w:rPr>
        <w:t>Rappocini, Kota Makassar, Sulawesi Selatan 90221</w:t>
      </w:r>
    </w:p>
    <w:p w14:paraId="0BE4A682" w14:textId="77777777" w:rsidR="00C94273" w:rsidRDefault="00000000">
      <w:pPr>
        <w:pStyle w:val="Standard"/>
        <w:spacing w:line="276" w:lineRule="auto"/>
        <w:jc w:val="right"/>
        <w:rPr>
          <w:rFonts w:hint="eastAsia"/>
        </w:rPr>
      </w:pPr>
      <w:hyperlink r:id="rId7" w:history="1">
        <w:r>
          <w:rPr>
            <w:rFonts w:ascii="Cambria" w:hAnsi="Cambria"/>
            <w:color w:val="103CC0"/>
            <w:sz w:val="22"/>
            <w:u w:val="single"/>
          </w:rPr>
          <w:t>muhammad.al.amien@gmail.com</w:t>
        </w:r>
      </w:hyperlink>
      <w:r>
        <w:rPr>
          <w:rFonts w:ascii="Cambria" w:hAnsi="Cambria"/>
          <w:color w:val="000000"/>
          <w:sz w:val="22"/>
        </w:rPr>
        <w:t xml:space="preserve"> / </w:t>
      </w:r>
      <w:hyperlink r:id="rId8" w:history="1">
        <w:r>
          <w:rPr>
            <w:rFonts w:ascii="Cambria" w:hAnsi="Cambria"/>
            <w:color w:val="103CC0"/>
            <w:sz w:val="22"/>
            <w:u w:val="single"/>
          </w:rPr>
          <w:t>walhisulsel@gmail.com</w:t>
        </w:r>
      </w:hyperlink>
    </w:p>
    <w:p w14:paraId="5DD47CA0" w14:textId="77777777" w:rsidR="00C94273" w:rsidRDefault="00000000">
      <w:pPr>
        <w:pStyle w:val="Standard"/>
        <w:spacing w:line="276" w:lineRule="auto"/>
        <w:jc w:val="right"/>
        <w:rPr>
          <w:rFonts w:hint="eastAsia"/>
        </w:rPr>
      </w:pPr>
      <w:r>
        <w:rPr>
          <w:rFonts w:ascii="Cambria" w:hAnsi="Cambria"/>
          <w:color w:val="000000"/>
          <w:sz w:val="22"/>
        </w:rPr>
        <w:t>+62-8229-3939-591</w:t>
      </w:r>
    </w:p>
    <w:p w14:paraId="3BBDF731" w14:textId="77777777" w:rsidR="00C94273" w:rsidRDefault="00000000">
      <w:pPr>
        <w:pStyle w:val="Standard"/>
        <w:spacing w:line="276" w:lineRule="auto"/>
        <w:jc w:val="right"/>
        <w:rPr>
          <w:rFonts w:hint="eastAsia"/>
        </w:rPr>
      </w:pPr>
      <w:r>
        <w:rPr>
          <w:rFonts w:ascii="Cambria" w:hAnsi="Cambria"/>
          <w:color w:val="000000"/>
          <w:sz w:val="22"/>
        </w:rPr>
        <w:t>Executive Director</w:t>
      </w:r>
    </w:p>
    <w:p w14:paraId="01C0F051" w14:textId="77777777" w:rsidR="00C94273" w:rsidRDefault="00000000">
      <w:pPr>
        <w:pStyle w:val="Standard"/>
        <w:spacing w:line="276" w:lineRule="auto"/>
        <w:jc w:val="right"/>
        <w:rPr>
          <w:rFonts w:hint="eastAsia"/>
        </w:rPr>
      </w:pPr>
      <w:r>
        <w:rPr>
          <w:rFonts w:ascii="Cambria" w:hAnsi="Cambria"/>
          <w:color w:val="000000"/>
          <w:sz w:val="22"/>
        </w:rPr>
        <w:t>Muhammad Al Amin</w:t>
      </w:r>
    </w:p>
    <w:p w14:paraId="61CFFAE9" w14:textId="77777777" w:rsidR="00C94273" w:rsidRDefault="00C94273">
      <w:pPr>
        <w:pStyle w:val="Standard"/>
        <w:spacing w:after="160" w:line="251" w:lineRule="auto"/>
        <w:rPr>
          <w:rFonts w:ascii="Cambria" w:hAnsi="Cambria"/>
          <w:color w:val="000000"/>
          <w:sz w:val="22"/>
        </w:rPr>
      </w:pPr>
    </w:p>
    <w:p w14:paraId="02D9B24A" w14:textId="77777777" w:rsidR="00C94273" w:rsidRDefault="00000000">
      <w:pPr>
        <w:pStyle w:val="Standard"/>
        <w:spacing w:after="160" w:line="251" w:lineRule="auto"/>
        <w:rPr>
          <w:rFonts w:hint="eastAsia"/>
        </w:rPr>
      </w:pPr>
      <w:r>
        <w:rPr>
          <w:rFonts w:ascii="Cambria-Bold" w:hAnsi="Cambria-Bold"/>
          <w:b/>
          <w:color w:val="000000"/>
          <w:sz w:val="22"/>
        </w:rPr>
        <w:t>Subject: Input on increasing land and social conflicts as well as environmental damage due to extractive business (nickel mining) for supporting energy transition.</w:t>
      </w:r>
    </w:p>
    <w:p w14:paraId="74996BBD" w14:textId="77777777" w:rsidR="00C94273" w:rsidRDefault="00000000">
      <w:pPr>
        <w:pStyle w:val="Standard"/>
        <w:spacing w:after="240" w:line="251" w:lineRule="auto"/>
        <w:jc w:val="both"/>
        <w:rPr>
          <w:rFonts w:hint="eastAsia"/>
        </w:rPr>
      </w:pPr>
      <w:r>
        <w:t xml:space="preserve">Dear, </w:t>
      </w:r>
    </w:p>
    <w:p w14:paraId="3CC72DF8" w14:textId="77777777" w:rsidR="00C94273" w:rsidRDefault="00000000">
      <w:pPr>
        <w:spacing w:after="160" w:line="254" w:lineRule="auto"/>
        <w:rPr>
          <w:rFonts w:hint="eastAsia"/>
        </w:rPr>
      </w:pPr>
      <w:r>
        <w:rPr>
          <w:rFonts w:ascii="Cambria" w:hAnsi="Cambria"/>
          <w:color w:val="000000"/>
          <w:sz w:val="22"/>
        </w:rPr>
        <w:t>Working Group on Business and Human Rights</w:t>
      </w:r>
      <w:r>
        <w:rPr>
          <w:rFonts w:ascii="Cambria" w:hAnsi="Cambria"/>
          <w:color w:val="000000"/>
          <w:sz w:val="22"/>
        </w:rPr>
        <w:br/>
        <w:t>Palais des Nations, 8-14, Avenue de la Paix. 1211 Geneva 10</w:t>
      </w:r>
      <w:r>
        <w:rPr>
          <w:rFonts w:ascii="Cambria" w:hAnsi="Cambria"/>
          <w:color w:val="000000"/>
          <w:sz w:val="22"/>
        </w:rPr>
        <w:br/>
        <w:t>Switzerland</w:t>
      </w:r>
      <w:r>
        <w:rPr>
          <w:rFonts w:ascii="Cambria" w:hAnsi="Cambria"/>
          <w:color w:val="000000"/>
          <w:sz w:val="22"/>
        </w:rPr>
        <w:br/>
        <w:t>Tel: +41 22 917 9159</w:t>
      </w:r>
      <w:r>
        <w:rPr>
          <w:rFonts w:ascii="Cambria" w:hAnsi="Cambria"/>
          <w:color w:val="000000"/>
          <w:sz w:val="22"/>
        </w:rPr>
        <w:br/>
        <w:t>E-mail: </w:t>
      </w:r>
      <w:hyperlink r:id="rId9" w:history="1">
        <w:r>
          <w:rPr>
            <w:sz w:val="22"/>
          </w:rPr>
          <w:t>hrc-wg-business@un.org</w:t>
        </w:r>
      </w:hyperlink>
      <w:r>
        <w:rPr>
          <w:sz w:val="22"/>
        </w:rPr>
        <w:br/>
      </w:r>
    </w:p>
    <w:p w14:paraId="403B5AAF" w14:textId="77777777" w:rsidR="00C94273" w:rsidRDefault="00000000">
      <w:pPr>
        <w:pStyle w:val="Standard"/>
        <w:spacing w:after="240" w:line="251" w:lineRule="auto"/>
        <w:jc w:val="both"/>
        <w:rPr>
          <w:rFonts w:hint="eastAsia"/>
        </w:rPr>
      </w:pPr>
      <w:r>
        <w:rPr>
          <w:rFonts w:ascii="Cambria" w:hAnsi="Cambria"/>
          <w:color w:val="000000"/>
          <w:sz w:val="22"/>
        </w:rPr>
        <w:t>We, WALHI South Sulawesi, an environmental and human rights organization in Indonesia, together with Yes to Life No to Mining, would like to provide inputs on increasing human rights violations (land and social conflicts as well as environmental damages) due to nickel mining, an extractive mining industry for supporting energy transition.</w:t>
      </w:r>
    </w:p>
    <w:p w14:paraId="4012D260" w14:textId="77777777" w:rsidR="00C94273" w:rsidRDefault="00000000">
      <w:pPr>
        <w:pStyle w:val="Standard"/>
        <w:spacing w:after="240" w:line="251" w:lineRule="auto"/>
        <w:jc w:val="both"/>
        <w:rPr>
          <w:rFonts w:hint="eastAsia"/>
        </w:rPr>
      </w:pPr>
      <w:r>
        <w:rPr>
          <w:rFonts w:ascii="Cambria" w:hAnsi="Cambria"/>
          <w:color w:val="000000"/>
          <w:sz w:val="22"/>
        </w:rPr>
        <w:t>The energy transition is currently a global agenda driven by developed countries at the urging of civil society in the world to reduce extreme climate change. However, the solutions designed and implemented by developed countries have the potential to cause greater problems and are very dangerous for the environment, especially rainforests and people's lives, especially women and children.</w:t>
      </w:r>
    </w:p>
    <w:p w14:paraId="2D1D8ECF" w14:textId="77777777" w:rsidR="00C94273" w:rsidRDefault="00000000">
      <w:pPr>
        <w:pStyle w:val="Standard"/>
        <w:spacing w:after="240" w:line="251" w:lineRule="auto"/>
        <w:jc w:val="both"/>
        <w:rPr>
          <w:rFonts w:hint="eastAsia"/>
        </w:rPr>
      </w:pPr>
      <w:r>
        <w:rPr>
          <w:rFonts w:ascii="Cambria" w:hAnsi="Cambria"/>
          <w:color w:val="000000"/>
          <w:sz w:val="22"/>
        </w:rPr>
        <w:t>As developed countries push for an energy transition and popularise the use of electric vehicles, nickel mining permits have increased on the islands of Sulawesi and North Maluku. In addition, the construction of smelters has also continued to increase. Especially since Indonesian President Joko Widodo banned the export of nickel ore, companies from various countries have come and built nickel smelters in Sulawesi and North Maluku Island, Indonesia, such as China, Switzerland, the United States. This will of course increase environmental impacts (destruction of rainforests, pollution of rivers, lakes and community water sources) and social (land grabbing and impoverishment of communities, especially women).</w:t>
      </w:r>
    </w:p>
    <w:p w14:paraId="61FC5E2F" w14:textId="77777777" w:rsidR="00C94273" w:rsidRDefault="00000000">
      <w:pPr>
        <w:pStyle w:val="Standard"/>
        <w:spacing w:after="240" w:line="251" w:lineRule="auto"/>
        <w:rPr>
          <w:rFonts w:hint="eastAsia"/>
        </w:rPr>
      </w:pPr>
      <w:r>
        <w:rPr>
          <w:rFonts w:ascii="Cambria" w:hAnsi="Cambria"/>
          <w:color w:val="000000"/>
          <w:sz w:val="22"/>
        </w:rPr>
        <w:t>In a previous report, we sent input to Dr Marcos Orellana, a Special Repporteur on toxics and human rights regarding the increasing pollution of rivers and community water sources due to PT Vale Indonesia's mining activities in East Luwu, South Sulawesi. This proves that nickel mining, which is touted as part of the energy transition, does not necessarily reduce its environmental impact.</w:t>
      </w:r>
    </w:p>
    <w:p w14:paraId="29B619C0" w14:textId="77777777" w:rsidR="00C94273" w:rsidRDefault="00000000">
      <w:pPr>
        <w:pStyle w:val="Standard"/>
        <w:spacing w:after="160" w:line="251" w:lineRule="auto"/>
        <w:rPr>
          <w:rFonts w:hint="eastAsia"/>
        </w:rPr>
      </w:pPr>
      <w:r>
        <w:rPr>
          <w:rFonts w:ascii="Cambria-Bold" w:hAnsi="Cambria-Bold"/>
          <w:b/>
          <w:color w:val="000000"/>
          <w:sz w:val="22"/>
        </w:rPr>
        <w:t>Climate Crisis is Real</w:t>
      </w:r>
    </w:p>
    <w:p w14:paraId="4A06AB13" w14:textId="77777777" w:rsidR="00C94273" w:rsidRDefault="00000000">
      <w:pPr>
        <w:pStyle w:val="Standard"/>
        <w:spacing w:after="160" w:line="251" w:lineRule="auto"/>
        <w:jc w:val="both"/>
        <w:rPr>
          <w:rFonts w:hint="eastAsia"/>
        </w:rPr>
      </w:pPr>
      <w:r>
        <w:rPr>
          <w:rFonts w:ascii="Cambria" w:hAnsi="Cambria"/>
          <w:color w:val="000000"/>
          <w:sz w:val="22"/>
        </w:rPr>
        <w:t>Monday 20 March 2023, the United Nations Intergovernmental Panel on Climate Change known as the IPCC released their latest report contained in the Synthesis Report (SYR) IPCC Sixth Assessment Report (AR6). In the report, the IPCC states that the world's current climate conditions are increasingly worrying due to human behaviour such as greenhouse gas emissions, unsustainable energy use, land use change, lifestyle, and human consumption patterns.</w:t>
      </w:r>
    </w:p>
    <w:p w14:paraId="7CDDC6F3" w14:textId="77777777" w:rsidR="00C94273" w:rsidRDefault="00000000">
      <w:pPr>
        <w:pStyle w:val="Standard"/>
        <w:spacing w:after="160" w:line="251" w:lineRule="auto"/>
        <w:jc w:val="both"/>
        <w:rPr>
          <w:rFonts w:hint="eastAsia"/>
        </w:rPr>
      </w:pPr>
      <w:r>
        <w:rPr>
          <w:rFonts w:ascii="Cambria" w:hAnsi="Cambria"/>
          <w:color w:val="000000"/>
          <w:sz w:val="22"/>
        </w:rPr>
        <w:lastRenderedPageBreak/>
        <w:t>Furthermore, the IPCC in its report reveals the fact that currently the global surface temperature has reached 1.1°C above 1850-1900 (pre-industrial) in 2011-2020 (see Fig. 1). Furthermore, extreme changes in the world's climate conditions ultimately encourage the high intensity and frequency of extreme weather that occurs in various regions such as prolonged drought, drought, heavy rain, and tropical cyclones.</w:t>
      </w:r>
    </w:p>
    <w:p w14:paraId="63264A51" w14:textId="77777777" w:rsidR="00C94273" w:rsidRDefault="00000000">
      <w:pPr>
        <w:pStyle w:val="Standard"/>
        <w:spacing w:after="160" w:line="251" w:lineRule="auto"/>
        <w:jc w:val="both"/>
        <w:rPr>
          <w:rFonts w:hint="eastAsia"/>
        </w:rPr>
      </w:pPr>
      <w:r>
        <w:rPr>
          <w:rFonts w:ascii="Cambria" w:eastAsia="Cambria" w:hAnsi="Cambria" w:cs="Cambria"/>
          <w:noProof/>
        </w:rPr>
        <w:drawing>
          <wp:inline distT="0" distB="0" distL="0" distR="0" wp14:anchorId="39A7AC9C" wp14:editId="7095BA2E">
            <wp:extent cx="5731203" cy="2717797"/>
            <wp:effectExtent l="0" t="0" r="0" b="3"/>
            <wp:docPr id="142021496" name="image6.png" descr="A picture containing text, line, diagram, pl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731203" cy="2717797"/>
                    </a:xfrm>
                    <a:prstGeom prst="rect">
                      <a:avLst/>
                    </a:prstGeom>
                    <a:noFill/>
                    <a:ln>
                      <a:noFill/>
                      <a:prstDash/>
                    </a:ln>
                  </pic:spPr>
                </pic:pic>
              </a:graphicData>
            </a:graphic>
          </wp:inline>
        </w:drawing>
      </w:r>
    </w:p>
    <w:p w14:paraId="4EFDF0F3" w14:textId="77777777" w:rsidR="00C94273" w:rsidRDefault="00000000">
      <w:pPr>
        <w:pStyle w:val="Standard"/>
        <w:spacing w:after="160" w:line="251" w:lineRule="auto"/>
        <w:jc w:val="both"/>
        <w:rPr>
          <w:rFonts w:hint="eastAsia"/>
        </w:rPr>
      </w:pPr>
      <w:r>
        <w:rPr>
          <w:rFonts w:ascii="Cambria" w:hAnsi="Cambria"/>
          <w:color w:val="000000"/>
          <w:sz w:val="22"/>
        </w:rPr>
        <w:t>Figure 1. Predicted Changes in Earth's surface temperature from 1900-2100 (IPCC, 2023)</w:t>
      </w:r>
    </w:p>
    <w:p w14:paraId="7F1166DA" w14:textId="77777777" w:rsidR="00C94273" w:rsidRDefault="00000000">
      <w:pPr>
        <w:pStyle w:val="Standard"/>
        <w:spacing w:after="160" w:line="251" w:lineRule="auto"/>
        <w:jc w:val="both"/>
        <w:rPr>
          <w:rFonts w:hint="eastAsia"/>
        </w:rPr>
      </w:pPr>
      <w:r>
        <w:rPr>
          <w:rFonts w:ascii="Cambria" w:hAnsi="Cambria"/>
          <w:color w:val="000000"/>
          <w:sz w:val="22"/>
        </w:rPr>
        <w:t>Today, the Earth's temperature has reached 1.1°C and is heading towards an average global temperature rise of 2.8°C by 2100 based on countries' commitments in their Nationally Determined Contributions (NDCs). This is almost double the 1.5°C target set in the Paris Agreement, which is the Earth's safe limit for global warming (Greenpeace Indonesia, 2023). With this fact, the IPCC predicts that the conditions and impacts of climate change will be experienced by the three generations born in 1950, 1980 and 2020. In particular, the generation born in the 1980s to 2020s will see an increase in global surface temperature of 1.1°C to 2.8°C with a much more dire disaster intensity.</w:t>
      </w:r>
    </w:p>
    <w:p w14:paraId="59A3AB76" w14:textId="77777777" w:rsidR="00C94273" w:rsidRDefault="00000000">
      <w:pPr>
        <w:pStyle w:val="Standard"/>
        <w:spacing w:after="160" w:line="251" w:lineRule="auto"/>
        <w:jc w:val="both"/>
        <w:rPr>
          <w:rFonts w:ascii="Cambria" w:hAnsi="Cambria"/>
          <w:color w:val="000000"/>
          <w:sz w:val="22"/>
        </w:rPr>
      </w:pPr>
      <w:r>
        <w:rPr>
          <w:rFonts w:ascii="Cambria" w:hAnsi="Cambria"/>
          <w:color w:val="000000"/>
          <w:sz w:val="22"/>
        </w:rPr>
        <w:t>Not only the increase in global surface temperature, based on data from the International Energy Agency (IEA), carbon dioxide (CO2) emissions from energy combustion and global industrial activities will reach 36.8 gigatonnes in 2022. This is an increase of about 0.5 gigatonnes compared to 2021, and a new record high in history as shown in the graph.</w:t>
      </w:r>
    </w:p>
    <w:p w14:paraId="76F5A7DA" w14:textId="77777777" w:rsidR="00C94273" w:rsidRDefault="00000000">
      <w:pPr>
        <w:pStyle w:val="Standard"/>
        <w:spacing w:after="160" w:line="251" w:lineRule="auto"/>
        <w:jc w:val="both"/>
        <w:rPr>
          <w:rFonts w:hint="eastAsia"/>
        </w:rPr>
      </w:pPr>
      <w:r>
        <w:rPr>
          <w:rFonts w:ascii="Cambria" w:eastAsia="Cambria" w:hAnsi="Cambria" w:cs="Cambria"/>
          <w:noProof/>
        </w:rPr>
        <w:drawing>
          <wp:inline distT="0" distB="0" distL="0" distR="0" wp14:anchorId="3B146AED" wp14:editId="1956D573">
            <wp:extent cx="5734046" cy="2365936"/>
            <wp:effectExtent l="0" t="0" r="0" b="0"/>
            <wp:docPr id="708665922" name="image2.png" descr="Diagra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734046" cy="2365936"/>
                    </a:xfrm>
                    <a:prstGeom prst="rect">
                      <a:avLst/>
                    </a:prstGeom>
                    <a:noFill/>
                    <a:ln>
                      <a:noFill/>
                      <a:prstDash/>
                    </a:ln>
                  </pic:spPr>
                </pic:pic>
              </a:graphicData>
            </a:graphic>
          </wp:inline>
        </w:drawing>
      </w:r>
    </w:p>
    <w:p w14:paraId="49355C2B" w14:textId="77777777" w:rsidR="00C94273" w:rsidRDefault="00000000">
      <w:pPr>
        <w:pStyle w:val="Standard"/>
        <w:spacing w:after="160" w:line="251" w:lineRule="auto"/>
        <w:jc w:val="both"/>
        <w:rPr>
          <w:rFonts w:hint="eastAsia"/>
        </w:rPr>
      </w:pPr>
      <w:r>
        <w:rPr>
          <w:rFonts w:ascii="Cambria" w:hAnsi="Cambria"/>
          <w:color w:val="000000"/>
          <w:sz w:val="22"/>
        </w:rPr>
        <w:t>Figure 2. Increase in CO2 Emissions from Energy Combustion and Global Industrial Activities from 1900-2022 (Source IEA processed by WALHI South Sulawesi, 2023)</w:t>
      </w:r>
    </w:p>
    <w:p w14:paraId="1F1DAEC5" w14:textId="77777777" w:rsidR="00C94273" w:rsidRDefault="00000000">
      <w:pPr>
        <w:pStyle w:val="Standard"/>
        <w:spacing w:after="160" w:line="251" w:lineRule="auto"/>
        <w:jc w:val="both"/>
        <w:rPr>
          <w:rFonts w:hint="eastAsia"/>
        </w:rPr>
      </w:pPr>
      <w:r>
        <w:rPr>
          <w:rFonts w:ascii="Cambria" w:hAnsi="Cambria"/>
          <w:color w:val="000000"/>
          <w:sz w:val="22"/>
        </w:rPr>
        <w:lastRenderedPageBreak/>
        <w:t>In its 2022 CO2 Emissions report, the IEA said that amid a wave of natural gas to coal conversion during the global energy crisis, CO2 emissions from coal rose 1.6% (year-on-year/yoy) to nearly 15.5 gigatonnes. This far exceeds the average growth rate in the last decade and is an all-time record high.</w:t>
      </w:r>
    </w:p>
    <w:p w14:paraId="50C68A8A" w14:textId="77777777" w:rsidR="00C94273" w:rsidRDefault="00000000">
      <w:pPr>
        <w:pStyle w:val="Standard"/>
        <w:spacing w:after="160" w:line="251" w:lineRule="auto"/>
        <w:jc w:val="both"/>
        <w:rPr>
          <w:rFonts w:hint="eastAsia"/>
        </w:rPr>
      </w:pPr>
      <w:r>
        <w:rPr>
          <w:rFonts w:ascii="Cambria" w:hAnsi="Cambria"/>
          <w:color w:val="000000"/>
          <w:sz w:val="22"/>
        </w:rPr>
        <w:t>So, what about the condition of our oceans when global surface temperatures rise. The ocean has long borne the brunt of man-made global warming. As the largest carbon sink on the planet, the ocean absorbs excess heat and energy released from rising greenhouse gas emissions trapped in the Earth system. Today, the ocean already absorbs about 90 per cent of the heat generated by rising emissions (UN &amp; Climate Change, 2022).</w:t>
      </w:r>
    </w:p>
    <w:p w14:paraId="6BBDBB34" w14:textId="77777777" w:rsidR="00C94273" w:rsidRDefault="00000000">
      <w:pPr>
        <w:pStyle w:val="Standard"/>
        <w:spacing w:after="160" w:line="251" w:lineRule="auto"/>
        <w:jc w:val="both"/>
        <w:rPr>
          <w:rFonts w:ascii="Cambria" w:hAnsi="Cambria"/>
          <w:color w:val="000000"/>
          <w:sz w:val="22"/>
        </w:rPr>
      </w:pPr>
      <w:r>
        <w:rPr>
          <w:rFonts w:ascii="Cambria" w:hAnsi="Cambria"/>
          <w:color w:val="000000"/>
          <w:sz w:val="22"/>
        </w:rPr>
        <w:t>There are at least three major impacts on marine ecosystems as a result of global warming: (1) Sea level rise; (2) Sea temperature rise; and (3) Loss of marine biodiversity. Based on data released by Climate.gov (see Figure 4) by 2022, the global average sea level has risen 8-9 inches (21-24 centimetres) since 1880.</w:t>
      </w:r>
    </w:p>
    <w:p w14:paraId="68C3A962" w14:textId="77777777" w:rsidR="00C94273" w:rsidRDefault="00000000">
      <w:pPr>
        <w:pStyle w:val="Standard"/>
        <w:spacing w:after="160" w:line="251" w:lineRule="auto"/>
        <w:jc w:val="center"/>
        <w:rPr>
          <w:rFonts w:hint="eastAsia"/>
        </w:rPr>
      </w:pPr>
      <w:r>
        <w:rPr>
          <w:rFonts w:ascii="Cambria" w:eastAsia="Cambria" w:hAnsi="Cambria" w:cs="Cambria"/>
          <w:noProof/>
        </w:rPr>
        <w:drawing>
          <wp:inline distT="0" distB="0" distL="0" distR="0" wp14:anchorId="33475DF7" wp14:editId="53ECA79E">
            <wp:extent cx="4089562" cy="2796783"/>
            <wp:effectExtent l="0" t="0" r="0" b="0"/>
            <wp:docPr id="1681862950" name="image3.jpg" descr="A picture containing text, screenshot, plot,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089562" cy="2796783"/>
                    </a:xfrm>
                    <a:prstGeom prst="rect">
                      <a:avLst/>
                    </a:prstGeom>
                    <a:noFill/>
                    <a:ln>
                      <a:noFill/>
                      <a:prstDash/>
                    </a:ln>
                  </pic:spPr>
                </pic:pic>
              </a:graphicData>
            </a:graphic>
          </wp:inline>
        </w:drawing>
      </w:r>
    </w:p>
    <w:p w14:paraId="3545F93B" w14:textId="77777777" w:rsidR="00C94273" w:rsidRDefault="00000000">
      <w:pPr>
        <w:pStyle w:val="Standard"/>
        <w:spacing w:after="160" w:line="251" w:lineRule="auto"/>
        <w:jc w:val="center"/>
        <w:rPr>
          <w:rFonts w:hint="eastAsia"/>
        </w:rPr>
      </w:pPr>
      <w:r>
        <w:rPr>
          <w:rFonts w:ascii="Cambria" w:eastAsia="Cambria" w:hAnsi="Cambria" w:cs="Cambria"/>
          <w:noProof/>
        </w:rPr>
        <w:drawing>
          <wp:inline distT="0" distB="0" distL="0" distR="0" wp14:anchorId="38E73EE7" wp14:editId="1A64E9FB">
            <wp:extent cx="4030501" cy="2943225"/>
            <wp:effectExtent l="0" t="0" r="0" b="3175"/>
            <wp:docPr id="153495060" name="image7.jpg" descr="A picture containing text, plot, screenshot,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030501" cy="2943225"/>
                    </a:xfrm>
                    <a:prstGeom prst="rect">
                      <a:avLst/>
                    </a:prstGeom>
                    <a:noFill/>
                    <a:ln>
                      <a:noFill/>
                      <a:prstDash/>
                    </a:ln>
                  </pic:spPr>
                </pic:pic>
              </a:graphicData>
            </a:graphic>
          </wp:inline>
        </w:drawing>
      </w:r>
    </w:p>
    <w:p w14:paraId="58772419" w14:textId="77777777" w:rsidR="00C94273" w:rsidRDefault="00000000">
      <w:pPr>
        <w:pStyle w:val="Standard"/>
        <w:spacing w:after="160" w:line="251" w:lineRule="auto"/>
        <w:jc w:val="both"/>
        <w:rPr>
          <w:rFonts w:hint="eastAsia"/>
        </w:rPr>
      </w:pPr>
      <w:r>
        <w:rPr>
          <w:rFonts w:ascii="Cambria" w:hAnsi="Cambria"/>
          <w:color w:val="000000"/>
          <w:sz w:val="22"/>
        </w:rPr>
        <w:t>Figure 4. Percentage Sea Level Rise (1880-2020) and Ocean Temperature from (1960-2020) (Climate.gov, 2022)</w:t>
      </w:r>
    </w:p>
    <w:p w14:paraId="6DB0C0D9" w14:textId="77777777" w:rsidR="00C94273" w:rsidRDefault="00000000">
      <w:pPr>
        <w:pStyle w:val="Standard"/>
        <w:spacing w:after="160" w:line="251" w:lineRule="auto"/>
        <w:jc w:val="both"/>
        <w:rPr>
          <w:rFonts w:hint="eastAsia"/>
        </w:rPr>
      </w:pPr>
      <w:r>
        <w:rPr>
          <w:rFonts w:ascii="Cambria" w:hAnsi="Cambria"/>
          <w:color w:val="000000"/>
          <w:sz w:val="22"/>
        </w:rPr>
        <w:lastRenderedPageBreak/>
        <w:t>Furthermore, in 2021, global sea level set a new record high of 97 mm (3.8 inches) above 1993 levels. Meanwhile, averaged over the entire depth of the ocean, the rate of heat gain from 1993 to 2021 is about 0.64 to 0.80 Watts per square metre. The high rate of sea level rise and ocean temperature ultimately threatens marine life, especially coral reefs, with bleaching.</w:t>
      </w:r>
    </w:p>
    <w:p w14:paraId="30E34902" w14:textId="77777777" w:rsidR="00C94273" w:rsidRDefault="00000000">
      <w:pPr>
        <w:pStyle w:val="Standard"/>
        <w:spacing w:after="240" w:line="251" w:lineRule="auto"/>
        <w:jc w:val="both"/>
        <w:rPr>
          <w:rFonts w:hint="eastAsia"/>
        </w:rPr>
      </w:pPr>
      <w:r>
        <w:rPr>
          <w:rFonts w:ascii="Cambria-Bold" w:hAnsi="Cambria-Bold"/>
          <w:b/>
          <w:color w:val="000000"/>
          <w:sz w:val="22"/>
        </w:rPr>
        <w:t>Women and the Climate Crisis</w:t>
      </w:r>
    </w:p>
    <w:p w14:paraId="1A749517" w14:textId="77777777" w:rsidR="00C94273" w:rsidRDefault="00000000">
      <w:pPr>
        <w:pStyle w:val="Standard"/>
        <w:spacing w:after="240" w:line="251" w:lineRule="auto"/>
        <w:jc w:val="both"/>
        <w:rPr>
          <w:rFonts w:hint="eastAsia"/>
        </w:rPr>
      </w:pPr>
      <w:r>
        <w:rPr>
          <w:rFonts w:ascii="TimesNewRomanPSMT" w:hAnsi="TimesNewRomanPSMT"/>
          <w:color w:val="000000"/>
          <w:sz w:val="22"/>
        </w:rPr>
        <w:t>Climate change indirectly interacts with gender inequalities and produces impacts that generally disadvantage women and children, especially among the poor.</w:t>
      </w:r>
    </w:p>
    <w:p w14:paraId="05885226" w14:textId="77777777" w:rsidR="00C94273" w:rsidRDefault="00000000">
      <w:pPr>
        <w:pStyle w:val="Standard"/>
        <w:spacing w:after="240" w:line="251" w:lineRule="auto"/>
        <w:jc w:val="both"/>
        <w:rPr>
          <w:rFonts w:hint="eastAsia"/>
        </w:rPr>
      </w:pPr>
      <w:r>
        <w:rPr>
          <w:rFonts w:ascii="TimesNewRomanPSMT" w:hAnsi="TimesNewRomanPSMT"/>
          <w:color w:val="000000"/>
          <w:sz w:val="22"/>
        </w:rPr>
        <w:t>Women and children tend to be at greater risk than men, especially in low-income and poor countries. Natural disasters and climate change generally exacerbate inequalities and discrimination against women. This condition is not only influenced by biological and social factors, but also by economic factors and women's low participation in decision-making.</w:t>
      </w:r>
    </w:p>
    <w:p w14:paraId="59C43785" w14:textId="77777777" w:rsidR="00C94273" w:rsidRDefault="00000000">
      <w:pPr>
        <w:pStyle w:val="Standard"/>
        <w:spacing w:after="240" w:line="251" w:lineRule="auto"/>
        <w:jc w:val="both"/>
        <w:rPr>
          <w:rFonts w:hint="eastAsia"/>
        </w:rPr>
      </w:pPr>
      <w:r>
        <w:rPr>
          <w:rFonts w:ascii="TimesNewRomanPSMT" w:hAnsi="TimesNewRomanPSMT"/>
          <w:color w:val="000000"/>
          <w:sz w:val="22"/>
        </w:rPr>
        <w:t>If the natural disaster crisis is not controlled, by 2030 climate variability will threaten food security and water demand. This is because the world's population is already causing an increase in food demand about 50% greater than today, 45% more energy will be needed, and 30% more clean water will be needed.</w:t>
      </w:r>
    </w:p>
    <w:p w14:paraId="5792E09A" w14:textId="77777777" w:rsidR="00C94273" w:rsidRDefault="00000000">
      <w:pPr>
        <w:pStyle w:val="Standard"/>
        <w:spacing w:after="240" w:line="251" w:lineRule="auto"/>
        <w:jc w:val="both"/>
        <w:rPr>
          <w:rFonts w:hint="eastAsia"/>
        </w:rPr>
      </w:pPr>
      <w:r>
        <w:rPr>
          <w:rFonts w:ascii="TimesNewRomanPSMT" w:hAnsi="TimesNewRomanPSMT"/>
          <w:color w:val="000000"/>
          <w:sz w:val="22"/>
        </w:rPr>
        <w:t>It is estimated that the number of undernourished people will increase by more than 20 million, 884 million people will not have access to clean water and 2.6 billion people will not have access to basic sanitation (Alston and Whittenbury, 2013).</w:t>
      </w:r>
    </w:p>
    <w:p w14:paraId="38BF5461" w14:textId="77777777" w:rsidR="00C94273" w:rsidRDefault="00000000">
      <w:pPr>
        <w:pStyle w:val="Standard"/>
        <w:spacing w:after="160" w:line="251" w:lineRule="auto"/>
        <w:jc w:val="both"/>
        <w:rPr>
          <w:rFonts w:hint="eastAsia"/>
        </w:rPr>
      </w:pPr>
      <w:r>
        <w:rPr>
          <w:rFonts w:ascii="Cambria-Bold" w:hAnsi="Cambria-Bold"/>
          <w:b/>
          <w:color w:val="000000"/>
          <w:sz w:val="22"/>
        </w:rPr>
        <w:t>False Energy Transition and its impacts on Rainforests and Peoples´s Lifes</w:t>
      </w:r>
    </w:p>
    <w:p w14:paraId="1F14DE50" w14:textId="77777777" w:rsidR="00C94273" w:rsidRDefault="00000000">
      <w:pPr>
        <w:pStyle w:val="Standard"/>
        <w:spacing w:after="160" w:line="251" w:lineRule="auto"/>
        <w:jc w:val="both"/>
        <w:rPr>
          <w:rFonts w:hint="eastAsia"/>
        </w:rPr>
      </w:pPr>
      <w:r>
        <w:rPr>
          <w:rFonts w:ascii="Cambria" w:hAnsi="Cambria"/>
          <w:color w:val="000000"/>
          <w:sz w:val="22"/>
        </w:rPr>
        <w:t>In the High-Level Task Force on ASEAN Economic Integration (HLTF-EI) meeting which took place on 2-3 March 2023 in Belitung (Indonesia) which was attended by ASEAN High Level Officials from ten ASEAN member states and the ASEAN Secretariat. At this meeting, Indonesia raised 3 specific issues that will be driven by electric vehicles, energy transition, and blue economy. Not only that, at this meeting Indonesia will also encourage the approval of the ASEAN Leaders Declaration on Developing Regional Electric Vehicle Ecosystem to strengthen Southeast Asia's position as the centre of the world's electric vehicle industry.</w:t>
      </w:r>
    </w:p>
    <w:p w14:paraId="7EA16B11" w14:textId="77777777" w:rsidR="00C94273" w:rsidRDefault="00000000">
      <w:pPr>
        <w:pStyle w:val="Standard"/>
        <w:spacing w:after="160" w:line="251" w:lineRule="auto"/>
        <w:jc w:val="both"/>
        <w:rPr>
          <w:rFonts w:ascii="Cambria" w:hAnsi="Cambria"/>
          <w:color w:val="000000"/>
          <w:sz w:val="22"/>
        </w:rPr>
      </w:pPr>
      <w:r>
        <w:rPr>
          <w:rFonts w:ascii="Cambria" w:hAnsi="Cambria"/>
          <w:color w:val="000000"/>
          <w:sz w:val="22"/>
        </w:rPr>
        <w:t>So, is it true that electric vehicles are environmentally and climate friendly, like the 'jargon' that has been campaigned massively or just the opposite. The first thing to know is that the massive development of the electric vehicle industry will encourage the production and demand for batteries as one of the main components of the electric vehicle to increase.</w:t>
      </w:r>
    </w:p>
    <w:p w14:paraId="11955A5F" w14:textId="77777777" w:rsidR="00C94273" w:rsidRDefault="00000000">
      <w:pPr>
        <w:pStyle w:val="Standard"/>
        <w:spacing w:after="160" w:line="251" w:lineRule="auto"/>
        <w:jc w:val="both"/>
        <w:rPr>
          <w:rFonts w:hint="eastAsia"/>
        </w:rPr>
      </w:pPr>
      <w:r>
        <w:rPr>
          <w:rFonts w:ascii="Cambria" w:eastAsia="Cambria" w:hAnsi="Cambria" w:cs="Cambria"/>
          <w:noProof/>
        </w:rPr>
        <w:drawing>
          <wp:inline distT="0" distB="0" distL="0" distR="0" wp14:anchorId="2C70EF4B" wp14:editId="0398D110">
            <wp:extent cx="5731203" cy="2933696"/>
            <wp:effectExtent l="0" t="0" r="0" b="4"/>
            <wp:docPr id="2028751896" name="image4.png" descr="A picture containing text, screenshot, font,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731203" cy="2933696"/>
                    </a:xfrm>
                    <a:prstGeom prst="rect">
                      <a:avLst/>
                    </a:prstGeom>
                    <a:noFill/>
                    <a:ln>
                      <a:noFill/>
                      <a:prstDash/>
                    </a:ln>
                  </pic:spPr>
                </pic:pic>
              </a:graphicData>
            </a:graphic>
          </wp:inline>
        </w:drawing>
      </w:r>
    </w:p>
    <w:p w14:paraId="29B8B745" w14:textId="77777777" w:rsidR="00C94273" w:rsidRDefault="00000000">
      <w:pPr>
        <w:pStyle w:val="Standard"/>
        <w:shd w:val="clear" w:color="auto" w:fill="FFFFFF"/>
        <w:spacing w:after="160" w:line="251" w:lineRule="auto"/>
        <w:jc w:val="both"/>
        <w:rPr>
          <w:rFonts w:hint="eastAsia"/>
        </w:rPr>
      </w:pPr>
      <w:r>
        <w:rPr>
          <w:rFonts w:ascii="Cambria" w:hAnsi="Cambria"/>
          <w:color w:val="000000"/>
          <w:sz w:val="22"/>
        </w:rPr>
        <w:lastRenderedPageBreak/>
        <w:t>Figure 5: Process and Management Stages of the Nickel Industry in Indonesia</w:t>
      </w:r>
    </w:p>
    <w:p w14:paraId="2E5B93DB" w14:textId="77777777" w:rsidR="00C94273" w:rsidRDefault="00000000">
      <w:pPr>
        <w:pStyle w:val="Standard"/>
        <w:spacing w:after="160" w:line="251" w:lineRule="auto"/>
        <w:jc w:val="both"/>
        <w:rPr>
          <w:rFonts w:hint="eastAsia"/>
        </w:rPr>
      </w:pPr>
      <w:r>
        <w:rPr>
          <w:rFonts w:ascii="Cambria" w:eastAsia="Cambria" w:hAnsi="Cambria" w:cs="Cambria"/>
          <w:noProof/>
        </w:rPr>
        <w:drawing>
          <wp:anchor distT="0" distB="0" distL="114300" distR="114300" simplePos="0" relativeHeight="251659264" behindDoc="0" locked="0" layoutInCell="1" allowOverlap="1" wp14:anchorId="18990ADD" wp14:editId="42426EAA">
            <wp:simplePos x="0" y="0"/>
            <wp:positionH relativeFrom="margin">
              <wp:align>left</wp:align>
            </wp:positionH>
            <wp:positionV relativeFrom="paragraph">
              <wp:posOffset>859517</wp:posOffset>
            </wp:positionV>
            <wp:extent cx="5711186" cy="2650488"/>
            <wp:effectExtent l="0" t="0" r="3814" b="3812"/>
            <wp:wrapSquare wrapText="bothSides"/>
            <wp:docPr id="1007082086" name="Picture 9" descr="A picture containing map, wor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9282" b="16424"/>
                    <a:stretch>
                      <a:fillRect/>
                    </a:stretch>
                  </pic:blipFill>
                  <pic:spPr>
                    <a:xfrm>
                      <a:off x="0" y="0"/>
                      <a:ext cx="5711186" cy="2650488"/>
                    </a:xfrm>
                    <a:prstGeom prst="rect">
                      <a:avLst/>
                    </a:prstGeom>
                    <a:noFill/>
                    <a:ln>
                      <a:noFill/>
                      <a:prstDash/>
                    </a:ln>
                  </pic:spPr>
                </pic:pic>
              </a:graphicData>
            </a:graphic>
          </wp:anchor>
        </w:drawing>
      </w:r>
      <w:r>
        <w:rPr>
          <w:rFonts w:ascii="Cambria" w:hAnsi="Cambria"/>
          <w:color w:val="000000"/>
          <w:sz w:val="22"/>
        </w:rPr>
        <w:t>This condition then encourages the expansion of nickel mining which is used as the main raw material for making Lithium-ion batteries which are widely used in electric vehicles today. The need for electric vehicle commodities ultimately encouraged the massive granting of licences for mining companies, especially nickel mining on the islands of Sulawesi and Maluku.</w:t>
      </w:r>
    </w:p>
    <w:p w14:paraId="0A43FE78" w14:textId="77777777" w:rsidR="00C94273" w:rsidRDefault="00C94273">
      <w:pPr>
        <w:pStyle w:val="Standard"/>
        <w:spacing w:after="160" w:line="251" w:lineRule="auto"/>
        <w:jc w:val="both"/>
        <w:rPr>
          <w:rFonts w:hint="eastAsia"/>
        </w:rPr>
      </w:pPr>
    </w:p>
    <w:p w14:paraId="6D860720" w14:textId="77777777" w:rsidR="00C94273" w:rsidRDefault="00000000">
      <w:pPr>
        <w:pStyle w:val="Standard"/>
        <w:spacing w:after="160" w:line="251" w:lineRule="auto"/>
        <w:jc w:val="both"/>
        <w:rPr>
          <w:rFonts w:hint="eastAsia"/>
        </w:rPr>
      </w:pPr>
      <w:r>
        <w:rPr>
          <w:rFonts w:ascii="Cambria" w:hAnsi="Cambria"/>
          <w:color w:val="000000"/>
          <w:sz w:val="22"/>
        </w:rPr>
        <w:t>Figure 6: Mining consessions and Nickel Smelter on Sulawesi island and in the North Moluccas.</w:t>
      </w:r>
    </w:p>
    <w:p w14:paraId="49CC460B" w14:textId="77777777" w:rsidR="00C94273" w:rsidRDefault="00000000">
      <w:pPr>
        <w:pStyle w:val="Standard"/>
        <w:spacing w:after="160" w:line="251" w:lineRule="auto"/>
        <w:jc w:val="both"/>
        <w:rPr>
          <w:rFonts w:ascii="Cambria" w:hAnsi="Cambria"/>
          <w:color w:val="000000"/>
          <w:sz w:val="22"/>
        </w:rPr>
      </w:pPr>
      <w:r>
        <w:rPr>
          <w:rFonts w:ascii="Cambria" w:hAnsi="Cambria"/>
          <w:color w:val="000000"/>
          <w:sz w:val="22"/>
        </w:rPr>
        <w:t>As we know, Indonesia is one of the largest nickel deposit countries in the world. In our records, there are at least seven companies that own the largest nickel mining concessions in Indonesia. However, more than 300 companies actually own nickel mining concessions in Indonesia ranging from 200 to 17,000 Ha.</w:t>
      </w:r>
    </w:p>
    <w:p w14:paraId="3CA7F1BB" w14:textId="77777777" w:rsidR="00C94273" w:rsidRDefault="00000000">
      <w:pPr>
        <w:pStyle w:val="Standard"/>
        <w:spacing w:after="160" w:line="251" w:lineRule="auto"/>
        <w:jc w:val="both"/>
        <w:rPr>
          <w:rFonts w:hint="eastAsia"/>
        </w:rPr>
      </w:pPr>
      <w:r>
        <w:rPr>
          <w:rFonts w:ascii="Cambria" w:eastAsia="Cambria" w:hAnsi="Cambria" w:cs="Cambria"/>
          <w:noProof/>
        </w:rPr>
        <w:drawing>
          <wp:inline distT="0" distB="0" distL="0" distR="0" wp14:anchorId="099C5A4F" wp14:editId="4E41476A">
            <wp:extent cx="5868674" cy="3119292"/>
            <wp:effectExtent l="0" t="0" r="0" b="4908"/>
            <wp:docPr id="1686940299" name="image5.png" descr="Diagra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868674" cy="3119292"/>
                    </a:xfrm>
                    <a:prstGeom prst="rect">
                      <a:avLst/>
                    </a:prstGeom>
                    <a:noFill/>
                    <a:ln>
                      <a:noFill/>
                      <a:prstDash/>
                    </a:ln>
                  </pic:spPr>
                </pic:pic>
              </a:graphicData>
            </a:graphic>
          </wp:inline>
        </w:drawing>
      </w:r>
    </w:p>
    <w:p w14:paraId="11F175B1" w14:textId="77777777" w:rsidR="00C94273" w:rsidRDefault="00000000">
      <w:pPr>
        <w:pStyle w:val="Standard"/>
        <w:spacing w:after="160" w:line="251" w:lineRule="auto"/>
        <w:jc w:val="both"/>
        <w:rPr>
          <w:rFonts w:hint="eastAsia"/>
        </w:rPr>
      </w:pPr>
      <w:r>
        <w:rPr>
          <w:rFonts w:ascii="Cambria" w:hAnsi="Cambria"/>
          <w:color w:val="000000"/>
          <w:sz w:val="22"/>
        </w:rPr>
        <w:t xml:space="preserve"> Figure 7. Percentage of Companies Owning the Largest Nickel Mining Concessions in Indonesia</w:t>
      </w:r>
    </w:p>
    <w:p w14:paraId="773CCA35" w14:textId="77777777" w:rsidR="00C94273" w:rsidRDefault="00000000">
      <w:pPr>
        <w:pStyle w:val="Standard"/>
        <w:spacing w:after="160" w:line="251" w:lineRule="auto"/>
        <w:jc w:val="both"/>
        <w:rPr>
          <w:rFonts w:hint="eastAsia"/>
        </w:rPr>
      </w:pPr>
      <w:r>
        <w:rPr>
          <w:rFonts w:ascii="Cambria-Bold" w:hAnsi="Cambria-Bold"/>
          <w:b/>
          <w:color w:val="000000"/>
          <w:sz w:val="22"/>
        </w:rPr>
        <w:t>After calculation, the total area of the largest nickel mining concession in Indonesia is 647,543 Ha or 6,475 Square Km or equivalent to 37 times the area of Makassar City or equivalent to 906,923 football fields.</w:t>
      </w:r>
    </w:p>
    <w:p w14:paraId="72265B52" w14:textId="77777777" w:rsidR="00C94273" w:rsidRDefault="00000000">
      <w:pPr>
        <w:pStyle w:val="Standard"/>
        <w:spacing w:after="160" w:line="251" w:lineRule="auto"/>
        <w:jc w:val="both"/>
        <w:rPr>
          <w:rFonts w:hint="eastAsia"/>
        </w:rPr>
      </w:pPr>
      <w:r>
        <w:rPr>
          <w:rFonts w:ascii="Cambria" w:hAnsi="Cambria"/>
          <w:color w:val="000000"/>
          <w:sz w:val="22"/>
        </w:rPr>
        <w:lastRenderedPageBreak/>
        <w:t>Not only are companies that own nickel mining concessions increasing, but nickel processing companies (smelters) in Indonesia are also increasingly appearing along with the massive campaign for the use of electric vehicles.  Based on a number of data collected, there are at least 11 existing nickel processing companies and two companies that are currently in the planning stage of smelter development in Indonesia (see Figure 8).</w:t>
      </w:r>
    </w:p>
    <w:tbl>
      <w:tblPr>
        <w:tblW w:w="8748" w:type="dxa"/>
        <w:tblInd w:w="350" w:type="dxa"/>
        <w:tblLayout w:type="fixed"/>
        <w:tblCellMar>
          <w:left w:w="10" w:type="dxa"/>
          <w:right w:w="10" w:type="dxa"/>
        </w:tblCellMar>
        <w:tblLook w:val="0000" w:firstRow="0" w:lastRow="0" w:firstColumn="0" w:lastColumn="0" w:noHBand="0" w:noVBand="0"/>
      </w:tblPr>
      <w:tblGrid>
        <w:gridCol w:w="1549"/>
        <w:gridCol w:w="1440"/>
        <w:gridCol w:w="1440"/>
        <w:gridCol w:w="1440"/>
        <w:gridCol w:w="1440"/>
        <w:gridCol w:w="1439"/>
      </w:tblGrid>
      <w:tr w:rsidR="00C94273" w14:paraId="142A50D7" w14:textId="77777777">
        <w:tblPrEx>
          <w:tblCellMar>
            <w:top w:w="0" w:type="dxa"/>
            <w:bottom w:w="0" w:type="dxa"/>
          </w:tblCellMar>
        </w:tblPrEx>
        <w:tc>
          <w:tcPr>
            <w:tcW w:w="1549" w:type="dxa"/>
            <w:tcBorders>
              <w:top w:val="single" w:sz="8" w:space="0" w:color="000000"/>
              <w:left w:val="single" w:sz="8" w:space="0" w:color="000000"/>
              <w:bottom w:val="single" w:sz="8" w:space="0" w:color="C1C1C1"/>
              <w:right w:val="single" w:sz="8" w:space="0" w:color="C1C1C1"/>
            </w:tcBorders>
            <w:shd w:val="clear" w:color="auto" w:fill="520001"/>
            <w:tcMar>
              <w:top w:w="80" w:type="dxa"/>
              <w:left w:w="80" w:type="dxa"/>
              <w:bottom w:w="80" w:type="dxa"/>
              <w:right w:w="80" w:type="dxa"/>
            </w:tcMar>
            <w:vAlign w:val="center"/>
          </w:tcPr>
          <w:p w14:paraId="448A5399" w14:textId="77777777" w:rsidR="00C94273" w:rsidRDefault="00000000">
            <w:pPr>
              <w:pStyle w:val="Standard"/>
              <w:widowControl w:val="0"/>
              <w:spacing w:after="160" w:line="251" w:lineRule="auto"/>
              <w:jc w:val="center"/>
              <w:rPr>
                <w:rFonts w:hint="eastAsia"/>
              </w:rPr>
            </w:pPr>
            <w:r>
              <w:rPr>
                <w:rFonts w:ascii="Cambria-Bold" w:hAnsi="Cambria-Bold"/>
                <w:b/>
                <w:color w:val="FFFFFF"/>
                <w:sz w:val="22"/>
              </w:rPr>
              <w:t>No</w:t>
            </w:r>
          </w:p>
        </w:tc>
        <w:tc>
          <w:tcPr>
            <w:tcW w:w="1440" w:type="dxa"/>
            <w:tcBorders>
              <w:top w:val="single" w:sz="8" w:space="0" w:color="000000"/>
              <w:left w:val="single" w:sz="8" w:space="0" w:color="C1C1C1"/>
              <w:bottom w:val="single" w:sz="8" w:space="0" w:color="C1C1C1"/>
              <w:right w:val="single" w:sz="8" w:space="0" w:color="C1C1C1"/>
            </w:tcBorders>
            <w:shd w:val="clear" w:color="auto" w:fill="520001"/>
            <w:tcMar>
              <w:top w:w="80" w:type="dxa"/>
              <w:left w:w="80" w:type="dxa"/>
              <w:bottom w:w="80" w:type="dxa"/>
              <w:right w:w="80" w:type="dxa"/>
            </w:tcMar>
            <w:vAlign w:val="center"/>
          </w:tcPr>
          <w:p w14:paraId="09B5E356" w14:textId="77777777" w:rsidR="00C94273" w:rsidRDefault="00000000">
            <w:pPr>
              <w:pStyle w:val="Standard"/>
              <w:widowControl w:val="0"/>
              <w:spacing w:after="160" w:line="251" w:lineRule="auto"/>
              <w:jc w:val="center"/>
              <w:rPr>
                <w:rFonts w:ascii="Cambria-Bold" w:hAnsi="Cambria-Bold" w:hint="eastAsia"/>
                <w:b/>
                <w:color w:val="FFFFFF"/>
                <w:sz w:val="22"/>
              </w:rPr>
            </w:pPr>
            <w:r>
              <w:rPr>
                <w:rFonts w:ascii="Cambria-Bold" w:hAnsi="Cambria-Bold"/>
                <w:b/>
                <w:color w:val="FFFFFF"/>
                <w:sz w:val="22"/>
              </w:rPr>
              <w:t>Company</w:t>
            </w:r>
          </w:p>
        </w:tc>
        <w:tc>
          <w:tcPr>
            <w:tcW w:w="1440" w:type="dxa"/>
            <w:tcBorders>
              <w:top w:val="single" w:sz="8" w:space="0" w:color="000000"/>
              <w:left w:val="single" w:sz="8" w:space="0" w:color="C1C1C1"/>
              <w:bottom w:val="single" w:sz="8" w:space="0" w:color="C1C1C1"/>
              <w:right w:val="single" w:sz="8" w:space="0" w:color="C1C1C1"/>
            </w:tcBorders>
            <w:shd w:val="clear" w:color="auto" w:fill="520001"/>
            <w:tcMar>
              <w:top w:w="80" w:type="dxa"/>
              <w:left w:w="80" w:type="dxa"/>
              <w:bottom w:w="80" w:type="dxa"/>
              <w:right w:w="80" w:type="dxa"/>
            </w:tcMar>
            <w:vAlign w:val="center"/>
          </w:tcPr>
          <w:p w14:paraId="21DF0A0C" w14:textId="77777777" w:rsidR="00C94273" w:rsidRDefault="00000000">
            <w:pPr>
              <w:pStyle w:val="Standard"/>
              <w:widowControl w:val="0"/>
              <w:spacing w:after="160" w:line="251" w:lineRule="auto"/>
              <w:jc w:val="center"/>
              <w:rPr>
                <w:rFonts w:ascii="Cambria-Bold" w:hAnsi="Cambria-Bold" w:hint="eastAsia"/>
                <w:b/>
                <w:color w:val="FFFFFF"/>
                <w:sz w:val="22"/>
              </w:rPr>
            </w:pPr>
            <w:r>
              <w:rPr>
                <w:rFonts w:ascii="Cambria-Bold" w:hAnsi="Cambria-Bold"/>
                <w:b/>
                <w:color w:val="FFFFFF"/>
                <w:sz w:val="22"/>
              </w:rPr>
              <w:t>Country</w:t>
            </w:r>
          </w:p>
        </w:tc>
        <w:tc>
          <w:tcPr>
            <w:tcW w:w="1440" w:type="dxa"/>
            <w:tcBorders>
              <w:top w:val="single" w:sz="8" w:space="0" w:color="000000"/>
              <w:left w:val="single" w:sz="8" w:space="0" w:color="C1C1C1"/>
              <w:bottom w:val="single" w:sz="8" w:space="0" w:color="C1C1C1"/>
              <w:right w:val="single" w:sz="8" w:space="0" w:color="C1C1C1"/>
            </w:tcBorders>
            <w:shd w:val="clear" w:color="auto" w:fill="520001"/>
            <w:tcMar>
              <w:top w:w="80" w:type="dxa"/>
              <w:left w:w="80" w:type="dxa"/>
              <w:bottom w:w="80" w:type="dxa"/>
              <w:right w:w="80" w:type="dxa"/>
            </w:tcMar>
            <w:vAlign w:val="center"/>
          </w:tcPr>
          <w:p w14:paraId="049143DB" w14:textId="77777777" w:rsidR="00C94273" w:rsidRDefault="00000000">
            <w:pPr>
              <w:pStyle w:val="Standard"/>
              <w:widowControl w:val="0"/>
              <w:spacing w:after="160" w:line="251" w:lineRule="auto"/>
              <w:jc w:val="center"/>
              <w:rPr>
                <w:rFonts w:ascii="Cambria-Bold" w:hAnsi="Cambria-Bold" w:hint="eastAsia"/>
                <w:b/>
                <w:color w:val="FFFFFF"/>
                <w:sz w:val="22"/>
              </w:rPr>
            </w:pPr>
            <w:r>
              <w:rPr>
                <w:rFonts w:ascii="Cambria-Bold" w:hAnsi="Cambria-Bold"/>
                <w:b/>
                <w:color w:val="FFFFFF"/>
                <w:sz w:val="22"/>
              </w:rPr>
              <w:t>Nickel product</w:t>
            </w:r>
          </w:p>
        </w:tc>
        <w:tc>
          <w:tcPr>
            <w:tcW w:w="1440" w:type="dxa"/>
            <w:tcBorders>
              <w:top w:val="single" w:sz="8" w:space="0" w:color="000000"/>
              <w:left w:val="single" w:sz="8" w:space="0" w:color="C1C1C1"/>
              <w:bottom w:val="single" w:sz="8" w:space="0" w:color="C1C1C1"/>
              <w:right w:val="single" w:sz="8" w:space="0" w:color="C1C1C1"/>
            </w:tcBorders>
            <w:shd w:val="clear" w:color="auto" w:fill="520001"/>
            <w:tcMar>
              <w:top w:w="80" w:type="dxa"/>
              <w:left w:w="80" w:type="dxa"/>
              <w:bottom w:w="80" w:type="dxa"/>
              <w:right w:w="80" w:type="dxa"/>
            </w:tcMar>
            <w:vAlign w:val="center"/>
          </w:tcPr>
          <w:p w14:paraId="53E4E5B3" w14:textId="77777777" w:rsidR="00C94273" w:rsidRDefault="00000000">
            <w:pPr>
              <w:pStyle w:val="Standard"/>
              <w:widowControl w:val="0"/>
              <w:spacing w:after="160" w:line="251" w:lineRule="auto"/>
              <w:jc w:val="center"/>
              <w:rPr>
                <w:rFonts w:hint="eastAsia"/>
              </w:rPr>
            </w:pPr>
            <w:r>
              <w:rPr>
                <w:rFonts w:ascii="Cambria-Bold" w:hAnsi="Cambria-Bold"/>
                <w:b/>
                <w:color w:val="FFFFFF"/>
                <w:sz w:val="22"/>
              </w:rPr>
              <w:t>Capacity  (MT)</w:t>
            </w:r>
          </w:p>
        </w:tc>
        <w:tc>
          <w:tcPr>
            <w:tcW w:w="1439" w:type="dxa"/>
            <w:tcBorders>
              <w:top w:val="single" w:sz="8" w:space="0" w:color="000000"/>
              <w:left w:val="single" w:sz="8" w:space="0" w:color="C1C1C1"/>
              <w:bottom w:val="single" w:sz="8" w:space="0" w:color="C1C1C1"/>
              <w:right w:val="single" w:sz="8" w:space="0" w:color="000000"/>
            </w:tcBorders>
            <w:shd w:val="clear" w:color="auto" w:fill="520001"/>
            <w:tcMar>
              <w:top w:w="80" w:type="dxa"/>
              <w:left w:w="80" w:type="dxa"/>
              <w:bottom w:w="80" w:type="dxa"/>
              <w:right w:w="80" w:type="dxa"/>
            </w:tcMar>
            <w:vAlign w:val="center"/>
          </w:tcPr>
          <w:p w14:paraId="0F4CE643" w14:textId="77777777" w:rsidR="00C94273" w:rsidRDefault="00000000">
            <w:pPr>
              <w:pStyle w:val="Standard"/>
              <w:widowControl w:val="0"/>
              <w:spacing w:after="160" w:line="251" w:lineRule="auto"/>
              <w:jc w:val="center"/>
              <w:rPr>
                <w:rFonts w:ascii="Cambria-Bold" w:hAnsi="Cambria-Bold" w:hint="eastAsia"/>
                <w:b/>
                <w:color w:val="FFFFFF"/>
                <w:sz w:val="22"/>
              </w:rPr>
            </w:pPr>
            <w:r>
              <w:rPr>
                <w:rFonts w:ascii="Cambria-Bold" w:hAnsi="Cambria-Bold"/>
                <w:b/>
                <w:color w:val="FFFFFF"/>
                <w:sz w:val="22"/>
              </w:rPr>
              <w:t>Energy supply</w:t>
            </w:r>
          </w:p>
        </w:tc>
      </w:tr>
      <w:tr w:rsidR="00C94273" w14:paraId="71F4FA2D" w14:textId="77777777">
        <w:tblPrEx>
          <w:tblCellMar>
            <w:top w:w="0" w:type="dxa"/>
            <w:bottom w:w="0" w:type="dxa"/>
          </w:tblCellMar>
        </w:tblPrEx>
        <w:tc>
          <w:tcPr>
            <w:tcW w:w="154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366BF9EF" w14:textId="77777777" w:rsidR="00C94273" w:rsidRDefault="00000000">
            <w:pPr>
              <w:pStyle w:val="Standard"/>
              <w:widowControl w:val="0"/>
              <w:spacing w:after="160" w:line="251" w:lineRule="auto"/>
              <w:jc w:val="center"/>
              <w:rPr>
                <w:rFonts w:hint="eastAsia"/>
              </w:rPr>
            </w:pPr>
            <w:r>
              <w:rPr>
                <w:rFonts w:ascii="Cambria" w:hAnsi="Cambria"/>
                <w:color w:val="000000"/>
                <w:sz w:val="22"/>
              </w:rPr>
              <w:t>1</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676017A5" w14:textId="77777777" w:rsidR="00C94273" w:rsidRDefault="00000000">
            <w:pPr>
              <w:pStyle w:val="Standard"/>
              <w:widowControl w:val="0"/>
              <w:spacing w:after="160" w:line="251" w:lineRule="auto"/>
              <w:rPr>
                <w:rFonts w:hint="eastAsia"/>
              </w:rPr>
            </w:pPr>
            <w:r>
              <w:rPr>
                <w:rFonts w:ascii="Cambria" w:hAnsi="Cambria"/>
                <w:color w:val="000000"/>
                <w:sz w:val="22"/>
              </w:rPr>
              <w:t>PT COR</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6C77FC44" w14:textId="77777777" w:rsidR="00C94273" w:rsidRDefault="00000000">
            <w:pPr>
              <w:pStyle w:val="Standard"/>
              <w:widowControl w:val="0"/>
              <w:spacing w:after="160" w:line="251" w:lineRule="auto"/>
              <w:jc w:val="center"/>
              <w:rPr>
                <w:rFonts w:hint="eastAsia"/>
              </w:rPr>
            </w:pPr>
            <w:r>
              <w:rPr>
                <w:rFonts w:ascii="Cambria" w:hAnsi="Cambria"/>
                <w:color w:val="000000"/>
                <w:sz w:val="22"/>
              </w:rPr>
              <w:t>China</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5215A90C" w14:textId="77777777" w:rsidR="00C94273" w:rsidRDefault="00000000">
            <w:pPr>
              <w:pStyle w:val="Standard"/>
              <w:widowControl w:val="0"/>
              <w:spacing w:after="160" w:line="251" w:lineRule="auto"/>
              <w:jc w:val="center"/>
              <w:rPr>
                <w:rFonts w:hint="eastAsia"/>
              </w:rPr>
            </w:pPr>
            <w:r>
              <w:rPr>
                <w:rFonts w:ascii="Cambria" w:hAnsi="Cambria"/>
                <w:color w:val="000000"/>
                <w:sz w:val="22"/>
              </w:rPr>
              <w:t>Ferronickel</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24032460" w14:textId="77777777" w:rsidR="00C94273" w:rsidRDefault="00000000">
            <w:pPr>
              <w:pStyle w:val="Standard"/>
              <w:widowControl w:val="0"/>
              <w:spacing w:after="160" w:line="251" w:lineRule="auto"/>
              <w:jc w:val="center"/>
              <w:rPr>
                <w:rFonts w:hint="eastAsia"/>
              </w:rPr>
            </w:pPr>
            <w:r>
              <w:rPr>
                <w:rFonts w:ascii="Cambria" w:hAnsi="Cambria"/>
                <w:color w:val="000000"/>
                <w:sz w:val="22"/>
              </w:rPr>
              <w:t>100,000</w:t>
            </w:r>
          </w:p>
        </w:tc>
        <w:tc>
          <w:tcPr>
            <w:tcW w:w="143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279749BF" w14:textId="77777777" w:rsidR="00C94273" w:rsidRDefault="00000000">
            <w:pPr>
              <w:pStyle w:val="Standard"/>
              <w:widowControl w:val="0"/>
              <w:spacing w:after="160" w:line="251" w:lineRule="auto"/>
              <w:jc w:val="center"/>
              <w:rPr>
                <w:rFonts w:ascii="Cambria" w:hAnsi="Cambria"/>
                <w:color w:val="000000"/>
                <w:sz w:val="22"/>
              </w:rPr>
            </w:pPr>
            <w:r>
              <w:rPr>
                <w:rFonts w:ascii="Cambria" w:hAnsi="Cambria"/>
                <w:color w:val="000000"/>
                <w:sz w:val="22"/>
              </w:rPr>
              <w:t>coal</w:t>
            </w:r>
          </w:p>
        </w:tc>
      </w:tr>
      <w:tr w:rsidR="00C94273" w14:paraId="5F2E7451" w14:textId="77777777">
        <w:tblPrEx>
          <w:tblCellMar>
            <w:top w:w="0" w:type="dxa"/>
            <w:bottom w:w="0" w:type="dxa"/>
          </w:tblCellMar>
        </w:tblPrEx>
        <w:tc>
          <w:tcPr>
            <w:tcW w:w="154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5E2E8FB9" w14:textId="77777777" w:rsidR="00C94273" w:rsidRDefault="00000000">
            <w:pPr>
              <w:pStyle w:val="Standard"/>
              <w:widowControl w:val="0"/>
              <w:spacing w:after="160" w:line="251" w:lineRule="auto"/>
              <w:jc w:val="center"/>
              <w:rPr>
                <w:rFonts w:hint="eastAsia"/>
              </w:rPr>
            </w:pPr>
            <w:r>
              <w:rPr>
                <w:rFonts w:ascii="Cambria" w:hAnsi="Cambria"/>
                <w:color w:val="000000"/>
                <w:sz w:val="22"/>
              </w:rPr>
              <w:t>2</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3B4CA451" w14:textId="77777777" w:rsidR="00C94273" w:rsidRDefault="00000000">
            <w:pPr>
              <w:pStyle w:val="Standard"/>
              <w:widowControl w:val="0"/>
              <w:spacing w:after="160" w:line="251" w:lineRule="auto"/>
              <w:rPr>
                <w:rFonts w:hint="eastAsia"/>
              </w:rPr>
            </w:pPr>
            <w:r>
              <w:rPr>
                <w:rFonts w:ascii="Cambria" w:hAnsi="Cambria"/>
                <w:color w:val="000000"/>
                <w:sz w:val="22"/>
              </w:rPr>
              <w:t>PT Vale Indonesia</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064897CA" w14:textId="77777777" w:rsidR="00C94273" w:rsidRDefault="00000000">
            <w:pPr>
              <w:pStyle w:val="Standard"/>
              <w:widowControl w:val="0"/>
              <w:spacing w:after="160" w:line="251" w:lineRule="auto"/>
              <w:jc w:val="center"/>
              <w:rPr>
                <w:rFonts w:hint="eastAsia"/>
              </w:rPr>
            </w:pPr>
            <w:r>
              <w:rPr>
                <w:rFonts w:ascii="Cambria" w:hAnsi="Cambria"/>
                <w:color w:val="000000"/>
                <w:sz w:val="22"/>
              </w:rPr>
              <w:t>Kanada, Jepang.</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29F3C420" w14:textId="77777777" w:rsidR="00C94273" w:rsidRDefault="00000000">
            <w:pPr>
              <w:pStyle w:val="Standard"/>
              <w:widowControl w:val="0"/>
              <w:spacing w:after="160" w:line="251" w:lineRule="auto"/>
              <w:jc w:val="center"/>
              <w:rPr>
                <w:rFonts w:hint="eastAsia"/>
              </w:rPr>
            </w:pPr>
            <w:r>
              <w:rPr>
                <w:rFonts w:ascii="Cambria" w:hAnsi="Cambria"/>
                <w:color w:val="000000"/>
                <w:sz w:val="22"/>
              </w:rPr>
              <w:t>Matte Nickel,</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07B7CBC2" w14:textId="77777777" w:rsidR="00C94273" w:rsidRDefault="00000000">
            <w:pPr>
              <w:pStyle w:val="Standard"/>
              <w:widowControl w:val="0"/>
              <w:spacing w:after="160" w:line="251" w:lineRule="auto"/>
              <w:jc w:val="center"/>
              <w:rPr>
                <w:rFonts w:hint="eastAsia"/>
              </w:rPr>
            </w:pPr>
            <w:r>
              <w:rPr>
                <w:rFonts w:ascii="Cambria" w:hAnsi="Cambria"/>
                <w:color w:val="000000"/>
                <w:sz w:val="22"/>
              </w:rPr>
              <w:t>80,000</w:t>
            </w:r>
          </w:p>
        </w:tc>
        <w:tc>
          <w:tcPr>
            <w:tcW w:w="143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31107392" w14:textId="77777777" w:rsidR="00C94273" w:rsidRDefault="00000000">
            <w:pPr>
              <w:pStyle w:val="Standard"/>
              <w:widowControl w:val="0"/>
              <w:spacing w:after="160" w:line="251" w:lineRule="auto"/>
              <w:jc w:val="center"/>
              <w:rPr>
                <w:rFonts w:hint="eastAsia"/>
              </w:rPr>
            </w:pPr>
            <w:r>
              <w:rPr>
                <w:rFonts w:ascii="Cambria" w:hAnsi="Cambria"/>
                <w:color w:val="000000"/>
                <w:sz w:val="22"/>
              </w:rPr>
              <w:t>water, diesel and coal</w:t>
            </w:r>
          </w:p>
        </w:tc>
      </w:tr>
      <w:tr w:rsidR="00C94273" w14:paraId="6A4000C7" w14:textId="77777777">
        <w:tblPrEx>
          <w:tblCellMar>
            <w:top w:w="0" w:type="dxa"/>
            <w:bottom w:w="0" w:type="dxa"/>
          </w:tblCellMar>
        </w:tblPrEx>
        <w:tc>
          <w:tcPr>
            <w:tcW w:w="154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14311DD2" w14:textId="77777777" w:rsidR="00C94273" w:rsidRDefault="00000000">
            <w:pPr>
              <w:pStyle w:val="Standard"/>
              <w:widowControl w:val="0"/>
              <w:spacing w:after="160" w:line="251" w:lineRule="auto"/>
              <w:jc w:val="center"/>
              <w:rPr>
                <w:rFonts w:hint="eastAsia"/>
              </w:rPr>
            </w:pPr>
            <w:r>
              <w:rPr>
                <w:rFonts w:ascii="Cambria" w:hAnsi="Cambria"/>
                <w:color w:val="000000"/>
                <w:sz w:val="22"/>
              </w:rPr>
              <w:t>3</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3B51C553" w14:textId="77777777" w:rsidR="00C94273" w:rsidRDefault="00000000">
            <w:pPr>
              <w:pStyle w:val="Standard"/>
              <w:widowControl w:val="0"/>
              <w:spacing w:after="160" w:line="251" w:lineRule="auto"/>
              <w:rPr>
                <w:rFonts w:hint="eastAsia"/>
              </w:rPr>
            </w:pPr>
            <w:r>
              <w:rPr>
                <w:rFonts w:ascii="Cambria" w:hAnsi="Cambria"/>
                <w:color w:val="000000"/>
                <w:sz w:val="22"/>
              </w:rPr>
              <w:t>PT GNI</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4B0BD84B" w14:textId="77777777" w:rsidR="00C94273" w:rsidRDefault="00000000">
            <w:pPr>
              <w:pStyle w:val="Standard"/>
              <w:widowControl w:val="0"/>
              <w:spacing w:after="160" w:line="251" w:lineRule="auto"/>
              <w:jc w:val="center"/>
              <w:rPr>
                <w:rFonts w:hint="eastAsia"/>
              </w:rPr>
            </w:pPr>
            <w:r>
              <w:rPr>
                <w:rFonts w:ascii="Cambria" w:hAnsi="Cambria"/>
                <w:color w:val="000000"/>
                <w:sz w:val="22"/>
              </w:rPr>
              <w:t>China</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2075989A" w14:textId="77777777" w:rsidR="00C94273" w:rsidRDefault="00000000">
            <w:pPr>
              <w:pStyle w:val="Standard"/>
              <w:widowControl w:val="0"/>
              <w:spacing w:after="160" w:line="251" w:lineRule="auto"/>
              <w:jc w:val="center"/>
              <w:rPr>
                <w:rFonts w:hint="eastAsia"/>
              </w:rPr>
            </w:pPr>
            <w:r>
              <w:rPr>
                <w:rFonts w:ascii="Cambria" w:hAnsi="Cambria"/>
                <w:color w:val="000000"/>
                <w:sz w:val="22"/>
              </w:rPr>
              <w:t>Ferronickel</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5A6C203D" w14:textId="77777777" w:rsidR="00C94273" w:rsidRDefault="00000000">
            <w:pPr>
              <w:pStyle w:val="Standard"/>
              <w:widowControl w:val="0"/>
              <w:spacing w:after="160" w:line="251" w:lineRule="auto"/>
              <w:jc w:val="center"/>
              <w:rPr>
                <w:rFonts w:hint="eastAsia"/>
              </w:rPr>
            </w:pPr>
            <w:r>
              <w:rPr>
                <w:rFonts w:ascii="Cambria" w:hAnsi="Cambria"/>
                <w:color w:val="000000"/>
                <w:sz w:val="22"/>
              </w:rPr>
              <w:t>2,000,000</w:t>
            </w:r>
          </w:p>
        </w:tc>
        <w:tc>
          <w:tcPr>
            <w:tcW w:w="143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011DAB44" w14:textId="77777777" w:rsidR="00C94273" w:rsidRDefault="00000000">
            <w:pPr>
              <w:pStyle w:val="Standard"/>
              <w:widowControl w:val="0"/>
              <w:spacing w:after="160" w:line="251" w:lineRule="auto"/>
              <w:jc w:val="center"/>
              <w:rPr>
                <w:rFonts w:ascii="Cambria" w:hAnsi="Cambria"/>
                <w:color w:val="000000"/>
                <w:sz w:val="22"/>
              </w:rPr>
            </w:pPr>
            <w:r>
              <w:rPr>
                <w:rFonts w:ascii="Cambria" w:hAnsi="Cambria"/>
                <w:color w:val="000000"/>
                <w:sz w:val="22"/>
              </w:rPr>
              <w:t>coal</w:t>
            </w:r>
          </w:p>
        </w:tc>
      </w:tr>
      <w:tr w:rsidR="00C94273" w14:paraId="12695619" w14:textId="77777777">
        <w:tblPrEx>
          <w:tblCellMar>
            <w:top w:w="0" w:type="dxa"/>
            <w:bottom w:w="0" w:type="dxa"/>
          </w:tblCellMar>
        </w:tblPrEx>
        <w:tc>
          <w:tcPr>
            <w:tcW w:w="154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346AD186" w14:textId="77777777" w:rsidR="00C94273" w:rsidRDefault="00000000">
            <w:pPr>
              <w:pStyle w:val="Standard"/>
              <w:widowControl w:val="0"/>
              <w:spacing w:after="160" w:line="251" w:lineRule="auto"/>
              <w:jc w:val="center"/>
              <w:rPr>
                <w:rFonts w:hint="eastAsia"/>
              </w:rPr>
            </w:pPr>
            <w:r>
              <w:rPr>
                <w:rFonts w:ascii="Cambria" w:hAnsi="Cambria"/>
                <w:color w:val="000000"/>
                <w:sz w:val="22"/>
              </w:rPr>
              <w:t>4</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00F4D0F5" w14:textId="77777777" w:rsidR="00C94273" w:rsidRDefault="00000000">
            <w:pPr>
              <w:pStyle w:val="Standard"/>
              <w:widowControl w:val="0"/>
              <w:spacing w:after="160" w:line="251" w:lineRule="auto"/>
              <w:rPr>
                <w:rFonts w:hint="eastAsia"/>
              </w:rPr>
            </w:pPr>
            <w:r>
              <w:rPr>
                <w:rFonts w:ascii="Cambria" w:hAnsi="Cambria"/>
                <w:color w:val="000000"/>
                <w:sz w:val="22"/>
              </w:rPr>
              <w:t>PT IMIP (Tsingshan Steel Indonesia dan Sulawesi Mining Investment</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4B010139" w14:textId="77777777" w:rsidR="00C94273" w:rsidRDefault="00000000">
            <w:pPr>
              <w:pStyle w:val="Standard"/>
              <w:widowControl w:val="0"/>
              <w:spacing w:after="160" w:line="251" w:lineRule="auto"/>
              <w:jc w:val="center"/>
              <w:rPr>
                <w:rFonts w:hint="eastAsia"/>
              </w:rPr>
            </w:pPr>
            <w:r>
              <w:rPr>
                <w:rFonts w:ascii="Cambria" w:hAnsi="Cambria"/>
                <w:color w:val="000000"/>
                <w:sz w:val="22"/>
              </w:rPr>
              <w:t>China – Indonesia</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0098C6B9" w14:textId="77777777" w:rsidR="00C94273" w:rsidRDefault="00000000">
            <w:pPr>
              <w:pStyle w:val="Standard"/>
              <w:widowControl w:val="0"/>
              <w:spacing w:after="160" w:line="251" w:lineRule="auto"/>
              <w:jc w:val="center"/>
              <w:rPr>
                <w:rFonts w:hint="eastAsia"/>
              </w:rPr>
            </w:pPr>
            <w:r>
              <w:rPr>
                <w:rFonts w:ascii="Cambria" w:hAnsi="Cambria"/>
                <w:color w:val="000000"/>
                <w:sz w:val="22"/>
              </w:rPr>
              <w:t>NPI</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000C4C13" w14:textId="77777777" w:rsidR="00C94273" w:rsidRDefault="00000000">
            <w:pPr>
              <w:pStyle w:val="Standard"/>
              <w:widowControl w:val="0"/>
              <w:spacing w:after="160" w:line="251" w:lineRule="auto"/>
              <w:jc w:val="center"/>
              <w:rPr>
                <w:rFonts w:hint="eastAsia"/>
              </w:rPr>
            </w:pPr>
            <w:r>
              <w:rPr>
                <w:rFonts w:ascii="Cambria" w:hAnsi="Cambria"/>
                <w:color w:val="000000"/>
                <w:sz w:val="22"/>
              </w:rPr>
              <w:t>807,000</w:t>
            </w:r>
          </w:p>
        </w:tc>
        <w:tc>
          <w:tcPr>
            <w:tcW w:w="143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72CF3677" w14:textId="77777777" w:rsidR="00C94273" w:rsidRDefault="00000000">
            <w:pPr>
              <w:pStyle w:val="Standard"/>
              <w:widowControl w:val="0"/>
              <w:spacing w:after="160" w:line="251" w:lineRule="auto"/>
              <w:jc w:val="center"/>
              <w:rPr>
                <w:rFonts w:ascii="Cambria" w:hAnsi="Cambria"/>
                <w:color w:val="000000"/>
                <w:sz w:val="22"/>
              </w:rPr>
            </w:pPr>
            <w:r>
              <w:rPr>
                <w:rFonts w:ascii="Cambria" w:hAnsi="Cambria"/>
                <w:color w:val="000000"/>
                <w:sz w:val="22"/>
              </w:rPr>
              <w:t>coal</w:t>
            </w:r>
          </w:p>
        </w:tc>
      </w:tr>
      <w:tr w:rsidR="00C94273" w14:paraId="7D8056FD" w14:textId="77777777">
        <w:tblPrEx>
          <w:tblCellMar>
            <w:top w:w="0" w:type="dxa"/>
            <w:bottom w:w="0" w:type="dxa"/>
          </w:tblCellMar>
        </w:tblPrEx>
        <w:tc>
          <w:tcPr>
            <w:tcW w:w="154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6E18C8D5" w14:textId="77777777" w:rsidR="00C94273" w:rsidRDefault="00000000">
            <w:pPr>
              <w:pStyle w:val="Standard"/>
              <w:widowControl w:val="0"/>
              <w:spacing w:after="160" w:line="251" w:lineRule="auto"/>
              <w:jc w:val="center"/>
              <w:rPr>
                <w:rFonts w:hint="eastAsia"/>
              </w:rPr>
            </w:pPr>
            <w:r>
              <w:rPr>
                <w:rFonts w:ascii="Cambria" w:hAnsi="Cambria"/>
                <w:color w:val="000000"/>
                <w:sz w:val="22"/>
              </w:rPr>
              <w:t>5</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47DD85B8" w14:textId="77777777" w:rsidR="00C94273" w:rsidRDefault="00000000">
            <w:pPr>
              <w:pStyle w:val="Standard"/>
              <w:widowControl w:val="0"/>
              <w:spacing w:after="160" w:line="251" w:lineRule="auto"/>
              <w:rPr>
                <w:rFonts w:hint="eastAsia"/>
              </w:rPr>
            </w:pPr>
            <w:r>
              <w:rPr>
                <w:rFonts w:ascii="Cambria" w:hAnsi="Cambria"/>
                <w:color w:val="000000"/>
                <w:sz w:val="22"/>
              </w:rPr>
              <w:t>PT Virtue Dragon Nikel Industry</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185FC4E1" w14:textId="77777777" w:rsidR="00C94273" w:rsidRDefault="00000000">
            <w:pPr>
              <w:pStyle w:val="Standard"/>
              <w:widowControl w:val="0"/>
              <w:spacing w:after="160" w:line="251" w:lineRule="auto"/>
              <w:jc w:val="center"/>
              <w:rPr>
                <w:rFonts w:hint="eastAsia"/>
              </w:rPr>
            </w:pPr>
            <w:r>
              <w:rPr>
                <w:rFonts w:ascii="Cambria" w:hAnsi="Cambria"/>
                <w:color w:val="000000"/>
                <w:sz w:val="22"/>
              </w:rPr>
              <w:t>China</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2D10A7D5" w14:textId="77777777" w:rsidR="00C94273" w:rsidRDefault="00000000">
            <w:pPr>
              <w:pStyle w:val="Standard"/>
              <w:widowControl w:val="0"/>
              <w:spacing w:after="160" w:line="251" w:lineRule="auto"/>
              <w:jc w:val="center"/>
              <w:rPr>
                <w:rFonts w:hint="eastAsia"/>
              </w:rPr>
            </w:pPr>
            <w:r>
              <w:rPr>
                <w:rFonts w:ascii="Cambria" w:hAnsi="Cambria"/>
                <w:color w:val="000000"/>
                <w:sz w:val="22"/>
              </w:rPr>
              <w:t>NPI</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730363C7" w14:textId="77777777" w:rsidR="00C94273" w:rsidRDefault="00000000">
            <w:pPr>
              <w:pStyle w:val="Standard"/>
              <w:widowControl w:val="0"/>
              <w:spacing w:after="160" w:line="251" w:lineRule="auto"/>
              <w:jc w:val="center"/>
              <w:rPr>
                <w:rFonts w:hint="eastAsia"/>
              </w:rPr>
            </w:pPr>
            <w:r>
              <w:rPr>
                <w:rFonts w:ascii="Cambria" w:hAnsi="Cambria"/>
                <w:color w:val="000000"/>
                <w:sz w:val="22"/>
              </w:rPr>
              <w:t>1,000,000</w:t>
            </w:r>
          </w:p>
        </w:tc>
        <w:tc>
          <w:tcPr>
            <w:tcW w:w="143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6417BB7B" w14:textId="77777777" w:rsidR="00C94273" w:rsidRDefault="00000000">
            <w:pPr>
              <w:pStyle w:val="Standard"/>
              <w:widowControl w:val="0"/>
              <w:spacing w:after="160" w:line="251" w:lineRule="auto"/>
              <w:jc w:val="center"/>
              <w:rPr>
                <w:rFonts w:ascii="Cambria" w:hAnsi="Cambria"/>
                <w:color w:val="000000"/>
                <w:sz w:val="22"/>
              </w:rPr>
            </w:pPr>
            <w:r>
              <w:rPr>
                <w:rFonts w:ascii="Cambria" w:hAnsi="Cambria"/>
                <w:color w:val="000000"/>
                <w:sz w:val="22"/>
              </w:rPr>
              <w:t>coal</w:t>
            </w:r>
          </w:p>
        </w:tc>
      </w:tr>
      <w:tr w:rsidR="00C94273" w14:paraId="2CB3EF52" w14:textId="77777777">
        <w:tblPrEx>
          <w:tblCellMar>
            <w:top w:w="0" w:type="dxa"/>
            <w:bottom w:w="0" w:type="dxa"/>
          </w:tblCellMar>
        </w:tblPrEx>
        <w:tc>
          <w:tcPr>
            <w:tcW w:w="154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3F962B09" w14:textId="77777777" w:rsidR="00C94273" w:rsidRDefault="00000000">
            <w:pPr>
              <w:pStyle w:val="Standard"/>
              <w:widowControl w:val="0"/>
              <w:spacing w:after="160" w:line="251" w:lineRule="auto"/>
              <w:jc w:val="center"/>
              <w:rPr>
                <w:rFonts w:hint="eastAsia"/>
              </w:rPr>
            </w:pPr>
            <w:r>
              <w:rPr>
                <w:rFonts w:ascii="Cambria" w:hAnsi="Cambria"/>
                <w:color w:val="000000"/>
                <w:sz w:val="22"/>
              </w:rPr>
              <w:t>6</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7EFDCD4F" w14:textId="77777777" w:rsidR="00C94273" w:rsidRDefault="00000000">
            <w:pPr>
              <w:pStyle w:val="Standard"/>
              <w:widowControl w:val="0"/>
              <w:spacing w:after="160" w:line="251" w:lineRule="auto"/>
              <w:rPr>
                <w:rFonts w:hint="eastAsia"/>
              </w:rPr>
            </w:pPr>
            <w:r>
              <w:rPr>
                <w:rFonts w:ascii="Cambria" w:hAnsi="Cambria"/>
                <w:color w:val="000000"/>
                <w:sz w:val="22"/>
              </w:rPr>
              <w:t>PT Wanxiang Nickel Indonesia</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69BA561E" w14:textId="77777777" w:rsidR="00C94273" w:rsidRDefault="00000000">
            <w:pPr>
              <w:pStyle w:val="Standard"/>
              <w:widowControl w:val="0"/>
              <w:spacing w:after="160" w:line="251" w:lineRule="auto"/>
              <w:jc w:val="center"/>
              <w:rPr>
                <w:rFonts w:hint="eastAsia"/>
              </w:rPr>
            </w:pPr>
            <w:r>
              <w:rPr>
                <w:rFonts w:ascii="Cambria" w:hAnsi="Cambria"/>
                <w:color w:val="000000"/>
                <w:sz w:val="22"/>
              </w:rPr>
              <w:t>China</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2C86B802" w14:textId="77777777" w:rsidR="00C94273" w:rsidRDefault="00000000">
            <w:pPr>
              <w:pStyle w:val="Standard"/>
              <w:widowControl w:val="0"/>
              <w:spacing w:after="160" w:line="251" w:lineRule="auto"/>
              <w:jc w:val="center"/>
              <w:rPr>
                <w:rFonts w:hint="eastAsia"/>
              </w:rPr>
            </w:pPr>
            <w:r>
              <w:rPr>
                <w:rFonts w:ascii="Cambria" w:hAnsi="Cambria"/>
                <w:color w:val="000000"/>
                <w:sz w:val="22"/>
              </w:rPr>
              <w:t>NPI</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474DE8E9" w14:textId="77777777" w:rsidR="00C94273" w:rsidRDefault="00000000">
            <w:pPr>
              <w:pStyle w:val="Standard"/>
              <w:widowControl w:val="0"/>
              <w:spacing w:after="160" w:line="251" w:lineRule="auto"/>
              <w:jc w:val="center"/>
              <w:rPr>
                <w:rFonts w:hint="eastAsia"/>
              </w:rPr>
            </w:pPr>
            <w:r>
              <w:rPr>
                <w:rFonts w:ascii="Cambria" w:hAnsi="Cambria"/>
                <w:color w:val="000000"/>
                <w:sz w:val="22"/>
              </w:rPr>
              <w:t>351,081</w:t>
            </w:r>
          </w:p>
        </w:tc>
        <w:tc>
          <w:tcPr>
            <w:tcW w:w="143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12ED17BA" w14:textId="77777777" w:rsidR="00C94273" w:rsidRDefault="00000000">
            <w:pPr>
              <w:pStyle w:val="Standard"/>
              <w:widowControl w:val="0"/>
              <w:spacing w:after="160" w:line="251" w:lineRule="auto"/>
              <w:jc w:val="center"/>
              <w:rPr>
                <w:rFonts w:ascii="Cambria" w:hAnsi="Cambria"/>
                <w:color w:val="000000"/>
                <w:sz w:val="22"/>
              </w:rPr>
            </w:pPr>
            <w:r>
              <w:rPr>
                <w:rFonts w:ascii="Cambria" w:hAnsi="Cambria"/>
                <w:color w:val="000000"/>
                <w:sz w:val="22"/>
              </w:rPr>
              <w:t>coal</w:t>
            </w:r>
          </w:p>
        </w:tc>
      </w:tr>
      <w:tr w:rsidR="00C94273" w14:paraId="7C7F3448" w14:textId="77777777">
        <w:tblPrEx>
          <w:tblCellMar>
            <w:top w:w="0" w:type="dxa"/>
            <w:bottom w:w="0" w:type="dxa"/>
          </w:tblCellMar>
        </w:tblPrEx>
        <w:tc>
          <w:tcPr>
            <w:tcW w:w="154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0DF0F1D6" w14:textId="77777777" w:rsidR="00C94273" w:rsidRDefault="00000000">
            <w:pPr>
              <w:pStyle w:val="Standard"/>
              <w:widowControl w:val="0"/>
              <w:spacing w:after="160" w:line="251" w:lineRule="auto"/>
              <w:jc w:val="center"/>
              <w:rPr>
                <w:rFonts w:hint="eastAsia"/>
              </w:rPr>
            </w:pPr>
            <w:r>
              <w:rPr>
                <w:rFonts w:ascii="Cambria" w:hAnsi="Cambria"/>
                <w:color w:val="000000"/>
                <w:sz w:val="22"/>
              </w:rPr>
              <w:t>7</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6F7A586F" w14:textId="77777777" w:rsidR="00C94273" w:rsidRDefault="00000000">
            <w:pPr>
              <w:pStyle w:val="Standard"/>
              <w:widowControl w:val="0"/>
              <w:spacing w:after="160" w:line="251" w:lineRule="auto"/>
              <w:rPr>
                <w:rFonts w:hint="eastAsia"/>
              </w:rPr>
            </w:pPr>
            <w:r>
              <w:rPr>
                <w:rFonts w:ascii="Cambria" w:hAnsi="Cambria"/>
                <w:color w:val="000000"/>
                <w:sz w:val="22"/>
              </w:rPr>
              <w:t>PT Antam</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439F9548" w14:textId="77777777" w:rsidR="00C94273" w:rsidRDefault="00000000">
            <w:pPr>
              <w:pStyle w:val="Standard"/>
              <w:widowControl w:val="0"/>
              <w:spacing w:after="160" w:line="251" w:lineRule="auto"/>
              <w:jc w:val="center"/>
              <w:rPr>
                <w:rFonts w:hint="eastAsia"/>
              </w:rPr>
            </w:pPr>
            <w:r>
              <w:rPr>
                <w:rFonts w:ascii="Cambria" w:hAnsi="Cambria"/>
                <w:color w:val="000000"/>
                <w:sz w:val="22"/>
              </w:rPr>
              <w:t>Indonesia</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5C2EC7D7" w14:textId="77777777" w:rsidR="00C94273" w:rsidRDefault="00000000">
            <w:pPr>
              <w:pStyle w:val="Standard"/>
              <w:widowControl w:val="0"/>
              <w:spacing w:after="160" w:line="251" w:lineRule="auto"/>
              <w:jc w:val="center"/>
              <w:rPr>
                <w:rFonts w:hint="eastAsia"/>
              </w:rPr>
            </w:pPr>
            <w:r>
              <w:rPr>
                <w:rFonts w:ascii="Cambria" w:hAnsi="Cambria"/>
                <w:color w:val="000000"/>
                <w:sz w:val="22"/>
              </w:rPr>
              <w:t>Ferronickel</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09B57766" w14:textId="77777777" w:rsidR="00C94273" w:rsidRDefault="00000000">
            <w:pPr>
              <w:pStyle w:val="Standard"/>
              <w:widowControl w:val="0"/>
              <w:spacing w:after="160" w:line="251" w:lineRule="auto"/>
              <w:jc w:val="center"/>
              <w:rPr>
                <w:rFonts w:hint="eastAsia"/>
              </w:rPr>
            </w:pPr>
            <w:r>
              <w:rPr>
                <w:rFonts w:ascii="Cambria" w:hAnsi="Cambria"/>
                <w:color w:val="000000"/>
                <w:sz w:val="22"/>
              </w:rPr>
              <w:t>90,000</w:t>
            </w:r>
          </w:p>
        </w:tc>
        <w:tc>
          <w:tcPr>
            <w:tcW w:w="143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11B233F0" w14:textId="77777777" w:rsidR="00C94273" w:rsidRDefault="00000000">
            <w:pPr>
              <w:pStyle w:val="Standard"/>
              <w:widowControl w:val="0"/>
              <w:spacing w:after="160" w:line="251" w:lineRule="auto"/>
              <w:jc w:val="center"/>
              <w:rPr>
                <w:rFonts w:ascii="Cambria" w:hAnsi="Cambria"/>
                <w:color w:val="000000"/>
                <w:sz w:val="22"/>
              </w:rPr>
            </w:pPr>
            <w:r>
              <w:rPr>
                <w:rFonts w:ascii="Cambria" w:hAnsi="Cambria"/>
                <w:color w:val="000000"/>
                <w:sz w:val="22"/>
              </w:rPr>
              <w:t>coal</w:t>
            </w:r>
          </w:p>
        </w:tc>
      </w:tr>
      <w:tr w:rsidR="00C94273" w14:paraId="59840775" w14:textId="77777777">
        <w:tblPrEx>
          <w:tblCellMar>
            <w:top w:w="0" w:type="dxa"/>
            <w:bottom w:w="0" w:type="dxa"/>
          </w:tblCellMar>
        </w:tblPrEx>
        <w:tc>
          <w:tcPr>
            <w:tcW w:w="154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3705B3E7" w14:textId="77777777" w:rsidR="00C94273" w:rsidRDefault="00000000">
            <w:pPr>
              <w:pStyle w:val="Standard"/>
              <w:widowControl w:val="0"/>
              <w:spacing w:after="160" w:line="251" w:lineRule="auto"/>
              <w:jc w:val="center"/>
              <w:rPr>
                <w:rFonts w:hint="eastAsia"/>
              </w:rPr>
            </w:pPr>
            <w:r>
              <w:rPr>
                <w:rFonts w:ascii="Cambria" w:hAnsi="Cambria"/>
                <w:color w:val="000000"/>
                <w:sz w:val="22"/>
              </w:rPr>
              <w:t>8</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70D38799" w14:textId="77777777" w:rsidR="00C94273" w:rsidRDefault="00000000">
            <w:pPr>
              <w:pStyle w:val="Standard"/>
              <w:widowControl w:val="0"/>
              <w:spacing w:after="160" w:line="251" w:lineRule="auto"/>
              <w:rPr>
                <w:rFonts w:hint="eastAsia"/>
              </w:rPr>
            </w:pPr>
            <w:r>
              <w:rPr>
                <w:rFonts w:ascii="Cambria" w:hAnsi="Cambria"/>
                <w:color w:val="000000"/>
                <w:sz w:val="22"/>
              </w:rPr>
              <w:t>PT Obsidian Stainless Steel</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7E05DAE2" w14:textId="77777777" w:rsidR="00C94273" w:rsidRDefault="00000000">
            <w:pPr>
              <w:pStyle w:val="Standard"/>
              <w:widowControl w:val="0"/>
              <w:spacing w:after="160" w:line="251" w:lineRule="auto"/>
              <w:jc w:val="center"/>
              <w:rPr>
                <w:rFonts w:hint="eastAsia"/>
              </w:rPr>
            </w:pPr>
            <w:r>
              <w:rPr>
                <w:rFonts w:ascii="Cambria" w:hAnsi="Cambria"/>
                <w:color w:val="000000"/>
                <w:sz w:val="22"/>
              </w:rPr>
              <w:t>China</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41AB1C4B" w14:textId="77777777" w:rsidR="00C94273" w:rsidRDefault="00000000">
            <w:pPr>
              <w:pStyle w:val="Standard"/>
              <w:widowControl w:val="0"/>
              <w:spacing w:after="160" w:line="251" w:lineRule="auto"/>
              <w:jc w:val="center"/>
              <w:rPr>
                <w:rFonts w:hint="eastAsia"/>
              </w:rPr>
            </w:pPr>
            <w:r>
              <w:rPr>
                <w:rFonts w:ascii="Cambria" w:hAnsi="Cambria"/>
                <w:color w:val="000000"/>
                <w:sz w:val="22"/>
              </w:rPr>
              <w:t>Ferronickel</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5C693D64" w14:textId="77777777" w:rsidR="00C94273" w:rsidRDefault="00000000">
            <w:pPr>
              <w:pStyle w:val="Standard"/>
              <w:widowControl w:val="0"/>
              <w:spacing w:after="160" w:line="251" w:lineRule="auto"/>
              <w:jc w:val="center"/>
              <w:rPr>
                <w:rFonts w:hint="eastAsia"/>
              </w:rPr>
            </w:pPr>
            <w:r>
              <w:rPr>
                <w:rFonts w:ascii="Cambria" w:hAnsi="Cambria"/>
                <w:color w:val="000000"/>
                <w:sz w:val="22"/>
              </w:rPr>
              <w:t>-</w:t>
            </w:r>
          </w:p>
        </w:tc>
        <w:tc>
          <w:tcPr>
            <w:tcW w:w="143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4C64FE7E" w14:textId="77777777" w:rsidR="00C94273" w:rsidRDefault="00000000">
            <w:pPr>
              <w:pStyle w:val="Standard"/>
              <w:widowControl w:val="0"/>
              <w:spacing w:after="160" w:line="251" w:lineRule="auto"/>
              <w:jc w:val="center"/>
              <w:rPr>
                <w:rFonts w:ascii="Cambria" w:hAnsi="Cambria"/>
                <w:color w:val="000000"/>
                <w:sz w:val="22"/>
              </w:rPr>
            </w:pPr>
            <w:r>
              <w:rPr>
                <w:rFonts w:ascii="Cambria" w:hAnsi="Cambria"/>
                <w:color w:val="000000"/>
                <w:sz w:val="22"/>
              </w:rPr>
              <w:t>coal</w:t>
            </w:r>
          </w:p>
        </w:tc>
      </w:tr>
      <w:tr w:rsidR="00C94273" w14:paraId="472312B1" w14:textId="77777777">
        <w:tblPrEx>
          <w:tblCellMar>
            <w:top w:w="0" w:type="dxa"/>
            <w:bottom w:w="0" w:type="dxa"/>
          </w:tblCellMar>
        </w:tblPrEx>
        <w:tc>
          <w:tcPr>
            <w:tcW w:w="154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391EEB9F" w14:textId="77777777" w:rsidR="00C94273" w:rsidRDefault="00000000">
            <w:pPr>
              <w:pStyle w:val="Standard"/>
              <w:widowControl w:val="0"/>
              <w:spacing w:after="160" w:line="251" w:lineRule="auto"/>
              <w:jc w:val="center"/>
              <w:rPr>
                <w:rFonts w:hint="eastAsia"/>
              </w:rPr>
            </w:pPr>
            <w:r>
              <w:rPr>
                <w:rFonts w:ascii="Cambria" w:hAnsi="Cambria"/>
                <w:color w:val="000000"/>
                <w:sz w:val="22"/>
              </w:rPr>
              <w:t>9</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7241FD9D" w14:textId="77777777" w:rsidR="00C94273" w:rsidRDefault="00000000">
            <w:pPr>
              <w:pStyle w:val="Standard"/>
              <w:widowControl w:val="0"/>
              <w:spacing w:after="160" w:line="251" w:lineRule="auto"/>
              <w:rPr>
                <w:rFonts w:hint="eastAsia"/>
              </w:rPr>
            </w:pPr>
            <w:r>
              <w:rPr>
                <w:rFonts w:ascii="Cambria" w:hAnsi="Cambria"/>
                <w:color w:val="000000"/>
                <w:sz w:val="22"/>
              </w:rPr>
              <w:t>PT Wanatiara persada</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68AB5B7B" w14:textId="77777777" w:rsidR="00C94273" w:rsidRDefault="00000000">
            <w:pPr>
              <w:pStyle w:val="Standard"/>
              <w:widowControl w:val="0"/>
              <w:spacing w:after="160" w:line="251" w:lineRule="auto"/>
              <w:jc w:val="center"/>
              <w:rPr>
                <w:rFonts w:hint="eastAsia"/>
              </w:rPr>
            </w:pPr>
            <w:r>
              <w:rPr>
                <w:rFonts w:ascii="Cambria" w:hAnsi="Cambria"/>
                <w:color w:val="000000"/>
                <w:sz w:val="22"/>
              </w:rPr>
              <w:t>China</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10E169CF" w14:textId="77777777" w:rsidR="00C94273" w:rsidRDefault="00000000">
            <w:pPr>
              <w:pStyle w:val="Standard"/>
              <w:widowControl w:val="0"/>
              <w:spacing w:after="160" w:line="251" w:lineRule="auto"/>
              <w:jc w:val="center"/>
              <w:rPr>
                <w:rFonts w:hint="eastAsia"/>
              </w:rPr>
            </w:pPr>
            <w:r>
              <w:rPr>
                <w:rFonts w:ascii="Cambria" w:hAnsi="Cambria"/>
                <w:color w:val="000000"/>
                <w:sz w:val="22"/>
              </w:rPr>
              <w:t>Ferronickel</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32A4E1CC" w14:textId="77777777" w:rsidR="00C94273" w:rsidRDefault="00000000">
            <w:pPr>
              <w:pStyle w:val="Standard"/>
              <w:widowControl w:val="0"/>
              <w:spacing w:after="160" w:line="251" w:lineRule="auto"/>
              <w:jc w:val="center"/>
              <w:rPr>
                <w:rFonts w:hint="eastAsia"/>
              </w:rPr>
            </w:pPr>
            <w:r>
              <w:rPr>
                <w:rFonts w:ascii="Cambria" w:hAnsi="Cambria"/>
                <w:color w:val="000000"/>
                <w:sz w:val="22"/>
              </w:rPr>
              <w:t>-</w:t>
            </w:r>
          </w:p>
        </w:tc>
        <w:tc>
          <w:tcPr>
            <w:tcW w:w="143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7A772067" w14:textId="77777777" w:rsidR="00C94273" w:rsidRDefault="00000000">
            <w:pPr>
              <w:pStyle w:val="Standard"/>
              <w:widowControl w:val="0"/>
              <w:spacing w:after="160" w:line="251" w:lineRule="auto"/>
              <w:jc w:val="center"/>
              <w:rPr>
                <w:rFonts w:ascii="Cambria" w:hAnsi="Cambria"/>
                <w:color w:val="000000"/>
                <w:sz w:val="22"/>
              </w:rPr>
            </w:pPr>
            <w:r>
              <w:rPr>
                <w:rFonts w:ascii="Cambria" w:hAnsi="Cambria"/>
                <w:color w:val="000000"/>
                <w:sz w:val="22"/>
              </w:rPr>
              <w:t>coal</w:t>
            </w:r>
          </w:p>
        </w:tc>
      </w:tr>
      <w:tr w:rsidR="00C94273" w14:paraId="3F37F264" w14:textId="77777777">
        <w:tblPrEx>
          <w:tblCellMar>
            <w:top w:w="0" w:type="dxa"/>
            <w:bottom w:w="0" w:type="dxa"/>
          </w:tblCellMar>
        </w:tblPrEx>
        <w:tc>
          <w:tcPr>
            <w:tcW w:w="154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2790F322" w14:textId="77777777" w:rsidR="00C94273" w:rsidRDefault="00000000">
            <w:pPr>
              <w:pStyle w:val="Standard"/>
              <w:widowControl w:val="0"/>
              <w:spacing w:after="160" w:line="251" w:lineRule="auto"/>
              <w:jc w:val="center"/>
              <w:rPr>
                <w:rFonts w:hint="eastAsia"/>
              </w:rPr>
            </w:pPr>
            <w:r>
              <w:rPr>
                <w:rFonts w:ascii="Cambria" w:hAnsi="Cambria"/>
                <w:color w:val="000000"/>
                <w:sz w:val="22"/>
              </w:rPr>
              <w:t>10</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7ECC293A" w14:textId="77777777" w:rsidR="00C94273" w:rsidRDefault="00000000">
            <w:pPr>
              <w:pStyle w:val="Standard"/>
              <w:widowControl w:val="0"/>
              <w:spacing w:after="160" w:line="251" w:lineRule="auto"/>
              <w:rPr>
                <w:rFonts w:hint="eastAsia"/>
              </w:rPr>
            </w:pPr>
            <w:r>
              <w:rPr>
                <w:rFonts w:ascii="Cambria" w:hAnsi="Cambria"/>
                <w:color w:val="000000"/>
                <w:sz w:val="22"/>
              </w:rPr>
              <w:t>Harita Group</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79569A04" w14:textId="77777777" w:rsidR="00C94273" w:rsidRDefault="00000000">
            <w:pPr>
              <w:pStyle w:val="Standard"/>
              <w:widowControl w:val="0"/>
              <w:spacing w:after="160" w:line="251" w:lineRule="auto"/>
              <w:jc w:val="center"/>
              <w:rPr>
                <w:rFonts w:hint="eastAsia"/>
              </w:rPr>
            </w:pPr>
            <w:r>
              <w:rPr>
                <w:rFonts w:ascii="Cambria" w:hAnsi="Cambria"/>
                <w:color w:val="000000"/>
                <w:sz w:val="22"/>
              </w:rPr>
              <w:t>Indonesia - China</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0A5F86B7" w14:textId="77777777" w:rsidR="00C94273" w:rsidRDefault="00000000">
            <w:pPr>
              <w:pStyle w:val="Standard"/>
              <w:widowControl w:val="0"/>
              <w:spacing w:after="160" w:line="251" w:lineRule="auto"/>
              <w:jc w:val="center"/>
              <w:rPr>
                <w:rFonts w:hint="eastAsia"/>
              </w:rPr>
            </w:pPr>
            <w:r>
              <w:rPr>
                <w:rFonts w:ascii="Cambria" w:hAnsi="Cambria"/>
                <w:color w:val="000000"/>
                <w:sz w:val="22"/>
              </w:rPr>
              <w:t>Ferronickel</w:t>
            </w:r>
          </w:p>
        </w:tc>
        <w:tc>
          <w:tcPr>
            <w:tcW w:w="144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0DBFC651" w14:textId="77777777" w:rsidR="00C94273" w:rsidRDefault="00000000">
            <w:pPr>
              <w:pStyle w:val="Standard"/>
              <w:widowControl w:val="0"/>
              <w:spacing w:after="160" w:line="251" w:lineRule="auto"/>
              <w:jc w:val="center"/>
              <w:rPr>
                <w:rFonts w:hint="eastAsia"/>
              </w:rPr>
            </w:pPr>
            <w:r>
              <w:rPr>
                <w:rFonts w:ascii="Cambria" w:hAnsi="Cambria"/>
                <w:color w:val="000000"/>
                <w:sz w:val="22"/>
              </w:rPr>
              <w:t>780,000</w:t>
            </w:r>
          </w:p>
        </w:tc>
        <w:tc>
          <w:tcPr>
            <w:tcW w:w="143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1127CEDF" w14:textId="77777777" w:rsidR="00C94273" w:rsidRDefault="00000000">
            <w:pPr>
              <w:pStyle w:val="Standard"/>
              <w:widowControl w:val="0"/>
              <w:spacing w:after="160" w:line="251" w:lineRule="auto"/>
              <w:jc w:val="center"/>
              <w:rPr>
                <w:rFonts w:ascii="Cambria" w:hAnsi="Cambria"/>
                <w:color w:val="000000"/>
                <w:sz w:val="22"/>
              </w:rPr>
            </w:pPr>
            <w:r>
              <w:rPr>
                <w:rFonts w:ascii="Cambria" w:hAnsi="Cambria"/>
                <w:color w:val="000000"/>
                <w:sz w:val="22"/>
              </w:rPr>
              <w:t>coal</w:t>
            </w:r>
          </w:p>
        </w:tc>
      </w:tr>
      <w:tr w:rsidR="00C94273" w14:paraId="5BC2E4E3" w14:textId="77777777">
        <w:tblPrEx>
          <w:tblCellMar>
            <w:top w:w="0" w:type="dxa"/>
            <w:bottom w:w="0" w:type="dxa"/>
          </w:tblCellMar>
        </w:tblPrEx>
        <w:tc>
          <w:tcPr>
            <w:tcW w:w="1549" w:type="dxa"/>
            <w:tcBorders>
              <w:top w:val="single" w:sz="8" w:space="0" w:color="C1C1C1"/>
              <w:left w:val="single" w:sz="8" w:space="0" w:color="000000"/>
              <w:bottom w:val="single" w:sz="8" w:space="0" w:color="000000"/>
              <w:right w:val="single" w:sz="8" w:space="0" w:color="C1C1C1"/>
            </w:tcBorders>
            <w:shd w:val="clear" w:color="auto" w:fill="auto"/>
            <w:tcMar>
              <w:top w:w="80" w:type="dxa"/>
              <w:left w:w="80" w:type="dxa"/>
              <w:bottom w:w="80" w:type="dxa"/>
              <w:right w:w="80" w:type="dxa"/>
            </w:tcMar>
            <w:vAlign w:val="center"/>
          </w:tcPr>
          <w:p w14:paraId="605AB4B4" w14:textId="77777777" w:rsidR="00C94273" w:rsidRDefault="00000000">
            <w:pPr>
              <w:pStyle w:val="Standard"/>
              <w:widowControl w:val="0"/>
              <w:spacing w:after="160" w:line="251" w:lineRule="auto"/>
              <w:jc w:val="center"/>
              <w:rPr>
                <w:rFonts w:hint="eastAsia"/>
              </w:rPr>
            </w:pPr>
            <w:r>
              <w:rPr>
                <w:rFonts w:ascii="Cambria" w:hAnsi="Cambria"/>
                <w:color w:val="000000"/>
                <w:sz w:val="22"/>
              </w:rPr>
              <w:t>11</w:t>
            </w:r>
          </w:p>
        </w:tc>
        <w:tc>
          <w:tcPr>
            <w:tcW w:w="1440" w:type="dxa"/>
            <w:tcBorders>
              <w:top w:val="single" w:sz="8" w:space="0" w:color="C1C1C1"/>
              <w:left w:val="single" w:sz="8" w:space="0" w:color="C1C1C1"/>
              <w:bottom w:val="single" w:sz="8" w:space="0" w:color="000000"/>
              <w:right w:val="single" w:sz="8" w:space="0" w:color="C1C1C1"/>
            </w:tcBorders>
            <w:shd w:val="clear" w:color="auto" w:fill="auto"/>
            <w:tcMar>
              <w:top w:w="80" w:type="dxa"/>
              <w:left w:w="80" w:type="dxa"/>
              <w:bottom w:w="80" w:type="dxa"/>
              <w:right w:w="80" w:type="dxa"/>
            </w:tcMar>
            <w:vAlign w:val="center"/>
          </w:tcPr>
          <w:p w14:paraId="12D33715" w14:textId="77777777" w:rsidR="00C94273" w:rsidRDefault="00000000">
            <w:pPr>
              <w:pStyle w:val="Standard"/>
              <w:widowControl w:val="0"/>
              <w:spacing w:after="160" w:line="251" w:lineRule="auto"/>
              <w:rPr>
                <w:rFonts w:hint="eastAsia"/>
              </w:rPr>
            </w:pPr>
            <w:r>
              <w:rPr>
                <w:rFonts w:ascii="Cambria" w:hAnsi="Cambria"/>
                <w:color w:val="000000"/>
                <w:sz w:val="22"/>
              </w:rPr>
              <w:t>WEDA BAY NICKEL</w:t>
            </w:r>
          </w:p>
        </w:tc>
        <w:tc>
          <w:tcPr>
            <w:tcW w:w="1440" w:type="dxa"/>
            <w:tcBorders>
              <w:top w:val="single" w:sz="8" w:space="0" w:color="C1C1C1"/>
              <w:left w:val="single" w:sz="8" w:space="0" w:color="C1C1C1"/>
              <w:bottom w:val="single" w:sz="8" w:space="0" w:color="000000"/>
              <w:right w:val="single" w:sz="8" w:space="0" w:color="C1C1C1"/>
            </w:tcBorders>
            <w:shd w:val="clear" w:color="auto" w:fill="auto"/>
            <w:tcMar>
              <w:top w:w="80" w:type="dxa"/>
              <w:left w:w="80" w:type="dxa"/>
              <w:bottom w:w="80" w:type="dxa"/>
              <w:right w:w="80" w:type="dxa"/>
            </w:tcMar>
            <w:vAlign w:val="center"/>
          </w:tcPr>
          <w:p w14:paraId="4BF4E45D" w14:textId="77777777" w:rsidR="00C94273" w:rsidRDefault="00000000">
            <w:pPr>
              <w:pStyle w:val="Standard"/>
              <w:widowControl w:val="0"/>
              <w:spacing w:after="160" w:line="251" w:lineRule="auto"/>
              <w:jc w:val="center"/>
              <w:rPr>
                <w:rFonts w:hint="eastAsia"/>
              </w:rPr>
            </w:pPr>
            <w:r>
              <w:rPr>
                <w:rFonts w:ascii="Cambria" w:hAnsi="Cambria"/>
                <w:color w:val="000000"/>
                <w:sz w:val="22"/>
              </w:rPr>
              <w:t>China</w:t>
            </w:r>
          </w:p>
        </w:tc>
        <w:tc>
          <w:tcPr>
            <w:tcW w:w="1440" w:type="dxa"/>
            <w:tcBorders>
              <w:top w:val="single" w:sz="8" w:space="0" w:color="C1C1C1"/>
              <w:left w:val="single" w:sz="8" w:space="0" w:color="C1C1C1"/>
              <w:bottom w:val="single" w:sz="8" w:space="0" w:color="000000"/>
              <w:right w:val="single" w:sz="8" w:space="0" w:color="C1C1C1"/>
            </w:tcBorders>
            <w:shd w:val="clear" w:color="auto" w:fill="auto"/>
            <w:tcMar>
              <w:top w:w="80" w:type="dxa"/>
              <w:left w:w="80" w:type="dxa"/>
              <w:bottom w:w="80" w:type="dxa"/>
              <w:right w:w="80" w:type="dxa"/>
            </w:tcMar>
            <w:vAlign w:val="center"/>
          </w:tcPr>
          <w:p w14:paraId="0CE9A56C" w14:textId="77777777" w:rsidR="00C94273" w:rsidRDefault="00000000">
            <w:pPr>
              <w:pStyle w:val="Standard"/>
              <w:widowControl w:val="0"/>
              <w:spacing w:after="160" w:line="251" w:lineRule="auto"/>
              <w:jc w:val="center"/>
              <w:rPr>
                <w:rFonts w:hint="eastAsia"/>
              </w:rPr>
            </w:pPr>
            <w:r>
              <w:rPr>
                <w:rFonts w:ascii="Cambria" w:hAnsi="Cambria"/>
                <w:color w:val="000000"/>
                <w:sz w:val="22"/>
              </w:rPr>
              <w:t>NPI dan Ferronickel</w:t>
            </w:r>
          </w:p>
        </w:tc>
        <w:tc>
          <w:tcPr>
            <w:tcW w:w="1440" w:type="dxa"/>
            <w:tcBorders>
              <w:top w:val="single" w:sz="8" w:space="0" w:color="C1C1C1"/>
              <w:left w:val="single" w:sz="8" w:space="0" w:color="C1C1C1"/>
              <w:bottom w:val="single" w:sz="8" w:space="0" w:color="000000"/>
              <w:right w:val="single" w:sz="8" w:space="0" w:color="C1C1C1"/>
            </w:tcBorders>
            <w:shd w:val="clear" w:color="auto" w:fill="auto"/>
            <w:tcMar>
              <w:top w:w="80" w:type="dxa"/>
              <w:left w:w="80" w:type="dxa"/>
              <w:bottom w:w="80" w:type="dxa"/>
              <w:right w:w="80" w:type="dxa"/>
            </w:tcMar>
            <w:vAlign w:val="center"/>
          </w:tcPr>
          <w:p w14:paraId="7A7BC758" w14:textId="77777777" w:rsidR="00C94273" w:rsidRDefault="00000000">
            <w:pPr>
              <w:pStyle w:val="Standard"/>
              <w:widowControl w:val="0"/>
              <w:spacing w:after="160" w:line="251" w:lineRule="auto"/>
              <w:jc w:val="center"/>
              <w:rPr>
                <w:rFonts w:hint="eastAsia"/>
              </w:rPr>
            </w:pPr>
            <w:r>
              <w:rPr>
                <w:rFonts w:ascii="Cambria" w:hAnsi="Cambria"/>
                <w:color w:val="000000"/>
                <w:sz w:val="22"/>
              </w:rPr>
              <w:t>55,000</w:t>
            </w:r>
          </w:p>
        </w:tc>
        <w:tc>
          <w:tcPr>
            <w:tcW w:w="1439" w:type="dxa"/>
            <w:tcBorders>
              <w:top w:val="single" w:sz="8" w:space="0" w:color="C1C1C1"/>
              <w:left w:val="single" w:sz="8" w:space="0" w:color="C1C1C1"/>
              <w:bottom w:val="single" w:sz="8" w:space="0" w:color="000000"/>
              <w:right w:val="single" w:sz="8" w:space="0" w:color="000000"/>
            </w:tcBorders>
            <w:shd w:val="clear" w:color="auto" w:fill="auto"/>
            <w:tcMar>
              <w:top w:w="80" w:type="dxa"/>
              <w:left w:w="80" w:type="dxa"/>
              <w:bottom w:w="80" w:type="dxa"/>
              <w:right w:w="80" w:type="dxa"/>
            </w:tcMar>
            <w:vAlign w:val="center"/>
          </w:tcPr>
          <w:p w14:paraId="799B7420" w14:textId="77777777" w:rsidR="00C94273" w:rsidRDefault="00000000">
            <w:pPr>
              <w:pStyle w:val="Standard"/>
              <w:widowControl w:val="0"/>
              <w:spacing w:after="160" w:line="251" w:lineRule="auto"/>
              <w:jc w:val="center"/>
              <w:rPr>
                <w:rFonts w:ascii="Cambria" w:hAnsi="Cambria"/>
                <w:color w:val="000000"/>
                <w:sz w:val="22"/>
              </w:rPr>
            </w:pPr>
            <w:r>
              <w:rPr>
                <w:rFonts w:ascii="Cambria" w:hAnsi="Cambria"/>
                <w:color w:val="000000"/>
                <w:sz w:val="22"/>
              </w:rPr>
              <w:t>coal</w:t>
            </w:r>
          </w:p>
        </w:tc>
      </w:tr>
    </w:tbl>
    <w:p w14:paraId="5ED3BCA4" w14:textId="77777777" w:rsidR="00C94273" w:rsidRDefault="00C94273">
      <w:pPr>
        <w:pStyle w:val="Standard"/>
        <w:widowControl w:val="0"/>
        <w:spacing w:after="160" w:line="251" w:lineRule="auto"/>
        <w:jc w:val="both"/>
        <w:rPr>
          <w:rFonts w:ascii="Cambria" w:hAnsi="Cambria"/>
          <w:color w:val="000000"/>
          <w:sz w:val="22"/>
        </w:rPr>
      </w:pPr>
    </w:p>
    <w:p w14:paraId="7BF8DA28" w14:textId="77777777" w:rsidR="00C94273" w:rsidRDefault="00000000">
      <w:pPr>
        <w:pStyle w:val="Standard"/>
        <w:spacing w:after="160" w:line="251" w:lineRule="auto"/>
        <w:jc w:val="both"/>
        <w:rPr>
          <w:rFonts w:hint="eastAsia"/>
        </w:rPr>
      </w:pPr>
      <w:r>
        <w:rPr>
          <w:rFonts w:ascii="Cambria" w:hAnsi="Cambria"/>
          <w:color w:val="000000"/>
          <w:sz w:val="22"/>
        </w:rPr>
        <w:t>Figure 8: Existing and proposed smelters in Indonesia.</w:t>
      </w:r>
    </w:p>
    <w:p w14:paraId="14D63708" w14:textId="77777777" w:rsidR="00C94273" w:rsidRDefault="00000000">
      <w:pPr>
        <w:pStyle w:val="Standard"/>
        <w:spacing w:after="160" w:line="251" w:lineRule="auto"/>
        <w:jc w:val="both"/>
        <w:rPr>
          <w:rFonts w:hint="eastAsia"/>
        </w:rPr>
      </w:pPr>
      <w:r>
        <w:rPr>
          <w:rFonts w:ascii="Cambria" w:hAnsi="Cambria"/>
          <w:color w:val="000000"/>
          <w:sz w:val="22"/>
        </w:rPr>
        <w:lastRenderedPageBreak/>
        <w:t>By looking at the series of facts and the impact felt by the community and the environment, it is very clear that the promotion and government policies related to electric vehicles as part of the energy transition and reducing greenhouse gas emissions are only an 'illusion'. Because in fact, electric vehicles cannot be separated from the nickel extractive industry, which in the process uses more coal energy and is supported by electrical energy sourced from Captive PLTU which also uses dirty energy.</w:t>
      </w:r>
    </w:p>
    <w:p w14:paraId="7909E32D" w14:textId="77777777" w:rsidR="00C94273" w:rsidRDefault="00000000">
      <w:pPr>
        <w:pStyle w:val="Standard"/>
        <w:spacing w:after="160" w:line="251" w:lineRule="auto"/>
        <w:jc w:val="both"/>
        <w:rPr>
          <w:rFonts w:hint="eastAsia"/>
        </w:rPr>
      </w:pPr>
      <w:r>
        <w:rPr>
          <w:rFonts w:ascii="Cambria-Bold" w:hAnsi="Cambria-Bold"/>
          <w:b/>
          <w:color w:val="000000"/>
          <w:sz w:val="22"/>
        </w:rPr>
        <w:t>The Impact of Nickel Mining and Industry in South Sulawesi</w:t>
      </w:r>
    </w:p>
    <w:p w14:paraId="0B5D3B2C" w14:textId="77777777" w:rsidR="00C94273" w:rsidRDefault="00000000">
      <w:pPr>
        <w:pStyle w:val="Standard"/>
        <w:numPr>
          <w:ilvl w:val="0"/>
          <w:numId w:val="7"/>
        </w:numPr>
        <w:tabs>
          <w:tab w:val="left" w:pos="360"/>
          <w:tab w:val="left" w:pos="720"/>
        </w:tabs>
        <w:spacing w:after="160" w:line="251" w:lineRule="auto"/>
        <w:ind w:left="0" w:firstLine="0"/>
        <w:jc w:val="both"/>
        <w:rPr>
          <w:rFonts w:hint="eastAsia"/>
        </w:rPr>
      </w:pPr>
      <w:r>
        <w:rPr>
          <w:rFonts w:ascii="Cambria-Bold" w:hAnsi="Cambria-Bold"/>
          <w:b/>
          <w:color w:val="000000"/>
          <w:sz w:val="22"/>
        </w:rPr>
        <w:t>Social and Environmental Impacts of Nickel Mining and Industry in South Sulawesi</w:t>
      </w:r>
    </w:p>
    <w:tbl>
      <w:tblPr>
        <w:tblW w:w="8748" w:type="dxa"/>
        <w:tblInd w:w="350" w:type="dxa"/>
        <w:tblLayout w:type="fixed"/>
        <w:tblCellMar>
          <w:left w:w="10" w:type="dxa"/>
          <w:right w:w="10" w:type="dxa"/>
        </w:tblCellMar>
        <w:tblLook w:val="0000" w:firstRow="0" w:lastRow="0" w:firstColumn="0" w:lastColumn="0" w:noHBand="0" w:noVBand="0"/>
      </w:tblPr>
      <w:tblGrid>
        <w:gridCol w:w="2269"/>
        <w:gridCol w:w="2160"/>
        <w:gridCol w:w="2160"/>
        <w:gridCol w:w="2159"/>
      </w:tblGrid>
      <w:tr w:rsidR="00C94273" w14:paraId="16667720" w14:textId="77777777">
        <w:tblPrEx>
          <w:tblCellMar>
            <w:top w:w="0" w:type="dxa"/>
            <w:bottom w:w="0" w:type="dxa"/>
          </w:tblCellMar>
        </w:tblPrEx>
        <w:tc>
          <w:tcPr>
            <w:tcW w:w="8748" w:type="dxa"/>
            <w:gridSpan w:val="4"/>
            <w:tcBorders>
              <w:top w:val="single" w:sz="8" w:space="0" w:color="000000"/>
              <w:left w:val="single" w:sz="8" w:space="0" w:color="000000"/>
              <w:bottom w:val="single" w:sz="8" w:space="0" w:color="C1C1C1"/>
              <w:right w:val="single" w:sz="8" w:space="0" w:color="000000"/>
            </w:tcBorders>
            <w:shd w:val="clear" w:color="auto" w:fill="520001"/>
            <w:tcMar>
              <w:top w:w="80" w:type="dxa"/>
              <w:left w:w="80" w:type="dxa"/>
              <w:bottom w:w="80" w:type="dxa"/>
              <w:right w:w="80" w:type="dxa"/>
            </w:tcMar>
            <w:vAlign w:val="center"/>
          </w:tcPr>
          <w:p w14:paraId="12B3CA59" w14:textId="77777777" w:rsidR="00C94273" w:rsidRDefault="00000000">
            <w:pPr>
              <w:pStyle w:val="Standard"/>
              <w:widowControl w:val="0"/>
              <w:spacing w:after="160" w:line="251" w:lineRule="auto"/>
              <w:jc w:val="center"/>
              <w:rPr>
                <w:rFonts w:hint="eastAsia"/>
              </w:rPr>
            </w:pPr>
            <w:r>
              <w:rPr>
                <w:rFonts w:ascii="Cambria-Bold" w:hAnsi="Cambria-Bold"/>
                <w:b/>
                <w:color w:val="FFFFFF"/>
                <w:sz w:val="22"/>
              </w:rPr>
              <w:t>Social and environmental impacts in around Vale Indonesia mining and smelting</w:t>
            </w:r>
          </w:p>
        </w:tc>
      </w:tr>
      <w:tr w:rsidR="00C94273" w14:paraId="4C075D43" w14:textId="77777777">
        <w:tblPrEx>
          <w:tblCellMar>
            <w:top w:w="0" w:type="dxa"/>
            <w:bottom w:w="0" w:type="dxa"/>
          </w:tblCellMar>
        </w:tblPrEx>
        <w:tc>
          <w:tcPr>
            <w:tcW w:w="6589" w:type="dxa"/>
            <w:gridSpan w:val="3"/>
            <w:tcBorders>
              <w:top w:val="single" w:sz="8" w:space="0" w:color="C1C1C1"/>
              <w:left w:val="single" w:sz="8" w:space="0" w:color="000000"/>
              <w:bottom w:val="single" w:sz="8" w:space="0" w:color="C1C1C1"/>
              <w:right w:val="single" w:sz="8" w:space="0" w:color="C1C1C1"/>
            </w:tcBorders>
            <w:shd w:val="clear" w:color="auto" w:fill="850002"/>
            <w:tcMar>
              <w:top w:w="80" w:type="dxa"/>
              <w:left w:w="80" w:type="dxa"/>
              <w:bottom w:w="80" w:type="dxa"/>
              <w:right w:w="80" w:type="dxa"/>
            </w:tcMar>
            <w:vAlign w:val="center"/>
          </w:tcPr>
          <w:p w14:paraId="73F4C257" w14:textId="77777777" w:rsidR="00C94273" w:rsidRDefault="00000000">
            <w:pPr>
              <w:pStyle w:val="Standard"/>
              <w:widowControl w:val="0"/>
              <w:spacing w:after="160" w:line="251" w:lineRule="auto"/>
              <w:jc w:val="center"/>
              <w:rPr>
                <w:rFonts w:hint="eastAsia"/>
              </w:rPr>
            </w:pPr>
            <w:r>
              <w:rPr>
                <w:rFonts w:ascii="Cambria" w:hAnsi="Cambria"/>
                <w:color w:val="FFFFFF"/>
                <w:sz w:val="22"/>
              </w:rPr>
              <w:t>Sosial</w:t>
            </w:r>
          </w:p>
        </w:tc>
        <w:tc>
          <w:tcPr>
            <w:tcW w:w="2159" w:type="dxa"/>
            <w:vMerge w:val="restart"/>
            <w:tcBorders>
              <w:top w:val="single" w:sz="8" w:space="0" w:color="C1C1C1"/>
              <w:left w:val="single" w:sz="8" w:space="0" w:color="C1C1C1"/>
              <w:bottom w:val="single" w:sz="8" w:space="0" w:color="C1C1C1"/>
              <w:right w:val="single" w:sz="8" w:space="0" w:color="000000"/>
            </w:tcBorders>
            <w:shd w:val="clear" w:color="auto" w:fill="850002"/>
            <w:tcMar>
              <w:top w:w="80" w:type="dxa"/>
              <w:left w:w="80" w:type="dxa"/>
              <w:bottom w:w="80" w:type="dxa"/>
              <w:right w:w="80" w:type="dxa"/>
            </w:tcMar>
            <w:vAlign w:val="center"/>
          </w:tcPr>
          <w:p w14:paraId="0FD07AE5" w14:textId="77777777" w:rsidR="00C94273" w:rsidRDefault="00000000">
            <w:pPr>
              <w:pStyle w:val="Standard"/>
              <w:widowControl w:val="0"/>
              <w:spacing w:after="160" w:line="251" w:lineRule="auto"/>
              <w:jc w:val="center"/>
              <w:rPr>
                <w:rFonts w:ascii="Cambria" w:hAnsi="Cambria"/>
                <w:color w:val="FFFFFF"/>
                <w:sz w:val="22"/>
              </w:rPr>
            </w:pPr>
            <w:r>
              <w:rPr>
                <w:rFonts w:ascii="Cambria" w:hAnsi="Cambria"/>
                <w:color w:val="FFFFFF"/>
                <w:sz w:val="22"/>
              </w:rPr>
              <w:t>Environment</w:t>
            </w:r>
          </w:p>
        </w:tc>
      </w:tr>
      <w:tr w:rsidR="00C94273" w14:paraId="5A2DC514" w14:textId="77777777">
        <w:tblPrEx>
          <w:tblCellMar>
            <w:top w:w="0" w:type="dxa"/>
            <w:bottom w:w="0" w:type="dxa"/>
          </w:tblCellMar>
        </w:tblPrEx>
        <w:tc>
          <w:tcPr>
            <w:tcW w:w="2269" w:type="dxa"/>
            <w:tcBorders>
              <w:top w:val="single" w:sz="8" w:space="0" w:color="C1C1C1"/>
              <w:left w:val="single" w:sz="8" w:space="0" w:color="000000"/>
              <w:bottom w:val="single" w:sz="8" w:space="0" w:color="C1C1C1"/>
              <w:right w:val="single" w:sz="8" w:space="0" w:color="C1C1C1"/>
            </w:tcBorders>
            <w:shd w:val="clear" w:color="auto" w:fill="850002"/>
            <w:tcMar>
              <w:top w:w="80" w:type="dxa"/>
              <w:left w:w="80" w:type="dxa"/>
              <w:bottom w:w="80" w:type="dxa"/>
              <w:right w:w="80" w:type="dxa"/>
            </w:tcMar>
            <w:vAlign w:val="center"/>
          </w:tcPr>
          <w:p w14:paraId="5191A469" w14:textId="77777777" w:rsidR="00C94273" w:rsidRDefault="00000000">
            <w:pPr>
              <w:pStyle w:val="Standard"/>
              <w:widowControl w:val="0"/>
              <w:spacing w:after="160" w:line="251" w:lineRule="auto"/>
              <w:jc w:val="center"/>
              <w:rPr>
                <w:rFonts w:ascii="Cambria" w:hAnsi="Cambria"/>
                <w:color w:val="FFFFFF"/>
                <w:sz w:val="22"/>
              </w:rPr>
            </w:pPr>
            <w:r>
              <w:rPr>
                <w:rFonts w:ascii="Cambria" w:hAnsi="Cambria"/>
                <w:color w:val="FFFFFF"/>
                <w:sz w:val="22"/>
              </w:rPr>
              <w:t>Indigenous People</w:t>
            </w:r>
          </w:p>
        </w:tc>
        <w:tc>
          <w:tcPr>
            <w:tcW w:w="2160" w:type="dxa"/>
            <w:tcBorders>
              <w:top w:val="single" w:sz="8" w:space="0" w:color="C1C1C1"/>
              <w:left w:val="single" w:sz="8" w:space="0" w:color="C1C1C1"/>
              <w:bottom w:val="single" w:sz="8" w:space="0" w:color="C1C1C1"/>
              <w:right w:val="single" w:sz="8" w:space="0" w:color="C1C1C1"/>
            </w:tcBorders>
            <w:shd w:val="clear" w:color="auto" w:fill="850002"/>
            <w:tcMar>
              <w:top w:w="80" w:type="dxa"/>
              <w:left w:w="80" w:type="dxa"/>
              <w:bottom w:w="80" w:type="dxa"/>
              <w:right w:w="80" w:type="dxa"/>
            </w:tcMar>
            <w:vAlign w:val="center"/>
          </w:tcPr>
          <w:p w14:paraId="5B5D3E83" w14:textId="77777777" w:rsidR="00C94273" w:rsidRDefault="00000000">
            <w:pPr>
              <w:pStyle w:val="Standard"/>
              <w:widowControl w:val="0"/>
              <w:spacing w:after="160" w:line="251" w:lineRule="auto"/>
              <w:jc w:val="center"/>
              <w:rPr>
                <w:rFonts w:ascii="Cambria" w:hAnsi="Cambria"/>
                <w:color w:val="FFFFFF"/>
                <w:sz w:val="22"/>
              </w:rPr>
            </w:pPr>
            <w:r>
              <w:rPr>
                <w:rFonts w:ascii="Cambria" w:hAnsi="Cambria"/>
                <w:color w:val="FFFFFF"/>
                <w:sz w:val="22"/>
              </w:rPr>
              <w:t>Local Communities</w:t>
            </w:r>
          </w:p>
        </w:tc>
        <w:tc>
          <w:tcPr>
            <w:tcW w:w="2160" w:type="dxa"/>
            <w:tcBorders>
              <w:top w:val="single" w:sz="8" w:space="0" w:color="C1C1C1"/>
              <w:left w:val="single" w:sz="8" w:space="0" w:color="C1C1C1"/>
              <w:bottom w:val="single" w:sz="8" w:space="0" w:color="C1C1C1"/>
              <w:right w:val="single" w:sz="8" w:space="0" w:color="000000"/>
            </w:tcBorders>
            <w:shd w:val="clear" w:color="auto" w:fill="850002"/>
            <w:tcMar>
              <w:top w:w="80" w:type="dxa"/>
              <w:left w:w="80" w:type="dxa"/>
              <w:bottom w:w="80" w:type="dxa"/>
              <w:right w:w="80" w:type="dxa"/>
            </w:tcMar>
            <w:vAlign w:val="center"/>
          </w:tcPr>
          <w:p w14:paraId="233416C9" w14:textId="77777777" w:rsidR="00C94273" w:rsidRDefault="00000000">
            <w:pPr>
              <w:pStyle w:val="Standard"/>
              <w:widowControl w:val="0"/>
              <w:spacing w:after="160" w:line="251" w:lineRule="auto"/>
              <w:jc w:val="center"/>
              <w:rPr>
                <w:rFonts w:ascii="Cambria" w:hAnsi="Cambria"/>
                <w:color w:val="FFFFFF"/>
                <w:sz w:val="22"/>
              </w:rPr>
            </w:pPr>
            <w:r>
              <w:rPr>
                <w:rFonts w:ascii="Cambria" w:hAnsi="Cambria"/>
                <w:color w:val="FFFFFF"/>
                <w:sz w:val="22"/>
              </w:rPr>
              <w:t>Workers</w:t>
            </w:r>
          </w:p>
        </w:tc>
        <w:tc>
          <w:tcPr>
            <w:tcW w:w="2159" w:type="dxa"/>
            <w:vMerge/>
            <w:tcBorders>
              <w:top w:val="single" w:sz="8" w:space="0" w:color="C1C1C1"/>
              <w:left w:val="single" w:sz="8" w:space="0" w:color="C1C1C1"/>
              <w:bottom w:val="single" w:sz="8" w:space="0" w:color="C1C1C1"/>
              <w:right w:val="single" w:sz="8" w:space="0" w:color="000000"/>
            </w:tcBorders>
            <w:shd w:val="clear" w:color="auto" w:fill="850002"/>
            <w:tcMar>
              <w:top w:w="80" w:type="dxa"/>
              <w:left w:w="80" w:type="dxa"/>
              <w:bottom w:w="80" w:type="dxa"/>
              <w:right w:w="80" w:type="dxa"/>
            </w:tcMar>
            <w:vAlign w:val="center"/>
          </w:tcPr>
          <w:p w14:paraId="205AE5C7" w14:textId="77777777" w:rsidR="00C94273" w:rsidRDefault="00C94273">
            <w:pPr>
              <w:rPr>
                <w:rFonts w:hint="eastAsia"/>
              </w:rPr>
            </w:pPr>
          </w:p>
        </w:tc>
      </w:tr>
      <w:tr w:rsidR="00C94273" w14:paraId="2F18C084" w14:textId="77777777">
        <w:tblPrEx>
          <w:tblCellMar>
            <w:top w:w="0" w:type="dxa"/>
            <w:bottom w:w="0" w:type="dxa"/>
          </w:tblCellMar>
        </w:tblPrEx>
        <w:tc>
          <w:tcPr>
            <w:tcW w:w="226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28EE7C8A" w14:textId="77777777" w:rsidR="00C94273" w:rsidRDefault="00000000">
            <w:pPr>
              <w:pStyle w:val="Standard"/>
              <w:widowControl w:val="0"/>
              <w:spacing w:after="160" w:line="251" w:lineRule="auto"/>
              <w:rPr>
                <w:rFonts w:hint="eastAsia"/>
              </w:rPr>
            </w:pPr>
            <w:r>
              <w:rPr>
                <w:rFonts w:ascii="Cambria" w:hAnsi="Cambria"/>
                <w:color w:val="000000"/>
                <w:sz w:val="22"/>
              </w:rPr>
              <w:t>Marginalisation</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602C7FAA" w14:textId="77777777" w:rsidR="00C94273" w:rsidRDefault="00000000">
            <w:pPr>
              <w:pStyle w:val="Standard"/>
              <w:widowControl w:val="0"/>
              <w:spacing w:after="160" w:line="251" w:lineRule="auto"/>
              <w:rPr>
                <w:rFonts w:ascii="Cambria" w:hAnsi="Cambria"/>
                <w:color w:val="000000"/>
                <w:sz w:val="22"/>
              </w:rPr>
            </w:pPr>
            <w:r>
              <w:rPr>
                <w:rFonts w:ascii="Cambria" w:hAnsi="Cambria"/>
                <w:color w:val="000000"/>
                <w:sz w:val="22"/>
              </w:rPr>
              <w:t>Land grab</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262A8C2E" w14:textId="77777777" w:rsidR="00C94273" w:rsidRDefault="00000000">
            <w:pPr>
              <w:pStyle w:val="Standard"/>
              <w:widowControl w:val="0"/>
              <w:spacing w:after="160" w:line="251" w:lineRule="auto"/>
              <w:rPr>
                <w:rFonts w:ascii="Cambria" w:hAnsi="Cambria"/>
                <w:color w:val="000000"/>
                <w:sz w:val="22"/>
              </w:rPr>
            </w:pPr>
            <w:r>
              <w:rPr>
                <w:rFonts w:ascii="Cambria" w:hAnsi="Cambria"/>
                <w:color w:val="000000"/>
                <w:sz w:val="22"/>
              </w:rPr>
              <w:t>Low salary</w:t>
            </w:r>
          </w:p>
        </w:tc>
        <w:tc>
          <w:tcPr>
            <w:tcW w:w="215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49507802" w14:textId="77777777" w:rsidR="00C94273" w:rsidRDefault="00000000">
            <w:pPr>
              <w:pStyle w:val="Standard"/>
              <w:widowControl w:val="0"/>
              <w:spacing w:after="160" w:line="251" w:lineRule="auto"/>
              <w:rPr>
                <w:rFonts w:ascii="Cambria" w:hAnsi="Cambria"/>
                <w:color w:val="000000"/>
                <w:sz w:val="22"/>
              </w:rPr>
            </w:pPr>
            <w:r>
              <w:rPr>
                <w:rFonts w:ascii="Cambria" w:hAnsi="Cambria"/>
                <w:color w:val="000000"/>
                <w:sz w:val="22"/>
              </w:rPr>
              <w:t>Massive rainforest destruction</w:t>
            </w:r>
          </w:p>
        </w:tc>
      </w:tr>
      <w:tr w:rsidR="00C94273" w14:paraId="5527A8CF" w14:textId="77777777">
        <w:tblPrEx>
          <w:tblCellMar>
            <w:top w:w="0" w:type="dxa"/>
            <w:bottom w:w="0" w:type="dxa"/>
          </w:tblCellMar>
        </w:tblPrEx>
        <w:tc>
          <w:tcPr>
            <w:tcW w:w="226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639E4EFC" w14:textId="77777777" w:rsidR="00C94273" w:rsidRDefault="00000000">
            <w:pPr>
              <w:pStyle w:val="Standard"/>
              <w:widowControl w:val="0"/>
              <w:spacing w:after="160" w:line="251" w:lineRule="auto"/>
              <w:rPr>
                <w:rFonts w:ascii="Cambria" w:hAnsi="Cambria"/>
                <w:color w:val="000000"/>
                <w:sz w:val="22"/>
              </w:rPr>
            </w:pPr>
            <w:r>
              <w:rPr>
                <w:rFonts w:ascii="Cambria" w:hAnsi="Cambria"/>
                <w:color w:val="000000"/>
                <w:sz w:val="22"/>
              </w:rPr>
              <w:t>Difficult access to clean water</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4B48FAE1" w14:textId="77777777" w:rsidR="00C94273" w:rsidRDefault="00000000">
            <w:pPr>
              <w:pStyle w:val="Standard"/>
              <w:widowControl w:val="0"/>
              <w:spacing w:after="160" w:line="251" w:lineRule="auto"/>
              <w:rPr>
                <w:rFonts w:hint="eastAsia"/>
              </w:rPr>
            </w:pPr>
            <w:r>
              <w:rPr>
                <w:rFonts w:ascii="Cambria" w:hAnsi="Cambria"/>
                <w:color w:val="000000"/>
                <w:sz w:val="22"/>
              </w:rPr>
              <w:t>False Livelihood Restoration</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49CD61B4" w14:textId="77777777" w:rsidR="00C94273" w:rsidRDefault="00000000">
            <w:pPr>
              <w:pStyle w:val="Standard"/>
              <w:widowControl w:val="0"/>
              <w:spacing w:after="160" w:line="251" w:lineRule="auto"/>
              <w:rPr>
                <w:rFonts w:hint="eastAsia"/>
              </w:rPr>
            </w:pPr>
            <w:r>
              <w:rPr>
                <w:rFonts w:ascii="Cambria" w:hAnsi="Cambria"/>
                <w:color w:val="000000"/>
                <w:sz w:val="22"/>
              </w:rPr>
              <w:t>High health risiko</w:t>
            </w:r>
          </w:p>
        </w:tc>
        <w:tc>
          <w:tcPr>
            <w:tcW w:w="215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672A19AB" w14:textId="77777777" w:rsidR="00C94273" w:rsidRDefault="00000000">
            <w:pPr>
              <w:pStyle w:val="Standard"/>
              <w:widowControl w:val="0"/>
              <w:spacing w:after="160" w:line="251" w:lineRule="auto"/>
              <w:rPr>
                <w:rFonts w:hint="eastAsia"/>
              </w:rPr>
            </w:pPr>
            <w:r>
              <w:rPr>
                <w:rFonts w:ascii="Cambria" w:hAnsi="Cambria"/>
                <w:color w:val="000000"/>
                <w:sz w:val="22"/>
              </w:rPr>
              <w:t>Landslides and floods</w:t>
            </w:r>
          </w:p>
        </w:tc>
      </w:tr>
      <w:tr w:rsidR="00C94273" w14:paraId="4F8BD51F" w14:textId="77777777">
        <w:tblPrEx>
          <w:tblCellMar>
            <w:top w:w="0" w:type="dxa"/>
            <w:bottom w:w="0" w:type="dxa"/>
          </w:tblCellMar>
        </w:tblPrEx>
        <w:tc>
          <w:tcPr>
            <w:tcW w:w="226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6D83F86B" w14:textId="77777777" w:rsidR="00C94273" w:rsidRDefault="00000000">
            <w:pPr>
              <w:pStyle w:val="Standard"/>
              <w:widowControl w:val="0"/>
              <w:spacing w:after="160" w:line="251" w:lineRule="auto"/>
              <w:rPr>
                <w:rFonts w:hint="eastAsia"/>
              </w:rPr>
            </w:pPr>
            <w:r>
              <w:rPr>
                <w:rFonts w:ascii="Cambria" w:hAnsi="Cambria"/>
                <w:color w:val="000000"/>
                <w:sz w:val="22"/>
              </w:rPr>
              <w:t>Access to forest lost</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7ADE1E4C" w14:textId="77777777" w:rsidR="00C94273" w:rsidRDefault="00000000">
            <w:pPr>
              <w:pStyle w:val="Standard"/>
              <w:widowControl w:val="0"/>
              <w:spacing w:after="160" w:line="251" w:lineRule="auto"/>
              <w:rPr>
                <w:rFonts w:hint="eastAsia"/>
              </w:rPr>
            </w:pPr>
            <w:r>
              <w:rPr>
                <w:rFonts w:ascii="Cambria" w:hAnsi="Cambria"/>
                <w:color w:val="000000"/>
                <w:sz w:val="22"/>
              </w:rPr>
              <w:t>Meaningless Consultation</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363D4C83" w14:textId="77777777" w:rsidR="00C94273" w:rsidRDefault="00000000">
            <w:pPr>
              <w:pStyle w:val="Standard"/>
              <w:widowControl w:val="0"/>
              <w:spacing w:after="160" w:line="251" w:lineRule="auto"/>
              <w:rPr>
                <w:rFonts w:hint="eastAsia"/>
              </w:rPr>
            </w:pPr>
            <w:r>
              <w:rPr>
                <w:rFonts w:ascii="Cambria" w:hAnsi="Cambria"/>
                <w:color w:val="000000"/>
                <w:sz w:val="22"/>
              </w:rPr>
              <w:t>High Risk of  Accidents in workplace</w:t>
            </w:r>
          </w:p>
        </w:tc>
        <w:tc>
          <w:tcPr>
            <w:tcW w:w="215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68ACFDA7" w14:textId="77777777" w:rsidR="00C94273" w:rsidRDefault="00000000">
            <w:pPr>
              <w:pStyle w:val="Standard"/>
              <w:widowControl w:val="0"/>
              <w:spacing w:after="160" w:line="251" w:lineRule="auto"/>
              <w:rPr>
                <w:rFonts w:hint="eastAsia"/>
              </w:rPr>
            </w:pPr>
            <w:r>
              <w:rPr>
                <w:rFonts w:ascii="Cambria" w:hAnsi="Cambria"/>
                <w:color w:val="000000"/>
                <w:sz w:val="22"/>
              </w:rPr>
              <w:t>Sedimentation, river and lake pollution</w:t>
            </w:r>
          </w:p>
        </w:tc>
      </w:tr>
      <w:tr w:rsidR="00C94273" w14:paraId="78077CDA" w14:textId="77777777">
        <w:tblPrEx>
          <w:tblCellMar>
            <w:top w:w="0" w:type="dxa"/>
            <w:bottom w:w="0" w:type="dxa"/>
          </w:tblCellMar>
        </w:tblPrEx>
        <w:tc>
          <w:tcPr>
            <w:tcW w:w="226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427BDDDA" w14:textId="77777777" w:rsidR="00C94273" w:rsidRDefault="00000000">
            <w:pPr>
              <w:pStyle w:val="Standard"/>
              <w:widowControl w:val="0"/>
              <w:spacing w:after="160" w:line="251" w:lineRule="auto"/>
              <w:rPr>
                <w:rFonts w:hint="eastAsia"/>
              </w:rPr>
            </w:pPr>
            <w:r>
              <w:rPr>
                <w:rFonts w:ascii="Cambria" w:hAnsi="Cambria"/>
                <w:color w:val="000000"/>
                <w:sz w:val="22"/>
              </w:rPr>
              <w:t>Access to jobs difficult</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24FADB00" w14:textId="77777777" w:rsidR="00C94273" w:rsidRDefault="00000000">
            <w:pPr>
              <w:pStyle w:val="Standard"/>
              <w:widowControl w:val="0"/>
              <w:spacing w:after="160" w:line="251" w:lineRule="auto"/>
              <w:rPr>
                <w:rFonts w:hint="eastAsia"/>
              </w:rPr>
            </w:pPr>
            <w:r>
              <w:rPr>
                <w:rFonts w:ascii="Cambria" w:hAnsi="Cambria"/>
                <w:color w:val="000000"/>
                <w:sz w:val="22"/>
              </w:rPr>
              <w:t>Non-transparent Information</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46B04A91" w14:textId="77777777" w:rsidR="00C94273" w:rsidRDefault="00C9427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rPr>
            </w:pPr>
          </w:p>
        </w:tc>
        <w:tc>
          <w:tcPr>
            <w:tcW w:w="215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74298606" w14:textId="77777777" w:rsidR="00C94273" w:rsidRDefault="00000000">
            <w:pPr>
              <w:pStyle w:val="Standard"/>
              <w:widowControl w:val="0"/>
              <w:spacing w:after="160" w:line="251" w:lineRule="auto"/>
              <w:rPr>
                <w:rFonts w:hint="eastAsia"/>
              </w:rPr>
            </w:pPr>
            <w:r>
              <w:rPr>
                <w:rFonts w:ascii="Cambria" w:hAnsi="Cambria"/>
                <w:color w:val="000000"/>
                <w:sz w:val="22"/>
              </w:rPr>
              <w:t>Toxic metal pollution in rivers, lakes and community water sources</w:t>
            </w:r>
          </w:p>
        </w:tc>
      </w:tr>
      <w:tr w:rsidR="00C94273" w14:paraId="067362AF" w14:textId="77777777">
        <w:tblPrEx>
          <w:tblCellMar>
            <w:top w:w="0" w:type="dxa"/>
            <w:bottom w:w="0" w:type="dxa"/>
          </w:tblCellMar>
        </w:tblPrEx>
        <w:tc>
          <w:tcPr>
            <w:tcW w:w="2269" w:type="dxa"/>
            <w:tcBorders>
              <w:top w:val="single" w:sz="8" w:space="0" w:color="C1C1C1"/>
              <w:left w:val="single" w:sz="8" w:space="0" w:color="000000"/>
              <w:bottom w:val="single" w:sz="8" w:space="0" w:color="000000"/>
              <w:right w:val="single" w:sz="8" w:space="0" w:color="C1C1C1"/>
            </w:tcBorders>
            <w:shd w:val="clear" w:color="auto" w:fill="auto"/>
            <w:tcMar>
              <w:top w:w="80" w:type="dxa"/>
              <w:left w:w="80" w:type="dxa"/>
              <w:bottom w:w="80" w:type="dxa"/>
              <w:right w:w="80" w:type="dxa"/>
            </w:tcMar>
            <w:vAlign w:val="center"/>
          </w:tcPr>
          <w:p w14:paraId="524DADF5" w14:textId="77777777" w:rsidR="00C94273" w:rsidRDefault="00C9427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rPr>
            </w:pPr>
          </w:p>
        </w:tc>
        <w:tc>
          <w:tcPr>
            <w:tcW w:w="2160" w:type="dxa"/>
            <w:tcBorders>
              <w:top w:val="single" w:sz="8" w:space="0" w:color="C1C1C1"/>
              <w:left w:val="single" w:sz="8" w:space="0" w:color="C1C1C1"/>
              <w:bottom w:val="single" w:sz="8" w:space="0" w:color="000000"/>
              <w:right w:val="single" w:sz="8" w:space="0" w:color="C1C1C1"/>
            </w:tcBorders>
            <w:shd w:val="clear" w:color="auto" w:fill="auto"/>
            <w:tcMar>
              <w:top w:w="80" w:type="dxa"/>
              <w:left w:w="80" w:type="dxa"/>
              <w:bottom w:w="80" w:type="dxa"/>
              <w:right w:w="80" w:type="dxa"/>
            </w:tcMar>
            <w:vAlign w:val="center"/>
          </w:tcPr>
          <w:p w14:paraId="0917661A" w14:textId="77777777" w:rsidR="00C94273" w:rsidRDefault="00000000">
            <w:pPr>
              <w:pStyle w:val="Standard"/>
              <w:widowControl w:val="0"/>
              <w:spacing w:after="160" w:line="251" w:lineRule="auto"/>
              <w:rPr>
                <w:rFonts w:hint="eastAsia"/>
              </w:rPr>
            </w:pPr>
            <w:r>
              <w:rPr>
                <w:rFonts w:ascii="Cambria" w:hAnsi="Cambria"/>
                <w:color w:val="000000"/>
                <w:sz w:val="22"/>
              </w:rPr>
              <w:t>Criminalisation</w:t>
            </w:r>
          </w:p>
        </w:tc>
        <w:tc>
          <w:tcPr>
            <w:tcW w:w="2160" w:type="dxa"/>
            <w:tcBorders>
              <w:top w:val="single" w:sz="8" w:space="0" w:color="C1C1C1"/>
              <w:left w:val="single" w:sz="8" w:space="0" w:color="C1C1C1"/>
              <w:bottom w:val="single" w:sz="8" w:space="0" w:color="000000"/>
              <w:right w:val="single" w:sz="8" w:space="0" w:color="C1C1C1"/>
            </w:tcBorders>
            <w:shd w:val="clear" w:color="auto" w:fill="auto"/>
            <w:tcMar>
              <w:top w:w="80" w:type="dxa"/>
              <w:left w:w="80" w:type="dxa"/>
              <w:bottom w:w="80" w:type="dxa"/>
              <w:right w:w="80" w:type="dxa"/>
            </w:tcMar>
            <w:vAlign w:val="center"/>
          </w:tcPr>
          <w:p w14:paraId="61B49B9B" w14:textId="77777777" w:rsidR="00C94273" w:rsidRDefault="00C9427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rPr>
            </w:pPr>
          </w:p>
        </w:tc>
        <w:tc>
          <w:tcPr>
            <w:tcW w:w="2159" w:type="dxa"/>
            <w:tcBorders>
              <w:top w:val="single" w:sz="8" w:space="0" w:color="C1C1C1"/>
              <w:left w:val="single" w:sz="8" w:space="0" w:color="C1C1C1"/>
              <w:bottom w:val="single" w:sz="8" w:space="0" w:color="000000"/>
              <w:right w:val="single" w:sz="8" w:space="0" w:color="000000"/>
            </w:tcBorders>
            <w:shd w:val="clear" w:color="auto" w:fill="auto"/>
            <w:tcMar>
              <w:top w:w="80" w:type="dxa"/>
              <w:left w:w="80" w:type="dxa"/>
              <w:bottom w:w="80" w:type="dxa"/>
              <w:right w:w="80" w:type="dxa"/>
            </w:tcMar>
            <w:vAlign w:val="center"/>
          </w:tcPr>
          <w:p w14:paraId="68C270EF" w14:textId="77777777" w:rsidR="00C94273" w:rsidRDefault="00000000">
            <w:pPr>
              <w:pStyle w:val="Standard"/>
              <w:widowControl w:val="0"/>
              <w:spacing w:after="160" w:line="251" w:lineRule="auto"/>
              <w:rPr>
                <w:rFonts w:ascii="Cambria" w:hAnsi="Cambria"/>
                <w:color w:val="000000"/>
                <w:sz w:val="22"/>
              </w:rPr>
            </w:pPr>
            <w:r>
              <w:rPr>
                <w:rFonts w:ascii="Cambria" w:hAnsi="Cambria"/>
                <w:color w:val="000000"/>
                <w:sz w:val="22"/>
              </w:rPr>
              <w:t>Air pollution</w:t>
            </w:r>
          </w:p>
        </w:tc>
      </w:tr>
    </w:tbl>
    <w:p w14:paraId="139D8F98" w14:textId="77777777" w:rsidR="00C94273" w:rsidRDefault="00000000">
      <w:pPr>
        <w:pStyle w:val="Standard"/>
        <w:widowControl w:val="0"/>
        <w:spacing w:after="240" w:line="251" w:lineRule="auto"/>
        <w:ind w:firstLine="450"/>
        <w:rPr>
          <w:rFonts w:hint="eastAsia"/>
        </w:rPr>
      </w:pPr>
      <w:r>
        <w:rPr>
          <w:rFonts w:ascii="Cambria" w:hAnsi="Cambria"/>
          <w:color w:val="000000"/>
          <w:sz w:val="22"/>
        </w:rPr>
        <w:t>Tabel 1. Socio-Environmental Impacts in PT Vale Indonesia's Mining &amp; Smelter surroundings</w:t>
      </w:r>
    </w:p>
    <w:p w14:paraId="1E9A80A7" w14:textId="77777777" w:rsidR="00C94273" w:rsidRDefault="00000000">
      <w:pPr>
        <w:pStyle w:val="Standard"/>
        <w:numPr>
          <w:ilvl w:val="0"/>
          <w:numId w:val="8"/>
        </w:numPr>
        <w:tabs>
          <w:tab w:val="left" w:pos="360"/>
          <w:tab w:val="left" w:pos="720"/>
        </w:tabs>
        <w:spacing w:after="240" w:line="251" w:lineRule="auto"/>
        <w:ind w:left="0" w:firstLine="0"/>
        <w:rPr>
          <w:rFonts w:hint="eastAsia"/>
        </w:rPr>
      </w:pPr>
      <w:r>
        <w:rPr>
          <w:rFonts w:ascii="Cambria-Bold" w:hAnsi="Cambria-Bold"/>
          <w:b/>
          <w:color w:val="000000"/>
          <w:sz w:val="22"/>
        </w:rPr>
        <w:t>Impacts of Nickel mining by PT Citra Lampia Mandiri and PT Huady Nickel Alloy in South Sulawesi</w:t>
      </w:r>
    </w:p>
    <w:tbl>
      <w:tblPr>
        <w:tblW w:w="8748" w:type="dxa"/>
        <w:tblInd w:w="350" w:type="dxa"/>
        <w:tblLayout w:type="fixed"/>
        <w:tblCellMar>
          <w:left w:w="10" w:type="dxa"/>
          <w:right w:w="10" w:type="dxa"/>
        </w:tblCellMar>
        <w:tblLook w:val="0000" w:firstRow="0" w:lastRow="0" w:firstColumn="0" w:lastColumn="0" w:noHBand="0" w:noVBand="0"/>
      </w:tblPr>
      <w:tblGrid>
        <w:gridCol w:w="2269"/>
        <w:gridCol w:w="2160"/>
        <w:gridCol w:w="2160"/>
        <w:gridCol w:w="2159"/>
      </w:tblGrid>
      <w:tr w:rsidR="00C94273" w14:paraId="2D75BDF9" w14:textId="77777777">
        <w:tblPrEx>
          <w:tblCellMar>
            <w:top w:w="0" w:type="dxa"/>
            <w:bottom w:w="0" w:type="dxa"/>
          </w:tblCellMar>
        </w:tblPrEx>
        <w:tc>
          <w:tcPr>
            <w:tcW w:w="8748" w:type="dxa"/>
            <w:gridSpan w:val="4"/>
            <w:tcBorders>
              <w:top w:val="single" w:sz="8" w:space="0" w:color="000000"/>
              <w:left w:val="single" w:sz="8" w:space="0" w:color="000000"/>
              <w:bottom w:val="single" w:sz="8" w:space="0" w:color="C1C1C1"/>
              <w:right w:val="single" w:sz="8" w:space="0" w:color="000000"/>
            </w:tcBorders>
            <w:shd w:val="clear" w:color="auto" w:fill="6F2C0C"/>
            <w:tcMar>
              <w:top w:w="80" w:type="dxa"/>
              <w:left w:w="80" w:type="dxa"/>
              <w:bottom w:w="80" w:type="dxa"/>
              <w:right w:w="80" w:type="dxa"/>
            </w:tcMar>
            <w:vAlign w:val="center"/>
          </w:tcPr>
          <w:p w14:paraId="2846569E" w14:textId="77777777" w:rsidR="00C94273" w:rsidRDefault="00000000">
            <w:pPr>
              <w:pStyle w:val="Standard"/>
              <w:widowControl w:val="0"/>
              <w:numPr>
                <w:ilvl w:val="0"/>
                <w:numId w:val="2"/>
              </w:numPr>
              <w:tabs>
                <w:tab w:val="left" w:pos="360"/>
                <w:tab w:val="left" w:pos="720"/>
              </w:tabs>
              <w:spacing w:after="240" w:line="251" w:lineRule="auto"/>
              <w:ind w:left="-52" w:firstLine="0"/>
              <w:jc w:val="center"/>
              <w:rPr>
                <w:rFonts w:hint="eastAsia"/>
              </w:rPr>
            </w:pPr>
            <w:r>
              <w:rPr>
                <w:rFonts w:ascii="Cambria-Bold" w:hAnsi="Cambria-Bold"/>
                <w:b/>
                <w:color w:val="FFFFFF"/>
                <w:sz w:val="22"/>
              </w:rPr>
              <w:t>Social and Environmental Impacts of Nickel mining by PT Citra Lampia Mandiri and PT Huady Nickel Alloy</w:t>
            </w:r>
          </w:p>
        </w:tc>
      </w:tr>
      <w:tr w:rsidR="00C94273" w14:paraId="68EE5A1F" w14:textId="77777777">
        <w:tblPrEx>
          <w:tblCellMar>
            <w:top w:w="0" w:type="dxa"/>
            <w:bottom w:w="0" w:type="dxa"/>
          </w:tblCellMar>
        </w:tblPrEx>
        <w:tc>
          <w:tcPr>
            <w:tcW w:w="6589" w:type="dxa"/>
            <w:gridSpan w:val="3"/>
            <w:tcBorders>
              <w:top w:val="single" w:sz="8" w:space="0" w:color="C1C1C1"/>
              <w:left w:val="single" w:sz="8" w:space="0" w:color="000000"/>
              <w:bottom w:val="single" w:sz="8" w:space="0" w:color="C1C1C1"/>
              <w:right w:val="single" w:sz="8" w:space="0" w:color="C1C1C1"/>
            </w:tcBorders>
            <w:shd w:val="clear" w:color="auto" w:fill="B54510"/>
            <w:tcMar>
              <w:top w:w="80" w:type="dxa"/>
              <w:left w:w="80" w:type="dxa"/>
              <w:bottom w:w="80" w:type="dxa"/>
              <w:right w:w="80" w:type="dxa"/>
            </w:tcMar>
            <w:vAlign w:val="center"/>
          </w:tcPr>
          <w:p w14:paraId="1905B361" w14:textId="77777777" w:rsidR="00C94273" w:rsidRDefault="00000000">
            <w:pPr>
              <w:pStyle w:val="Standard"/>
              <w:widowControl w:val="0"/>
              <w:spacing w:after="160" w:line="251" w:lineRule="auto"/>
              <w:jc w:val="center"/>
              <w:rPr>
                <w:rFonts w:hint="eastAsia"/>
              </w:rPr>
            </w:pPr>
            <w:r>
              <w:rPr>
                <w:rFonts w:ascii="Cambria" w:hAnsi="Cambria"/>
                <w:color w:val="FFFFFF"/>
                <w:sz w:val="22"/>
              </w:rPr>
              <w:t>Sosial</w:t>
            </w:r>
          </w:p>
        </w:tc>
        <w:tc>
          <w:tcPr>
            <w:tcW w:w="2159" w:type="dxa"/>
            <w:vMerge w:val="restart"/>
            <w:tcBorders>
              <w:top w:val="single" w:sz="8" w:space="0" w:color="C1C1C1"/>
              <w:left w:val="single" w:sz="8" w:space="0" w:color="C1C1C1"/>
              <w:bottom w:val="single" w:sz="8" w:space="0" w:color="C1C1C1"/>
              <w:right w:val="single" w:sz="8" w:space="0" w:color="000000"/>
            </w:tcBorders>
            <w:shd w:val="clear" w:color="auto" w:fill="B54510"/>
            <w:tcMar>
              <w:top w:w="80" w:type="dxa"/>
              <w:left w:w="80" w:type="dxa"/>
              <w:bottom w:w="80" w:type="dxa"/>
              <w:right w:w="80" w:type="dxa"/>
            </w:tcMar>
            <w:vAlign w:val="center"/>
          </w:tcPr>
          <w:p w14:paraId="0ABF5361" w14:textId="77777777" w:rsidR="00C94273" w:rsidRDefault="00000000">
            <w:pPr>
              <w:pStyle w:val="Standard"/>
              <w:widowControl w:val="0"/>
              <w:spacing w:after="160" w:line="251" w:lineRule="auto"/>
              <w:jc w:val="center"/>
              <w:rPr>
                <w:rFonts w:hint="eastAsia"/>
              </w:rPr>
            </w:pPr>
            <w:r>
              <w:rPr>
                <w:rFonts w:ascii="Cambria" w:hAnsi="Cambria"/>
                <w:color w:val="FFFFFF"/>
                <w:sz w:val="22"/>
              </w:rPr>
              <w:t>Lingkungan Hidup</w:t>
            </w:r>
          </w:p>
        </w:tc>
      </w:tr>
      <w:tr w:rsidR="00C94273" w14:paraId="1D893567" w14:textId="77777777">
        <w:tblPrEx>
          <w:tblCellMar>
            <w:top w:w="0" w:type="dxa"/>
            <w:bottom w:w="0" w:type="dxa"/>
          </w:tblCellMar>
        </w:tblPrEx>
        <w:tc>
          <w:tcPr>
            <w:tcW w:w="2269" w:type="dxa"/>
            <w:tcBorders>
              <w:top w:val="single" w:sz="8" w:space="0" w:color="C1C1C1"/>
              <w:left w:val="single" w:sz="8" w:space="0" w:color="000000"/>
              <w:bottom w:val="single" w:sz="8" w:space="0" w:color="C1C1C1"/>
              <w:right w:val="single" w:sz="8" w:space="0" w:color="C1C1C1"/>
            </w:tcBorders>
            <w:shd w:val="clear" w:color="auto" w:fill="B54510"/>
            <w:tcMar>
              <w:top w:w="80" w:type="dxa"/>
              <w:left w:w="80" w:type="dxa"/>
              <w:bottom w:w="80" w:type="dxa"/>
              <w:right w:w="80" w:type="dxa"/>
            </w:tcMar>
            <w:vAlign w:val="center"/>
          </w:tcPr>
          <w:p w14:paraId="1B0445B5" w14:textId="77777777" w:rsidR="00C94273" w:rsidRDefault="00000000">
            <w:pPr>
              <w:pStyle w:val="Standard"/>
              <w:widowControl w:val="0"/>
              <w:spacing w:after="160" w:line="251" w:lineRule="auto"/>
              <w:jc w:val="center"/>
              <w:rPr>
                <w:rFonts w:hint="eastAsia"/>
              </w:rPr>
            </w:pPr>
            <w:r>
              <w:rPr>
                <w:rFonts w:ascii="Cambria" w:hAnsi="Cambria"/>
                <w:color w:val="FFFFFF"/>
                <w:sz w:val="22"/>
              </w:rPr>
              <w:t>Petani</w:t>
            </w:r>
          </w:p>
        </w:tc>
        <w:tc>
          <w:tcPr>
            <w:tcW w:w="2160" w:type="dxa"/>
            <w:tcBorders>
              <w:top w:val="single" w:sz="8" w:space="0" w:color="C1C1C1"/>
              <w:left w:val="single" w:sz="8" w:space="0" w:color="C1C1C1"/>
              <w:bottom w:val="single" w:sz="8" w:space="0" w:color="C1C1C1"/>
              <w:right w:val="single" w:sz="8" w:space="0" w:color="C1C1C1"/>
            </w:tcBorders>
            <w:shd w:val="clear" w:color="auto" w:fill="B54510"/>
            <w:tcMar>
              <w:top w:w="80" w:type="dxa"/>
              <w:left w:w="80" w:type="dxa"/>
              <w:bottom w:w="80" w:type="dxa"/>
              <w:right w:w="80" w:type="dxa"/>
            </w:tcMar>
            <w:vAlign w:val="center"/>
          </w:tcPr>
          <w:p w14:paraId="0DF3008E" w14:textId="77777777" w:rsidR="00C94273" w:rsidRDefault="00000000">
            <w:pPr>
              <w:pStyle w:val="Standard"/>
              <w:widowControl w:val="0"/>
              <w:spacing w:after="160" w:line="251" w:lineRule="auto"/>
              <w:jc w:val="center"/>
              <w:rPr>
                <w:rFonts w:hint="eastAsia"/>
              </w:rPr>
            </w:pPr>
            <w:r>
              <w:rPr>
                <w:rFonts w:ascii="Cambria" w:hAnsi="Cambria"/>
                <w:color w:val="FFFFFF"/>
                <w:sz w:val="22"/>
              </w:rPr>
              <w:t>Nelayan</w:t>
            </w:r>
          </w:p>
        </w:tc>
        <w:tc>
          <w:tcPr>
            <w:tcW w:w="2160" w:type="dxa"/>
            <w:tcBorders>
              <w:top w:val="single" w:sz="8" w:space="0" w:color="C1C1C1"/>
              <w:left w:val="single" w:sz="8" w:space="0" w:color="C1C1C1"/>
              <w:bottom w:val="single" w:sz="8" w:space="0" w:color="C1C1C1"/>
              <w:right w:val="single" w:sz="8" w:space="0" w:color="000000"/>
            </w:tcBorders>
            <w:shd w:val="clear" w:color="auto" w:fill="B54510"/>
            <w:tcMar>
              <w:top w:w="80" w:type="dxa"/>
              <w:left w:w="80" w:type="dxa"/>
              <w:bottom w:w="80" w:type="dxa"/>
              <w:right w:w="80" w:type="dxa"/>
            </w:tcMar>
            <w:vAlign w:val="center"/>
          </w:tcPr>
          <w:p w14:paraId="3E690C38" w14:textId="77777777" w:rsidR="00C94273" w:rsidRDefault="00000000">
            <w:pPr>
              <w:pStyle w:val="Standard"/>
              <w:widowControl w:val="0"/>
              <w:spacing w:after="160" w:line="251" w:lineRule="auto"/>
              <w:jc w:val="center"/>
              <w:rPr>
                <w:rFonts w:hint="eastAsia"/>
              </w:rPr>
            </w:pPr>
            <w:r>
              <w:rPr>
                <w:rFonts w:ascii="Cambria" w:hAnsi="Cambria"/>
                <w:color w:val="FFFFFF"/>
                <w:sz w:val="22"/>
              </w:rPr>
              <w:t>Pekerja</w:t>
            </w:r>
          </w:p>
        </w:tc>
        <w:tc>
          <w:tcPr>
            <w:tcW w:w="2159" w:type="dxa"/>
            <w:vMerge/>
            <w:tcBorders>
              <w:top w:val="single" w:sz="8" w:space="0" w:color="C1C1C1"/>
              <w:left w:val="single" w:sz="8" w:space="0" w:color="C1C1C1"/>
              <w:bottom w:val="single" w:sz="8" w:space="0" w:color="C1C1C1"/>
              <w:right w:val="single" w:sz="8" w:space="0" w:color="000000"/>
            </w:tcBorders>
            <w:shd w:val="clear" w:color="auto" w:fill="B54510"/>
            <w:tcMar>
              <w:top w:w="80" w:type="dxa"/>
              <w:left w:w="80" w:type="dxa"/>
              <w:bottom w:w="80" w:type="dxa"/>
              <w:right w:w="80" w:type="dxa"/>
            </w:tcMar>
            <w:vAlign w:val="center"/>
          </w:tcPr>
          <w:p w14:paraId="5F06A8DE" w14:textId="77777777" w:rsidR="00C94273" w:rsidRDefault="00C94273">
            <w:pPr>
              <w:rPr>
                <w:rFonts w:hint="eastAsia"/>
              </w:rPr>
            </w:pPr>
          </w:p>
        </w:tc>
      </w:tr>
      <w:tr w:rsidR="00C94273" w14:paraId="1B0C651D" w14:textId="77777777">
        <w:tblPrEx>
          <w:tblCellMar>
            <w:top w:w="0" w:type="dxa"/>
            <w:bottom w:w="0" w:type="dxa"/>
          </w:tblCellMar>
        </w:tblPrEx>
        <w:tc>
          <w:tcPr>
            <w:tcW w:w="226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33D26159" w14:textId="77777777" w:rsidR="00C94273" w:rsidRDefault="00000000">
            <w:pPr>
              <w:pStyle w:val="Standard"/>
              <w:widowControl w:val="0"/>
              <w:spacing w:after="160" w:line="251" w:lineRule="auto"/>
              <w:rPr>
                <w:rFonts w:ascii="Cambria" w:hAnsi="Cambria"/>
                <w:color w:val="000000"/>
                <w:sz w:val="22"/>
              </w:rPr>
            </w:pPr>
            <w:r>
              <w:rPr>
                <w:rFonts w:ascii="Cambria" w:hAnsi="Cambria"/>
                <w:color w:val="000000"/>
                <w:sz w:val="22"/>
              </w:rPr>
              <w:t>Land grabbing</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28ED5E43" w14:textId="77777777" w:rsidR="00C94273" w:rsidRDefault="00000000">
            <w:pPr>
              <w:pStyle w:val="Standard"/>
              <w:widowControl w:val="0"/>
              <w:spacing w:after="160" w:line="251" w:lineRule="auto"/>
              <w:rPr>
                <w:rFonts w:hint="eastAsia"/>
              </w:rPr>
            </w:pPr>
            <w:r>
              <w:rPr>
                <w:rFonts w:ascii="Cambria" w:hAnsi="Cambria"/>
                <w:color w:val="000000"/>
                <w:sz w:val="22"/>
              </w:rPr>
              <w:t>Fishermen's fishing grounds are getting farther and farther away</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3545FC65" w14:textId="77777777" w:rsidR="00C94273" w:rsidRDefault="00000000">
            <w:pPr>
              <w:pStyle w:val="Standard"/>
              <w:widowControl w:val="0"/>
              <w:spacing w:after="160" w:line="251" w:lineRule="auto"/>
              <w:rPr>
                <w:rFonts w:ascii="Cambria" w:hAnsi="Cambria"/>
                <w:color w:val="000000"/>
                <w:sz w:val="22"/>
              </w:rPr>
            </w:pPr>
            <w:r>
              <w:rPr>
                <w:rFonts w:ascii="Cambria" w:hAnsi="Cambria"/>
                <w:color w:val="000000"/>
                <w:sz w:val="22"/>
              </w:rPr>
              <w:t>Low income</w:t>
            </w:r>
          </w:p>
        </w:tc>
        <w:tc>
          <w:tcPr>
            <w:tcW w:w="215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58F0702D" w14:textId="77777777" w:rsidR="00C94273" w:rsidRDefault="00000000">
            <w:pPr>
              <w:pStyle w:val="Standard"/>
              <w:widowControl w:val="0"/>
              <w:spacing w:after="160" w:line="251" w:lineRule="auto"/>
              <w:rPr>
                <w:rFonts w:ascii="Cambria" w:hAnsi="Cambria"/>
                <w:color w:val="000000"/>
                <w:sz w:val="22"/>
              </w:rPr>
            </w:pPr>
            <w:r>
              <w:rPr>
                <w:rFonts w:ascii="Cambria" w:hAnsi="Cambria"/>
                <w:color w:val="000000"/>
                <w:sz w:val="22"/>
              </w:rPr>
              <w:t>Massive Rainforest destruction</w:t>
            </w:r>
          </w:p>
        </w:tc>
      </w:tr>
      <w:tr w:rsidR="00C94273" w14:paraId="578EEB54" w14:textId="77777777">
        <w:tblPrEx>
          <w:tblCellMar>
            <w:top w:w="0" w:type="dxa"/>
            <w:bottom w:w="0" w:type="dxa"/>
          </w:tblCellMar>
        </w:tblPrEx>
        <w:tc>
          <w:tcPr>
            <w:tcW w:w="226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458FB931" w14:textId="77777777" w:rsidR="00C94273" w:rsidRDefault="00000000">
            <w:pPr>
              <w:pStyle w:val="Standard"/>
              <w:widowControl w:val="0"/>
              <w:spacing w:after="160" w:line="251" w:lineRule="auto"/>
              <w:rPr>
                <w:rFonts w:hint="eastAsia"/>
              </w:rPr>
            </w:pPr>
            <w:r>
              <w:rPr>
                <w:rFonts w:ascii="Cambria" w:hAnsi="Cambria"/>
                <w:color w:val="000000"/>
                <w:sz w:val="22"/>
              </w:rPr>
              <w:lastRenderedPageBreak/>
              <w:t>Destruction of seaweed farmers' land</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35C0545C" w14:textId="77777777" w:rsidR="00C94273" w:rsidRDefault="00000000">
            <w:pPr>
              <w:pStyle w:val="Standard"/>
              <w:widowControl w:val="0"/>
              <w:spacing w:after="160" w:line="251" w:lineRule="auto"/>
              <w:rPr>
                <w:rFonts w:ascii="Cambria" w:hAnsi="Cambria"/>
                <w:color w:val="000000"/>
                <w:sz w:val="22"/>
              </w:rPr>
            </w:pPr>
            <w:r>
              <w:rPr>
                <w:rFonts w:ascii="Cambria" w:hAnsi="Cambria"/>
                <w:color w:val="000000"/>
                <w:sz w:val="22"/>
              </w:rPr>
              <w:t>Cost of fishery high</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2E7112CF" w14:textId="77777777" w:rsidR="00C94273" w:rsidRDefault="00000000">
            <w:pPr>
              <w:pStyle w:val="Standard"/>
              <w:widowControl w:val="0"/>
              <w:spacing w:after="160" w:line="251" w:lineRule="auto"/>
              <w:rPr>
                <w:rFonts w:ascii="Cambria" w:hAnsi="Cambria"/>
                <w:color w:val="000000"/>
                <w:sz w:val="22"/>
              </w:rPr>
            </w:pPr>
            <w:r>
              <w:rPr>
                <w:rFonts w:ascii="Cambria" w:hAnsi="Cambria"/>
                <w:color w:val="000000"/>
                <w:sz w:val="22"/>
              </w:rPr>
              <w:t>High Health risks</w:t>
            </w:r>
          </w:p>
        </w:tc>
        <w:tc>
          <w:tcPr>
            <w:tcW w:w="215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42EB4A51" w14:textId="77777777" w:rsidR="00C94273" w:rsidRDefault="00000000">
            <w:pPr>
              <w:pStyle w:val="Standard"/>
              <w:widowControl w:val="0"/>
              <w:spacing w:after="160" w:line="251" w:lineRule="auto"/>
              <w:rPr>
                <w:rFonts w:hint="eastAsia"/>
              </w:rPr>
            </w:pPr>
            <w:r>
              <w:rPr>
                <w:rFonts w:ascii="Cambria" w:hAnsi="Cambria"/>
                <w:color w:val="000000"/>
                <w:sz w:val="22"/>
              </w:rPr>
              <w:t>Sedimentation, river pollution</w:t>
            </w:r>
          </w:p>
        </w:tc>
      </w:tr>
      <w:tr w:rsidR="00C94273" w14:paraId="651EAAE5" w14:textId="77777777">
        <w:tblPrEx>
          <w:tblCellMar>
            <w:top w:w="0" w:type="dxa"/>
            <w:bottom w:w="0" w:type="dxa"/>
          </w:tblCellMar>
        </w:tblPrEx>
        <w:tc>
          <w:tcPr>
            <w:tcW w:w="226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20E6D08E" w14:textId="77777777" w:rsidR="00C94273" w:rsidRDefault="00000000">
            <w:pPr>
              <w:pStyle w:val="Standard"/>
              <w:widowControl w:val="0"/>
              <w:spacing w:after="160" w:line="251" w:lineRule="auto"/>
              <w:rPr>
                <w:rFonts w:ascii="Cambria" w:hAnsi="Cambria"/>
                <w:color w:val="000000"/>
                <w:sz w:val="22"/>
              </w:rPr>
            </w:pPr>
            <w:r>
              <w:rPr>
                <w:rFonts w:ascii="Cambria" w:hAnsi="Cambria"/>
                <w:color w:val="000000"/>
                <w:sz w:val="22"/>
              </w:rPr>
              <w:t>Failed harvests</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51DBA5A9" w14:textId="77777777" w:rsidR="00C94273" w:rsidRDefault="00000000">
            <w:pPr>
              <w:pStyle w:val="Standard"/>
              <w:widowControl w:val="0"/>
              <w:spacing w:after="160" w:line="251" w:lineRule="auto"/>
              <w:rPr>
                <w:rFonts w:hint="eastAsia"/>
              </w:rPr>
            </w:pPr>
            <w:r>
              <w:rPr>
                <w:rFonts w:ascii="Cambria" w:hAnsi="Cambria"/>
                <w:color w:val="000000"/>
                <w:sz w:val="22"/>
              </w:rPr>
              <w:t>Declining fishing yields</w:t>
            </w: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726F2892" w14:textId="77777777" w:rsidR="00C94273" w:rsidRDefault="00000000">
            <w:pPr>
              <w:pStyle w:val="Standard"/>
              <w:widowControl w:val="0"/>
              <w:spacing w:after="160" w:line="251" w:lineRule="auto"/>
              <w:rPr>
                <w:rFonts w:ascii="Cambria" w:hAnsi="Cambria"/>
                <w:color w:val="000000"/>
                <w:sz w:val="22"/>
              </w:rPr>
            </w:pPr>
            <w:r>
              <w:rPr>
                <w:rFonts w:ascii="Cambria" w:hAnsi="Cambria"/>
                <w:color w:val="000000"/>
                <w:sz w:val="22"/>
              </w:rPr>
              <w:t>Increase Job accidents</w:t>
            </w:r>
          </w:p>
        </w:tc>
        <w:tc>
          <w:tcPr>
            <w:tcW w:w="215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2D7463A0" w14:textId="77777777" w:rsidR="00C94273" w:rsidRDefault="00000000">
            <w:pPr>
              <w:pStyle w:val="Standard"/>
              <w:widowControl w:val="0"/>
              <w:spacing w:after="160" w:line="251" w:lineRule="auto"/>
              <w:rPr>
                <w:rFonts w:hint="eastAsia"/>
              </w:rPr>
            </w:pPr>
            <w:r>
              <w:rPr>
                <w:rFonts w:ascii="Cambria" w:hAnsi="Cambria"/>
                <w:color w:val="000000"/>
                <w:sz w:val="22"/>
              </w:rPr>
              <w:t>Coastal and marine pollution by sludge and oil from nickel ore transport vessels</w:t>
            </w:r>
          </w:p>
        </w:tc>
      </w:tr>
      <w:tr w:rsidR="00C94273" w14:paraId="37D563B8" w14:textId="77777777">
        <w:tblPrEx>
          <w:tblCellMar>
            <w:top w:w="0" w:type="dxa"/>
            <w:bottom w:w="0" w:type="dxa"/>
          </w:tblCellMar>
        </w:tblPrEx>
        <w:tc>
          <w:tcPr>
            <w:tcW w:w="2269" w:type="dxa"/>
            <w:tcBorders>
              <w:top w:val="single" w:sz="8" w:space="0" w:color="C1C1C1"/>
              <w:left w:val="single" w:sz="8" w:space="0" w:color="000000"/>
              <w:bottom w:val="single" w:sz="8" w:space="0" w:color="C1C1C1"/>
              <w:right w:val="single" w:sz="8" w:space="0" w:color="C1C1C1"/>
            </w:tcBorders>
            <w:shd w:val="clear" w:color="auto" w:fill="auto"/>
            <w:tcMar>
              <w:top w:w="80" w:type="dxa"/>
              <w:left w:w="80" w:type="dxa"/>
              <w:bottom w:w="80" w:type="dxa"/>
              <w:right w:w="80" w:type="dxa"/>
            </w:tcMar>
            <w:vAlign w:val="center"/>
          </w:tcPr>
          <w:p w14:paraId="648EEEC0" w14:textId="77777777" w:rsidR="00C94273" w:rsidRDefault="00C9427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rPr>
            </w:pP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5A6A3A9A" w14:textId="77777777" w:rsidR="00C94273" w:rsidRDefault="00C9427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rPr>
            </w:pPr>
          </w:p>
        </w:tc>
        <w:tc>
          <w:tcPr>
            <w:tcW w:w="2160" w:type="dxa"/>
            <w:tcBorders>
              <w:top w:val="single" w:sz="8" w:space="0" w:color="C1C1C1"/>
              <w:left w:val="single" w:sz="8" w:space="0" w:color="C1C1C1"/>
              <w:bottom w:val="single" w:sz="8" w:space="0" w:color="C1C1C1"/>
              <w:right w:val="single" w:sz="8" w:space="0" w:color="C1C1C1"/>
            </w:tcBorders>
            <w:shd w:val="clear" w:color="auto" w:fill="auto"/>
            <w:tcMar>
              <w:top w:w="80" w:type="dxa"/>
              <w:left w:w="80" w:type="dxa"/>
              <w:bottom w:w="80" w:type="dxa"/>
              <w:right w:w="80" w:type="dxa"/>
            </w:tcMar>
            <w:vAlign w:val="center"/>
          </w:tcPr>
          <w:p w14:paraId="385713A4" w14:textId="77777777" w:rsidR="00C94273" w:rsidRDefault="00C9427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rPr>
            </w:pPr>
          </w:p>
        </w:tc>
        <w:tc>
          <w:tcPr>
            <w:tcW w:w="2159" w:type="dxa"/>
            <w:tcBorders>
              <w:top w:val="single" w:sz="8" w:space="0" w:color="C1C1C1"/>
              <w:left w:val="single" w:sz="8" w:space="0" w:color="C1C1C1"/>
              <w:bottom w:val="single" w:sz="8" w:space="0" w:color="C1C1C1"/>
              <w:right w:val="single" w:sz="8" w:space="0" w:color="000000"/>
            </w:tcBorders>
            <w:shd w:val="clear" w:color="auto" w:fill="auto"/>
            <w:tcMar>
              <w:top w:w="80" w:type="dxa"/>
              <w:left w:w="80" w:type="dxa"/>
              <w:bottom w:w="80" w:type="dxa"/>
              <w:right w:w="80" w:type="dxa"/>
            </w:tcMar>
            <w:vAlign w:val="center"/>
          </w:tcPr>
          <w:p w14:paraId="7F99516B" w14:textId="77777777" w:rsidR="00C94273" w:rsidRDefault="00000000">
            <w:pPr>
              <w:pStyle w:val="Standard"/>
              <w:widowControl w:val="0"/>
              <w:spacing w:after="160" w:line="251" w:lineRule="auto"/>
              <w:rPr>
                <w:rFonts w:hint="eastAsia"/>
              </w:rPr>
            </w:pPr>
            <w:r>
              <w:rPr>
                <w:rFonts w:ascii="Cambria" w:hAnsi="Cambria"/>
                <w:color w:val="000000"/>
                <w:sz w:val="22"/>
              </w:rPr>
              <w:t>Toxic metal pollution to rivers, and community water sources</w:t>
            </w:r>
          </w:p>
        </w:tc>
      </w:tr>
      <w:tr w:rsidR="00C94273" w14:paraId="27FDDF42" w14:textId="77777777">
        <w:tblPrEx>
          <w:tblCellMar>
            <w:top w:w="0" w:type="dxa"/>
            <w:bottom w:w="0" w:type="dxa"/>
          </w:tblCellMar>
        </w:tblPrEx>
        <w:tc>
          <w:tcPr>
            <w:tcW w:w="2269" w:type="dxa"/>
            <w:tcBorders>
              <w:top w:val="single" w:sz="8" w:space="0" w:color="C1C1C1"/>
              <w:left w:val="single" w:sz="8" w:space="0" w:color="000000"/>
              <w:bottom w:val="single" w:sz="8" w:space="0" w:color="000000"/>
              <w:right w:val="single" w:sz="8" w:space="0" w:color="C1C1C1"/>
            </w:tcBorders>
            <w:shd w:val="clear" w:color="auto" w:fill="auto"/>
            <w:tcMar>
              <w:top w:w="80" w:type="dxa"/>
              <w:left w:w="80" w:type="dxa"/>
              <w:bottom w:w="80" w:type="dxa"/>
              <w:right w:w="80" w:type="dxa"/>
            </w:tcMar>
            <w:vAlign w:val="center"/>
          </w:tcPr>
          <w:p w14:paraId="105F486A" w14:textId="77777777" w:rsidR="00C94273" w:rsidRDefault="00C9427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rPr>
            </w:pPr>
          </w:p>
        </w:tc>
        <w:tc>
          <w:tcPr>
            <w:tcW w:w="2160" w:type="dxa"/>
            <w:tcBorders>
              <w:top w:val="single" w:sz="8" w:space="0" w:color="C1C1C1"/>
              <w:left w:val="single" w:sz="8" w:space="0" w:color="C1C1C1"/>
              <w:bottom w:val="single" w:sz="8" w:space="0" w:color="000000"/>
              <w:right w:val="single" w:sz="8" w:space="0" w:color="C1C1C1"/>
            </w:tcBorders>
            <w:shd w:val="clear" w:color="auto" w:fill="auto"/>
            <w:tcMar>
              <w:top w:w="80" w:type="dxa"/>
              <w:left w:w="80" w:type="dxa"/>
              <w:bottom w:w="80" w:type="dxa"/>
              <w:right w:w="80" w:type="dxa"/>
            </w:tcMar>
            <w:vAlign w:val="center"/>
          </w:tcPr>
          <w:p w14:paraId="3269B152" w14:textId="77777777" w:rsidR="00C94273" w:rsidRDefault="00C9427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rPr>
            </w:pPr>
          </w:p>
        </w:tc>
        <w:tc>
          <w:tcPr>
            <w:tcW w:w="2160" w:type="dxa"/>
            <w:tcBorders>
              <w:top w:val="single" w:sz="8" w:space="0" w:color="C1C1C1"/>
              <w:left w:val="single" w:sz="8" w:space="0" w:color="C1C1C1"/>
              <w:bottom w:val="single" w:sz="8" w:space="0" w:color="000000"/>
              <w:right w:val="single" w:sz="8" w:space="0" w:color="C1C1C1"/>
            </w:tcBorders>
            <w:shd w:val="clear" w:color="auto" w:fill="auto"/>
            <w:tcMar>
              <w:top w:w="80" w:type="dxa"/>
              <w:left w:w="80" w:type="dxa"/>
              <w:bottom w:w="80" w:type="dxa"/>
              <w:right w:w="80" w:type="dxa"/>
            </w:tcMar>
            <w:vAlign w:val="center"/>
          </w:tcPr>
          <w:p w14:paraId="1BC47414" w14:textId="77777777" w:rsidR="00C94273" w:rsidRDefault="00C9427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rPr>
            </w:pPr>
          </w:p>
        </w:tc>
        <w:tc>
          <w:tcPr>
            <w:tcW w:w="2159" w:type="dxa"/>
            <w:tcBorders>
              <w:top w:val="single" w:sz="8" w:space="0" w:color="C1C1C1"/>
              <w:left w:val="single" w:sz="8" w:space="0" w:color="C1C1C1"/>
              <w:bottom w:val="single" w:sz="8" w:space="0" w:color="000000"/>
              <w:right w:val="single" w:sz="8" w:space="0" w:color="000000"/>
            </w:tcBorders>
            <w:shd w:val="clear" w:color="auto" w:fill="auto"/>
            <w:tcMar>
              <w:top w:w="80" w:type="dxa"/>
              <w:left w:w="80" w:type="dxa"/>
              <w:bottom w:w="80" w:type="dxa"/>
              <w:right w:w="80" w:type="dxa"/>
            </w:tcMar>
            <w:vAlign w:val="center"/>
          </w:tcPr>
          <w:p w14:paraId="5AA5DC36" w14:textId="77777777" w:rsidR="00C94273" w:rsidRDefault="00000000">
            <w:pPr>
              <w:pStyle w:val="Standard"/>
              <w:widowControl w:val="0"/>
              <w:spacing w:after="160" w:line="251" w:lineRule="auto"/>
              <w:rPr>
                <w:rFonts w:ascii="Cambria" w:hAnsi="Cambria"/>
                <w:color w:val="000000"/>
                <w:sz w:val="22"/>
              </w:rPr>
            </w:pPr>
            <w:r>
              <w:rPr>
                <w:rFonts w:ascii="Cambria" w:hAnsi="Cambria"/>
                <w:color w:val="000000"/>
                <w:sz w:val="22"/>
              </w:rPr>
              <w:t>Air pollution</w:t>
            </w:r>
          </w:p>
        </w:tc>
      </w:tr>
    </w:tbl>
    <w:p w14:paraId="516AA012" w14:textId="77777777" w:rsidR="00C94273" w:rsidRDefault="00C94273">
      <w:pPr>
        <w:pStyle w:val="Standard"/>
        <w:widowControl w:val="0"/>
        <w:spacing w:after="240" w:line="251" w:lineRule="auto"/>
        <w:rPr>
          <w:rFonts w:hint="eastAsia"/>
        </w:rPr>
      </w:pPr>
    </w:p>
    <w:p w14:paraId="028BBC1E" w14:textId="77777777" w:rsidR="00C94273" w:rsidRDefault="00000000">
      <w:pPr>
        <w:pStyle w:val="Standard"/>
        <w:widowControl w:val="0"/>
        <w:spacing w:after="240" w:line="251" w:lineRule="auto"/>
        <w:rPr>
          <w:rFonts w:hint="eastAsia"/>
        </w:rPr>
      </w:pPr>
      <w:r>
        <w:rPr>
          <w:rFonts w:ascii="Cambria-Bold" w:hAnsi="Cambria-Bold"/>
          <w:b/>
          <w:color w:val="000000"/>
          <w:sz w:val="22"/>
        </w:rPr>
        <w:t>Recommendation</w:t>
      </w:r>
    </w:p>
    <w:p w14:paraId="45BC7BC0" w14:textId="77777777" w:rsidR="00C94273" w:rsidRDefault="00000000">
      <w:pPr>
        <w:pStyle w:val="Standard"/>
        <w:spacing w:after="240" w:line="251" w:lineRule="auto"/>
        <w:jc w:val="both"/>
        <w:rPr>
          <w:rFonts w:hint="eastAsia"/>
        </w:rPr>
      </w:pPr>
      <w:r>
        <w:rPr>
          <w:rFonts w:ascii="Cambria" w:hAnsi="Cambria"/>
          <w:color w:val="000000"/>
          <w:sz w:val="22"/>
        </w:rPr>
        <w:t>From the explanation above, we represent the community (farmers, farm labourers, fishermen, women) who are currently living amidst the impact of extractive activities (mines and smelters) of nickel calling on OHCHR to act immediately to see and discuss directly with victims of nickel mining in Indonesia, especially in South Sulawesi. So that OHCHR can issue a call to companies to stop their nickel mining and smelter activities that have seized land, destroyed plantations and polluted and poisoned rivers, lakes and community water sources.</w:t>
      </w:r>
    </w:p>
    <w:p w14:paraId="6AE45F13" w14:textId="77777777" w:rsidR="00C94273" w:rsidRDefault="00000000">
      <w:pPr>
        <w:pStyle w:val="Standard"/>
        <w:spacing w:after="240" w:line="251" w:lineRule="auto"/>
        <w:jc w:val="both"/>
        <w:rPr>
          <w:rFonts w:hint="eastAsia"/>
        </w:rPr>
      </w:pPr>
      <w:r>
        <w:rPr>
          <w:rFonts w:ascii="Cambria" w:hAnsi="Cambria"/>
          <w:color w:val="000000"/>
          <w:sz w:val="22"/>
        </w:rPr>
        <w:t>We also through this report urge the OHCHR to act immediately and urge the governments of countries where their companies are carrying out nickel mining extractive activities in Indonesia, such as China, Canada, Brazil, Japan, Norway, to implement extraterritorial obligations to stop the destruction of rainforests, land grabbing, human rights violations and impoverishment of communities.</w:t>
      </w:r>
    </w:p>
    <w:p w14:paraId="56204314" w14:textId="77777777" w:rsidR="00C94273" w:rsidRDefault="00000000">
      <w:pPr>
        <w:pStyle w:val="Standard"/>
        <w:spacing w:after="240" w:line="251" w:lineRule="auto"/>
        <w:jc w:val="both"/>
        <w:rPr>
          <w:rFonts w:hint="eastAsia"/>
        </w:rPr>
      </w:pPr>
      <w:r>
        <w:rPr>
          <w:rFonts w:ascii="Cambria" w:hAnsi="Cambria"/>
          <w:color w:val="000000"/>
          <w:sz w:val="22"/>
        </w:rPr>
        <w:t>Concretely, we urge OHCHR to:</w:t>
      </w:r>
    </w:p>
    <w:p w14:paraId="2EBA34C0" w14:textId="77777777" w:rsidR="00C94273" w:rsidRDefault="00000000">
      <w:pPr>
        <w:pStyle w:val="Standard"/>
        <w:tabs>
          <w:tab w:val="left" w:pos="360"/>
          <w:tab w:val="left" w:pos="720"/>
        </w:tabs>
        <w:spacing w:after="240" w:line="251" w:lineRule="auto"/>
        <w:jc w:val="both"/>
        <w:rPr>
          <w:rFonts w:hint="eastAsia"/>
        </w:rPr>
      </w:pPr>
      <w:r>
        <w:rPr>
          <w:rFonts w:ascii="Cambria" w:hAnsi="Cambria"/>
          <w:color w:val="000000"/>
          <w:sz w:val="22"/>
        </w:rPr>
        <w:t>1. Urge the government and the Chinese company (PT Huady Nickel Alloy) to stop the nickel smelter in South Sulawesi because it has polluted the air, impoverished farmers and fishermen and poisoned the community's water sources with heavy metals.</w:t>
      </w:r>
    </w:p>
    <w:p w14:paraId="38868577" w14:textId="77777777" w:rsidR="00C94273" w:rsidRDefault="00000000">
      <w:pPr>
        <w:pStyle w:val="Standard"/>
        <w:tabs>
          <w:tab w:val="left" w:pos="360"/>
          <w:tab w:val="left" w:pos="720"/>
        </w:tabs>
        <w:spacing w:after="240" w:line="251" w:lineRule="auto"/>
        <w:jc w:val="both"/>
        <w:rPr>
          <w:rFonts w:hint="eastAsia"/>
        </w:rPr>
      </w:pPr>
      <w:r>
        <w:rPr>
          <w:rFonts w:ascii="Cambria" w:hAnsi="Cambria"/>
          <w:color w:val="000000"/>
          <w:sz w:val="22"/>
        </w:rPr>
        <w:t>2. Urge the government and the Brazilian, Canadian, Japanese company (PT Vale Indonesia) to remove community gardens from their mining concessions. Stop polluting rivers and community water sources with heavy metals. And respect and implement international principles correctly.</w:t>
      </w:r>
    </w:p>
    <w:p w14:paraId="1BBAE64C" w14:textId="77777777" w:rsidR="00C94273" w:rsidRDefault="00000000">
      <w:pPr>
        <w:pStyle w:val="Standard"/>
        <w:tabs>
          <w:tab w:val="left" w:pos="360"/>
          <w:tab w:val="left" w:pos="720"/>
        </w:tabs>
        <w:spacing w:after="240" w:line="251" w:lineRule="auto"/>
        <w:jc w:val="both"/>
        <w:rPr>
          <w:rFonts w:hint="eastAsia"/>
        </w:rPr>
      </w:pPr>
      <w:r>
        <w:rPr>
          <w:rFonts w:ascii="Cambria" w:hAnsi="Cambria"/>
          <w:color w:val="000000"/>
          <w:sz w:val="22"/>
        </w:rPr>
        <w:t>3. Urge German (Volkswagen) and US (Ford) automotive companies to cancel investments in Indonesia, especially related to the development of the electric vehicle ecosystem. German and US investments will accelerate the destruction of rainforests, increase human rights violations and impoverish communities, especially women in nickel mining areas.</w:t>
      </w:r>
    </w:p>
    <w:p w14:paraId="6C21B0B2" w14:textId="77777777" w:rsidR="00C94273" w:rsidRDefault="00000000">
      <w:pPr>
        <w:pStyle w:val="Standard"/>
        <w:tabs>
          <w:tab w:val="left" w:pos="360"/>
          <w:tab w:val="left" w:pos="720"/>
        </w:tabs>
        <w:spacing w:after="240" w:line="251" w:lineRule="auto"/>
        <w:jc w:val="both"/>
        <w:rPr>
          <w:rFonts w:hint="eastAsia"/>
        </w:rPr>
      </w:pPr>
      <w:r>
        <w:rPr>
          <w:rFonts w:ascii="Cambria" w:hAnsi="Cambria"/>
          <w:color w:val="000000"/>
          <w:sz w:val="22"/>
        </w:rPr>
        <w:t>4. Urge the Indonesian government to repeal the Job Creation Law which has the potential to reduce the social and environmental protection system in Indonesia.</w:t>
      </w:r>
    </w:p>
    <w:p w14:paraId="63849A9E" w14:textId="77777777" w:rsidR="00C94273" w:rsidRDefault="00000000">
      <w:pPr>
        <w:pStyle w:val="Standard"/>
        <w:tabs>
          <w:tab w:val="left" w:pos="360"/>
          <w:tab w:val="left" w:pos="720"/>
        </w:tabs>
        <w:spacing w:after="240" w:line="251" w:lineRule="auto"/>
        <w:ind w:hanging="90"/>
        <w:jc w:val="both"/>
        <w:rPr>
          <w:rFonts w:hint="eastAsia"/>
        </w:rPr>
      </w:pPr>
      <w:r>
        <w:rPr>
          <w:rFonts w:ascii="Cambria" w:hAnsi="Cambria"/>
          <w:color w:val="000000"/>
          <w:sz w:val="22"/>
        </w:rPr>
        <w:t xml:space="preserve"> 5. Urge governments around the world to protect rainforests around the world as a concrete solution to the current climate crisis.</w:t>
      </w:r>
    </w:p>
    <w:p w14:paraId="712C8646" w14:textId="77777777" w:rsidR="00C94273" w:rsidRDefault="00C94273">
      <w:pPr>
        <w:pStyle w:val="Standard"/>
        <w:spacing w:after="240" w:line="251" w:lineRule="auto"/>
        <w:rPr>
          <w:rFonts w:ascii="Cambria" w:hAnsi="Cambria"/>
          <w:color w:val="000000"/>
          <w:sz w:val="22"/>
        </w:rPr>
      </w:pPr>
    </w:p>
    <w:p w14:paraId="54281454" w14:textId="77777777" w:rsidR="00C94273" w:rsidRDefault="00000000">
      <w:pPr>
        <w:pStyle w:val="Standard"/>
        <w:spacing w:after="240" w:line="251" w:lineRule="auto"/>
        <w:rPr>
          <w:rFonts w:hint="eastAsia"/>
        </w:rPr>
      </w:pPr>
      <w:r>
        <w:rPr>
          <w:rFonts w:ascii="Cambria" w:hAnsi="Cambria"/>
          <w:color w:val="000000"/>
          <w:sz w:val="22"/>
        </w:rPr>
        <w:t>Annex:</w:t>
      </w:r>
    </w:p>
    <w:p w14:paraId="20A0BFBF" w14:textId="77777777" w:rsidR="00C94273" w:rsidRDefault="00000000">
      <w:pPr>
        <w:pStyle w:val="Standard"/>
        <w:spacing w:after="240" w:line="251" w:lineRule="auto"/>
        <w:rPr>
          <w:rFonts w:hint="eastAsia"/>
        </w:rPr>
      </w:pPr>
      <w:hyperlink r:id="rId17" w:history="1">
        <w:r>
          <w:rPr>
            <w:rFonts w:ascii="Cambria" w:hAnsi="Cambria"/>
            <w:color w:val="0B4CB4"/>
            <w:sz w:val="22"/>
            <w:u w:val="single"/>
          </w:rPr>
          <w:t>https://docs.google.com/document/d/1YrBGBaUuXUh85WQDev88zKGeWPkpEpyPPGJWE41k-Hc/edit#</w:t>
        </w:r>
      </w:hyperlink>
    </w:p>
    <w:p w14:paraId="51E8C512" w14:textId="77777777" w:rsidR="00C94273" w:rsidRDefault="00000000">
      <w:pPr>
        <w:pStyle w:val="Standard"/>
        <w:rPr>
          <w:rFonts w:hint="eastAsia"/>
        </w:rPr>
      </w:pPr>
      <w:hyperlink r:id="rId18" w:history="1"/>
    </w:p>
    <w:p w14:paraId="69DD36B4" w14:textId="77777777" w:rsidR="00C94273" w:rsidRDefault="00C94273">
      <w:pPr>
        <w:pStyle w:val="Standard"/>
        <w:rPr>
          <w:rFonts w:ascii="Cambria" w:hAnsi="Cambria"/>
          <w:sz w:val="22"/>
        </w:rPr>
      </w:pPr>
    </w:p>
    <w:p w14:paraId="66887832" w14:textId="77777777" w:rsidR="00C94273" w:rsidRDefault="00C94273">
      <w:pPr>
        <w:pStyle w:val="Standard"/>
        <w:rPr>
          <w:rFonts w:ascii="Cambria" w:hAnsi="Cambria"/>
          <w:sz w:val="22"/>
        </w:rPr>
      </w:pPr>
    </w:p>
    <w:p w14:paraId="1C780A15" w14:textId="77777777" w:rsidR="00C94273" w:rsidRDefault="00C94273">
      <w:pPr>
        <w:pStyle w:val="Standard"/>
        <w:rPr>
          <w:rFonts w:ascii="Cambria" w:hAnsi="Cambria"/>
          <w:sz w:val="22"/>
        </w:rPr>
      </w:pPr>
    </w:p>
    <w:p w14:paraId="44277B08" w14:textId="77777777" w:rsidR="00C94273" w:rsidRDefault="00C94273">
      <w:pPr>
        <w:pStyle w:val="Standard"/>
        <w:rPr>
          <w:rFonts w:ascii="Cambria" w:hAnsi="Cambria"/>
          <w:sz w:val="22"/>
        </w:rPr>
      </w:pPr>
    </w:p>
    <w:sectPr w:rsidR="00C94273">
      <w:pgSz w:w="11906" w:h="16838"/>
      <w:pgMar w:top="1134" w:right="1134" w:bottom="1134" w:left="153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F5F70" w14:textId="77777777" w:rsidR="00114401" w:rsidRDefault="00114401">
      <w:pPr>
        <w:rPr>
          <w:rFonts w:hint="eastAsia"/>
        </w:rPr>
      </w:pPr>
      <w:r>
        <w:separator/>
      </w:r>
    </w:p>
  </w:endnote>
  <w:endnote w:type="continuationSeparator" w:id="0">
    <w:p w14:paraId="65160665" w14:textId="77777777" w:rsidR="00114401" w:rsidRDefault="0011440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B0604020202020204"/>
    <w:charset w:val="00"/>
    <w:family w:val="roman"/>
    <w:pitch w:val="variable"/>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font>
  <w:font w:name="PingFang SC">
    <w:panose1 w:val="020B0400000000000000"/>
    <w:charset w:val="86"/>
    <w:family w:val="swiss"/>
    <w:pitch w:val="variable"/>
    <w:sig w:usb0="A00002FF" w:usb1="7ACFFDFB" w:usb2="00000017" w:usb3="00000000" w:csb0="00040001" w:csb1="00000000"/>
  </w:font>
  <w:font w:name="Cambria">
    <w:panose1 w:val="02040503050406030204"/>
    <w:charset w:val="00"/>
    <w:family w:val="roman"/>
    <w:pitch w:val="variable"/>
    <w:sig w:usb0="E00006FF" w:usb1="420024FF" w:usb2="02000000" w:usb3="00000000" w:csb0="0000019F" w:csb1="00000000"/>
  </w:font>
  <w:font w:name="Cambria-Bold">
    <w:altName w:val="Cambria"/>
    <w:panose1 w:val="020B0604020202020204"/>
    <w:charset w:val="00"/>
    <w:family w:val="roman"/>
    <w:pitch w:val="variable"/>
  </w:font>
  <w:font w:name="TimesNewRomanPSMT">
    <w:altName w:val="Times New Roman"/>
    <w:panose1 w:val="020B0604020202020204"/>
    <w:charset w:val="00"/>
    <w:family w:val="roman"/>
    <w:pitch w:val="variable"/>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18E3C" w14:textId="77777777" w:rsidR="00114401" w:rsidRDefault="00114401">
      <w:pPr>
        <w:rPr>
          <w:rFonts w:hint="eastAsia"/>
        </w:rPr>
      </w:pPr>
      <w:r>
        <w:rPr>
          <w:color w:val="000000"/>
        </w:rPr>
        <w:separator/>
      </w:r>
    </w:p>
  </w:footnote>
  <w:footnote w:type="continuationSeparator" w:id="0">
    <w:p w14:paraId="1A20D1A0" w14:textId="77777777" w:rsidR="00114401" w:rsidRDefault="0011440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90EE6"/>
    <w:multiLevelType w:val="multilevel"/>
    <w:tmpl w:val="7DDCD986"/>
    <w:styleLink w:val="WWNum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4D84178E"/>
    <w:multiLevelType w:val="multilevel"/>
    <w:tmpl w:val="B336C27C"/>
    <w:styleLink w:val="WWNum2a"/>
    <w:lvl w:ilvl="0">
      <w:start w:val="2"/>
      <w:numFmt w:val="upp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506D382C"/>
    <w:multiLevelType w:val="multilevel"/>
    <w:tmpl w:val="76E812D8"/>
    <w:styleLink w:val="WWNum2"/>
    <w:lvl w:ilvl="0">
      <w:start w:val="2"/>
      <w:numFmt w:val="upp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59857FF5"/>
    <w:multiLevelType w:val="multilevel"/>
    <w:tmpl w:val="7A360C14"/>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6CA71FCD"/>
    <w:multiLevelType w:val="multilevel"/>
    <w:tmpl w:val="52BC80FA"/>
    <w:styleLink w:val="WWNum1"/>
    <w:lvl w:ilvl="0">
      <w:start w:val="1"/>
      <w:numFmt w:val="upp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7A9212BE"/>
    <w:multiLevelType w:val="multilevel"/>
    <w:tmpl w:val="74740B6C"/>
    <w:styleLink w:val="WWNum1a"/>
    <w:lvl w:ilvl="0">
      <w:start w:val="1"/>
      <w:numFmt w:val="upp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025986773">
    <w:abstractNumId w:val="4"/>
  </w:num>
  <w:num w:numId="2" w16cid:durableId="472526959">
    <w:abstractNumId w:val="2"/>
  </w:num>
  <w:num w:numId="3" w16cid:durableId="1342898201">
    <w:abstractNumId w:val="3"/>
  </w:num>
  <w:num w:numId="4" w16cid:durableId="1056205135">
    <w:abstractNumId w:val="5"/>
  </w:num>
  <w:num w:numId="5" w16cid:durableId="1234586222">
    <w:abstractNumId w:val="1"/>
  </w:num>
  <w:num w:numId="6" w16cid:durableId="1105534707">
    <w:abstractNumId w:val="0"/>
  </w:num>
  <w:num w:numId="7" w16cid:durableId="327370865">
    <w:abstractNumId w:val="4"/>
    <w:lvlOverride w:ilvl="0">
      <w:startOverride w:val="1"/>
    </w:lvlOverride>
  </w:num>
  <w:num w:numId="8" w16cid:durableId="1798598109">
    <w:abstractNumId w:val="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ttachedTemplate r:id="rId1"/>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C94273"/>
    <w:rsid w:val="00114401"/>
    <w:rsid w:val="007D579D"/>
    <w:rsid w:val="00C94273"/>
  </w:rsids>
  <m:mathPr>
    <m:mathFont m:val="Cambria Math"/>
    <m:brkBin m:val="before"/>
    <m:brkBinSub m:val="--"/>
    <m:smallFrac m:val="0"/>
    <m:dispDef/>
    <m:lMargin m:val="0"/>
    <m:rMargin m:val="0"/>
    <m:defJc m:val="centerGroup"/>
    <m:wrapIndent m:val="1440"/>
    <m:intLim m:val="subSup"/>
    <m:naryLim m:val="undOvr"/>
  </m:mathPr>
  <w:themeFontLang w:val="en-CH"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BD60CE1"/>
  <w15:docId w15:val="{DA35541D-CF34-7D45-BFD9-625F7668A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ngti SC" w:hAnsi="Liberation Serif" w:cs="Arial Unicode MS"/>
        <w:kern w:val="3"/>
        <w:sz w:val="24"/>
        <w:szCs w:val="24"/>
        <w:lang w:val="de-DE"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PingFang SC"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 w:type="character" w:styleId="Hyperlink">
    <w:name w:val="Hyperlink"/>
    <w:rPr>
      <w:color w:val="000080"/>
      <w:u w:val="single"/>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1a">
    <w:name w:val="WWNum1a"/>
    <w:basedOn w:val="NoList"/>
    <w:pPr>
      <w:numPr>
        <w:numId w:val="4"/>
      </w:numPr>
    </w:pPr>
  </w:style>
  <w:style w:type="numbering" w:customStyle="1" w:styleId="WWNum2a">
    <w:name w:val="WWNum2a"/>
    <w:basedOn w:val="NoList"/>
    <w:pPr>
      <w:numPr>
        <w:numId w:val="5"/>
      </w:numPr>
    </w:pPr>
  </w:style>
  <w:style w:type="numbering" w:customStyle="1" w:styleId="WWNum3a">
    <w:name w:val="WWNum3a"/>
    <w:basedOn w:val="NoList"/>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walhisulsel@gmail.com" TargetMode="External"/><Relationship Id="rId13" Type="http://schemas.openxmlformats.org/officeDocument/2006/relationships/image" Target="media/image4.jpeg"/><Relationship Id="rId18" Type="http://schemas.openxmlformats.org/officeDocument/2006/relationships/hyperlink" Target="https://docs.google.com/document/d/1YrBGBaUuXUh85WQDev88zKGeWPkpEpyPPGJWE41k-Hc/edit%23" TargetMode="Externa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mailto:muhammad.al.amien@gmail.com" TargetMode="External"/><Relationship Id="rId12" Type="http://schemas.openxmlformats.org/officeDocument/2006/relationships/image" Target="media/image3.jpeg"/><Relationship Id="rId17" Type="http://schemas.openxmlformats.org/officeDocument/2006/relationships/hyperlink" Target="https://docs.google.com/document/d/1YrBGBaUuXUh85WQDev88zKGeWPkpEpyPPGJWE41k-Hc/edit%23"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rc-wg-business@un.org" TargetMode="External"/><Relationship Id="rId14" Type="http://schemas.openxmlformats.org/officeDocument/2006/relationships/image" Target="media/image5.png"/><Relationship Id="rId22"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40202FEBBA843BF41687ADE7B54CC" ma:contentTypeVersion="12" ma:contentTypeDescription="Create a new document." ma:contentTypeScope="" ma:versionID="b03a9ca0f58b7180e5670647e9f3ac12">
  <xsd:schema xmlns:xsd="http://www.w3.org/2001/XMLSchema" xmlns:xs="http://www.w3.org/2001/XMLSchema" xmlns:p="http://schemas.microsoft.com/office/2006/metadata/properties" xmlns:ns2="c8192cb1-67bb-4ce5-82db-0b25b399d117" xmlns:ns3="9c2e4527-2efa-4ade-b3d6-b2418af14986" xmlns:ns4="985ec44e-1bab-4c0b-9df0-6ba128686fc9" targetNamespace="http://schemas.microsoft.com/office/2006/metadata/properties" ma:root="true" ma:fieldsID="248b4766c80033b2846011ec563a1e4a" ns2:_="" ns3:_="" ns4:_="">
    <xsd:import namespace="c8192cb1-67bb-4ce5-82db-0b25b399d117"/>
    <xsd:import namespace="9c2e4527-2efa-4ade-b3d6-b2418af14986"/>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92cb1-67bb-4ce5-82db-0b25b399d1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c8192cb1-67bb-4ce5-82db-0b25b399d1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51CC4D8-EDA3-49FA-AD28-F370EC7C102B}"/>
</file>

<file path=customXml/itemProps2.xml><?xml version="1.0" encoding="utf-8"?>
<ds:datastoreItem xmlns:ds="http://schemas.openxmlformats.org/officeDocument/2006/customXml" ds:itemID="{C82CB37E-B024-45EC-A2F3-CD5820012ECA}"/>
</file>

<file path=customXml/itemProps3.xml><?xml version="1.0" encoding="utf-8"?>
<ds:datastoreItem xmlns:ds="http://schemas.openxmlformats.org/officeDocument/2006/customXml" ds:itemID="{442CB7B7-3663-4962-9346-D89FF6876F77}"/>
</file>

<file path=docProps/app.xml><?xml version="1.0" encoding="utf-8"?>
<Properties xmlns="http://schemas.openxmlformats.org/officeDocument/2006/extended-properties" xmlns:vt="http://schemas.openxmlformats.org/officeDocument/2006/docPropsVTypes">
  <Template>Normal</Template>
  <TotalTime>0</TotalTime>
  <Pages>9</Pages>
  <Words>2283</Words>
  <Characters>13019</Characters>
  <Application>Microsoft Office Word</Application>
  <DocSecurity>0</DocSecurity>
  <Lines>108</Lines>
  <Paragraphs>30</Paragraphs>
  <ScaleCrop>false</ScaleCrop>
  <Company>OHCHR</Company>
  <LinksUpToDate>false</LinksUpToDate>
  <CharactersWithSpaces>15272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Su</cp:lastModifiedBy>
  <cp:revision>2</cp:revision>
  <dcterms:created xsi:type="dcterms:W3CDTF">2023-06-05T16:22:00Z</dcterms:created>
  <dcterms:modified xsi:type="dcterms:W3CDTF">2023-06-05T16:22:00Z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0x0101009DC40202FEBBA843BF41687ADE7B54CC</vt:lpwstr>
  </property>
</Properties>
</file>