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FB35" w14:textId="7FAF8DD9" w:rsidR="000D2ACA" w:rsidRPr="005011A5" w:rsidRDefault="000D2ACA" w:rsidP="00A27D97">
      <w:pPr>
        <w:spacing w:after="0" w:line="240" w:lineRule="auto"/>
        <w:rPr>
          <w:rFonts w:cstheme="minorHAnsi"/>
          <w:noProof/>
        </w:rPr>
      </w:pPr>
    </w:p>
    <w:p w14:paraId="50B4F563" w14:textId="3C396B35" w:rsidR="000D2ACA" w:rsidRPr="005011A5" w:rsidRDefault="00684EE9" w:rsidP="00A27D97">
      <w:pPr>
        <w:spacing w:after="0" w:line="240" w:lineRule="auto"/>
        <w:rPr>
          <w:rFonts w:cstheme="minorHAnsi"/>
          <w:noProof/>
        </w:rPr>
      </w:pPr>
      <w:r w:rsidRPr="005011A5">
        <w:rPr>
          <w:rFonts w:cstheme="minorHAnsi"/>
          <w:noProof/>
        </w:rPr>
        <mc:AlternateContent>
          <mc:Choice Requires="wps">
            <w:drawing>
              <wp:anchor distT="0" distB="0" distL="114300" distR="114300" simplePos="0" relativeHeight="251658240" behindDoc="0" locked="0" layoutInCell="1" allowOverlap="1" wp14:anchorId="1D11B9FD" wp14:editId="4C50E0E8">
                <wp:simplePos x="0" y="0"/>
                <wp:positionH relativeFrom="margin">
                  <wp:posOffset>-317500</wp:posOffset>
                </wp:positionH>
                <wp:positionV relativeFrom="paragraph">
                  <wp:posOffset>3155950</wp:posOffset>
                </wp:positionV>
                <wp:extent cx="6768465" cy="437261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6768465" cy="4372610"/>
                        </a:xfrm>
                        <a:prstGeom prst="rect">
                          <a:avLst/>
                        </a:prstGeom>
                        <a:noFill/>
                        <a:ln>
                          <a:noFill/>
                        </a:ln>
                      </wps:spPr>
                      <wps:txbx>
                        <w:txbxContent>
                          <w:p w14:paraId="25500447" w14:textId="637657D8" w:rsidR="00DC1A72" w:rsidRDefault="00DC1A72" w:rsidP="00917869">
                            <w:pPr>
                              <w:pStyle w:val="Heading2"/>
                              <w:shd w:val="clear" w:color="auto" w:fill="F5F5F1"/>
                              <w:rPr>
                                <w:rFonts w:ascii="Helvetica" w:hAnsi="Helvetica"/>
                                <w:b/>
                                <w:bCs/>
                                <w:color w:val="000000"/>
                              </w:rPr>
                            </w:pPr>
                            <w:r>
                              <w:rPr>
                                <w:rFonts w:ascii="Roboto" w:hAnsi="Roboto"/>
                                <w:b/>
                                <w:bCs/>
                                <w:color w:val="000000"/>
                                <w:spacing w:val="4"/>
                                <w:sz w:val="36"/>
                                <w:szCs w:val="36"/>
                                <w:shd w:val="clear" w:color="auto" w:fill="F5F5F1"/>
                              </w:rPr>
                              <w:t>Working Group on Business and Human Rights</w:t>
                            </w:r>
                          </w:p>
                          <w:p w14:paraId="6FA53377" w14:textId="41AD02C5" w:rsidR="00917869" w:rsidRDefault="00917869" w:rsidP="00917869">
                            <w:pPr>
                              <w:pStyle w:val="Heading2"/>
                              <w:shd w:val="clear" w:color="auto" w:fill="F5F5F1"/>
                              <w:rPr>
                                <w:rFonts w:ascii="Helvetica" w:hAnsi="Helvetica"/>
                                <w:color w:val="000000"/>
                              </w:rPr>
                            </w:pPr>
                            <w:r>
                              <w:rPr>
                                <w:rFonts w:ascii="Helvetica" w:hAnsi="Helvetica"/>
                                <w:b/>
                                <w:bCs/>
                                <w:color w:val="000000"/>
                              </w:rPr>
                              <w:t>Extractive sector, just transition and human rights</w:t>
                            </w:r>
                          </w:p>
                          <w:p w14:paraId="37304FA9" w14:textId="536CE64D" w:rsidR="00587789" w:rsidRDefault="00587789" w:rsidP="0013483D">
                            <w:pPr>
                              <w:spacing w:after="0" w:line="240" w:lineRule="auto"/>
                              <w:rPr>
                                <w:rFonts w:asciiTheme="majorHAnsi" w:hAnsiTheme="majorHAnsi" w:cstheme="majorHAnsi"/>
                                <w:bCs/>
                                <w:noProof/>
                                <w:color w:val="000000" w:themeColor="text1"/>
                                <w:sz w:val="56"/>
                                <w:szCs w:val="5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AAEABA" w14:textId="07A9D5EE" w:rsidR="00587789" w:rsidRDefault="0058778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Submission by </w:t>
                            </w:r>
                            <w:r w:rsidR="00AA27E4"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w:t>
                            </w:r>
                            <w:r w:rsidR="00AA27E4">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Andy Symington, </w:t>
                            </w:r>
                            <w:r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Professor Justine Nolan</w:t>
                            </w:r>
                            <w:r w:rsidR="00063535">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AA27E4">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Samuel Pryde,</w:t>
                            </w:r>
                          </w:p>
                          <w:p w14:paraId="7DD5F014" w14:textId="662DB429" w:rsidR="00AA27E4" w:rsidRDefault="00AA27E4"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Australian Human Rights Insti</w:t>
                            </w:r>
                            <w:r w:rsidR="00786485">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ute, UNSW Sydney</w:t>
                            </w:r>
                          </w:p>
                          <w:p w14:paraId="6EBD0234" w14:textId="640A74E8" w:rsidR="00D60369" w:rsidRDefault="00D6036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3D767" w14:textId="6B1E722C" w:rsidR="00D60369" w:rsidRDefault="0091786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r w:rsidR="00700AD7">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F146C4" w14:textId="7534A83D" w:rsidR="00063535" w:rsidRDefault="00063535"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27209A" w14:textId="54D855BB" w:rsidR="00063535" w:rsidRPr="00684EE9" w:rsidRDefault="00063535"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3535">
                              <w:rPr>
                                <w:noProof/>
                              </w:rPr>
                              <w:drawing>
                                <wp:inline distT="0" distB="0" distL="0" distR="0" wp14:anchorId="0A5DC5A6" wp14:editId="5CA76B52">
                                  <wp:extent cx="2295525" cy="1238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5525" cy="1238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B9FD" id="_x0000_t202" coordsize="21600,21600" o:spt="202" path="m,l,21600r21600,l21600,xe">
                <v:stroke joinstyle="miter"/>
                <v:path gradientshapeok="t" o:connecttype="rect"/>
              </v:shapetype>
              <v:shape id="Text Box 1" o:spid="_x0000_s1026" type="#_x0000_t202" style="position:absolute;margin-left:-25pt;margin-top:248.5pt;width:532.95pt;height:34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" filled="f" stroked="f">
                <v:textbox>
                  <w:txbxContent>
                    <w:p w14:paraId="25500447" w14:textId="637657D8" w:rsidR="00DC1A72" w:rsidRDefault="00DC1A72" w:rsidP="00917869">
                      <w:pPr>
                        <w:pStyle w:val="Heading2"/>
                        <w:shd w:val="clear" w:color="auto" w:fill="F5F5F1"/>
                        <w:rPr>
                          <w:rFonts w:ascii="Helvetica" w:hAnsi="Helvetica"/>
                          <w:b/>
                          <w:bCs/>
                          <w:color w:val="000000"/>
                        </w:rPr>
                      </w:pPr>
                      <w:r>
                        <w:rPr>
                          <w:rFonts w:ascii="Roboto" w:hAnsi="Roboto"/>
                          <w:b/>
                          <w:bCs/>
                          <w:color w:val="000000"/>
                          <w:spacing w:val="4"/>
                          <w:sz w:val="36"/>
                          <w:szCs w:val="36"/>
                          <w:shd w:val="clear" w:color="auto" w:fill="F5F5F1"/>
                        </w:rPr>
                        <w:t>Working Group on Business and Human Rights</w:t>
                      </w:r>
                    </w:p>
                    <w:p w14:paraId="6FA53377" w14:textId="41AD02C5" w:rsidR="00917869" w:rsidRDefault="00917869" w:rsidP="00917869">
                      <w:pPr>
                        <w:pStyle w:val="Heading2"/>
                        <w:shd w:val="clear" w:color="auto" w:fill="F5F5F1"/>
                        <w:rPr>
                          <w:rFonts w:ascii="Helvetica" w:hAnsi="Helvetica"/>
                          <w:color w:val="000000"/>
                        </w:rPr>
                      </w:pPr>
                      <w:r>
                        <w:rPr>
                          <w:rFonts w:ascii="Helvetica" w:hAnsi="Helvetica"/>
                          <w:b/>
                          <w:bCs/>
                          <w:color w:val="000000"/>
                        </w:rPr>
                        <w:t>Extractive sector, just transition and human rights</w:t>
                      </w:r>
                    </w:p>
                    <w:p w14:paraId="37304FA9" w14:textId="536CE64D" w:rsidR="00587789" w:rsidRDefault="00587789" w:rsidP="0013483D">
                      <w:pPr>
                        <w:spacing w:after="0" w:line="240" w:lineRule="auto"/>
                        <w:rPr>
                          <w:rFonts w:asciiTheme="majorHAnsi" w:hAnsiTheme="majorHAnsi" w:cstheme="majorHAnsi"/>
                          <w:bCs/>
                          <w:noProof/>
                          <w:color w:val="000000" w:themeColor="text1"/>
                          <w:sz w:val="56"/>
                          <w:szCs w:val="5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AAEABA" w14:textId="07A9D5EE" w:rsidR="00587789" w:rsidRDefault="0058778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Submission by </w:t>
                      </w:r>
                      <w:r w:rsidR="00AA27E4"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w:t>
                      </w:r>
                      <w:r w:rsidR="00AA27E4">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Andy Symington, </w:t>
                      </w:r>
                      <w:r w:rsidRPr="00684EE9">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Professor Justine Nolan</w:t>
                      </w:r>
                      <w:r w:rsidR="00063535">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AA27E4">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Samuel Pryde,</w:t>
                      </w:r>
                    </w:p>
                    <w:p w14:paraId="7DD5F014" w14:textId="662DB429" w:rsidR="00AA27E4" w:rsidRDefault="00AA27E4"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Australian Human Rights Insti</w:t>
                      </w:r>
                      <w:r w:rsidR="00786485">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ute, UNSW Sydney</w:t>
                      </w:r>
                    </w:p>
                    <w:p w14:paraId="6EBD0234" w14:textId="640A74E8" w:rsidR="00D60369" w:rsidRDefault="00D6036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3D767" w14:textId="6B1E722C" w:rsidR="00D60369" w:rsidRDefault="00917869"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r w:rsidR="00700AD7">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F146C4" w14:textId="7534A83D" w:rsidR="00063535" w:rsidRDefault="00063535"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27209A" w14:textId="54D855BB" w:rsidR="00063535" w:rsidRPr="00684EE9" w:rsidRDefault="00063535" w:rsidP="0013483D">
                      <w:pPr>
                        <w:spacing w:after="0" w:line="240" w:lineRule="auto"/>
                        <w:rPr>
                          <w:rFonts w:asciiTheme="majorHAnsi" w:hAnsiTheme="majorHAnsi" w:cstheme="majorHAnsi"/>
                          <w:bCs/>
                          <w:noProof/>
                          <w:color w:val="000000" w:themeColor="text1"/>
                          <w:sz w:val="32"/>
                          <w:szCs w:val="32"/>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3535">
                        <w:rPr>
                          <w:noProof/>
                        </w:rPr>
                        <w:drawing>
                          <wp:inline distT="0" distB="0" distL="0" distR="0" wp14:anchorId="0A5DC5A6" wp14:editId="5CA76B52">
                            <wp:extent cx="2295525" cy="1238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5525" cy="1238250"/>
                                    </a:xfrm>
                                    <a:prstGeom prst="rect">
                                      <a:avLst/>
                                    </a:prstGeom>
                                  </pic:spPr>
                                </pic:pic>
                              </a:graphicData>
                            </a:graphic>
                          </wp:inline>
                        </w:drawing>
                      </w:r>
                    </w:p>
                  </w:txbxContent>
                </v:textbox>
                <w10:wrap anchorx="margin"/>
              </v:shape>
            </w:pict>
          </mc:Fallback>
        </mc:AlternateContent>
      </w:r>
      <w:r w:rsidR="0013483D" w:rsidRPr="005011A5">
        <w:rPr>
          <w:rFonts w:cstheme="minorHAnsi"/>
          <w:noProof/>
        </w:rPr>
        <mc:AlternateContent>
          <mc:Choice Requires="wps">
            <w:drawing>
              <wp:anchor distT="0" distB="0" distL="114300" distR="114300" simplePos="0" relativeHeight="251658241" behindDoc="0" locked="0" layoutInCell="1" allowOverlap="1" wp14:anchorId="2E4A69AA" wp14:editId="01D2AAD9">
                <wp:simplePos x="0" y="0"/>
                <wp:positionH relativeFrom="column">
                  <wp:posOffset>-120650</wp:posOffset>
                </wp:positionH>
                <wp:positionV relativeFrom="paragraph">
                  <wp:posOffset>7745379</wp:posOffset>
                </wp:positionV>
                <wp:extent cx="3725838" cy="61390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25838" cy="613903"/>
                        </a:xfrm>
                        <a:prstGeom prst="rect">
                          <a:avLst/>
                        </a:prstGeom>
                        <a:noFill/>
                        <a:ln>
                          <a:noFill/>
                        </a:ln>
                        <a:effectLst/>
                      </wps:spPr>
                      <wps:txbx>
                        <w:txbxContent>
                          <w:p w14:paraId="7CA3AE37" w14:textId="25F2A1E2" w:rsidR="00587789" w:rsidRPr="00726CAF" w:rsidRDefault="00587789" w:rsidP="0013483D">
                            <w:pPr>
                              <w:rPr>
                                <w:noProof/>
                                <w:color w:val="FFFFFF" w:themeColor="background1"/>
                                <w:sz w:val="44"/>
                                <w:szCs w:val="44"/>
                                <w:lang w:val="en-AU"/>
                              </w:rPr>
                            </w:pPr>
                            <w:r>
                              <w:rPr>
                                <w:noProof/>
                                <w:color w:val="FFFFFF" w:themeColor="background1"/>
                                <w:sz w:val="28"/>
                                <w:szCs w:val="28"/>
                                <w:lang w:val="en-AU"/>
                              </w:rPr>
                              <w:t>January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A69AA" id="Text Box 16" o:spid="_x0000_s1027" type="#_x0000_t202" style="position:absolute;margin-left:-9.5pt;margin-top:609.85pt;width:293.35pt;height:4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" filled="f" stroked="f">
                <v:textbox>
                  <w:txbxContent>
                    <w:p w14:paraId="7CA3AE37" w14:textId="25F2A1E2" w:rsidR="00587789" w:rsidRPr="00726CAF" w:rsidRDefault="00587789" w:rsidP="0013483D">
                      <w:pPr>
                        <w:rPr>
                          <w:noProof/>
                          <w:color w:val="FFFFFF" w:themeColor="background1"/>
                          <w:sz w:val="44"/>
                          <w:szCs w:val="44"/>
                          <w:lang w:val="en-AU"/>
                        </w:rPr>
                      </w:pPr>
                      <w:r>
                        <w:rPr>
                          <w:noProof/>
                          <w:color w:val="FFFFFF" w:themeColor="background1"/>
                          <w:sz w:val="28"/>
                          <w:szCs w:val="28"/>
                          <w:lang w:val="en-AU"/>
                        </w:rPr>
                        <w:t>January 2020</w:t>
                      </w:r>
                    </w:p>
                  </w:txbxContent>
                </v:textbox>
              </v:shape>
            </w:pict>
          </mc:Fallback>
        </mc:AlternateContent>
      </w:r>
      <w:r w:rsidR="000D2ACA" w:rsidRPr="005011A5">
        <w:rPr>
          <w:rFonts w:cstheme="minorHAnsi"/>
          <w:noProof/>
        </w:rPr>
        <w:br w:type="page"/>
      </w:r>
    </w:p>
    <w:p w14:paraId="77D95062" w14:textId="372B8C04" w:rsidR="00206754" w:rsidRPr="005011A5" w:rsidRDefault="00206754" w:rsidP="00A27D97">
      <w:pPr>
        <w:tabs>
          <w:tab w:val="left" w:pos="6469"/>
        </w:tabs>
        <w:spacing w:after="0" w:line="240" w:lineRule="auto"/>
        <w:rPr>
          <w:rFonts w:cstheme="minorHAnsi"/>
        </w:rPr>
      </w:pPr>
    </w:p>
    <w:p w14:paraId="58B37168" w14:textId="771296B1" w:rsidR="00206754" w:rsidRPr="005011A5" w:rsidRDefault="00206754" w:rsidP="00A27D97">
      <w:pPr>
        <w:tabs>
          <w:tab w:val="left" w:pos="6469"/>
        </w:tabs>
        <w:spacing w:after="0" w:line="240" w:lineRule="auto"/>
        <w:rPr>
          <w:rFonts w:cstheme="minorHAnsi"/>
        </w:rPr>
      </w:pPr>
    </w:p>
    <w:p w14:paraId="1F2C046E" w14:textId="76B2BAD0" w:rsidR="00206754" w:rsidRPr="005011A5" w:rsidRDefault="00206754" w:rsidP="00A27D97">
      <w:pPr>
        <w:tabs>
          <w:tab w:val="left" w:pos="6469"/>
        </w:tabs>
        <w:spacing w:after="0" w:line="240" w:lineRule="auto"/>
        <w:rPr>
          <w:rFonts w:cstheme="minorHAnsi"/>
        </w:rPr>
      </w:pPr>
    </w:p>
    <w:p w14:paraId="6005760E" w14:textId="4D53CD0D" w:rsidR="008F6433" w:rsidRPr="005011A5" w:rsidRDefault="006C1745" w:rsidP="00A27D97">
      <w:pPr>
        <w:pStyle w:val="Heading1"/>
        <w:spacing w:after="0" w:line="240" w:lineRule="auto"/>
        <w:rPr>
          <w:rFonts w:asciiTheme="minorHAnsi" w:hAnsiTheme="minorHAnsi" w:cstheme="minorHAnsi"/>
          <w:sz w:val="22"/>
          <w:szCs w:val="22"/>
        </w:rPr>
      </w:pPr>
      <w:bookmarkStart w:id="0" w:name="_Toc63335651"/>
      <w:r w:rsidRPr="005011A5">
        <w:rPr>
          <w:rFonts w:asciiTheme="minorHAnsi" w:hAnsiTheme="minorHAnsi" w:cstheme="minorHAnsi"/>
          <w:color w:val="000000" w:themeColor="text1"/>
          <w:sz w:val="22"/>
          <w:szCs w:val="22"/>
        </w:rPr>
        <w:t>A</w:t>
      </w:r>
      <w:r w:rsidR="00726CAF" w:rsidRPr="005011A5">
        <w:rPr>
          <w:rFonts w:asciiTheme="minorHAnsi" w:hAnsiTheme="minorHAnsi" w:cstheme="minorHAnsi"/>
          <w:color w:val="000000" w:themeColor="text1"/>
          <w:sz w:val="22"/>
          <w:szCs w:val="22"/>
        </w:rPr>
        <w:t xml:space="preserve">bout the </w:t>
      </w:r>
      <w:r w:rsidR="00684EE9" w:rsidRPr="005011A5">
        <w:rPr>
          <w:rFonts w:asciiTheme="minorHAnsi" w:hAnsiTheme="minorHAnsi" w:cstheme="minorHAnsi"/>
          <w:color w:val="000000" w:themeColor="text1"/>
          <w:sz w:val="22"/>
          <w:szCs w:val="22"/>
        </w:rPr>
        <w:t>Authors of the Submission</w:t>
      </w:r>
      <w:bookmarkEnd w:id="0"/>
    </w:p>
    <w:p w14:paraId="78A4B991" w14:textId="626FE2B0" w:rsidR="0058314F" w:rsidRPr="00C57892" w:rsidRDefault="0058314F" w:rsidP="00A27D97">
      <w:pPr>
        <w:spacing w:after="0" w:line="240" w:lineRule="auto"/>
        <w:rPr>
          <w:rFonts w:cstheme="minorHAnsi"/>
        </w:rPr>
      </w:pPr>
    </w:p>
    <w:p w14:paraId="514A14A6" w14:textId="3852373D" w:rsidR="0058314F" w:rsidRPr="00C57892" w:rsidRDefault="005622B7" w:rsidP="00A27D97">
      <w:pPr>
        <w:spacing w:after="0" w:line="240" w:lineRule="auto"/>
        <w:rPr>
          <w:rFonts w:cstheme="minorHAnsi"/>
          <w:shd w:val="clear" w:color="auto" w:fill="FFFFFF"/>
        </w:rPr>
      </w:pPr>
      <w:r w:rsidRPr="00C57892">
        <w:rPr>
          <w:rFonts w:cstheme="minorHAnsi"/>
        </w:rPr>
        <w:t>Andy Symington</w:t>
      </w:r>
      <w:r w:rsidR="00BC54DA" w:rsidRPr="00C57892">
        <w:rPr>
          <w:rFonts w:cstheme="minorHAnsi"/>
        </w:rPr>
        <w:t xml:space="preserve"> </w:t>
      </w:r>
      <w:r w:rsidR="00BC54DA" w:rsidRPr="00C57892">
        <w:rPr>
          <w:rFonts w:cstheme="minorHAnsi"/>
          <w:color w:val="333333"/>
        </w:rPr>
        <w:t xml:space="preserve">is a business and human rights specialist focused </w:t>
      </w:r>
      <w:r w:rsidR="00E62199" w:rsidRPr="00C57892">
        <w:rPr>
          <w:rFonts w:cstheme="minorHAnsi"/>
          <w:color w:val="333333"/>
        </w:rPr>
        <w:t xml:space="preserve">on </w:t>
      </w:r>
      <w:r w:rsidR="00BC54DA" w:rsidRPr="00C57892">
        <w:rPr>
          <w:rFonts w:cstheme="minorHAnsi"/>
          <w:color w:val="333333"/>
        </w:rPr>
        <w:t>corporate engagement with</w:t>
      </w:r>
      <w:r w:rsidR="00E62199" w:rsidRPr="00C57892">
        <w:rPr>
          <w:rFonts w:cstheme="minorHAnsi"/>
          <w:color w:val="333333"/>
        </w:rPr>
        <w:t xml:space="preserve"> human</w:t>
      </w:r>
      <w:r w:rsidR="00BC54DA" w:rsidRPr="00C57892">
        <w:rPr>
          <w:rFonts w:cstheme="minorHAnsi"/>
          <w:color w:val="333333"/>
        </w:rPr>
        <w:t xml:space="preserve"> rights in the mining industry and </w:t>
      </w:r>
      <w:r w:rsidR="00BE47D3">
        <w:rPr>
          <w:rFonts w:cstheme="minorHAnsi"/>
          <w:color w:val="333333"/>
        </w:rPr>
        <w:t>in renewable energy</w:t>
      </w:r>
      <w:r w:rsidR="00BC54DA" w:rsidRPr="00C57892">
        <w:rPr>
          <w:rFonts w:cstheme="minorHAnsi"/>
          <w:color w:val="333333"/>
        </w:rPr>
        <w:t xml:space="preserve"> supply chains. </w:t>
      </w:r>
      <w:r w:rsidR="00C001E3" w:rsidRPr="00C57892">
        <w:rPr>
          <w:rFonts w:cstheme="minorHAnsi"/>
          <w:shd w:val="clear" w:color="auto" w:fill="FFFFFF"/>
        </w:rPr>
        <w:t xml:space="preserve">His recent </w:t>
      </w:r>
      <w:r w:rsidR="00BC54DA" w:rsidRPr="00C57892">
        <w:rPr>
          <w:rFonts w:cstheme="minorHAnsi"/>
          <w:color w:val="333333"/>
        </w:rPr>
        <w:t>PhD</w:t>
      </w:r>
      <w:r w:rsidR="00E62199" w:rsidRPr="00C57892">
        <w:rPr>
          <w:rFonts w:cstheme="minorHAnsi"/>
          <w:color w:val="333333"/>
        </w:rPr>
        <w:t xml:space="preserve"> (from UNSW Sydney)</w:t>
      </w:r>
      <w:r w:rsidR="00BC54DA" w:rsidRPr="00C57892">
        <w:rPr>
          <w:rFonts w:cstheme="minorHAnsi"/>
          <w:color w:val="333333"/>
        </w:rPr>
        <w:t xml:space="preserve"> </w:t>
      </w:r>
      <w:r w:rsidR="008246B4" w:rsidRPr="00C57892">
        <w:rPr>
          <w:rFonts w:cstheme="minorHAnsi"/>
          <w:color w:val="333333"/>
        </w:rPr>
        <w:t>focused</w:t>
      </w:r>
      <w:r w:rsidR="00BC54DA" w:rsidRPr="00C57892">
        <w:rPr>
          <w:rFonts w:cstheme="minorHAnsi"/>
          <w:color w:val="333333"/>
        </w:rPr>
        <w:t xml:space="preserve"> on factors affecting corporate engagement with Indigenous and other human rights norms in South American lithium extraction.</w:t>
      </w:r>
      <w:r w:rsidR="003640F0" w:rsidRPr="00C57892">
        <w:rPr>
          <w:rFonts w:cstheme="minorHAnsi"/>
          <w:color w:val="333333"/>
        </w:rPr>
        <w:t xml:space="preserve"> </w:t>
      </w:r>
      <w:r w:rsidR="00E62199" w:rsidRPr="00C57892">
        <w:rPr>
          <w:rFonts w:cstheme="minorHAnsi"/>
          <w:color w:val="333333"/>
        </w:rPr>
        <w:t xml:space="preserve">Andy is an </w:t>
      </w:r>
      <w:r w:rsidR="00E62199" w:rsidRPr="00C57892">
        <w:rPr>
          <w:rFonts w:cstheme="minorHAnsi"/>
          <w:shd w:val="clear" w:color="auto" w:fill="FFFFFF"/>
        </w:rPr>
        <w:t xml:space="preserve">Associate Director, Human Rights &amp; Social Impact at </w:t>
      </w:r>
      <w:r w:rsidR="00B76070">
        <w:rPr>
          <w:rFonts w:cstheme="minorHAnsi"/>
          <w:shd w:val="clear" w:color="auto" w:fill="FFFFFF"/>
        </w:rPr>
        <w:t xml:space="preserve">the human rights and social impact consultancy </w:t>
      </w:r>
      <w:r w:rsidR="00E62199" w:rsidRPr="00C57892">
        <w:rPr>
          <w:rFonts w:cstheme="minorHAnsi"/>
          <w:shd w:val="clear" w:color="auto" w:fill="FFFFFF"/>
        </w:rPr>
        <w:t xml:space="preserve">KPMG </w:t>
      </w:r>
      <w:proofErr w:type="spellStart"/>
      <w:r w:rsidR="00E62199" w:rsidRPr="00C57892">
        <w:rPr>
          <w:rFonts w:cstheme="minorHAnsi"/>
          <w:shd w:val="clear" w:color="auto" w:fill="FFFFFF"/>
        </w:rPr>
        <w:t>Banarra</w:t>
      </w:r>
      <w:proofErr w:type="spellEnd"/>
      <w:r w:rsidR="00B76070">
        <w:rPr>
          <w:rFonts w:cstheme="minorHAnsi"/>
          <w:shd w:val="clear" w:color="auto" w:fill="FFFFFF"/>
        </w:rPr>
        <w:t>.</w:t>
      </w:r>
    </w:p>
    <w:p w14:paraId="05BB5C94" w14:textId="5102A3D5" w:rsidR="00BD66A1" w:rsidRPr="00C57892" w:rsidRDefault="00000000" w:rsidP="00A27D97">
      <w:pPr>
        <w:spacing w:after="0" w:line="240" w:lineRule="auto"/>
        <w:rPr>
          <w:rFonts w:cstheme="minorHAnsi"/>
        </w:rPr>
      </w:pPr>
      <w:hyperlink r:id="rId13" w:history="1">
        <w:r w:rsidR="00BD66A1" w:rsidRPr="00FF30C4">
          <w:rPr>
            <w:rStyle w:val="Hyperlink"/>
            <w:rFonts w:cstheme="minorHAnsi"/>
          </w:rPr>
          <w:t>andy@andysymington.com</w:t>
        </w:r>
      </w:hyperlink>
    </w:p>
    <w:p w14:paraId="4B114613" w14:textId="77777777" w:rsidR="00AA27E4" w:rsidRPr="00C57892" w:rsidRDefault="00AA27E4" w:rsidP="00A27D97">
      <w:pPr>
        <w:spacing w:after="0" w:line="240" w:lineRule="auto"/>
        <w:rPr>
          <w:rFonts w:cstheme="minorHAnsi"/>
        </w:rPr>
      </w:pPr>
    </w:p>
    <w:p w14:paraId="30DA1B70" w14:textId="77777777" w:rsidR="00AA27E4" w:rsidRPr="00C57892" w:rsidRDefault="00AA27E4" w:rsidP="00A27D97">
      <w:pPr>
        <w:spacing w:after="0" w:line="240" w:lineRule="auto"/>
        <w:rPr>
          <w:rFonts w:cstheme="minorHAnsi"/>
        </w:rPr>
      </w:pPr>
    </w:p>
    <w:p w14:paraId="3A5B5727" w14:textId="0D82028E" w:rsidR="00AA27E4" w:rsidRPr="00C57892" w:rsidRDefault="00AA27E4" w:rsidP="00A27D97">
      <w:pPr>
        <w:spacing w:after="0" w:line="240" w:lineRule="auto"/>
        <w:rPr>
          <w:rFonts w:cstheme="minorHAnsi"/>
        </w:rPr>
      </w:pPr>
      <w:r w:rsidRPr="00C57892">
        <w:rPr>
          <w:rFonts w:cstheme="minorHAnsi"/>
        </w:rPr>
        <w:t xml:space="preserve">Justine Nolan is the Director of the Australian Human Rights Institute and a Professor in the Faculty of Law and Justice at UNSW Sydney. Justine's research focuses on the intersection of business and human rights, including modern slavery. Justine works closely with business and civil society and has been a key driver of the Australian business and human rights movement. She has held various expert advisory roles including as a member of </w:t>
      </w:r>
      <w:r w:rsidR="00C57892" w:rsidRPr="00C57892">
        <w:rPr>
          <w:rFonts w:cstheme="minorHAnsi"/>
        </w:rPr>
        <w:t>the Australian</w:t>
      </w:r>
      <w:r w:rsidRPr="00C57892">
        <w:rPr>
          <w:rFonts w:cstheme="minorHAnsi"/>
          <w:bdr w:val="none" w:sz="0" w:space="0" w:color="auto" w:frame="1"/>
        </w:rPr>
        <w:t xml:space="preserve"> Government's </w:t>
      </w:r>
      <w:r w:rsidRPr="00C57892">
        <w:rPr>
          <w:rFonts w:cstheme="minorHAnsi"/>
        </w:rPr>
        <w:t xml:space="preserve">Modern Slavery Expert Advisory Group. Prior to joining UNSW in 2004, she worked as the Director of the Business and Human Rights program at the Lawyers Committee for Human Rights (now Human Rights First) in the USA. </w:t>
      </w:r>
    </w:p>
    <w:p w14:paraId="5D2B473C" w14:textId="77777777" w:rsidR="00AA27E4" w:rsidRPr="00BE47D3" w:rsidRDefault="00000000" w:rsidP="00A27D97">
      <w:pPr>
        <w:spacing w:after="0" w:line="240" w:lineRule="auto"/>
        <w:rPr>
          <w:rFonts w:cstheme="minorHAnsi"/>
          <w:lang w:val="en-AU"/>
        </w:rPr>
      </w:pPr>
      <w:hyperlink r:id="rId14" w:history="1">
        <w:r w:rsidR="00AA27E4" w:rsidRPr="00BE47D3">
          <w:rPr>
            <w:rStyle w:val="Hyperlink"/>
            <w:rFonts w:cstheme="minorHAnsi"/>
            <w:lang w:val="en-AU"/>
          </w:rPr>
          <w:t>Justine.nolan@unsw.edu.au</w:t>
        </w:r>
      </w:hyperlink>
      <w:r w:rsidR="00AA27E4" w:rsidRPr="00BE47D3">
        <w:rPr>
          <w:rFonts w:cstheme="minorHAnsi"/>
          <w:lang w:val="en-AU"/>
        </w:rPr>
        <w:t xml:space="preserve"> </w:t>
      </w:r>
    </w:p>
    <w:p w14:paraId="0D085825" w14:textId="77777777" w:rsidR="00AA27E4" w:rsidRPr="00BE47D3" w:rsidRDefault="00AA27E4" w:rsidP="00A27D97">
      <w:pPr>
        <w:spacing w:after="0" w:line="240" w:lineRule="auto"/>
        <w:rPr>
          <w:rFonts w:cstheme="minorHAnsi"/>
          <w:lang w:val="en-AU"/>
        </w:rPr>
      </w:pPr>
    </w:p>
    <w:p w14:paraId="306A5F7D" w14:textId="77777777" w:rsidR="00AA27E4" w:rsidRPr="00BE47D3" w:rsidRDefault="00AA27E4" w:rsidP="00A27D97">
      <w:pPr>
        <w:spacing w:after="0" w:line="240" w:lineRule="auto"/>
        <w:rPr>
          <w:rFonts w:cstheme="minorHAnsi"/>
          <w:lang w:val="en-AU"/>
        </w:rPr>
      </w:pPr>
    </w:p>
    <w:p w14:paraId="093EB1CC" w14:textId="07DD9B37" w:rsidR="005451FA" w:rsidRPr="00BE47D3" w:rsidRDefault="00AA27E4" w:rsidP="005451FA">
      <w:pPr>
        <w:spacing w:after="0" w:line="240" w:lineRule="auto"/>
        <w:rPr>
          <w:rFonts w:cstheme="minorHAnsi"/>
          <w:lang w:val="en-AU"/>
        </w:rPr>
      </w:pPr>
      <w:r w:rsidRPr="00BE47D3">
        <w:rPr>
          <w:rFonts w:cstheme="minorHAnsi"/>
          <w:lang w:val="en-AU"/>
        </w:rPr>
        <w:t>Samuel Pryde</w:t>
      </w:r>
      <w:r w:rsidR="005451FA" w:rsidRPr="00BE47D3">
        <w:rPr>
          <w:rFonts w:cstheme="minorHAnsi"/>
          <w:lang w:val="en-AU"/>
        </w:rPr>
        <w:t xml:space="preserve"> is a Research Associate at the Australian Human Rights Institute, currently working in the field of business and human rights. A recent graduate of </w:t>
      </w:r>
      <w:r w:rsidR="003640F0" w:rsidRPr="00BE47D3">
        <w:rPr>
          <w:rFonts w:cstheme="minorHAnsi"/>
          <w:lang w:val="en-AU"/>
        </w:rPr>
        <w:t xml:space="preserve">UNSW Sydney. </w:t>
      </w:r>
      <w:r w:rsidR="005451FA" w:rsidRPr="00BE47D3">
        <w:rPr>
          <w:rFonts w:cstheme="minorHAnsi"/>
          <w:lang w:val="en-AU"/>
        </w:rPr>
        <w:t xml:space="preserve"> Samuel holds qualifications in Law and International Studies. He is currently the coordinator of the Institute’s research project evaluating the effectiveness of Australia’s Modern Slavery Act. His research interests include modern slavery, strategic litigation and corporate environmental accountability.</w:t>
      </w:r>
    </w:p>
    <w:p w14:paraId="7B65ADDB" w14:textId="4A383DCA" w:rsidR="001C2BA0" w:rsidRPr="00BE47D3" w:rsidRDefault="00000000" w:rsidP="00A27D97">
      <w:pPr>
        <w:spacing w:after="0" w:line="240" w:lineRule="auto"/>
        <w:rPr>
          <w:rFonts w:cstheme="minorHAnsi"/>
          <w:lang w:val="en-AU"/>
        </w:rPr>
      </w:pPr>
      <w:hyperlink r:id="rId15" w:history="1">
        <w:r w:rsidR="005451FA" w:rsidRPr="00BE47D3">
          <w:rPr>
            <w:rStyle w:val="Hyperlink"/>
            <w:rFonts w:cstheme="minorHAnsi"/>
            <w:lang w:val="en-AU"/>
          </w:rPr>
          <w:t>s.pryde@unsw.edu.au</w:t>
        </w:r>
      </w:hyperlink>
      <w:r w:rsidR="005451FA" w:rsidRPr="00BE47D3">
        <w:rPr>
          <w:rFonts w:cstheme="minorHAnsi"/>
          <w:lang w:val="en-AU"/>
        </w:rPr>
        <w:t xml:space="preserve"> </w:t>
      </w:r>
      <w:r w:rsidR="008F6433" w:rsidRPr="00BE47D3">
        <w:rPr>
          <w:rFonts w:cstheme="minorHAnsi"/>
          <w:lang w:val="en-AU"/>
        </w:rPr>
        <w:br w:type="page"/>
      </w:r>
    </w:p>
    <w:p w14:paraId="37A3E718" w14:textId="7E8CE6CB" w:rsidR="00BA62EA" w:rsidRDefault="002C4F92" w:rsidP="00A27D97">
      <w:pPr>
        <w:spacing w:after="0" w:line="240" w:lineRule="auto"/>
        <w:rPr>
          <w:rFonts w:cstheme="minorHAnsi"/>
          <w:color w:val="222222"/>
          <w:shd w:val="clear" w:color="auto" w:fill="FFFFFF"/>
        </w:rPr>
      </w:pPr>
      <w:r w:rsidRPr="005011A5">
        <w:rPr>
          <w:rFonts w:cstheme="minorHAnsi"/>
        </w:rPr>
        <w:lastRenderedPageBreak/>
        <w:t>We</w:t>
      </w:r>
      <w:r w:rsidR="008F6433" w:rsidRPr="005011A5">
        <w:rPr>
          <w:rFonts w:cstheme="minorHAnsi"/>
        </w:rPr>
        <w:t xml:space="preserve"> welcome the opportunity to make a submission to the </w:t>
      </w:r>
      <w:r w:rsidRPr="005011A5">
        <w:rPr>
          <w:rFonts w:cstheme="minorHAnsi"/>
          <w:color w:val="222222"/>
          <w:shd w:val="clear" w:color="auto" w:fill="FFFFFF"/>
        </w:rPr>
        <w:t xml:space="preserve">UN Working Group on Business and Human Rights. Our responses are in relation to the </w:t>
      </w:r>
      <w:r w:rsidR="00786485">
        <w:rPr>
          <w:rFonts w:cstheme="minorHAnsi"/>
          <w:color w:val="222222"/>
          <w:shd w:val="clear" w:color="auto" w:fill="FFFFFF"/>
        </w:rPr>
        <w:t>four</w:t>
      </w:r>
      <w:r w:rsidRPr="005011A5">
        <w:rPr>
          <w:rFonts w:cstheme="minorHAnsi"/>
          <w:color w:val="222222"/>
          <w:shd w:val="clear" w:color="auto" w:fill="FFFFFF"/>
        </w:rPr>
        <w:t xml:space="preserve"> questions set out below.</w:t>
      </w:r>
    </w:p>
    <w:p w14:paraId="68AC4C92" w14:textId="77777777" w:rsidR="00786485" w:rsidRDefault="00786485" w:rsidP="00A27D97">
      <w:pPr>
        <w:spacing w:after="0" w:line="240" w:lineRule="auto"/>
        <w:rPr>
          <w:rFonts w:cstheme="minorHAnsi"/>
          <w:color w:val="222222"/>
          <w:shd w:val="clear" w:color="auto" w:fill="FFFFFF"/>
        </w:rPr>
      </w:pPr>
    </w:p>
    <w:p w14:paraId="7767A516" w14:textId="77777777" w:rsidR="00D44E27" w:rsidRPr="005011A5" w:rsidRDefault="00D44E27" w:rsidP="00A27D97">
      <w:pPr>
        <w:spacing w:after="0" w:line="240" w:lineRule="auto"/>
        <w:rPr>
          <w:rFonts w:cstheme="minorHAnsi"/>
          <w:color w:val="222222"/>
          <w:shd w:val="clear" w:color="auto" w:fill="FFFFFF"/>
        </w:rPr>
      </w:pPr>
    </w:p>
    <w:p w14:paraId="163F622B" w14:textId="0F6C8002" w:rsidR="004D42E1" w:rsidRPr="005011A5" w:rsidRDefault="004D42E1" w:rsidP="00A27D97">
      <w:pPr>
        <w:spacing w:after="0" w:line="240" w:lineRule="auto"/>
        <w:ind w:left="720" w:hanging="720"/>
        <w:rPr>
          <w:rFonts w:eastAsia="Times New Roman" w:cstheme="minorHAnsi"/>
          <w:lang w:val="en-AU" w:eastAsia="en-AU"/>
        </w:rPr>
      </w:pPr>
      <w:r w:rsidRPr="005011A5">
        <w:rPr>
          <w:rFonts w:eastAsia="Times New Roman" w:cstheme="minorHAnsi"/>
          <w:lang w:val="en-AU" w:eastAsia="en-AU"/>
        </w:rPr>
        <w:t xml:space="preserve">Q3 </w:t>
      </w:r>
      <w:r w:rsidRPr="005011A5">
        <w:rPr>
          <w:rFonts w:eastAsia="Times New Roman" w:cstheme="minorHAnsi"/>
          <w:lang w:val="en-AU" w:eastAsia="en-AU"/>
        </w:rPr>
        <w:tab/>
      </w:r>
      <w:r w:rsidRPr="004D42E1">
        <w:rPr>
          <w:rFonts w:eastAsia="Times New Roman" w:cstheme="minorHAnsi"/>
          <w:lang w:val="en-AU" w:eastAsia="en-AU"/>
        </w:rPr>
        <w:t xml:space="preserve">What mechanisms or processes should exist at the State level (e.g., inter-ministerial committee, ex ante human rights impact and risk assessment) to assess and ensure that extractive sector operations, including the production and distribution of transition minerals, do not impact negatively human rights? Are these measures effectively enforced and do they provide the necessary coverage </w:t>
      </w:r>
      <w:proofErr w:type="gramStart"/>
      <w:r w:rsidRPr="004D42E1">
        <w:rPr>
          <w:rFonts w:eastAsia="Times New Roman" w:cstheme="minorHAnsi"/>
          <w:lang w:val="en-AU" w:eastAsia="en-AU"/>
        </w:rPr>
        <w:t>in light of</w:t>
      </w:r>
      <w:proofErr w:type="gramEnd"/>
      <w:r w:rsidRPr="004D42E1">
        <w:rPr>
          <w:rFonts w:eastAsia="Times New Roman" w:cstheme="minorHAnsi"/>
          <w:lang w:val="en-AU" w:eastAsia="en-AU"/>
        </w:rPr>
        <w:t xml:space="preserve"> energy transition plans, programs and activities?</w:t>
      </w:r>
    </w:p>
    <w:p w14:paraId="253269AF" w14:textId="77777777" w:rsidR="008E4793" w:rsidRPr="005011A5" w:rsidRDefault="008E4793" w:rsidP="00A27D97">
      <w:pPr>
        <w:spacing w:after="0" w:line="240" w:lineRule="auto"/>
        <w:ind w:left="720" w:hanging="720"/>
        <w:rPr>
          <w:rFonts w:eastAsia="Times New Roman" w:cstheme="minorHAnsi"/>
          <w:lang w:val="en-AU" w:eastAsia="en-AU"/>
        </w:rPr>
      </w:pPr>
    </w:p>
    <w:p w14:paraId="5EB0D929" w14:textId="105E3C1C" w:rsidR="00D9207F" w:rsidRPr="005011A5" w:rsidRDefault="00D9207F" w:rsidP="00A27D97">
      <w:pPr>
        <w:spacing w:after="0" w:line="240" w:lineRule="auto"/>
        <w:ind w:left="720" w:hanging="720"/>
        <w:rPr>
          <w:rFonts w:eastAsia="Times New Roman" w:cstheme="minorHAnsi"/>
          <w:lang w:val="en-AU" w:eastAsia="en-AU"/>
        </w:rPr>
      </w:pPr>
      <w:r w:rsidRPr="005011A5">
        <w:rPr>
          <w:rFonts w:eastAsia="Times New Roman" w:cstheme="minorHAnsi"/>
          <w:lang w:val="en-AU" w:eastAsia="en-AU"/>
        </w:rPr>
        <w:t>Q13</w:t>
      </w:r>
      <w:r w:rsidRPr="005011A5">
        <w:rPr>
          <w:rFonts w:eastAsia="Times New Roman" w:cstheme="minorHAnsi"/>
          <w:lang w:val="en-AU" w:eastAsia="en-AU"/>
        </w:rPr>
        <w:tab/>
      </w:r>
      <w:r w:rsidRPr="00D9207F">
        <w:rPr>
          <w:rFonts w:eastAsia="Times New Roman" w:cstheme="minorHAnsi"/>
          <w:lang w:val="en-AU" w:eastAsia="en-AU"/>
        </w:rPr>
        <w:t>Should concessions, contracts, and legislation require all business</w:t>
      </w:r>
      <w:r w:rsidRPr="005011A5">
        <w:rPr>
          <w:rFonts w:eastAsia="Times New Roman" w:cstheme="minorHAnsi"/>
          <w:lang w:val="en-AU" w:eastAsia="en-AU"/>
        </w:rPr>
        <w:t xml:space="preserve"> </w:t>
      </w:r>
      <w:r w:rsidRPr="00D9207F">
        <w:rPr>
          <w:rFonts w:eastAsia="Times New Roman" w:cstheme="minorHAnsi"/>
          <w:lang w:val="en-AU" w:eastAsia="en-AU"/>
        </w:rPr>
        <w:t>enterprises producing, purchasing, processing, and distributing transition minerals to apply and implement human rights-based impact and risk assessments and due diligence standards, including gender-responsive HRDD and heightened HRDD for conflict-affected areas? If so, how could such processes ensure meaningful participation of impacted communities, particularly vulnerable and historically excluded groups? </w:t>
      </w:r>
    </w:p>
    <w:p w14:paraId="2BE46E8E" w14:textId="77777777" w:rsidR="008E4793" w:rsidRDefault="008E4793" w:rsidP="00A27D97">
      <w:pPr>
        <w:spacing w:after="0" w:line="240" w:lineRule="auto"/>
        <w:ind w:left="720" w:hanging="720"/>
        <w:rPr>
          <w:rFonts w:eastAsia="Times New Roman" w:cstheme="minorHAnsi"/>
          <w:lang w:val="en-AU" w:eastAsia="en-AU"/>
        </w:rPr>
      </w:pPr>
    </w:p>
    <w:p w14:paraId="4E9629C2" w14:textId="596BB0D8" w:rsidR="00786485" w:rsidRPr="00734A57" w:rsidRDefault="00786485" w:rsidP="00786485">
      <w:pPr>
        <w:spacing w:after="0" w:line="240" w:lineRule="auto"/>
        <w:ind w:left="720" w:hanging="720"/>
        <w:rPr>
          <w:rFonts w:eastAsia="Times New Roman" w:cstheme="minorHAnsi"/>
          <w:lang w:val="en-AU" w:eastAsia="en-AU"/>
        </w:rPr>
      </w:pPr>
      <w:r>
        <w:rPr>
          <w:rFonts w:eastAsia="Times New Roman" w:cstheme="minorHAnsi"/>
          <w:lang w:val="en-AU" w:eastAsia="en-AU"/>
        </w:rPr>
        <w:t>Q19</w:t>
      </w:r>
      <w:r>
        <w:rPr>
          <w:rFonts w:eastAsia="Times New Roman" w:cstheme="minorHAnsi"/>
          <w:lang w:val="en-AU" w:eastAsia="en-AU"/>
        </w:rPr>
        <w:tab/>
      </w:r>
      <w:r w:rsidRPr="00734A57">
        <w:rPr>
          <w:rFonts w:eastAsia="Times New Roman" w:cstheme="minorHAnsi"/>
          <w:lang w:val="en-AU" w:eastAsia="en-AU"/>
        </w:rPr>
        <w:t>Please provide examples of good practices regarding the integration of human rights issues in the extractive sector in the context of the energy transition.</w:t>
      </w:r>
    </w:p>
    <w:p w14:paraId="4088C08E" w14:textId="77777777" w:rsidR="00786485" w:rsidRPr="00D9207F" w:rsidRDefault="00786485" w:rsidP="00A27D97">
      <w:pPr>
        <w:spacing w:after="0" w:line="240" w:lineRule="auto"/>
        <w:ind w:left="720" w:hanging="720"/>
        <w:rPr>
          <w:rFonts w:eastAsia="Times New Roman" w:cstheme="minorHAnsi"/>
          <w:lang w:val="en-AU" w:eastAsia="en-AU"/>
        </w:rPr>
      </w:pPr>
    </w:p>
    <w:p w14:paraId="7F5A5546" w14:textId="5A61AFF1" w:rsidR="002C4F92" w:rsidRPr="002C4F92" w:rsidRDefault="002C4F92" w:rsidP="00A27D97">
      <w:pPr>
        <w:spacing w:after="0" w:line="240" w:lineRule="auto"/>
        <w:ind w:left="720" w:hanging="720"/>
        <w:rPr>
          <w:rFonts w:eastAsia="Times New Roman" w:cstheme="minorHAnsi"/>
          <w:lang w:val="en-AU" w:eastAsia="en-AU"/>
        </w:rPr>
      </w:pPr>
      <w:r w:rsidRPr="005011A5">
        <w:rPr>
          <w:rFonts w:eastAsia="Times New Roman" w:cstheme="minorHAnsi"/>
          <w:lang w:val="en-AU" w:eastAsia="en-AU"/>
        </w:rPr>
        <w:t>Q21</w:t>
      </w:r>
      <w:r w:rsidRPr="005011A5">
        <w:rPr>
          <w:rFonts w:eastAsia="Times New Roman" w:cstheme="minorHAnsi"/>
          <w:lang w:val="en-AU" w:eastAsia="en-AU"/>
        </w:rPr>
        <w:tab/>
      </w:r>
      <w:r w:rsidRPr="002C4F92">
        <w:rPr>
          <w:rFonts w:eastAsia="Times New Roman" w:cstheme="minorHAnsi"/>
          <w:lang w:val="en-AU" w:eastAsia="en-AU"/>
        </w:rPr>
        <w:t>Are there any specific recommendations to States, businesses (including investors), civil society, UN bodies and National Human Rights Institutions that would help further advance a just and human rights-based energy transition in the extractive sector? Any other comments or suggestions about the forthcoming report are also welcome.  </w:t>
      </w:r>
    </w:p>
    <w:p w14:paraId="14D14D4E" w14:textId="77777777" w:rsidR="004D42E1" w:rsidRPr="004D42E1" w:rsidRDefault="004D42E1" w:rsidP="00A27D97">
      <w:pPr>
        <w:spacing w:after="0" w:line="240" w:lineRule="auto"/>
        <w:rPr>
          <w:rFonts w:eastAsia="Times New Roman" w:cstheme="minorHAnsi"/>
          <w:lang w:val="en-AU" w:eastAsia="en-AU"/>
        </w:rPr>
      </w:pPr>
    </w:p>
    <w:p w14:paraId="2A9DA0A6" w14:textId="77777777" w:rsidR="00A32705" w:rsidRPr="005011A5" w:rsidRDefault="00A32705" w:rsidP="00A27D97">
      <w:pPr>
        <w:spacing w:after="0" w:line="240" w:lineRule="auto"/>
        <w:rPr>
          <w:rFonts w:cstheme="minorHAnsi"/>
        </w:rPr>
      </w:pPr>
    </w:p>
    <w:p w14:paraId="631EBD48" w14:textId="2EF32A63" w:rsidR="0030235A" w:rsidRPr="005011A5" w:rsidRDefault="0030235A" w:rsidP="00A27D97">
      <w:pPr>
        <w:spacing w:after="0" w:line="240" w:lineRule="auto"/>
        <w:rPr>
          <w:rFonts w:cstheme="minorHAnsi"/>
        </w:rPr>
      </w:pPr>
    </w:p>
    <w:p w14:paraId="1E36E2AB" w14:textId="011BD7C2" w:rsidR="0030235A" w:rsidRPr="005011A5" w:rsidRDefault="0030235A" w:rsidP="00A27D97">
      <w:pPr>
        <w:spacing w:after="0" w:line="240" w:lineRule="auto"/>
        <w:rPr>
          <w:rFonts w:cstheme="minorHAnsi"/>
        </w:rPr>
      </w:pPr>
      <w:r w:rsidRPr="005011A5">
        <w:rPr>
          <w:rFonts w:cstheme="minorHAnsi"/>
        </w:rPr>
        <w:br w:type="page"/>
      </w:r>
    </w:p>
    <w:p w14:paraId="7A8E397A" w14:textId="0ABEEDDA" w:rsidR="0030235A" w:rsidRPr="00786485" w:rsidRDefault="0030235A" w:rsidP="00A27D97">
      <w:pPr>
        <w:spacing w:after="0" w:line="240" w:lineRule="auto"/>
        <w:rPr>
          <w:rFonts w:cstheme="minorHAnsi"/>
          <w:b/>
          <w:bCs/>
          <w:color w:val="000000" w:themeColor="text1"/>
          <w:sz w:val="28"/>
          <w:szCs w:val="28"/>
        </w:rPr>
      </w:pPr>
      <w:r w:rsidRPr="00786485">
        <w:rPr>
          <w:rFonts w:cstheme="minorHAnsi"/>
          <w:b/>
          <w:bCs/>
          <w:color w:val="000000" w:themeColor="text1"/>
          <w:sz w:val="28"/>
          <w:szCs w:val="28"/>
        </w:rPr>
        <w:lastRenderedPageBreak/>
        <w:t>Context and Background</w:t>
      </w:r>
    </w:p>
    <w:p w14:paraId="32D8E319" w14:textId="5307BB45" w:rsidR="007A19D5" w:rsidRPr="005011A5" w:rsidRDefault="00BA440E" w:rsidP="00A27D97">
      <w:pPr>
        <w:spacing w:after="0" w:line="240" w:lineRule="auto"/>
        <w:jc w:val="both"/>
        <w:rPr>
          <w:rFonts w:cstheme="minorHAnsi"/>
        </w:rPr>
      </w:pPr>
      <w:r w:rsidRPr="005011A5">
        <w:rPr>
          <w:rFonts w:eastAsia="Times New Roman" w:cstheme="minorHAnsi"/>
          <w:color w:val="000000"/>
          <w:lang w:eastAsia="en-AU"/>
        </w:rPr>
        <w:t xml:space="preserve">Climate change-related public policy and investments earmarked for </w:t>
      </w:r>
      <w:proofErr w:type="gramStart"/>
      <w:r w:rsidRPr="005011A5">
        <w:rPr>
          <w:rFonts w:eastAsia="Times New Roman" w:cstheme="minorHAnsi"/>
          <w:color w:val="000000"/>
          <w:lang w:eastAsia="en-AU"/>
        </w:rPr>
        <w:t>low</w:t>
      </w:r>
      <w:proofErr w:type="gramEnd"/>
      <w:r w:rsidRPr="005011A5">
        <w:rPr>
          <w:rFonts w:eastAsia="Times New Roman" w:cstheme="minorHAnsi"/>
          <w:color w:val="000000"/>
          <w:lang w:eastAsia="en-AU"/>
        </w:rPr>
        <w:t xml:space="preserve"> and zero carbon projects stand to risk causing or contributing to human rights abuses while simultaneously leading to adverse outcomes for sustainable development efforts in developing countries. </w:t>
      </w:r>
      <w:r w:rsidR="007A19D5" w:rsidRPr="005011A5">
        <w:rPr>
          <w:rFonts w:cstheme="minorHAnsi"/>
        </w:rPr>
        <w:t xml:space="preserve">Most of the materials required to achieve net zero emissions </w:t>
      </w:r>
      <w:r w:rsidR="006B2C15" w:rsidRPr="005011A5">
        <w:rPr>
          <w:rFonts w:cstheme="minorHAnsi"/>
        </w:rPr>
        <w:t>in the coming decades</w:t>
      </w:r>
      <w:r w:rsidR="007A19D5" w:rsidRPr="005011A5">
        <w:rPr>
          <w:rFonts w:cstheme="minorHAnsi"/>
        </w:rPr>
        <w:t xml:space="preserve"> are to be sourced from developing countries in the Global South, thereby offering the potential to contribute meaningfully towards the decent work, sustainable development and a just transition envisaged by the Paris Agreement. To do so, policymakers will need to clearly identify the human rights-related risks – from extraction to the end use of any given raw material and input – </w:t>
      </w:r>
      <w:r w:rsidR="00783E6B" w:rsidRPr="005011A5">
        <w:rPr>
          <w:rFonts w:cstheme="minorHAnsi"/>
        </w:rPr>
        <w:t>to ensure that the physical and transitional impacts of climate change address both human rights-related risks and opportunities</w:t>
      </w:r>
      <w:r w:rsidR="00403B2E" w:rsidRPr="005011A5">
        <w:rPr>
          <w:rFonts w:cstheme="minorHAnsi"/>
        </w:rPr>
        <w:t>.</w:t>
      </w:r>
      <w:r w:rsidR="003D700A" w:rsidRPr="005011A5">
        <w:rPr>
          <w:rFonts w:cstheme="minorHAnsi"/>
        </w:rPr>
        <w:t xml:space="preserve"> </w:t>
      </w:r>
      <w:r w:rsidR="002F35FF" w:rsidRPr="005011A5">
        <w:rPr>
          <w:rFonts w:eastAsia="Times New Roman" w:cstheme="minorHAnsi"/>
          <w:color w:val="000000"/>
          <w:lang w:eastAsia="en-AU"/>
        </w:rPr>
        <w:t>The policy disconnect that exists between the push to decarbonise and the need to protect, respect and remedy human rights perpetuates the long-held false dichotomy of “one or the other”, therefore spelling the need for a more integrative approach by policymakers.</w:t>
      </w:r>
    </w:p>
    <w:p w14:paraId="3BB68751" w14:textId="77777777" w:rsidR="005727BD" w:rsidRPr="005011A5" w:rsidRDefault="005727BD" w:rsidP="00A27D97">
      <w:pPr>
        <w:spacing w:after="0" w:line="240" w:lineRule="auto"/>
        <w:jc w:val="both"/>
        <w:rPr>
          <w:rFonts w:cstheme="minorHAnsi"/>
        </w:rPr>
      </w:pPr>
    </w:p>
    <w:p w14:paraId="09B26CD4" w14:textId="45B0E766" w:rsidR="005727BD" w:rsidRPr="005011A5" w:rsidRDefault="005727BD" w:rsidP="00A27D97">
      <w:pPr>
        <w:spacing w:after="0" w:line="240" w:lineRule="auto"/>
        <w:rPr>
          <w:rFonts w:cstheme="minorHAnsi"/>
        </w:rPr>
      </w:pPr>
      <w:r w:rsidRPr="005011A5">
        <w:rPr>
          <w:rFonts w:cstheme="minorHAnsi"/>
        </w:rPr>
        <w:t>There are numerous examples of human rights impacts associated with the extraction and processing of critical minerals, and the manufacture of renewable energy technology</w:t>
      </w:r>
      <w:r w:rsidR="00F13637">
        <w:rPr>
          <w:rFonts w:cstheme="minorHAnsi"/>
        </w:rPr>
        <w:t>. Below</w:t>
      </w:r>
      <w:r w:rsidR="008E4793" w:rsidRPr="005011A5">
        <w:rPr>
          <w:rFonts w:cstheme="minorHAnsi"/>
        </w:rPr>
        <w:t xml:space="preserve"> we</w:t>
      </w:r>
      <w:r w:rsidRPr="005011A5">
        <w:rPr>
          <w:rFonts w:cstheme="minorHAnsi"/>
        </w:rPr>
        <w:t xml:space="preserve"> </w:t>
      </w:r>
      <w:r w:rsidR="00F13637">
        <w:rPr>
          <w:rFonts w:cstheme="minorHAnsi"/>
        </w:rPr>
        <w:t xml:space="preserve">briefly </w:t>
      </w:r>
      <w:r w:rsidRPr="005011A5">
        <w:rPr>
          <w:rFonts w:cstheme="minorHAnsi"/>
        </w:rPr>
        <w:t xml:space="preserve">spotlight </w:t>
      </w:r>
      <w:r w:rsidR="00AE34CA">
        <w:rPr>
          <w:rFonts w:cstheme="minorHAnsi"/>
        </w:rPr>
        <w:t xml:space="preserve">three </w:t>
      </w:r>
      <w:r w:rsidR="004F551B">
        <w:rPr>
          <w:rFonts w:cstheme="minorHAnsi"/>
        </w:rPr>
        <w:t xml:space="preserve">- </w:t>
      </w:r>
      <w:r w:rsidRPr="005011A5">
        <w:rPr>
          <w:rFonts w:cstheme="minorHAnsi"/>
        </w:rPr>
        <w:t>polysilicon</w:t>
      </w:r>
      <w:r w:rsidR="00AE34CA">
        <w:rPr>
          <w:rFonts w:cstheme="minorHAnsi"/>
        </w:rPr>
        <w:t xml:space="preserve">, </w:t>
      </w:r>
      <w:proofErr w:type="gramStart"/>
      <w:r w:rsidRPr="005011A5">
        <w:rPr>
          <w:rFonts w:cstheme="minorHAnsi"/>
        </w:rPr>
        <w:t>lithium</w:t>
      </w:r>
      <w:proofErr w:type="gramEnd"/>
      <w:r w:rsidRPr="005011A5">
        <w:rPr>
          <w:rFonts w:cstheme="minorHAnsi"/>
        </w:rPr>
        <w:t xml:space="preserve"> </w:t>
      </w:r>
      <w:r w:rsidR="00AE34CA">
        <w:rPr>
          <w:rFonts w:cstheme="minorHAnsi"/>
        </w:rPr>
        <w:t>and mica</w:t>
      </w:r>
      <w:r w:rsidR="004F551B">
        <w:rPr>
          <w:rFonts w:cstheme="minorHAnsi"/>
        </w:rPr>
        <w:t xml:space="preserve"> </w:t>
      </w:r>
      <w:r w:rsidR="00BC27B8">
        <w:rPr>
          <w:rFonts w:cstheme="minorHAnsi"/>
        </w:rPr>
        <w:t xml:space="preserve">– </w:t>
      </w:r>
      <w:r w:rsidR="003B0E86">
        <w:rPr>
          <w:rFonts w:cstheme="minorHAnsi"/>
        </w:rPr>
        <w:t xml:space="preserve">to provide context for </w:t>
      </w:r>
      <w:r w:rsidR="00F13637">
        <w:rPr>
          <w:rFonts w:cstheme="minorHAnsi"/>
        </w:rPr>
        <w:t>the subsequent discussion on human rights responses.</w:t>
      </w:r>
    </w:p>
    <w:p w14:paraId="1D05B8C4" w14:textId="77777777" w:rsidR="005727BD" w:rsidRPr="005011A5" w:rsidRDefault="005727BD" w:rsidP="00A27D97">
      <w:pPr>
        <w:spacing w:after="0" w:line="240" w:lineRule="auto"/>
        <w:rPr>
          <w:rFonts w:cstheme="minorHAnsi"/>
        </w:rPr>
      </w:pPr>
      <w:r w:rsidRPr="005011A5">
        <w:rPr>
          <w:rFonts w:cstheme="minorHAnsi"/>
          <w:b/>
        </w:rPr>
        <w:t xml:space="preserve"> </w:t>
      </w:r>
      <w:r w:rsidRPr="005011A5">
        <w:rPr>
          <w:rFonts w:cstheme="minorHAnsi"/>
        </w:rPr>
        <w:t xml:space="preserve"> </w:t>
      </w:r>
    </w:p>
    <w:p w14:paraId="7F8DF012" w14:textId="77777777" w:rsidR="005727BD" w:rsidRPr="005011A5" w:rsidRDefault="005727BD" w:rsidP="00A27D97">
      <w:pPr>
        <w:spacing w:after="0" w:line="240" w:lineRule="auto"/>
        <w:rPr>
          <w:rFonts w:cstheme="minorHAnsi"/>
        </w:rPr>
      </w:pPr>
      <w:r w:rsidRPr="005011A5">
        <w:rPr>
          <w:rFonts w:cstheme="minorHAnsi"/>
          <w:b/>
        </w:rPr>
        <w:t>Polysilicon in Solar Technology</w:t>
      </w:r>
      <w:r w:rsidRPr="005011A5">
        <w:rPr>
          <w:rFonts w:cstheme="minorHAnsi"/>
        </w:rPr>
        <w:t xml:space="preserve"> </w:t>
      </w:r>
    </w:p>
    <w:p w14:paraId="033FDD93" w14:textId="6615E722" w:rsidR="005727BD" w:rsidRPr="005011A5" w:rsidRDefault="005727BD" w:rsidP="00A27D97">
      <w:pPr>
        <w:spacing w:after="0" w:line="240" w:lineRule="auto"/>
        <w:rPr>
          <w:rFonts w:cstheme="minorHAnsi"/>
        </w:rPr>
      </w:pPr>
      <w:r w:rsidRPr="005011A5">
        <w:rPr>
          <w:rFonts w:cstheme="minorHAnsi"/>
        </w:rPr>
        <w:t xml:space="preserve">Advances in photovoltaic technology in recent years and decades have placed solar at the forefront of the wave of renewable energy. Increasing take-up of the technology at industrial, commercial, </w:t>
      </w:r>
      <w:proofErr w:type="gramStart"/>
      <w:r w:rsidRPr="005011A5">
        <w:rPr>
          <w:rFonts w:cstheme="minorHAnsi"/>
        </w:rPr>
        <w:t>local</w:t>
      </w:r>
      <w:proofErr w:type="gramEnd"/>
      <w:r w:rsidRPr="005011A5">
        <w:rPr>
          <w:rFonts w:cstheme="minorHAnsi"/>
        </w:rPr>
        <w:t xml:space="preserve"> and domestic level</w:t>
      </w:r>
      <w:r w:rsidR="006642AB">
        <w:rPr>
          <w:rFonts w:cstheme="minorHAnsi"/>
        </w:rPr>
        <w:t>s</w:t>
      </w:r>
      <w:r w:rsidRPr="005011A5">
        <w:rPr>
          <w:rFonts w:cstheme="minorHAnsi"/>
        </w:rPr>
        <w:t xml:space="preserve"> means extensive demand and significant competition between manufacturers, suppliers and distributors of the product. </w:t>
      </w:r>
    </w:p>
    <w:p w14:paraId="0A6D46D7" w14:textId="77777777" w:rsidR="008E4793" w:rsidRPr="005011A5" w:rsidRDefault="008E4793" w:rsidP="00A27D97">
      <w:pPr>
        <w:spacing w:after="0" w:line="240" w:lineRule="auto"/>
        <w:rPr>
          <w:rFonts w:cstheme="minorHAnsi"/>
        </w:rPr>
      </w:pPr>
    </w:p>
    <w:p w14:paraId="44240DC5" w14:textId="77777777" w:rsidR="005727BD" w:rsidRPr="005011A5" w:rsidRDefault="005727BD" w:rsidP="00A27D97">
      <w:pPr>
        <w:spacing w:after="0" w:line="240" w:lineRule="auto"/>
        <w:rPr>
          <w:rFonts w:cstheme="minorHAnsi"/>
        </w:rPr>
      </w:pPr>
      <w:r w:rsidRPr="005011A5">
        <w:rPr>
          <w:rFonts w:cstheme="minorHAnsi"/>
        </w:rPr>
        <w:t xml:space="preserve">A typical solar installation consists essentially of an array of photovoltaic panels as well as an inverter (which converts DC to AC power) and, where storage is required, a lithium-ion battery. </w:t>
      </w:r>
    </w:p>
    <w:p w14:paraId="1326661C" w14:textId="218CEF65" w:rsidR="005727BD" w:rsidRPr="005011A5" w:rsidRDefault="005727BD" w:rsidP="00A27D97">
      <w:pPr>
        <w:spacing w:after="0" w:line="240" w:lineRule="auto"/>
        <w:rPr>
          <w:rFonts w:cstheme="minorHAnsi"/>
        </w:rPr>
      </w:pPr>
      <w:r w:rsidRPr="005011A5">
        <w:rPr>
          <w:rFonts w:cstheme="minorHAnsi"/>
        </w:rPr>
        <w:t>As a principal source of renewable energy – solar now comprises some 28% of global renewable capacity</w:t>
      </w:r>
      <w:r w:rsidR="003A0C58" w:rsidRPr="005011A5">
        <w:rPr>
          <w:rStyle w:val="FootnoteReference"/>
          <w:rFonts w:cstheme="minorHAnsi"/>
        </w:rPr>
        <w:footnoteReference w:id="2"/>
      </w:r>
      <w:r w:rsidRPr="005011A5">
        <w:rPr>
          <w:rFonts w:cstheme="minorHAnsi"/>
        </w:rPr>
        <w:t xml:space="preserve"> – photovoltaic technology is an integral part of the transition away from fossil fuels and is thus widely seen as a product that is sustainable on both environmental and social grounds. Yet the technology is associated with various human rights impacts. Some of these impacts occur in the extraction of raw materials required for key components of inverters, batteries and the aluminium housing of solar modules and panels. However, a key area of concern involves the processing and manufacturing stages of the solar cells themselves. </w:t>
      </w:r>
    </w:p>
    <w:p w14:paraId="33B128FC" w14:textId="77777777" w:rsidR="00D42243" w:rsidRPr="005011A5" w:rsidRDefault="00D42243" w:rsidP="00A27D97">
      <w:pPr>
        <w:spacing w:after="0" w:line="240" w:lineRule="auto"/>
        <w:rPr>
          <w:rFonts w:cstheme="minorHAnsi"/>
        </w:rPr>
      </w:pPr>
    </w:p>
    <w:p w14:paraId="7B0D279E" w14:textId="41FEA0C0" w:rsidR="0007386E" w:rsidRPr="005011A5" w:rsidRDefault="005727BD" w:rsidP="0007386E">
      <w:pPr>
        <w:spacing w:after="0" w:line="240" w:lineRule="auto"/>
        <w:rPr>
          <w:rFonts w:cstheme="minorHAnsi"/>
        </w:rPr>
      </w:pPr>
      <w:r w:rsidRPr="005011A5">
        <w:rPr>
          <w:rFonts w:cstheme="minorHAnsi"/>
        </w:rPr>
        <w:t>China dominates the solar panel supply chain,</w:t>
      </w:r>
      <w:r w:rsidR="003A0C58" w:rsidRPr="005011A5">
        <w:rPr>
          <w:rStyle w:val="FootnoteReference"/>
          <w:rFonts w:cstheme="minorHAnsi"/>
        </w:rPr>
        <w:footnoteReference w:id="3"/>
      </w:r>
      <w:r w:rsidRPr="005011A5">
        <w:rPr>
          <w:rFonts w:cstheme="minorHAnsi"/>
        </w:rPr>
        <w:t xml:space="preserve"> and some 45% of the world’s polysilicon is produced in the Xinjiang region, which has large reserves of silica and ready availability of inexpensive power thanks to sizeable coal fields and government subsidies.</w:t>
      </w:r>
      <w:r w:rsidR="003A0C58" w:rsidRPr="005011A5">
        <w:rPr>
          <w:rStyle w:val="FootnoteReference"/>
          <w:rFonts w:cstheme="minorHAnsi"/>
        </w:rPr>
        <w:footnoteReference w:id="4"/>
      </w:r>
      <w:hyperlink r:id="rId16" w:anchor="_ftn4"/>
      <w:r w:rsidRPr="005011A5">
        <w:rPr>
          <w:rFonts w:cstheme="minorHAnsi"/>
        </w:rPr>
        <w:t xml:space="preserve"> However, a series of reports have associated Xinjiang</w:t>
      </w:r>
      <w:r w:rsidR="000D0DF9">
        <w:rPr>
          <w:rFonts w:cstheme="minorHAnsi"/>
        </w:rPr>
        <w:t xml:space="preserve"> with widespread human rights abuses</w:t>
      </w:r>
      <w:r w:rsidR="000D0DF9">
        <w:rPr>
          <w:rStyle w:val="FootnoteReference"/>
          <w:rFonts w:cstheme="minorHAnsi"/>
        </w:rPr>
        <w:footnoteReference w:id="5"/>
      </w:r>
      <w:r w:rsidR="000D0DF9">
        <w:rPr>
          <w:rFonts w:cstheme="minorHAnsi"/>
        </w:rPr>
        <w:t xml:space="preserve"> and in particular,</w:t>
      </w:r>
      <w:r w:rsidRPr="005011A5">
        <w:rPr>
          <w:rFonts w:cstheme="minorHAnsi"/>
        </w:rPr>
        <w:t xml:space="preserve"> polysilicon production with allegations of forced labour imposed by the Chinese state on members of the Uyghur minority.</w:t>
      </w:r>
      <w:r w:rsidR="00D42243" w:rsidRPr="005011A5">
        <w:rPr>
          <w:rStyle w:val="FootnoteReference"/>
          <w:rFonts w:cstheme="minorHAnsi"/>
        </w:rPr>
        <w:footnoteReference w:id="6"/>
      </w:r>
      <w:r w:rsidR="00D42243" w:rsidRPr="005011A5">
        <w:rPr>
          <w:rFonts w:cstheme="minorHAnsi"/>
        </w:rPr>
        <w:t xml:space="preserve"> </w:t>
      </w:r>
      <w:r w:rsidR="0007386E" w:rsidRPr="005011A5">
        <w:rPr>
          <w:rFonts w:cstheme="minorHAnsi"/>
        </w:rPr>
        <w:lastRenderedPageBreak/>
        <w:t>While some solar companies are attempting to commit to a Xinjiang-free supply chain, the existence of reports of ethnic minorities being forcibly transferred to factories in other parts of China implies that the risk of modern slavery is present in other parts of the country as well.</w:t>
      </w:r>
      <w:r w:rsidR="0007386E" w:rsidRPr="005011A5">
        <w:rPr>
          <w:rStyle w:val="FootnoteReference"/>
          <w:rFonts w:cstheme="minorHAnsi"/>
        </w:rPr>
        <w:footnoteReference w:id="7"/>
      </w:r>
    </w:p>
    <w:p w14:paraId="1B7E1571" w14:textId="6B94C857" w:rsidR="005727BD" w:rsidRPr="005011A5" w:rsidRDefault="005727BD" w:rsidP="00A27D97">
      <w:pPr>
        <w:spacing w:after="0" w:line="240" w:lineRule="auto"/>
        <w:rPr>
          <w:rFonts w:cstheme="minorHAnsi"/>
        </w:rPr>
      </w:pPr>
      <w:r w:rsidRPr="005011A5">
        <w:rPr>
          <w:rFonts w:cstheme="minorHAnsi"/>
        </w:rPr>
        <w:t xml:space="preserve"> </w:t>
      </w:r>
    </w:p>
    <w:p w14:paraId="4F094420" w14:textId="77777777" w:rsidR="005727BD" w:rsidRPr="005011A5" w:rsidRDefault="005727BD" w:rsidP="00A27D97">
      <w:pPr>
        <w:spacing w:after="0" w:line="240" w:lineRule="auto"/>
        <w:rPr>
          <w:rFonts w:cstheme="minorHAnsi"/>
        </w:rPr>
      </w:pPr>
      <w:r w:rsidRPr="005011A5">
        <w:rPr>
          <w:rFonts w:cstheme="minorHAnsi"/>
          <w:b/>
        </w:rPr>
        <w:t>Lithium</w:t>
      </w:r>
      <w:r w:rsidRPr="005011A5">
        <w:rPr>
          <w:rFonts w:cstheme="minorHAnsi"/>
        </w:rPr>
        <w:t xml:space="preserve"> </w:t>
      </w:r>
    </w:p>
    <w:p w14:paraId="31E18BFF" w14:textId="19C32743" w:rsidR="005727BD" w:rsidRPr="005011A5" w:rsidRDefault="005727BD" w:rsidP="00A27D97">
      <w:pPr>
        <w:spacing w:after="0" w:line="240" w:lineRule="auto"/>
        <w:rPr>
          <w:rFonts w:cstheme="minorHAnsi"/>
        </w:rPr>
      </w:pPr>
      <w:r w:rsidRPr="005011A5">
        <w:rPr>
          <w:rFonts w:cstheme="minorHAnsi"/>
        </w:rPr>
        <w:t>From the grid-scale batteries that are our most versatile current means of storage of renewable energy to the powerpacks that are the driving force of electric vehicles, lithium-ion battery technology is integral to the sustainable energy transition.</w:t>
      </w:r>
      <w:r w:rsidR="00D42243" w:rsidRPr="005011A5">
        <w:rPr>
          <w:rStyle w:val="FootnoteReference"/>
          <w:rFonts w:cstheme="minorHAnsi"/>
        </w:rPr>
        <w:footnoteReference w:id="8"/>
      </w:r>
      <w:r w:rsidR="00D42243" w:rsidRPr="005011A5">
        <w:rPr>
          <w:rFonts w:cstheme="minorHAnsi"/>
        </w:rPr>
        <w:t xml:space="preserve"> </w:t>
      </w:r>
      <w:r w:rsidRPr="005011A5">
        <w:rPr>
          <w:rFonts w:cstheme="minorHAnsi"/>
        </w:rPr>
        <w:t xml:space="preserve"> Rechargeable lithium-ion batteries have cathodes of variable composition and therefore can contain a range of different minerals,</w:t>
      </w:r>
      <w:r w:rsidR="00C51FB7">
        <w:rPr>
          <w:rStyle w:val="FootnoteReference"/>
          <w:rFonts w:cstheme="minorHAnsi"/>
        </w:rPr>
        <w:footnoteReference w:id="9"/>
      </w:r>
      <w:r w:rsidRPr="005011A5">
        <w:rPr>
          <w:rFonts w:cstheme="minorHAnsi"/>
        </w:rPr>
        <w:t xml:space="preserve"> including cobalt, which has been extensively linked to the violation of labour rights in the Democratic Republic of the Congo.</w:t>
      </w:r>
      <w:r w:rsidR="00954EAF">
        <w:rPr>
          <w:rStyle w:val="FootnoteReference"/>
          <w:rFonts w:cstheme="minorHAnsi"/>
        </w:rPr>
        <w:footnoteReference w:id="10"/>
      </w:r>
    </w:p>
    <w:p w14:paraId="212D8A6E" w14:textId="77777777" w:rsidR="00D42243" w:rsidRPr="005011A5" w:rsidRDefault="00D42243" w:rsidP="00A27D97">
      <w:pPr>
        <w:spacing w:after="0" w:line="240" w:lineRule="auto"/>
        <w:rPr>
          <w:rFonts w:cstheme="minorHAnsi"/>
        </w:rPr>
      </w:pPr>
    </w:p>
    <w:p w14:paraId="7C1B510B" w14:textId="77777777" w:rsidR="00CE005F" w:rsidRDefault="005727BD" w:rsidP="00A27D97">
      <w:pPr>
        <w:spacing w:after="0" w:line="240" w:lineRule="auto"/>
        <w:rPr>
          <w:rFonts w:cstheme="minorHAnsi"/>
        </w:rPr>
      </w:pPr>
      <w:r w:rsidRPr="005011A5">
        <w:rPr>
          <w:rFonts w:cstheme="minorHAnsi"/>
        </w:rPr>
        <w:t>Lithium itself is a crucial component of the cathode and ingredient of the electrolyte. Widely present across the planet in low concentrations,</w:t>
      </w:r>
      <w:r w:rsidR="00D42243" w:rsidRPr="005011A5">
        <w:rPr>
          <w:rStyle w:val="FootnoteReference"/>
          <w:rFonts w:cstheme="minorHAnsi"/>
        </w:rPr>
        <w:footnoteReference w:id="11"/>
      </w:r>
      <w:r w:rsidRPr="005011A5">
        <w:rPr>
          <w:rFonts w:cstheme="minorHAnsi"/>
        </w:rPr>
        <w:t xml:space="preserve"> the metal was formerly comparatively low-profile, with limited uses in the ceramic and pharmaceutical industries. However, the rise of lithium-ion batteries has sparked a rush to secure future supply of the mineral.</w:t>
      </w:r>
      <w:r w:rsidR="00954EAF">
        <w:rPr>
          <w:rFonts w:cstheme="minorHAnsi"/>
        </w:rPr>
        <w:t xml:space="preserve"> </w:t>
      </w:r>
      <w:r w:rsidR="00BD32BB">
        <w:rPr>
          <w:rFonts w:cstheme="minorHAnsi"/>
        </w:rPr>
        <w:t xml:space="preserve">This is </w:t>
      </w:r>
      <w:r w:rsidR="009928CB">
        <w:rPr>
          <w:rFonts w:cstheme="minorHAnsi"/>
        </w:rPr>
        <w:t xml:space="preserve">especially true as </w:t>
      </w:r>
      <w:r w:rsidR="00652FD5">
        <w:rPr>
          <w:rFonts w:cstheme="minorHAnsi"/>
        </w:rPr>
        <w:t>unlike other ‘transition minerals’ like cobalt (used in NMC type batteries) or manganese (used in both NMC and LMO type batteries), lithium is utilised amongst all lithium-ion battery types, heavily tying its future extraction to the growth in demand for such batteries.</w:t>
      </w:r>
      <w:r w:rsidR="00652FD5">
        <w:rPr>
          <w:rStyle w:val="FootnoteReference"/>
          <w:rFonts w:cstheme="minorHAnsi"/>
        </w:rPr>
        <w:footnoteReference w:id="12"/>
      </w:r>
      <w:r w:rsidR="00652FD5">
        <w:rPr>
          <w:rFonts w:cstheme="minorHAnsi"/>
        </w:rPr>
        <w:t xml:space="preserve"> As Jubilee Australia reports, such dependence is affirmed by lithium-ion batteries comprising ’65 per cent of lithium’s global end-use market’.</w:t>
      </w:r>
      <w:r w:rsidR="00652FD5">
        <w:rPr>
          <w:rStyle w:val="FootnoteReference"/>
          <w:rFonts w:cstheme="minorHAnsi"/>
        </w:rPr>
        <w:footnoteReference w:id="13"/>
      </w:r>
      <w:r w:rsidR="00652FD5">
        <w:rPr>
          <w:rFonts w:cstheme="minorHAnsi"/>
        </w:rPr>
        <w:t xml:space="preserve"> </w:t>
      </w:r>
    </w:p>
    <w:p w14:paraId="50352EE1" w14:textId="77777777" w:rsidR="00CE005F" w:rsidRDefault="00CE005F" w:rsidP="00A27D97">
      <w:pPr>
        <w:spacing w:after="0" w:line="240" w:lineRule="auto"/>
        <w:rPr>
          <w:rFonts w:cstheme="minorHAnsi"/>
        </w:rPr>
      </w:pPr>
    </w:p>
    <w:p w14:paraId="467AB43D" w14:textId="604168E8" w:rsidR="005727BD" w:rsidRPr="005011A5" w:rsidRDefault="005727BD" w:rsidP="00A27D97">
      <w:pPr>
        <w:spacing w:after="0" w:line="240" w:lineRule="auto"/>
        <w:rPr>
          <w:rFonts w:cstheme="minorHAnsi"/>
        </w:rPr>
      </w:pPr>
      <w:r w:rsidRPr="005011A5">
        <w:rPr>
          <w:rFonts w:cstheme="minorHAnsi"/>
        </w:rPr>
        <w:t>Lithium ore (most commonly spodumene) is extracted from pegmatites via traditional-type mining operations in several countries; Australia is the largest producer</w:t>
      </w:r>
      <w:r w:rsidR="004D6A77">
        <w:rPr>
          <w:rFonts w:cstheme="minorHAnsi"/>
        </w:rPr>
        <w:t xml:space="preserve"> (as well as being the largest single-nation exporter of lithium)</w:t>
      </w:r>
      <w:r w:rsidRPr="005011A5">
        <w:rPr>
          <w:rFonts w:cstheme="minorHAnsi"/>
        </w:rPr>
        <w:t>.</w:t>
      </w:r>
      <w:r w:rsidR="00D42243" w:rsidRPr="005011A5">
        <w:rPr>
          <w:rStyle w:val="FootnoteReference"/>
          <w:rFonts w:cstheme="minorHAnsi"/>
        </w:rPr>
        <w:t xml:space="preserve"> </w:t>
      </w:r>
      <w:r w:rsidR="00D42243" w:rsidRPr="005011A5">
        <w:rPr>
          <w:rStyle w:val="FootnoteReference"/>
          <w:rFonts w:cstheme="minorHAnsi"/>
        </w:rPr>
        <w:footnoteReference w:id="14"/>
      </w:r>
      <w:r w:rsidR="00D42243" w:rsidRPr="005011A5">
        <w:rPr>
          <w:rFonts w:cstheme="minorHAnsi"/>
        </w:rPr>
        <w:t xml:space="preserve"> </w:t>
      </w:r>
      <w:r w:rsidR="00175383">
        <w:rPr>
          <w:rFonts w:cstheme="minorHAnsi"/>
        </w:rPr>
        <w:t>E</w:t>
      </w:r>
      <w:r w:rsidR="00DB491A">
        <w:rPr>
          <w:rFonts w:cstheme="minorHAnsi"/>
        </w:rPr>
        <w:t xml:space="preserve">xtracting </w:t>
      </w:r>
      <w:r w:rsidR="005358A1">
        <w:rPr>
          <w:rFonts w:cstheme="minorHAnsi"/>
        </w:rPr>
        <w:t>spodumene lithium</w:t>
      </w:r>
      <w:r w:rsidR="00175383">
        <w:rPr>
          <w:rFonts w:cstheme="minorHAnsi"/>
        </w:rPr>
        <w:t xml:space="preserve"> is comparatively difficult (in relation to other methods) and</w:t>
      </w:r>
      <w:r w:rsidR="00AE3B96">
        <w:rPr>
          <w:rFonts w:cstheme="minorHAnsi"/>
        </w:rPr>
        <w:t xml:space="preserve"> the process is highly resource-intensive</w:t>
      </w:r>
      <w:r w:rsidR="00C06B8B">
        <w:rPr>
          <w:rFonts w:cstheme="minorHAnsi"/>
        </w:rPr>
        <w:t>,</w:t>
      </w:r>
      <w:r w:rsidR="006E3945">
        <w:rPr>
          <w:rFonts w:cstheme="minorHAnsi"/>
        </w:rPr>
        <w:t xml:space="preserve"> creat</w:t>
      </w:r>
      <w:r w:rsidR="00C06B8B">
        <w:rPr>
          <w:rFonts w:cstheme="minorHAnsi"/>
        </w:rPr>
        <w:t>ing</w:t>
      </w:r>
      <w:r w:rsidR="006E3945">
        <w:rPr>
          <w:rFonts w:cstheme="minorHAnsi"/>
        </w:rPr>
        <w:t xml:space="preserve"> significant waste</w:t>
      </w:r>
      <w:r w:rsidR="00AE3B96">
        <w:rPr>
          <w:rFonts w:cstheme="minorHAnsi"/>
        </w:rPr>
        <w:t>.</w:t>
      </w:r>
      <w:r w:rsidR="00D42243" w:rsidRPr="005011A5">
        <w:rPr>
          <w:rStyle w:val="FootnoteReference"/>
          <w:rFonts w:cstheme="minorHAnsi"/>
        </w:rPr>
        <w:footnoteReference w:id="15"/>
      </w:r>
      <w:r w:rsidR="00D42243" w:rsidRPr="005011A5">
        <w:rPr>
          <w:rFonts w:cstheme="minorHAnsi"/>
        </w:rPr>
        <w:t xml:space="preserve"> </w:t>
      </w:r>
      <w:r w:rsidRPr="005011A5">
        <w:rPr>
          <w:rFonts w:cstheme="minorHAnsi"/>
        </w:rPr>
        <w:t>However, a significant percentage of the world’s lithium reserves is found not in rock but in brine deposits. This lithium is easier and substantially cheaper to extract.</w:t>
      </w:r>
      <w:r w:rsidR="00D42243" w:rsidRPr="005011A5">
        <w:rPr>
          <w:rStyle w:val="FootnoteReference"/>
          <w:rFonts w:cstheme="minorHAnsi"/>
        </w:rPr>
        <w:footnoteReference w:id="16"/>
      </w:r>
      <w:r w:rsidR="00D42243" w:rsidRPr="005011A5">
        <w:rPr>
          <w:rFonts w:cstheme="minorHAnsi"/>
        </w:rPr>
        <w:t xml:space="preserve"> </w:t>
      </w:r>
      <w:r w:rsidRPr="005011A5">
        <w:rPr>
          <w:rFonts w:cstheme="minorHAnsi"/>
        </w:rPr>
        <w:t>Some 80% of lithium resources</w:t>
      </w:r>
      <w:r w:rsidR="00D42243" w:rsidRPr="005011A5">
        <w:rPr>
          <w:rStyle w:val="FootnoteReference"/>
          <w:rFonts w:cstheme="minorHAnsi"/>
        </w:rPr>
        <w:footnoteReference w:id="17"/>
      </w:r>
      <w:r w:rsidRPr="005011A5">
        <w:rPr>
          <w:rFonts w:cstheme="minorHAnsi"/>
        </w:rPr>
        <w:t xml:space="preserve"> of this type are contained in a relatively compact area of the Andes highlands that has been dubbed the ‘lithium </w:t>
      </w:r>
      <w:r w:rsidRPr="005011A5">
        <w:rPr>
          <w:rFonts w:cstheme="minorHAnsi"/>
        </w:rPr>
        <w:lastRenderedPageBreak/>
        <w:t>triangle’.</w:t>
      </w:r>
      <w:r w:rsidR="00D42243" w:rsidRPr="005011A5">
        <w:rPr>
          <w:rStyle w:val="FootnoteReference"/>
          <w:rFonts w:cstheme="minorHAnsi"/>
        </w:rPr>
        <w:footnoteReference w:id="18"/>
      </w:r>
      <w:r w:rsidR="00D42243" w:rsidRPr="005011A5">
        <w:rPr>
          <w:rFonts w:cstheme="minorHAnsi"/>
        </w:rPr>
        <w:t xml:space="preserve"> </w:t>
      </w:r>
      <w:r w:rsidRPr="005011A5">
        <w:rPr>
          <w:rFonts w:cstheme="minorHAnsi"/>
        </w:rPr>
        <w:t xml:space="preserve">The region, which covers northern Chile, </w:t>
      </w:r>
      <w:proofErr w:type="spellStart"/>
      <w:r w:rsidRPr="005011A5">
        <w:rPr>
          <w:rFonts w:cstheme="minorHAnsi"/>
        </w:rPr>
        <w:t>northwestern</w:t>
      </w:r>
      <w:proofErr w:type="spellEnd"/>
      <w:r w:rsidRPr="005011A5">
        <w:rPr>
          <w:rFonts w:cstheme="minorHAnsi"/>
        </w:rPr>
        <w:t xml:space="preserve"> Argentina and southwestern Bolivia, has over 50% of known global lithium resources and some 70% of lithium reserves,</w:t>
      </w:r>
      <w:r w:rsidR="007E3A23" w:rsidRPr="005011A5">
        <w:rPr>
          <w:rStyle w:val="FootnoteReference"/>
          <w:rFonts w:cstheme="minorHAnsi"/>
        </w:rPr>
        <w:footnoteReference w:id="19"/>
      </w:r>
      <w:r w:rsidRPr="005011A5">
        <w:rPr>
          <w:rFonts w:cstheme="minorHAnsi"/>
        </w:rPr>
        <w:t xml:space="preserve"> although as the price of lithium rises, these figures can shift fast. </w:t>
      </w:r>
    </w:p>
    <w:p w14:paraId="12E0CEB0" w14:textId="77777777" w:rsidR="00D42243" w:rsidRPr="005011A5" w:rsidRDefault="00D42243" w:rsidP="00A27D97">
      <w:pPr>
        <w:spacing w:after="0" w:line="240" w:lineRule="auto"/>
        <w:rPr>
          <w:rFonts w:cstheme="minorHAnsi"/>
        </w:rPr>
      </w:pPr>
    </w:p>
    <w:p w14:paraId="6C8C879B" w14:textId="20D8BBF2" w:rsidR="005727BD" w:rsidRPr="005011A5" w:rsidRDefault="005727BD" w:rsidP="00A27D97">
      <w:pPr>
        <w:spacing w:after="0" w:line="240" w:lineRule="auto"/>
        <w:rPr>
          <w:rFonts w:cstheme="minorHAnsi"/>
        </w:rPr>
      </w:pPr>
      <w:r w:rsidRPr="005011A5">
        <w:rPr>
          <w:rFonts w:cstheme="minorHAnsi"/>
        </w:rPr>
        <w:t>In the region there are several companies producing lithium and dozens more projects in the pipeline. There is downstream pressure to bring lithium projects online quickly, but brine lithium extraction in the region has been associated with significant potential impacts on the right to water,</w:t>
      </w:r>
      <w:r w:rsidR="007B128A" w:rsidRPr="005011A5">
        <w:rPr>
          <w:rStyle w:val="FootnoteReference"/>
          <w:rFonts w:cstheme="minorHAnsi"/>
        </w:rPr>
        <w:footnoteReference w:id="20"/>
      </w:r>
      <w:r w:rsidR="007B128A" w:rsidRPr="005011A5">
        <w:rPr>
          <w:rFonts w:cstheme="minorHAnsi"/>
        </w:rPr>
        <w:t xml:space="preserve"> </w:t>
      </w:r>
      <w:r w:rsidRPr="005011A5">
        <w:rPr>
          <w:rFonts w:cstheme="minorHAnsi"/>
        </w:rPr>
        <w:t>while local Indigenous communities maintain that their rights to consultation, free prior and informed consent, and self-determination are being inadequately respected when extractive concessions are granted by governments.</w:t>
      </w:r>
      <w:r w:rsidR="007B128A" w:rsidRPr="005011A5">
        <w:rPr>
          <w:rStyle w:val="FootnoteReference"/>
          <w:rFonts w:cstheme="minorHAnsi"/>
        </w:rPr>
        <w:footnoteReference w:id="21"/>
      </w:r>
      <w:r w:rsidRPr="005011A5">
        <w:rPr>
          <w:rFonts w:cstheme="minorHAnsi"/>
        </w:rPr>
        <w:t xml:space="preserve"> The long-term environmental impact of this type of extraction is little known, and community concerns about water are serious, particularly given the extreme aridity of the region and the compounding effects of climate change.  </w:t>
      </w:r>
    </w:p>
    <w:p w14:paraId="0646399F" w14:textId="77777777" w:rsidR="005727BD" w:rsidRPr="005011A5" w:rsidRDefault="005727BD" w:rsidP="00A27D97">
      <w:pPr>
        <w:spacing w:after="0" w:line="240" w:lineRule="auto"/>
        <w:rPr>
          <w:rFonts w:cstheme="minorHAnsi"/>
        </w:rPr>
      </w:pPr>
      <w:r w:rsidRPr="005011A5">
        <w:rPr>
          <w:rFonts w:cstheme="minorHAnsi"/>
        </w:rPr>
        <w:t xml:space="preserve">  </w:t>
      </w:r>
    </w:p>
    <w:p w14:paraId="0DE77201" w14:textId="77777777" w:rsidR="005727BD" w:rsidRPr="005011A5" w:rsidRDefault="005727BD" w:rsidP="00A27D97">
      <w:pPr>
        <w:spacing w:after="0" w:line="240" w:lineRule="auto"/>
        <w:rPr>
          <w:rFonts w:cstheme="minorHAnsi"/>
        </w:rPr>
      </w:pPr>
      <w:r w:rsidRPr="005011A5">
        <w:rPr>
          <w:rFonts w:cstheme="minorHAnsi"/>
          <w:b/>
        </w:rPr>
        <w:t>Mica</w:t>
      </w:r>
      <w:r w:rsidRPr="005011A5">
        <w:rPr>
          <w:rFonts w:cstheme="minorHAnsi"/>
        </w:rPr>
        <w:t xml:space="preserve"> </w:t>
      </w:r>
    </w:p>
    <w:p w14:paraId="030D4318" w14:textId="4862776E" w:rsidR="005727BD" w:rsidRPr="005011A5" w:rsidRDefault="005727BD" w:rsidP="00A27D97">
      <w:pPr>
        <w:spacing w:after="0" w:line="240" w:lineRule="auto"/>
        <w:rPr>
          <w:rFonts w:cstheme="minorHAnsi"/>
        </w:rPr>
      </w:pPr>
      <w:r w:rsidRPr="005011A5">
        <w:rPr>
          <w:rFonts w:cstheme="minorHAnsi"/>
        </w:rPr>
        <w:t>Muscovite mica is considered particularly valuable due to its capacity to insulate heat, resist significant voltages, and be significantly light and flexible.</w:t>
      </w:r>
      <w:r w:rsidR="007758EB" w:rsidRPr="005011A5">
        <w:rPr>
          <w:rStyle w:val="FootnoteReference"/>
          <w:rFonts w:cstheme="minorHAnsi"/>
        </w:rPr>
        <w:footnoteReference w:id="22"/>
      </w:r>
      <w:r w:rsidRPr="005011A5">
        <w:rPr>
          <w:rFonts w:cstheme="minorHAnsi"/>
        </w:rPr>
        <w:t xml:space="preserve"> For these reasons, the mineral has been extensively utilised as an insulation material. This is particularly the case in electronics (</w:t>
      </w:r>
      <w:proofErr w:type="spellStart"/>
      <w:r w:rsidRPr="005011A5">
        <w:rPr>
          <w:rFonts w:cstheme="minorHAnsi"/>
        </w:rPr>
        <w:t>ie</w:t>
      </w:r>
      <w:proofErr w:type="spellEnd"/>
      <w:r w:rsidRPr="005011A5">
        <w:rPr>
          <w:rFonts w:cstheme="minorHAnsi"/>
        </w:rPr>
        <w:t xml:space="preserve">. </w:t>
      </w:r>
      <w:r w:rsidR="00132BF6">
        <w:rPr>
          <w:rFonts w:cstheme="minorHAnsi"/>
        </w:rPr>
        <w:t>c</w:t>
      </w:r>
      <w:r w:rsidRPr="005011A5">
        <w:rPr>
          <w:rFonts w:cstheme="minorHAnsi"/>
        </w:rPr>
        <w:t>omputer parts) and electrical technology, which comprise 26% of the total-end usage of mica.</w:t>
      </w:r>
      <w:r w:rsidR="007758EB" w:rsidRPr="005011A5">
        <w:rPr>
          <w:rStyle w:val="FootnoteReference"/>
          <w:rFonts w:cstheme="minorHAnsi"/>
        </w:rPr>
        <w:footnoteReference w:id="23"/>
      </w:r>
      <w:r w:rsidRPr="005011A5">
        <w:rPr>
          <w:rFonts w:cstheme="minorHAnsi"/>
        </w:rPr>
        <w:t xml:space="preserve"> Electronic applications include computer circuit boards, sensors and lithium-ion batteries, all of which are currently used in the automotive industry or will be central to the shift to electric vehicles.</w:t>
      </w:r>
      <w:r w:rsidR="007758EB" w:rsidRPr="005011A5">
        <w:rPr>
          <w:rStyle w:val="FootnoteReference"/>
          <w:rFonts w:cstheme="minorHAnsi"/>
        </w:rPr>
        <w:footnoteReference w:id="24"/>
      </w:r>
      <w:r w:rsidRPr="005011A5">
        <w:rPr>
          <w:rFonts w:cstheme="minorHAnsi"/>
        </w:rPr>
        <w:t xml:space="preserve"> Electrical technologies use mica insulation to prevent unnecessary energy loss – a quality that is central to the shift to clean energy. </w:t>
      </w:r>
    </w:p>
    <w:p w14:paraId="3B0CB2A1" w14:textId="77777777" w:rsidR="007B128A" w:rsidRPr="005011A5" w:rsidRDefault="007B128A" w:rsidP="00A27D97">
      <w:pPr>
        <w:spacing w:after="0" w:line="240" w:lineRule="auto"/>
        <w:rPr>
          <w:rFonts w:cstheme="minorHAnsi"/>
        </w:rPr>
      </w:pPr>
    </w:p>
    <w:p w14:paraId="2ED3A212" w14:textId="048C8710" w:rsidR="005727BD" w:rsidRPr="005011A5" w:rsidRDefault="005727BD" w:rsidP="00A27D97">
      <w:pPr>
        <w:spacing w:after="0" w:line="240" w:lineRule="auto"/>
        <w:rPr>
          <w:rFonts w:cstheme="minorHAnsi"/>
        </w:rPr>
      </w:pPr>
      <w:r w:rsidRPr="005011A5">
        <w:rPr>
          <w:rFonts w:cstheme="minorHAnsi"/>
        </w:rPr>
        <w:t xml:space="preserve">It is important to note the different ways mica is mined, as this informs the geography of extraction and contemporary </w:t>
      </w:r>
      <w:r w:rsidR="00132BF6">
        <w:rPr>
          <w:rFonts w:cstheme="minorHAnsi"/>
        </w:rPr>
        <w:t>rights</w:t>
      </w:r>
      <w:r w:rsidRPr="005011A5">
        <w:rPr>
          <w:rFonts w:cstheme="minorHAnsi"/>
        </w:rPr>
        <w:t xml:space="preserve"> issues. Sheet mica – the preferred form of mica for electrical applications – requires the mineral to be picked, split and cut by hand in order to retain its delicate crystal structure.</w:t>
      </w:r>
      <w:r w:rsidR="00BD09C2" w:rsidRPr="005011A5">
        <w:rPr>
          <w:rStyle w:val="FootnoteReference"/>
          <w:rFonts w:cstheme="minorHAnsi"/>
        </w:rPr>
        <w:footnoteReference w:id="25"/>
      </w:r>
      <w:r w:rsidRPr="005011A5">
        <w:rPr>
          <w:rFonts w:cstheme="minorHAnsi"/>
        </w:rPr>
        <w:t xml:space="preserve"> This factor means that current mica mining requires human labour in sourcing countries, and there is a correlation between high-mica production and low-labour costs</w:t>
      </w:r>
      <w:r w:rsidR="00BD09C2" w:rsidRPr="005011A5">
        <w:rPr>
          <w:rFonts w:cstheme="minorHAnsi"/>
        </w:rPr>
        <w:t>.</w:t>
      </w:r>
      <w:r w:rsidR="00BD09C2" w:rsidRPr="005011A5">
        <w:rPr>
          <w:rStyle w:val="FootnoteReference"/>
          <w:rFonts w:cstheme="minorHAnsi"/>
        </w:rPr>
        <w:footnoteReference w:id="26"/>
      </w:r>
      <w:r w:rsidRPr="005011A5">
        <w:rPr>
          <w:rFonts w:cstheme="minorHAnsi"/>
        </w:rPr>
        <w:t xml:space="preserve"> This somewhat informs the dominant countries in the supply </w:t>
      </w:r>
      <w:r w:rsidR="005A1B8D">
        <w:rPr>
          <w:rFonts w:cstheme="minorHAnsi"/>
        </w:rPr>
        <w:t xml:space="preserve">chain </w:t>
      </w:r>
      <w:r w:rsidRPr="005011A5">
        <w:rPr>
          <w:rFonts w:cstheme="minorHAnsi"/>
        </w:rPr>
        <w:t xml:space="preserve">of mica, as extraction is more economically feasible in the Global South. </w:t>
      </w:r>
    </w:p>
    <w:p w14:paraId="7BB8E235" w14:textId="77777777" w:rsidR="007B128A" w:rsidRPr="005011A5" w:rsidRDefault="007B128A" w:rsidP="00A27D97">
      <w:pPr>
        <w:spacing w:after="0" w:line="240" w:lineRule="auto"/>
        <w:rPr>
          <w:rFonts w:cstheme="minorHAnsi"/>
        </w:rPr>
      </w:pPr>
    </w:p>
    <w:p w14:paraId="408ADFDB" w14:textId="394AD10C" w:rsidR="0057066B" w:rsidRPr="005011A5" w:rsidRDefault="0057066B" w:rsidP="0057066B">
      <w:pPr>
        <w:spacing w:after="0" w:line="240" w:lineRule="auto"/>
        <w:rPr>
          <w:rFonts w:cstheme="minorHAnsi"/>
        </w:rPr>
      </w:pPr>
      <w:r w:rsidRPr="005011A5">
        <w:rPr>
          <w:rFonts w:cstheme="minorHAnsi"/>
        </w:rPr>
        <w:t xml:space="preserve">At the core of the human rights issues associated with mining for mica is the prevalence of illegal mining operations in certain nations. This </w:t>
      </w:r>
      <w:r w:rsidR="005A1B8D">
        <w:rPr>
          <w:rFonts w:cstheme="minorHAnsi"/>
        </w:rPr>
        <w:t>issue</w:t>
      </w:r>
      <w:r w:rsidRPr="005011A5">
        <w:rPr>
          <w:rFonts w:cstheme="minorHAnsi"/>
        </w:rPr>
        <w:t xml:space="preserve"> is particularly prevalent in countries like India and Madagascar where the regulatory framework and government resources to prevent such activities are weak. </w:t>
      </w:r>
      <w:r w:rsidR="00193306">
        <w:rPr>
          <w:rFonts w:cstheme="minorHAnsi"/>
        </w:rPr>
        <w:t>Additionally</w:t>
      </w:r>
      <w:r w:rsidRPr="005011A5">
        <w:rPr>
          <w:rFonts w:cstheme="minorHAnsi"/>
        </w:rPr>
        <w:t xml:space="preserve">, SOMO argues that </w:t>
      </w:r>
      <w:proofErr w:type="gramStart"/>
      <w:r w:rsidRPr="005011A5">
        <w:rPr>
          <w:rFonts w:cstheme="minorHAnsi"/>
        </w:rPr>
        <w:t>the majority of</w:t>
      </w:r>
      <w:proofErr w:type="gramEnd"/>
      <w:r w:rsidRPr="005011A5">
        <w:rPr>
          <w:rFonts w:cstheme="minorHAnsi"/>
        </w:rPr>
        <w:t xml:space="preserve"> the mica mines operating in India are </w:t>
      </w:r>
      <w:r w:rsidRPr="005011A5">
        <w:rPr>
          <w:rFonts w:cstheme="minorHAnsi"/>
        </w:rPr>
        <w:lastRenderedPageBreak/>
        <w:t>illegal.</w:t>
      </w:r>
      <w:r w:rsidRPr="005011A5">
        <w:rPr>
          <w:rStyle w:val="FootnoteReference"/>
          <w:rFonts w:cstheme="minorHAnsi"/>
        </w:rPr>
        <w:footnoteReference w:id="27"/>
      </w:r>
      <w:r w:rsidRPr="005011A5">
        <w:rPr>
          <w:rFonts w:cstheme="minorHAnsi"/>
        </w:rPr>
        <w:t xml:space="preserve"> The operations of these mines, typically on the periphery of the state and with limited oversight, are more likely to become sites of serious concern for exploitation and rights abuses. </w:t>
      </w:r>
    </w:p>
    <w:p w14:paraId="2ABAA9E7" w14:textId="77777777" w:rsidR="0057066B" w:rsidRPr="005011A5" w:rsidRDefault="0057066B" w:rsidP="0057066B">
      <w:pPr>
        <w:spacing w:after="0" w:line="240" w:lineRule="auto"/>
        <w:rPr>
          <w:rFonts w:cstheme="minorHAnsi"/>
        </w:rPr>
      </w:pPr>
    </w:p>
    <w:p w14:paraId="5614D87C" w14:textId="692B282F" w:rsidR="0057066B" w:rsidRPr="005011A5" w:rsidRDefault="0057066B" w:rsidP="0057066B">
      <w:pPr>
        <w:spacing w:after="0" w:line="240" w:lineRule="auto"/>
        <w:rPr>
          <w:rFonts w:cstheme="minorHAnsi"/>
          <w:color w:val="0563C1"/>
        </w:rPr>
      </w:pPr>
      <w:r w:rsidRPr="005011A5">
        <w:rPr>
          <w:rFonts w:cstheme="minorHAnsi"/>
        </w:rPr>
        <w:t xml:space="preserve">The confluence of the small-scale nature of mica mining and its dominant presence in the </w:t>
      </w:r>
      <w:r w:rsidR="00EB1F21">
        <w:rPr>
          <w:rFonts w:cstheme="minorHAnsi"/>
        </w:rPr>
        <w:t>G</w:t>
      </w:r>
      <w:r w:rsidRPr="005011A5">
        <w:rPr>
          <w:rFonts w:cstheme="minorHAnsi"/>
        </w:rPr>
        <w:t xml:space="preserve">lobal </w:t>
      </w:r>
      <w:r w:rsidR="00EB1F21">
        <w:rPr>
          <w:rFonts w:cstheme="minorHAnsi"/>
        </w:rPr>
        <w:t>S</w:t>
      </w:r>
      <w:r w:rsidRPr="005011A5">
        <w:rPr>
          <w:rFonts w:cstheme="minorHAnsi"/>
        </w:rPr>
        <w:t>outh creates the conditions conducive to the presence of child labour. In Madagascar, mica mining is usually a whole-family occupation, including the children.</w:t>
      </w:r>
      <w:r w:rsidRPr="005011A5">
        <w:rPr>
          <w:rStyle w:val="FootnoteReference"/>
          <w:rFonts w:cstheme="minorHAnsi"/>
        </w:rPr>
        <w:footnoteReference w:id="28"/>
      </w:r>
      <w:hyperlink r:id="rId17" w:anchor="_edn15"/>
      <w:r w:rsidRPr="005011A5">
        <w:rPr>
          <w:rFonts w:cstheme="minorHAnsi"/>
        </w:rPr>
        <w:t xml:space="preserve"> However, children also work in other sectors of the industry like sorting. Such instances of child labour were also documented in India, and the issue is known to major transnational corporations.</w:t>
      </w:r>
      <w:r w:rsidRPr="005011A5">
        <w:rPr>
          <w:rStyle w:val="FootnoteReference"/>
          <w:rFonts w:cstheme="minorHAnsi"/>
        </w:rPr>
        <w:footnoteReference w:id="29"/>
      </w:r>
      <w:r w:rsidRPr="005011A5">
        <w:rPr>
          <w:rFonts w:cstheme="minorHAnsi"/>
        </w:rPr>
        <w:t xml:space="preserve"> In addition to child labour issues, working in mica mines attracts health risks. This is particularly the case in illegal mines where safety checks are minimal. </w:t>
      </w:r>
      <w:r w:rsidR="003B50C7">
        <w:rPr>
          <w:rFonts w:cstheme="minorHAnsi"/>
        </w:rPr>
        <w:t>P</w:t>
      </w:r>
      <w:r w:rsidRPr="005011A5">
        <w:rPr>
          <w:rFonts w:cstheme="minorHAnsi"/>
        </w:rPr>
        <w:t>rolonged exposure to mica without proper personal protective equipment can cause ‘mica pneumoconiosis’, a lung disease.</w:t>
      </w:r>
      <w:r w:rsidRPr="005011A5">
        <w:rPr>
          <w:rStyle w:val="FootnoteReference"/>
          <w:rFonts w:cstheme="minorHAnsi"/>
        </w:rPr>
        <w:footnoteReference w:id="30"/>
      </w:r>
      <w:r w:rsidRPr="005011A5">
        <w:rPr>
          <w:rFonts w:cstheme="minorHAnsi"/>
          <w:color w:val="0563C1"/>
        </w:rPr>
        <w:t xml:space="preserve"> </w:t>
      </w:r>
    </w:p>
    <w:p w14:paraId="0C0A066C" w14:textId="75166277" w:rsidR="005727BD" w:rsidRPr="005011A5" w:rsidRDefault="005727BD" w:rsidP="00A27D97">
      <w:pPr>
        <w:spacing w:after="0" w:line="240" w:lineRule="auto"/>
        <w:rPr>
          <w:rFonts w:cstheme="minorHAnsi"/>
        </w:rPr>
      </w:pPr>
    </w:p>
    <w:p w14:paraId="588F18CC" w14:textId="6EA892A4" w:rsidR="005727BD" w:rsidRPr="005011A5" w:rsidRDefault="005727BD" w:rsidP="00A27D97">
      <w:pPr>
        <w:spacing w:after="0" w:line="240" w:lineRule="auto"/>
        <w:rPr>
          <w:rFonts w:cstheme="minorHAnsi"/>
        </w:rPr>
      </w:pPr>
    </w:p>
    <w:p w14:paraId="738D311C" w14:textId="64F1E338" w:rsidR="0030235A" w:rsidRPr="00786485" w:rsidRDefault="005727BD" w:rsidP="00A27D97">
      <w:pPr>
        <w:pStyle w:val="Heading1"/>
        <w:spacing w:after="0" w:line="240" w:lineRule="auto"/>
        <w:rPr>
          <w:rFonts w:asciiTheme="minorHAnsi" w:hAnsiTheme="minorHAnsi" w:cstheme="minorHAnsi"/>
          <w:color w:val="000000" w:themeColor="text1"/>
          <w:szCs w:val="28"/>
          <w:lang w:val="en-GB"/>
        </w:rPr>
      </w:pPr>
      <w:bookmarkStart w:id="1" w:name="_Toc63261364"/>
      <w:bookmarkStart w:id="2" w:name="_Toc63335654"/>
      <w:r w:rsidRPr="00786485">
        <w:rPr>
          <w:rFonts w:asciiTheme="minorHAnsi" w:hAnsiTheme="minorHAnsi" w:cstheme="minorHAnsi"/>
          <w:color w:val="000000" w:themeColor="text1"/>
          <w:szCs w:val="28"/>
          <w:lang w:val="en-GB"/>
        </w:rPr>
        <w:t xml:space="preserve">Responses to UNWG questions </w:t>
      </w:r>
      <w:bookmarkEnd w:id="1"/>
      <w:bookmarkEnd w:id="2"/>
    </w:p>
    <w:p w14:paraId="14690E9A" w14:textId="1D61D4CF" w:rsidR="000B5FD6" w:rsidRPr="005011A5" w:rsidRDefault="000B5FD6" w:rsidP="00A27D97">
      <w:pPr>
        <w:spacing w:after="0" w:line="240" w:lineRule="auto"/>
        <w:rPr>
          <w:rFonts w:cstheme="minorHAnsi"/>
        </w:rPr>
      </w:pPr>
    </w:p>
    <w:p w14:paraId="7D44243F" w14:textId="77777777" w:rsidR="00A27D97" w:rsidRPr="00132CF8" w:rsidRDefault="00A27D97" w:rsidP="00A27D97">
      <w:pPr>
        <w:spacing w:after="0" w:line="240" w:lineRule="auto"/>
        <w:ind w:left="720" w:hanging="720"/>
        <w:rPr>
          <w:rFonts w:eastAsia="Times New Roman" w:cstheme="minorHAnsi"/>
          <w:b/>
          <w:bCs/>
          <w:i/>
          <w:iCs/>
          <w:lang w:val="en-AU" w:eastAsia="en-AU"/>
        </w:rPr>
      </w:pPr>
      <w:r w:rsidRPr="005011A5">
        <w:rPr>
          <w:rFonts w:eastAsia="Times New Roman" w:cstheme="minorHAnsi"/>
          <w:b/>
          <w:bCs/>
          <w:lang w:val="en-AU" w:eastAsia="en-AU"/>
        </w:rPr>
        <w:t xml:space="preserve">Q3 </w:t>
      </w:r>
      <w:r w:rsidRPr="005011A5">
        <w:rPr>
          <w:rFonts w:eastAsia="Times New Roman" w:cstheme="minorHAnsi"/>
          <w:b/>
          <w:bCs/>
          <w:lang w:val="en-AU" w:eastAsia="en-AU"/>
        </w:rPr>
        <w:tab/>
      </w:r>
      <w:r w:rsidRPr="004D42E1">
        <w:rPr>
          <w:rFonts w:eastAsia="Times New Roman" w:cstheme="minorHAnsi"/>
          <w:b/>
          <w:bCs/>
          <w:i/>
          <w:iCs/>
          <w:lang w:val="en-AU" w:eastAsia="en-AU"/>
        </w:rPr>
        <w:t xml:space="preserve">What mechanisms or processes should exist at the State level (e.g., inter-ministerial committee, ex ante human rights impact and risk assessment) to assess and ensure that extractive sector operations, including the production and distribution of transition minerals, do not impact negatively human rights? Are these measures effectively enforced and do they provide the necessary coverage </w:t>
      </w:r>
      <w:proofErr w:type="gramStart"/>
      <w:r w:rsidRPr="004D42E1">
        <w:rPr>
          <w:rFonts w:eastAsia="Times New Roman" w:cstheme="minorHAnsi"/>
          <w:b/>
          <w:bCs/>
          <w:i/>
          <w:iCs/>
          <w:lang w:val="en-AU" w:eastAsia="en-AU"/>
        </w:rPr>
        <w:t>in light of</w:t>
      </w:r>
      <w:proofErr w:type="gramEnd"/>
      <w:r w:rsidRPr="004D42E1">
        <w:rPr>
          <w:rFonts w:eastAsia="Times New Roman" w:cstheme="minorHAnsi"/>
          <w:b/>
          <w:bCs/>
          <w:i/>
          <w:iCs/>
          <w:lang w:val="en-AU" w:eastAsia="en-AU"/>
        </w:rPr>
        <w:t xml:space="preserve"> energy transition plans, programs and activities?</w:t>
      </w:r>
    </w:p>
    <w:p w14:paraId="3A2F87CA" w14:textId="77777777" w:rsidR="00A27D97" w:rsidRPr="00132CF8" w:rsidRDefault="00A27D97" w:rsidP="00A27D97">
      <w:pPr>
        <w:spacing w:after="0" w:line="240" w:lineRule="auto"/>
        <w:ind w:left="720" w:hanging="720"/>
        <w:rPr>
          <w:rFonts w:eastAsia="Times New Roman" w:cstheme="minorHAnsi"/>
          <w:b/>
          <w:bCs/>
          <w:i/>
          <w:iCs/>
          <w:lang w:val="en-AU" w:eastAsia="en-AU"/>
        </w:rPr>
      </w:pPr>
    </w:p>
    <w:p w14:paraId="6BD28C95" w14:textId="15E95C6C" w:rsidR="00DB16FE" w:rsidRDefault="003E5614" w:rsidP="002A76D9">
      <w:pPr>
        <w:rPr>
          <w:lang w:val="en-AU" w:eastAsia="en-AU"/>
        </w:rPr>
      </w:pPr>
      <w:r>
        <w:rPr>
          <w:lang w:val="en-AU" w:eastAsia="en-AU"/>
        </w:rPr>
        <w:t xml:space="preserve">With significant demands on states in terms of guaranteeing their own energy security as well as a scramble to bring new transition mineral mines online </w:t>
      </w:r>
      <w:r w:rsidR="002A76D9">
        <w:rPr>
          <w:lang w:val="en-AU" w:eastAsia="en-AU"/>
        </w:rPr>
        <w:t>for foreign investment</w:t>
      </w:r>
      <w:r w:rsidR="00AC766E">
        <w:rPr>
          <w:lang w:val="en-AU" w:eastAsia="en-AU"/>
        </w:rPr>
        <w:t xml:space="preserve"> or</w:t>
      </w:r>
      <w:r>
        <w:rPr>
          <w:lang w:val="en-AU" w:eastAsia="en-AU"/>
        </w:rPr>
        <w:t xml:space="preserve"> export revenue</w:t>
      </w:r>
      <w:r w:rsidR="00AC766E">
        <w:rPr>
          <w:lang w:val="en-AU" w:eastAsia="en-AU"/>
        </w:rPr>
        <w:t xml:space="preserve">, the dangers of environmental and social safeguards being </w:t>
      </w:r>
      <w:r w:rsidR="001A3A65">
        <w:rPr>
          <w:lang w:val="en-AU" w:eastAsia="en-AU"/>
        </w:rPr>
        <w:t>bypassed or watered-down is high in the context of the energy transition.</w:t>
      </w:r>
    </w:p>
    <w:p w14:paraId="72293641" w14:textId="6123B735" w:rsidR="00DE45CA" w:rsidRPr="00DE45CA" w:rsidRDefault="00BC3E6F" w:rsidP="00DE45CA">
      <w:pPr>
        <w:rPr>
          <w:i/>
          <w:iCs/>
          <w:lang w:val="en-AU" w:eastAsia="en-AU"/>
        </w:rPr>
      </w:pPr>
      <w:r>
        <w:rPr>
          <w:lang w:val="en-AU" w:eastAsia="en-AU"/>
        </w:rPr>
        <w:t>Moreover</w:t>
      </w:r>
      <w:r w:rsidR="000412F7">
        <w:rPr>
          <w:lang w:val="en-AU" w:eastAsia="en-AU"/>
        </w:rPr>
        <w:t xml:space="preserve">, </w:t>
      </w:r>
      <w:r w:rsidR="00DE45CA" w:rsidRPr="00DE45CA">
        <w:rPr>
          <w:lang w:val="en-AU" w:eastAsia="en-AU"/>
        </w:rPr>
        <w:t xml:space="preserve">lack of coordination across government </w:t>
      </w:r>
      <w:r w:rsidR="000412F7">
        <w:rPr>
          <w:lang w:val="en-AU" w:eastAsia="en-AU"/>
        </w:rPr>
        <w:t>in this context can</w:t>
      </w:r>
      <w:r w:rsidR="00DE45CA" w:rsidRPr="00DE45CA">
        <w:rPr>
          <w:lang w:val="en-AU" w:eastAsia="en-AU"/>
        </w:rPr>
        <w:t xml:space="preserve"> seriously prejudice rights outcomes. </w:t>
      </w:r>
      <w:r w:rsidR="000412F7">
        <w:rPr>
          <w:lang w:val="en-AU" w:eastAsia="en-AU"/>
        </w:rPr>
        <w:t>Project impact assessments</w:t>
      </w:r>
      <w:r w:rsidR="00DE45CA" w:rsidRPr="00DE45CA">
        <w:rPr>
          <w:lang w:val="en-AU" w:eastAsia="en-AU"/>
        </w:rPr>
        <w:t xml:space="preserve"> </w:t>
      </w:r>
      <w:r w:rsidR="000412F7">
        <w:rPr>
          <w:lang w:val="en-AU" w:eastAsia="en-AU"/>
        </w:rPr>
        <w:t xml:space="preserve">in many jurisdictions are processed </w:t>
      </w:r>
      <w:r w:rsidR="00DE45CA" w:rsidRPr="00DE45CA">
        <w:rPr>
          <w:lang w:val="en-AU" w:eastAsia="en-AU"/>
        </w:rPr>
        <w:t>individually without regard for the combined impact of mining projects, the</w:t>
      </w:r>
      <w:r w:rsidR="000412F7">
        <w:rPr>
          <w:lang w:val="en-AU" w:eastAsia="en-AU"/>
        </w:rPr>
        <w:t>re is frequently</w:t>
      </w:r>
      <w:r w:rsidR="00DE45CA" w:rsidRPr="00DE45CA">
        <w:rPr>
          <w:lang w:val="en-AU" w:eastAsia="en-AU"/>
        </w:rPr>
        <w:t xml:space="preserve"> inadequate interaction between Indigenous affairs bodies and mining and environmental ones. </w:t>
      </w:r>
      <w:r w:rsidR="004747A1">
        <w:rPr>
          <w:lang w:val="en-AU" w:eastAsia="en-AU"/>
        </w:rPr>
        <w:t xml:space="preserve">For example, in the context of lithium, a </w:t>
      </w:r>
      <w:r w:rsidR="00DE45CA" w:rsidRPr="00DE45CA">
        <w:rPr>
          <w:lang w:val="en-AU" w:eastAsia="en-AU"/>
        </w:rPr>
        <w:t>report recommends: ‘a process of strategic landscape-level planning that was informed by ongoing hydrological studies, biodiversity data, mineral resource mapping, and local stakeholder community engagement and input’</w:t>
      </w:r>
      <w:r w:rsidR="008F486F">
        <w:rPr>
          <w:lang w:val="en-AU" w:eastAsia="en-AU"/>
        </w:rPr>
        <w:t>.</w:t>
      </w:r>
      <w:r w:rsidR="008F486F">
        <w:rPr>
          <w:rStyle w:val="FootnoteReference"/>
          <w:lang w:val="en-AU" w:eastAsia="en-AU"/>
        </w:rPr>
        <w:footnoteReference w:id="31"/>
      </w:r>
    </w:p>
    <w:p w14:paraId="53EA5383" w14:textId="210546FF" w:rsidR="00DE45CA" w:rsidRDefault="009561E8" w:rsidP="002A76D9">
      <w:pPr>
        <w:rPr>
          <w:lang w:val="en-AU" w:eastAsia="en-AU"/>
        </w:rPr>
      </w:pPr>
      <w:r>
        <w:rPr>
          <w:lang w:val="en-AU" w:eastAsia="en-AU"/>
        </w:rPr>
        <w:t xml:space="preserve">National Action Plans have the potential to coordinate </w:t>
      </w:r>
      <w:r w:rsidR="001E040C">
        <w:rPr>
          <w:lang w:val="en-AU" w:eastAsia="en-AU"/>
        </w:rPr>
        <w:t>responses of this sort</w:t>
      </w:r>
      <w:r>
        <w:rPr>
          <w:lang w:val="en-AU" w:eastAsia="en-AU"/>
        </w:rPr>
        <w:t xml:space="preserve"> across government departments</w:t>
      </w:r>
      <w:r w:rsidR="001E040C">
        <w:rPr>
          <w:lang w:val="en-AU" w:eastAsia="en-AU"/>
        </w:rPr>
        <w:t xml:space="preserve"> but </w:t>
      </w:r>
      <w:r w:rsidR="00EA5329">
        <w:rPr>
          <w:lang w:val="en-AU" w:eastAsia="en-AU"/>
        </w:rPr>
        <w:t xml:space="preserve">a body that </w:t>
      </w:r>
      <w:r w:rsidR="00B14365">
        <w:rPr>
          <w:lang w:val="en-AU" w:eastAsia="en-AU"/>
        </w:rPr>
        <w:t>has oversight and accountability for implementation likely needs to be in place for them to be effective.</w:t>
      </w:r>
      <w:r w:rsidR="00591CB6">
        <w:rPr>
          <w:lang w:val="en-AU" w:eastAsia="en-AU"/>
        </w:rPr>
        <w:t xml:space="preserve"> It is also important for National Action Plans to include clear timelines and</w:t>
      </w:r>
      <w:r w:rsidR="00285A9A">
        <w:rPr>
          <w:lang w:val="en-AU" w:eastAsia="en-AU"/>
        </w:rPr>
        <w:t xml:space="preserve"> KPIs to ensure transparency and accountability over the actions of all stakeholders to better ensure their effectiveness.</w:t>
      </w:r>
    </w:p>
    <w:p w14:paraId="5BCAC647" w14:textId="77777777" w:rsidR="00720B88" w:rsidRDefault="00720B88" w:rsidP="00A27D97">
      <w:pPr>
        <w:spacing w:after="0" w:line="240" w:lineRule="auto"/>
        <w:ind w:left="720" w:hanging="720"/>
        <w:rPr>
          <w:rFonts w:eastAsia="Times New Roman" w:cstheme="minorHAnsi"/>
          <w:lang w:val="en-AU" w:eastAsia="en-AU"/>
        </w:rPr>
      </w:pPr>
    </w:p>
    <w:p w14:paraId="7156C3BC" w14:textId="77777777" w:rsidR="00720B88" w:rsidRPr="000201C4" w:rsidRDefault="00720B88" w:rsidP="00A27D97">
      <w:pPr>
        <w:spacing w:after="0" w:line="240" w:lineRule="auto"/>
        <w:ind w:left="720" w:hanging="720"/>
        <w:rPr>
          <w:rFonts w:eastAsia="Times New Roman" w:cstheme="minorHAnsi"/>
          <w:lang w:val="en-AU" w:eastAsia="en-AU"/>
        </w:rPr>
      </w:pPr>
    </w:p>
    <w:p w14:paraId="4066DD68" w14:textId="77777777" w:rsidR="00DB16FE" w:rsidRPr="00132CF8" w:rsidRDefault="00DB16FE" w:rsidP="00A27D97">
      <w:pPr>
        <w:spacing w:after="0" w:line="240" w:lineRule="auto"/>
        <w:ind w:left="720" w:hanging="720"/>
        <w:rPr>
          <w:rFonts w:eastAsia="Times New Roman" w:cstheme="minorHAnsi"/>
          <w:b/>
          <w:bCs/>
          <w:i/>
          <w:iCs/>
          <w:lang w:val="en-AU" w:eastAsia="en-AU"/>
        </w:rPr>
      </w:pPr>
    </w:p>
    <w:p w14:paraId="4C791072" w14:textId="77777777" w:rsidR="00A27D97" w:rsidRPr="00132CF8" w:rsidRDefault="00A27D97" w:rsidP="00A27D97">
      <w:pPr>
        <w:spacing w:after="0" w:line="240" w:lineRule="auto"/>
        <w:ind w:left="720" w:hanging="720"/>
        <w:rPr>
          <w:rFonts w:eastAsia="Times New Roman" w:cstheme="minorHAnsi"/>
          <w:b/>
          <w:bCs/>
          <w:i/>
          <w:iCs/>
          <w:lang w:val="en-AU" w:eastAsia="en-AU"/>
        </w:rPr>
      </w:pPr>
      <w:r w:rsidRPr="00132CF8">
        <w:rPr>
          <w:rFonts w:eastAsia="Times New Roman" w:cstheme="minorHAnsi"/>
          <w:b/>
          <w:bCs/>
          <w:i/>
          <w:iCs/>
          <w:lang w:val="en-AU" w:eastAsia="en-AU"/>
        </w:rPr>
        <w:t>Q13</w:t>
      </w:r>
      <w:r w:rsidRPr="00132CF8">
        <w:rPr>
          <w:rFonts w:eastAsia="Times New Roman" w:cstheme="minorHAnsi"/>
          <w:b/>
          <w:bCs/>
          <w:i/>
          <w:iCs/>
          <w:lang w:val="en-AU" w:eastAsia="en-AU"/>
        </w:rPr>
        <w:tab/>
      </w:r>
      <w:r w:rsidRPr="00D9207F">
        <w:rPr>
          <w:rFonts w:eastAsia="Times New Roman" w:cstheme="minorHAnsi"/>
          <w:b/>
          <w:bCs/>
          <w:i/>
          <w:iCs/>
          <w:lang w:val="en-AU" w:eastAsia="en-AU"/>
        </w:rPr>
        <w:t>Should concessions, contracts, and legislation require all business</w:t>
      </w:r>
      <w:r w:rsidRPr="00132CF8">
        <w:rPr>
          <w:rFonts w:eastAsia="Times New Roman" w:cstheme="minorHAnsi"/>
          <w:b/>
          <w:bCs/>
          <w:i/>
          <w:iCs/>
          <w:lang w:val="en-AU" w:eastAsia="en-AU"/>
        </w:rPr>
        <w:t xml:space="preserve"> </w:t>
      </w:r>
      <w:r w:rsidRPr="00D9207F">
        <w:rPr>
          <w:rFonts w:eastAsia="Times New Roman" w:cstheme="minorHAnsi"/>
          <w:b/>
          <w:bCs/>
          <w:i/>
          <w:iCs/>
          <w:lang w:val="en-AU" w:eastAsia="en-AU"/>
        </w:rPr>
        <w:t>enterprises producing, purchasing, processing, and distributing transition minerals to apply and implement human rights-based impact and risk assessments and due diligence standards, including gender-responsive HRDD and heightened HRDD for conflict-affected areas? If so, how could such processes ensure meaningful participation of impacted communities, particularly vulnerable and historically excluded groups? </w:t>
      </w:r>
    </w:p>
    <w:p w14:paraId="105B6EE5" w14:textId="77777777" w:rsidR="00DB16FE" w:rsidRPr="005011A5" w:rsidRDefault="00DB16FE" w:rsidP="00A27D97">
      <w:pPr>
        <w:spacing w:after="0" w:line="240" w:lineRule="auto"/>
        <w:ind w:left="720" w:hanging="720"/>
        <w:rPr>
          <w:rFonts w:eastAsia="Times New Roman" w:cstheme="minorHAnsi"/>
          <w:b/>
          <w:bCs/>
          <w:lang w:val="en-AU" w:eastAsia="en-AU"/>
        </w:rPr>
      </w:pPr>
    </w:p>
    <w:p w14:paraId="16685BD6" w14:textId="37B18139" w:rsidR="00DB16FE" w:rsidRDefault="00715D8B" w:rsidP="00715D8B">
      <w:pPr>
        <w:autoSpaceDE w:val="0"/>
        <w:autoSpaceDN w:val="0"/>
        <w:adjustRightInd w:val="0"/>
        <w:spacing w:after="0" w:line="240" w:lineRule="auto"/>
        <w:rPr>
          <w:rFonts w:cstheme="minorHAnsi"/>
          <w:color w:val="000000"/>
          <w:lang w:val="en-AU"/>
        </w:rPr>
      </w:pPr>
      <w:r w:rsidRPr="00B75241">
        <w:rPr>
          <w:rFonts w:cstheme="minorHAnsi"/>
          <w:b/>
          <w:bCs/>
          <w:color w:val="000000"/>
          <w:lang w:val="en-AU"/>
        </w:rPr>
        <w:t>HRDD must be co-designed and implemented in partnership with rightsholders:</w:t>
      </w:r>
      <w:r w:rsidR="008921E2" w:rsidRPr="00B75241">
        <w:rPr>
          <w:rFonts w:cstheme="minorHAnsi"/>
          <w:lang w:val="en-AU"/>
        </w:rPr>
        <w:t xml:space="preserve"> </w:t>
      </w:r>
      <w:r w:rsidR="00E36F4C" w:rsidRPr="00B75241">
        <w:rPr>
          <w:rFonts w:cstheme="minorHAnsi"/>
          <w:lang w:val="en-AU"/>
        </w:rPr>
        <w:t>R</w:t>
      </w:r>
      <w:r w:rsidR="00DA0642" w:rsidRPr="00B75241">
        <w:rPr>
          <w:rFonts w:cstheme="minorHAnsi"/>
          <w:lang w:val="en-AU"/>
        </w:rPr>
        <w:t>ights holders</w:t>
      </w:r>
      <w:r w:rsidR="00BE494F" w:rsidRPr="00B75241">
        <w:rPr>
          <w:rFonts w:cstheme="minorHAnsi"/>
          <w:lang w:val="en-AU"/>
        </w:rPr>
        <w:t xml:space="preserve"> </w:t>
      </w:r>
      <w:r w:rsidR="00DA0642" w:rsidRPr="00B75241">
        <w:rPr>
          <w:rFonts w:cstheme="minorHAnsi"/>
          <w:lang w:val="en-AU"/>
        </w:rPr>
        <w:t xml:space="preserve">are crucial to </w:t>
      </w:r>
      <w:r w:rsidR="00E36F4C" w:rsidRPr="00B75241">
        <w:rPr>
          <w:rFonts w:cstheme="minorHAnsi"/>
          <w:lang w:val="en-AU"/>
        </w:rPr>
        <w:t xml:space="preserve">implementing </w:t>
      </w:r>
      <w:r w:rsidR="00DA0642" w:rsidRPr="00B75241">
        <w:rPr>
          <w:rFonts w:cstheme="minorHAnsi"/>
          <w:lang w:val="en-AU"/>
        </w:rPr>
        <w:t>a</w:t>
      </w:r>
      <w:r w:rsidR="00E36F4C" w:rsidRPr="00B75241">
        <w:rPr>
          <w:rFonts w:cstheme="minorHAnsi"/>
          <w:lang w:val="en-AU"/>
        </w:rPr>
        <w:t>n effective</w:t>
      </w:r>
      <w:r w:rsidR="00DA0642" w:rsidRPr="00B75241">
        <w:rPr>
          <w:rFonts w:cstheme="minorHAnsi"/>
          <w:lang w:val="en-AU"/>
        </w:rPr>
        <w:t xml:space="preserve"> HRDD process. </w:t>
      </w:r>
      <w:r w:rsidR="005F4883" w:rsidRPr="00B75241">
        <w:rPr>
          <w:rFonts w:cstheme="minorHAnsi"/>
          <w:lang w:val="en-AU"/>
        </w:rPr>
        <w:t>In developing and implementing HRDD</w:t>
      </w:r>
      <w:r w:rsidR="0006753B">
        <w:rPr>
          <w:rFonts w:cstheme="minorHAnsi"/>
          <w:lang w:val="en-AU"/>
        </w:rPr>
        <w:t>,</w:t>
      </w:r>
      <w:r w:rsidR="005F4883" w:rsidRPr="00B75241">
        <w:rPr>
          <w:rFonts w:cstheme="minorHAnsi"/>
          <w:lang w:val="en-AU"/>
        </w:rPr>
        <w:t xml:space="preserve"> </w:t>
      </w:r>
      <w:r w:rsidR="00BE494F" w:rsidRPr="00B75241">
        <w:rPr>
          <w:rFonts w:cstheme="minorHAnsi"/>
          <w:lang w:val="en-AU"/>
        </w:rPr>
        <w:t xml:space="preserve">it is critical to ensure that </w:t>
      </w:r>
      <w:r w:rsidRPr="00B75241">
        <w:rPr>
          <w:rFonts w:cstheme="minorHAnsi"/>
          <w:lang w:val="en-AU"/>
        </w:rPr>
        <w:t>the process</w:t>
      </w:r>
      <w:r w:rsidR="005F4883" w:rsidRPr="00B75241">
        <w:rPr>
          <w:rFonts w:cstheme="minorHAnsi"/>
          <w:lang w:val="en-AU"/>
        </w:rPr>
        <w:t xml:space="preserve"> institutionalises</w:t>
      </w:r>
      <w:r w:rsidR="00BE494F" w:rsidRPr="00B75241">
        <w:rPr>
          <w:rFonts w:cstheme="minorHAnsi"/>
          <w:lang w:val="en-AU"/>
        </w:rPr>
        <w:t xml:space="preserve"> </w:t>
      </w:r>
      <w:r w:rsidR="005F4883" w:rsidRPr="00B75241">
        <w:rPr>
          <w:rFonts w:cstheme="minorHAnsi"/>
          <w:lang w:val="en-AU"/>
        </w:rPr>
        <w:t>mechanisms by which rights holders (who are likely to be workers,</w:t>
      </w:r>
      <w:r w:rsidR="00BE494F" w:rsidRPr="00B75241">
        <w:rPr>
          <w:rFonts w:cstheme="minorHAnsi"/>
          <w:lang w:val="en-AU"/>
        </w:rPr>
        <w:t xml:space="preserve"> </w:t>
      </w:r>
      <w:r w:rsidR="005F4883" w:rsidRPr="00B75241">
        <w:rPr>
          <w:rFonts w:cstheme="minorHAnsi"/>
          <w:lang w:val="en-AU"/>
        </w:rPr>
        <w:t xml:space="preserve">local </w:t>
      </w:r>
      <w:proofErr w:type="gramStart"/>
      <w:r w:rsidR="005F4883" w:rsidRPr="00B75241">
        <w:rPr>
          <w:rFonts w:cstheme="minorHAnsi"/>
          <w:lang w:val="en-AU"/>
        </w:rPr>
        <w:t>communities</w:t>
      </w:r>
      <w:proofErr w:type="gramEnd"/>
      <w:r w:rsidR="005F4883" w:rsidRPr="00B75241">
        <w:rPr>
          <w:rFonts w:cstheme="minorHAnsi"/>
          <w:lang w:val="en-AU"/>
        </w:rPr>
        <w:t xml:space="preserve"> and others) may meaningfully challenge corporate practices. </w:t>
      </w:r>
      <w:r w:rsidR="007F188C" w:rsidRPr="00B75241">
        <w:rPr>
          <w:rFonts w:cstheme="minorHAnsi"/>
          <w:lang w:val="en-AU"/>
        </w:rPr>
        <w:t>‘If HRDD is defined by policies and practices that prioritize process over outcomes, then it will be a less effective mechanism for preventing corporate human</w:t>
      </w:r>
      <w:r w:rsidRPr="00B75241">
        <w:rPr>
          <w:rFonts w:cstheme="minorHAnsi"/>
          <w:lang w:val="en-AU"/>
        </w:rPr>
        <w:t xml:space="preserve"> </w:t>
      </w:r>
      <w:r w:rsidR="002B4D50" w:rsidRPr="00B75241">
        <w:rPr>
          <w:rFonts w:cstheme="minorHAnsi"/>
          <w:color w:val="000000"/>
          <w:lang w:val="en-AU"/>
        </w:rPr>
        <w:t xml:space="preserve">right impacts and instead be a legitimization exercise for corporate </w:t>
      </w:r>
      <w:proofErr w:type="gramStart"/>
      <w:r w:rsidR="002B4D50" w:rsidRPr="00B75241">
        <w:rPr>
          <w:rFonts w:cstheme="minorHAnsi"/>
          <w:color w:val="000000"/>
          <w:lang w:val="en-AU"/>
        </w:rPr>
        <w:t>operations’</w:t>
      </w:r>
      <w:proofErr w:type="gramEnd"/>
      <w:r w:rsidR="002B4D50" w:rsidRPr="00B75241">
        <w:rPr>
          <w:rFonts w:cstheme="minorHAnsi"/>
          <w:color w:val="000000"/>
          <w:lang w:val="en-AU"/>
        </w:rPr>
        <w:t>.</w:t>
      </w:r>
      <w:r w:rsidR="002B4D50" w:rsidRPr="00B75241">
        <w:rPr>
          <w:rStyle w:val="FootnoteReference"/>
          <w:rFonts w:cstheme="minorHAnsi"/>
          <w:color w:val="000000"/>
          <w:lang w:val="en-AU"/>
        </w:rPr>
        <w:footnoteReference w:id="32"/>
      </w:r>
      <w:r w:rsidR="00C27956" w:rsidRPr="00B75241">
        <w:rPr>
          <w:rFonts w:cstheme="minorHAnsi"/>
          <w:color w:val="000000"/>
          <w:lang w:val="en-AU"/>
        </w:rPr>
        <w:t xml:space="preserve"> </w:t>
      </w:r>
    </w:p>
    <w:p w14:paraId="65E5A31A" w14:textId="77777777" w:rsidR="00FD1C0F" w:rsidRDefault="00FD1C0F" w:rsidP="00715D8B">
      <w:pPr>
        <w:autoSpaceDE w:val="0"/>
        <w:autoSpaceDN w:val="0"/>
        <w:adjustRightInd w:val="0"/>
        <w:spacing w:after="0" w:line="240" w:lineRule="auto"/>
        <w:rPr>
          <w:rFonts w:cstheme="minorHAnsi"/>
          <w:color w:val="000000"/>
          <w:lang w:val="en-AU"/>
        </w:rPr>
      </w:pPr>
    </w:p>
    <w:p w14:paraId="3F30EC65" w14:textId="55262173" w:rsidR="00FE4778" w:rsidRPr="005E7A65" w:rsidRDefault="00FD1C0F" w:rsidP="00FE4778">
      <w:pPr>
        <w:autoSpaceDE w:val="0"/>
        <w:autoSpaceDN w:val="0"/>
        <w:adjustRightInd w:val="0"/>
        <w:spacing w:after="0" w:line="240" w:lineRule="auto"/>
        <w:rPr>
          <w:rFonts w:cstheme="minorHAnsi"/>
          <w:color w:val="000000"/>
          <w:lang w:val="en-AU"/>
        </w:rPr>
      </w:pPr>
      <w:r w:rsidRPr="005E7A65">
        <w:rPr>
          <w:rFonts w:cstheme="minorHAnsi"/>
          <w:b/>
          <w:bCs/>
          <w:lang w:val="en-AU"/>
        </w:rPr>
        <w:t>HRDD should be mandated by the state in a manner that provides clarity around its scope and includes an appropriate enforcement framework to engender compliance:</w:t>
      </w:r>
      <w:r w:rsidR="00FE4778" w:rsidRPr="005E7A65">
        <w:rPr>
          <w:rFonts w:cstheme="minorHAnsi"/>
          <w:b/>
          <w:bCs/>
          <w:lang w:val="en-AU"/>
        </w:rPr>
        <w:t xml:space="preserve"> </w:t>
      </w:r>
      <w:r w:rsidR="00FE4778" w:rsidRPr="005E7A65">
        <w:rPr>
          <w:rFonts w:cstheme="minorHAnsi"/>
          <w:color w:val="000000"/>
          <w:lang w:val="en-AU"/>
        </w:rPr>
        <w:t xml:space="preserve">Laws focused </w:t>
      </w:r>
      <w:proofErr w:type="gramStart"/>
      <w:r w:rsidR="00FE4778" w:rsidRPr="005E7A65">
        <w:rPr>
          <w:rFonts w:cstheme="minorHAnsi"/>
          <w:color w:val="000000"/>
          <w:lang w:val="en-AU"/>
        </w:rPr>
        <w:t>simply</w:t>
      </w:r>
      <w:proofErr w:type="gramEnd"/>
    </w:p>
    <w:p w14:paraId="18137330" w14:textId="4640C903" w:rsidR="00FD1C0F" w:rsidRPr="005E7A65" w:rsidRDefault="00FE4778" w:rsidP="005E7A65">
      <w:pPr>
        <w:autoSpaceDE w:val="0"/>
        <w:autoSpaceDN w:val="0"/>
        <w:adjustRightInd w:val="0"/>
        <w:spacing w:after="0" w:line="240" w:lineRule="auto"/>
        <w:rPr>
          <w:rFonts w:cstheme="minorHAnsi"/>
          <w:b/>
          <w:bCs/>
          <w:color w:val="000000"/>
          <w:lang w:val="en-AU"/>
        </w:rPr>
      </w:pPr>
      <w:r w:rsidRPr="005E7A65">
        <w:rPr>
          <w:rFonts w:cstheme="minorHAnsi"/>
          <w:color w:val="000000"/>
          <w:lang w:val="en-AU"/>
        </w:rPr>
        <w:t>on disclosure or reporting of risks have had limited success in improving business</w:t>
      </w:r>
      <w:r w:rsidR="005E7A65" w:rsidRPr="005E7A65">
        <w:rPr>
          <w:rFonts w:cstheme="minorHAnsi"/>
          <w:color w:val="000000"/>
          <w:lang w:val="en-AU"/>
        </w:rPr>
        <w:t xml:space="preserve"> </w:t>
      </w:r>
      <w:r w:rsidRPr="005E7A65">
        <w:rPr>
          <w:rFonts w:cstheme="minorHAnsi"/>
          <w:color w:val="000000"/>
          <w:lang w:val="en-AU"/>
        </w:rPr>
        <w:t>practices or providing accountability for impacted rights holders.</w:t>
      </w:r>
      <w:r w:rsidRPr="005E7A65">
        <w:rPr>
          <w:rStyle w:val="FootnoteReference"/>
          <w:rFonts w:cstheme="minorHAnsi"/>
          <w:color w:val="000000"/>
          <w:lang w:val="en-AU"/>
        </w:rPr>
        <w:footnoteReference w:id="33"/>
      </w:r>
      <w:r w:rsidR="005E7A65" w:rsidRPr="005E7A65">
        <w:rPr>
          <w:rFonts w:cstheme="minorHAnsi"/>
          <w:color w:val="000000"/>
          <w:lang w:val="en-AU"/>
        </w:rPr>
        <w:t xml:space="preserve"> </w:t>
      </w:r>
      <w:r w:rsidR="005E7A65" w:rsidRPr="005E7A65">
        <w:rPr>
          <w:rFonts w:cstheme="minorHAnsi"/>
          <w:lang w:val="en-AU"/>
        </w:rPr>
        <w:t>The development of legal frameworks that provide clarity to the obligations inherent in HRDD are key to increasing its effectiveness. The laws mandating HRDD should both incentivise business to implement HRDD effectively and provide for accountability</w:t>
      </w:r>
      <w:r w:rsidR="005E7A65">
        <w:rPr>
          <w:rFonts w:cstheme="minorHAnsi"/>
          <w:lang w:val="en-AU"/>
        </w:rPr>
        <w:t xml:space="preserve"> </w:t>
      </w:r>
      <w:r w:rsidR="005E7A65" w:rsidRPr="005E7A65">
        <w:rPr>
          <w:rFonts w:cstheme="minorHAnsi"/>
          <w:lang w:val="en-AU"/>
        </w:rPr>
        <w:t>if they do not.</w:t>
      </w:r>
      <w:r w:rsidR="001C5F23">
        <w:rPr>
          <w:rFonts w:cstheme="minorHAnsi"/>
          <w:lang w:val="en-AU"/>
        </w:rPr>
        <w:t xml:space="preserve"> </w:t>
      </w:r>
    </w:p>
    <w:p w14:paraId="1517F93E" w14:textId="77777777" w:rsidR="00B75241" w:rsidRDefault="00B75241" w:rsidP="00715D8B">
      <w:pPr>
        <w:autoSpaceDE w:val="0"/>
        <w:autoSpaceDN w:val="0"/>
        <w:adjustRightInd w:val="0"/>
        <w:spacing w:after="0" w:line="240" w:lineRule="auto"/>
        <w:rPr>
          <w:rFonts w:cstheme="minorHAnsi"/>
          <w:color w:val="000000"/>
          <w:lang w:val="en-AU"/>
        </w:rPr>
      </w:pPr>
    </w:p>
    <w:p w14:paraId="654176F1" w14:textId="77777777" w:rsidR="008965C5" w:rsidRPr="008965C5" w:rsidRDefault="00B75241" w:rsidP="008965C5">
      <w:pPr>
        <w:autoSpaceDE w:val="0"/>
        <w:autoSpaceDN w:val="0"/>
        <w:adjustRightInd w:val="0"/>
        <w:spacing w:after="0" w:line="240" w:lineRule="auto"/>
        <w:rPr>
          <w:rFonts w:cstheme="minorHAnsi"/>
          <w:color w:val="000000"/>
          <w:lang w:val="en-AU"/>
        </w:rPr>
      </w:pPr>
      <w:r w:rsidRPr="008965C5">
        <w:rPr>
          <w:rFonts w:cstheme="minorHAnsi"/>
          <w:b/>
          <w:bCs/>
          <w:color w:val="000000"/>
          <w:lang w:val="en-AU"/>
        </w:rPr>
        <w:t xml:space="preserve">Lessons learned from other sectors: </w:t>
      </w:r>
      <w:r w:rsidR="008965C5" w:rsidRPr="008965C5">
        <w:rPr>
          <w:rFonts w:cstheme="minorHAnsi"/>
          <w:color w:val="000000"/>
          <w:lang w:val="en-AU"/>
        </w:rPr>
        <w:t xml:space="preserve">The OECD, which has led the development of practical </w:t>
      </w:r>
      <w:proofErr w:type="gramStart"/>
      <w:r w:rsidR="008965C5" w:rsidRPr="008965C5">
        <w:rPr>
          <w:rFonts w:cstheme="minorHAnsi"/>
          <w:color w:val="000000"/>
          <w:lang w:val="en-AU"/>
        </w:rPr>
        <w:t>guidance</w:t>
      </w:r>
      <w:proofErr w:type="gramEnd"/>
    </w:p>
    <w:p w14:paraId="3E2966E6" w14:textId="1FF72C70" w:rsidR="00B75241" w:rsidRDefault="008965C5" w:rsidP="008965C5">
      <w:pPr>
        <w:autoSpaceDE w:val="0"/>
        <w:autoSpaceDN w:val="0"/>
        <w:adjustRightInd w:val="0"/>
        <w:spacing w:after="0" w:line="240" w:lineRule="auto"/>
        <w:rPr>
          <w:rFonts w:cstheme="minorHAnsi"/>
          <w:color w:val="000000"/>
          <w:lang w:val="en-AU"/>
        </w:rPr>
      </w:pPr>
      <w:r w:rsidRPr="008965C5">
        <w:rPr>
          <w:rFonts w:cstheme="minorHAnsi"/>
          <w:color w:val="000000"/>
          <w:lang w:val="en-AU"/>
        </w:rPr>
        <w:t>for business and states on HRDD, notes that enterprises should involve ‘workers</w:t>
      </w:r>
      <w:r w:rsidR="000201C4">
        <w:rPr>
          <w:rFonts w:cstheme="minorHAnsi"/>
          <w:color w:val="000000"/>
          <w:lang w:val="en-AU"/>
        </w:rPr>
        <w:t xml:space="preserve"> </w:t>
      </w:r>
      <w:r w:rsidRPr="008965C5">
        <w:rPr>
          <w:rFonts w:cstheme="minorHAnsi"/>
          <w:color w:val="000000"/>
          <w:lang w:val="en-AU"/>
        </w:rPr>
        <w:t>and trade unions and representative organisations of the workers’ own choosing’</w:t>
      </w:r>
      <w:r w:rsidR="000201C4">
        <w:rPr>
          <w:rFonts w:cstheme="minorHAnsi"/>
          <w:color w:val="000000"/>
          <w:lang w:val="en-AU"/>
        </w:rPr>
        <w:t xml:space="preserve"> </w:t>
      </w:r>
      <w:r w:rsidRPr="008965C5">
        <w:rPr>
          <w:rFonts w:cstheme="minorHAnsi"/>
          <w:color w:val="000000"/>
          <w:lang w:val="en-AU"/>
        </w:rPr>
        <w:t>in HRDD.</w:t>
      </w:r>
      <w:r w:rsidR="00CA29FA">
        <w:rPr>
          <w:rStyle w:val="FootnoteReference"/>
          <w:rFonts w:cstheme="minorHAnsi"/>
          <w:color w:val="000000"/>
          <w:lang w:val="en-AU"/>
        </w:rPr>
        <w:footnoteReference w:id="34"/>
      </w:r>
      <w:r w:rsidR="00CA29FA">
        <w:rPr>
          <w:rFonts w:cstheme="minorHAnsi"/>
          <w:color w:val="000000"/>
          <w:lang w:val="en-AU"/>
        </w:rPr>
        <w:t xml:space="preserve"> </w:t>
      </w:r>
      <w:r w:rsidR="003F76FA" w:rsidRPr="008965C5">
        <w:rPr>
          <w:rFonts w:cstheme="minorHAnsi"/>
          <w:lang w:val="en-AU"/>
        </w:rPr>
        <w:t>Examples</w:t>
      </w:r>
      <w:r w:rsidR="00CA29FA">
        <w:rPr>
          <w:rFonts w:cstheme="minorHAnsi"/>
          <w:lang w:val="en-AU"/>
        </w:rPr>
        <w:t xml:space="preserve"> from other sectors that are relevant to considering just transition for the extractive industry</w:t>
      </w:r>
      <w:r w:rsidR="003F76FA" w:rsidRPr="008965C5">
        <w:rPr>
          <w:rFonts w:cstheme="minorHAnsi"/>
          <w:lang w:val="en-AU"/>
        </w:rPr>
        <w:t xml:space="preserve"> include two US-based programs (Fair Food Program</w:t>
      </w:r>
      <w:r w:rsidR="000201C4">
        <w:rPr>
          <w:rFonts w:cstheme="minorHAnsi"/>
          <w:lang w:val="en-AU"/>
        </w:rPr>
        <w:t xml:space="preserve"> </w:t>
      </w:r>
      <w:r w:rsidR="003F76FA" w:rsidRPr="008965C5">
        <w:rPr>
          <w:rFonts w:cstheme="minorHAnsi"/>
          <w:lang w:val="en-AU"/>
        </w:rPr>
        <w:t>and Milk with Dignity) and a more recent Australian initiative (the Cleaning</w:t>
      </w:r>
      <w:r w:rsidRPr="008965C5">
        <w:rPr>
          <w:rFonts w:cstheme="minorHAnsi"/>
          <w:lang w:val="en-AU"/>
        </w:rPr>
        <w:t xml:space="preserve"> </w:t>
      </w:r>
      <w:r w:rsidRPr="008965C5">
        <w:rPr>
          <w:rFonts w:cstheme="minorHAnsi"/>
          <w:color w:val="000000"/>
          <w:lang w:val="en-AU"/>
        </w:rPr>
        <w:t>Accountability Framework, CAF).</w:t>
      </w:r>
      <w:r w:rsidR="00ED714B">
        <w:rPr>
          <w:rStyle w:val="FootnoteReference"/>
          <w:rFonts w:cstheme="minorHAnsi"/>
          <w:color w:val="000000"/>
          <w:lang w:val="en-AU"/>
        </w:rPr>
        <w:footnoteReference w:id="35"/>
      </w:r>
      <w:r w:rsidR="00CF548E">
        <w:rPr>
          <w:rFonts w:cstheme="minorHAnsi"/>
          <w:color w:val="000000"/>
          <w:lang w:val="en-AU"/>
        </w:rPr>
        <w:t xml:space="preserve"> </w:t>
      </w:r>
      <w:r w:rsidRPr="008965C5">
        <w:rPr>
          <w:rFonts w:cstheme="minorHAnsi"/>
          <w:color w:val="000000"/>
          <w:lang w:val="en-AU"/>
        </w:rPr>
        <w:t>In each of these examples, the initiatives</w:t>
      </w:r>
      <w:r w:rsidR="00D553EC">
        <w:rPr>
          <w:rFonts w:cstheme="minorHAnsi"/>
          <w:color w:val="000000"/>
          <w:lang w:val="en-AU"/>
        </w:rPr>
        <w:t xml:space="preserve"> </w:t>
      </w:r>
      <w:r w:rsidRPr="008965C5">
        <w:rPr>
          <w:rFonts w:cstheme="minorHAnsi"/>
          <w:color w:val="000000"/>
          <w:lang w:val="en-AU"/>
        </w:rPr>
        <w:t>explicitly engage workers—as the best placed workplace monitors—to ensure that</w:t>
      </w:r>
      <w:r w:rsidR="00D553EC">
        <w:rPr>
          <w:rFonts w:cstheme="minorHAnsi"/>
          <w:color w:val="000000"/>
          <w:lang w:val="en-AU"/>
        </w:rPr>
        <w:t xml:space="preserve"> </w:t>
      </w:r>
      <w:r w:rsidRPr="008965C5">
        <w:rPr>
          <w:rFonts w:cstheme="minorHAnsi"/>
          <w:color w:val="000000"/>
          <w:lang w:val="en-AU"/>
        </w:rPr>
        <w:t>processes to prevent and redress human rights harms are not only worker-centred but</w:t>
      </w:r>
      <w:r w:rsidR="00D553EC">
        <w:rPr>
          <w:rFonts w:cstheme="minorHAnsi"/>
          <w:color w:val="000000"/>
          <w:lang w:val="en-AU"/>
        </w:rPr>
        <w:t xml:space="preserve"> </w:t>
      </w:r>
      <w:r w:rsidRPr="008965C5">
        <w:rPr>
          <w:rFonts w:cstheme="minorHAnsi"/>
          <w:color w:val="000000"/>
          <w:lang w:val="en-AU"/>
        </w:rPr>
        <w:t>also worker driven.</w:t>
      </w:r>
      <w:r w:rsidR="00132CF8">
        <w:rPr>
          <w:rStyle w:val="FootnoteReference"/>
          <w:rFonts w:cstheme="minorHAnsi"/>
          <w:color w:val="000000"/>
          <w:lang w:val="en-AU"/>
        </w:rPr>
        <w:footnoteReference w:id="36"/>
      </w:r>
    </w:p>
    <w:p w14:paraId="3667B7A7" w14:textId="77777777" w:rsidR="00A035BF" w:rsidRDefault="00A035BF" w:rsidP="008965C5">
      <w:pPr>
        <w:autoSpaceDE w:val="0"/>
        <w:autoSpaceDN w:val="0"/>
        <w:adjustRightInd w:val="0"/>
        <w:spacing w:after="0" w:line="240" w:lineRule="auto"/>
        <w:rPr>
          <w:rFonts w:cstheme="minorHAnsi"/>
          <w:color w:val="000000"/>
          <w:lang w:val="en-AU"/>
        </w:rPr>
      </w:pPr>
    </w:p>
    <w:p w14:paraId="69841DB5" w14:textId="11514969" w:rsidR="00A035BF" w:rsidRPr="00A035BF" w:rsidRDefault="00A035BF" w:rsidP="008965C5">
      <w:pPr>
        <w:autoSpaceDE w:val="0"/>
        <w:autoSpaceDN w:val="0"/>
        <w:adjustRightInd w:val="0"/>
        <w:spacing w:after="0" w:line="240" w:lineRule="auto"/>
        <w:rPr>
          <w:rFonts w:cstheme="minorHAnsi"/>
          <w:b/>
          <w:bCs/>
          <w:color w:val="000000"/>
          <w:lang w:val="en-AU"/>
        </w:rPr>
      </w:pPr>
      <w:r w:rsidRPr="00A035BF">
        <w:rPr>
          <w:rFonts w:cstheme="minorHAnsi"/>
          <w:b/>
          <w:bCs/>
          <w:color w:val="000000"/>
          <w:lang w:val="en-AU"/>
        </w:rPr>
        <w:t>Indigenous Peoples:</w:t>
      </w:r>
    </w:p>
    <w:p w14:paraId="54744035" w14:textId="2FB732A3" w:rsidR="004B12C8" w:rsidRDefault="000A4B47" w:rsidP="008C1662">
      <w:pPr>
        <w:autoSpaceDE w:val="0"/>
        <w:autoSpaceDN w:val="0"/>
        <w:adjustRightInd w:val="0"/>
        <w:spacing w:after="0" w:line="240" w:lineRule="auto"/>
        <w:rPr>
          <w:rFonts w:eastAsia="Times New Roman" w:cstheme="minorHAnsi"/>
          <w:lang w:val="en-AU" w:eastAsia="en-AU"/>
        </w:rPr>
      </w:pPr>
      <w:r>
        <w:rPr>
          <w:rFonts w:eastAsia="Times New Roman" w:cstheme="minorHAnsi"/>
          <w:lang w:val="en-AU" w:eastAsia="en-AU"/>
        </w:rPr>
        <w:t xml:space="preserve">The </w:t>
      </w:r>
      <w:r w:rsidR="006815A8">
        <w:rPr>
          <w:rFonts w:eastAsia="Times New Roman" w:cstheme="minorHAnsi"/>
          <w:lang w:val="en-AU" w:eastAsia="en-AU"/>
        </w:rPr>
        <w:t xml:space="preserve">race for </w:t>
      </w:r>
      <w:r w:rsidR="00BD56CF">
        <w:rPr>
          <w:rFonts w:eastAsia="Times New Roman" w:cstheme="minorHAnsi"/>
          <w:lang w:val="en-AU" w:eastAsia="en-AU"/>
        </w:rPr>
        <w:t>extraction of transition minerals</w:t>
      </w:r>
      <w:r w:rsidR="006815A8">
        <w:rPr>
          <w:rFonts w:eastAsia="Times New Roman" w:cstheme="minorHAnsi"/>
          <w:lang w:val="en-AU" w:eastAsia="en-AU"/>
        </w:rPr>
        <w:t xml:space="preserve"> </w:t>
      </w:r>
      <w:r>
        <w:rPr>
          <w:rFonts w:eastAsia="Times New Roman" w:cstheme="minorHAnsi"/>
          <w:lang w:val="en-AU" w:eastAsia="en-AU"/>
        </w:rPr>
        <w:t>represents</w:t>
      </w:r>
      <w:r w:rsidR="006815A8">
        <w:rPr>
          <w:rFonts w:eastAsia="Times New Roman" w:cstheme="minorHAnsi"/>
          <w:lang w:val="en-AU" w:eastAsia="en-AU"/>
        </w:rPr>
        <w:t xml:space="preserve"> a serious threat to the rights of Indigenous Peoples, </w:t>
      </w:r>
      <w:r w:rsidR="00751D0B">
        <w:rPr>
          <w:rFonts w:eastAsia="Times New Roman" w:cstheme="minorHAnsi"/>
          <w:lang w:val="en-AU" w:eastAsia="en-AU"/>
        </w:rPr>
        <w:t>with a significant proportion of extraction</w:t>
      </w:r>
      <w:r w:rsidR="007D3A2A">
        <w:rPr>
          <w:rFonts w:eastAsia="Times New Roman" w:cstheme="minorHAnsi"/>
          <w:lang w:val="en-AU" w:eastAsia="en-AU"/>
        </w:rPr>
        <w:t xml:space="preserve"> and proposed extraction</w:t>
      </w:r>
      <w:r w:rsidR="00751D0B">
        <w:rPr>
          <w:rFonts w:eastAsia="Times New Roman" w:cstheme="minorHAnsi"/>
          <w:lang w:val="en-AU" w:eastAsia="en-AU"/>
        </w:rPr>
        <w:t xml:space="preserve"> being carried out on Indigenous territory.</w:t>
      </w:r>
      <w:r w:rsidR="002B6D4B">
        <w:rPr>
          <w:rStyle w:val="FootnoteReference"/>
          <w:rFonts w:eastAsia="Times New Roman" w:cstheme="minorHAnsi"/>
          <w:lang w:val="en-AU" w:eastAsia="en-AU"/>
        </w:rPr>
        <w:footnoteReference w:id="37"/>
      </w:r>
      <w:r>
        <w:rPr>
          <w:rFonts w:eastAsia="Times New Roman" w:cstheme="minorHAnsi"/>
          <w:lang w:val="en-AU" w:eastAsia="en-AU"/>
        </w:rPr>
        <w:t xml:space="preserve"> </w:t>
      </w:r>
      <w:r w:rsidR="00F7796E">
        <w:rPr>
          <w:rFonts w:eastAsia="Times New Roman" w:cstheme="minorHAnsi"/>
          <w:lang w:val="en-AU" w:eastAsia="en-AU"/>
        </w:rPr>
        <w:t>With a large number of new mines in development</w:t>
      </w:r>
      <w:r w:rsidR="00B55D8A">
        <w:rPr>
          <w:rFonts w:eastAsia="Times New Roman" w:cstheme="minorHAnsi"/>
          <w:lang w:val="en-AU" w:eastAsia="en-AU"/>
        </w:rPr>
        <w:t xml:space="preserve">, and high commodity prices enabling the exploitation of poorer-quality ore bodies, with consequent greater proportional impact, there is a grave danger that the </w:t>
      </w:r>
      <w:r w:rsidR="00B12F07">
        <w:rPr>
          <w:rFonts w:eastAsia="Times New Roman" w:cstheme="minorHAnsi"/>
          <w:lang w:val="en-AU" w:eastAsia="en-AU"/>
        </w:rPr>
        <w:t xml:space="preserve">benefits of decarbonisation will be felt largely by the Global </w:t>
      </w:r>
      <w:r w:rsidR="00B12F07">
        <w:rPr>
          <w:rFonts w:eastAsia="Times New Roman" w:cstheme="minorHAnsi"/>
          <w:lang w:val="en-AU" w:eastAsia="en-AU"/>
        </w:rPr>
        <w:lastRenderedPageBreak/>
        <w:t xml:space="preserve">North while the negative impacts are ‘offshored’ to </w:t>
      </w:r>
      <w:r w:rsidR="004B12C8">
        <w:rPr>
          <w:rFonts w:eastAsia="Times New Roman" w:cstheme="minorHAnsi"/>
          <w:lang w:val="en-AU" w:eastAsia="en-AU"/>
        </w:rPr>
        <w:t>the Global South, with Indigenous communities especially impacted.</w:t>
      </w:r>
    </w:p>
    <w:p w14:paraId="694C54A4" w14:textId="77777777" w:rsidR="004B12C8" w:rsidRDefault="004B12C8" w:rsidP="008C1662">
      <w:pPr>
        <w:autoSpaceDE w:val="0"/>
        <w:autoSpaceDN w:val="0"/>
        <w:adjustRightInd w:val="0"/>
        <w:spacing w:after="0" w:line="240" w:lineRule="auto"/>
        <w:rPr>
          <w:rFonts w:eastAsia="Times New Roman" w:cstheme="minorHAnsi"/>
          <w:lang w:val="en-AU" w:eastAsia="en-AU"/>
        </w:rPr>
      </w:pPr>
    </w:p>
    <w:p w14:paraId="2F1ECE6B" w14:textId="3503566E" w:rsidR="000A4B47" w:rsidRDefault="004B12C8" w:rsidP="008C1662">
      <w:pPr>
        <w:autoSpaceDE w:val="0"/>
        <w:autoSpaceDN w:val="0"/>
        <w:adjustRightInd w:val="0"/>
        <w:spacing w:after="0" w:line="240" w:lineRule="auto"/>
        <w:rPr>
          <w:rFonts w:eastAsia="Times New Roman" w:cstheme="minorHAnsi"/>
          <w:lang w:val="en-AU" w:eastAsia="en-AU"/>
        </w:rPr>
      </w:pPr>
      <w:r>
        <w:rPr>
          <w:rFonts w:eastAsia="Times New Roman" w:cstheme="minorHAnsi"/>
          <w:lang w:val="en-AU" w:eastAsia="en-AU"/>
        </w:rPr>
        <w:t>However, t</w:t>
      </w:r>
      <w:r w:rsidR="00026C7C">
        <w:rPr>
          <w:rFonts w:eastAsia="Times New Roman" w:cstheme="minorHAnsi"/>
          <w:lang w:val="en-AU" w:eastAsia="en-AU"/>
        </w:rPr>
        <w:t xml:space="preserve">ransition minerals and the energy transition in general also represent a significant opportunity to </w:t>
      </w:r>
      <w:r w:rsidR="001E631A">
        <w:rPr>
          <w:rFonts w:eastAsia="Times New Roman" w:cstheme="minorHAnsi"/>
          <w:lang w:val="en-AU" w:eastAsia="en-AU"/>
        </w:rPr>
        <w:t xml:space="preserve">achieve more equitable outcomes from the three-way relationship between governments, extractive </w:t>
      </w:r>
      <w:proofErr w:type="gramStart"/>
      <w:r w:rsidR="001E631A">
        <w:rPr>
          <w:rFonts w:eastAsia="Times New Roman" w:cstheme="minorHAnsi"/>
          <w:lang w:val="en-AU" w:eastAsia="en-AU"/>
        </w:rPr>
        <w:t>companies</w:t>
      </w:r>
      <w:proofErr w:type="gramEnd"/>
      <w:r w:rsidR="001E631A">
        <w:rPr>
          <w:rFonts w:eastAsia="Times New Roman" w:cstheme="minorHAnsi"/>
          <w:lang w:val="en-AU" w:eastAsia="en-AU"/>
        </w:rPr>
        <w:t xml:space="preserve"> and Indigenous communities.</w:t>
      </w:r>
      <w:r w:rsidR="00480DBD">
        <w:rPr>
          <w:rFonts w:eastAsia="Times New Roman" w:cstheme="minorHAnsi"/>
          <w:lang w:val="en-AU" w:eastAsia="en-AU"/>
        </w:rPr>
        <w:t xml:space="preserve"> However, to guarantee better outcomes, there is a need to </w:t>
      </w:r>
      <w:r w:rsidR="001B5828">
        <w:rPr>
          <w:rFonts w:eastAsia="Times New Roman" w:cstheme="minorHAnsi"/>
          <w:lang w:val="en-AU" w:eastAsia="en-AU"/>
        </w:rPr>
        <w:t xml:space="preserve">integrate HRDD with the </w:t>
      </w:r>
      <w:r w:rsidR="008E1807">
        <w:rPr>
          <w:rFonts w:eastAsia="Times New Roman" w:cstheme="minorHAnsi"/>
          <w:lang w:val="en-AU" w:eastAsia="en-AU"/>
        </w:rPr>
        <w:t>right to Free, Prior and Informed Consent and its associated principles.</w:t>
      </w:r>
      <w:r w:rsidR="000A4B47">
        <w:rPr>
          <w:rFonts w:eastAsia="Times New Roman" w:cstheme="minorHAnsi"/>
          <w:lang w:val="en-AU" w:eastAsia="en-AU"/>
        </w:rPr>
        <w:t xml:space="preserve"> </w:t>
      </w:r>
    </w:p>
    <w:p w14:paraId="2B24EA90" w14:textId="77777777" w:rsidR="000A4B47" w:rsidRDefault="000A4B47" w:rsidP="008C1662">
      <w:pPr>
        <w:autoSpaceDE w:val="0"/>
        <w:autoSpaceDN w:val="0"/>
        <w:adjustRightInd w:val="0"/>
        <w:spacing w:after="0" w:line="240" w:lineRule="auto"/>
        <w:rPr>
          <w:rFonts w:eastAsia="Times New Roman" w:cstheme="minorHAnsi"/>
          <w:lang w:val="en-AU" w:eastAsia="en-AU"/>
        </w:rPr>
      </w:pPr>
    </w:p>
    <w:p w14:paraId="54A53A7B" w14:textId="4BE1A933" w:rsidR="008C1662" w:rsidRDefault="008C1662" w:rsidP="008C1662">
      <w:pPr>
        <w:autoSpaceDE w:val="0"/>
        <w:autoSpaceDN w:val="0"/>
        <w:adjustRightInd w:val="0"/>
        <w:spacing w:after="0" w:line="240" w:lineRule="auto"/>
        <w:rPr>
          <w:rFonts w:eastAsia="Times New Roman" w:cstheme="minorHAnsi"/>
          <w:lang w:val="en-AU" w:eastAsia="en-AU"/>
        </w:rPr>
      </w:pPr>
      <w:r w:rsidRPr="008C1662">
        <w:rPr>
          <w:rFonts w:eastAsia="Times New Roman" w:cstheme="minorHAnsi"/>
          <w:lang w:val="en-AU" w:eastAsia="en-AU"/>
        </w:rPr>
        <w:t>Although the UNGPs include ‘meaningful consultation’ with rights</w:t>
      </w:r>
      <w:r w:rsidR="0068736D">
        <w:rPr>
          <w:rFonts w:eastAsia="Times New Roman" w:cstheme="minorHAnsi"/>
          <w:lang w:val="en-AU" w:eastAsia="en-AU"/>
        </w:rPr>
        <w:t>-</w:t>
      </w:r>
      <w:r w:rsidRPr="008C1662">
        <w:rPr>
          <w:rFonts w:eastAsia="Times New Roman" w:cstheme="minorHAnsi"/>
          <w:lang w:val="en-AU" w:eastAsia="en-AU"/>
        </w:rPr>
        <w:t xml:space="preserve">holders as part of the </w:t>
      </w:r>
      <w:r w:rsidR="0068736D">
        <w:rPr>
          <w:rFonts w:eastAsia="Times New Roman" w:cstheme="minorHAnsi"/>
          <w:lang w:val="en-AU" w:eastAsia="en-AU"/>
        </w:rPr>
        <w:t xml:space="preserve">HRDD </w:t>
      </w:r>
      <w:r w:rsidRPr="008C1662">
        <w:rPr>
          <w:rFonts w:eastAsia="Times New Roman" w:cstheme="minorHAnsi"/>
          <w:lang w:val="en-AU" w:eastAsia="en-AU"/>
        </w:rPr>
        <w:t>process, th</w:t>
      </w:r>
      <w:r w:rsidR="0068736D">
        <w:rPr>
          <w:rFonts w:eastAsia="Times New Roman" w:cstheme="minorHAnsi"/>
          <w:lang w:val="en-AU" w:eastAsia="en-AU"/>
        </w:rPr>
        <w:t xml:space="preserve">is </w:t>
      </w:r>
      <w:r w:rsidR="0003419C">
        <w:rPr>
          <w:rFonts w:eastAsia="Times New Roman" w:cstheme="minorHAnsi"/>
          <w:lang w:val="en-AU" w:eastAsia="en-AU"/>
        </w:rPr>
        <w:t xml:space="preserve">must, as mentioned above, </w:t>
      </w:r>
      <w:r w:rsidR="000722D5">
        <w:rPr>
          <w:rFonts w:eastAsia="Times New Roman" w:cstheme="minorHAnsi"/>
          <w:lang w:val="en-AU" w:eastAsia="en-AU"/>
        </w:rPr>
        <w:t xml:space="preserve">be co-designed </w:t>
      </w:r>
      <w:proofErr w:type="gramStart"/>
      <w:r w:rsidR="000722D5">
        <w:rPr>
          <w:rFonts w:eastAsia="Times New Roman" w:cstheme="minorHAnsi"/>
          <w:lang w:val="en-AU" w:eastAsia="en-AU"/>
        </w:rPr>
        <w:t>in order to</w:t>
      </w:r>
      <w:proofErr w:type="gramEnd"/>
      <w:r w:rsidR="000722D5">
        <w:rPr>
          <w:rFonts w:eastAsia="Times New Roman" w:cstheme="minorHAnsi"/>
          <w:lang w:val="en-AU" w:eastAsia="en-AU"/>
        </w:rPr>
        <w:t xml:space="preserve"> adequately incorporate </w:t>
      </w:r>
      <w:r w:rsidRPr="008C1662">
        <w:rPr>
          <w:rFonts w:eastAsia="Times New Roman" w:cstheme="minorHAnsi"/>
          <w:lang w:val="en-AU" w:eastAsia="en-AU"/>
        </w:rPr>
        <w:t xml:space="preserve">rights-holder perspective. Fundamentally, the HRDD process still represents a corporation deciding </w:t>
      </w:r>
      <w:proofErr w:type="gramStart"/>
      <w:r w:rsidRPr="008C1662">
        <w:rPr>
          <w:rFonts w:eastAsia="Times New Roman" w:cstheme="minorHAnsi"/>
          <w:lang w:val="en-AU" w:eastAsia="en-AU"/>
        </w:rPr>
        <w:t>whether or not</w:t>
      </w:r>
      <w:proofErr w:type="gramEnd"/>
      <w:r w:rsidRPr="008C1662">
        <w:rPr>
          <w:rFonts w:eastAsia="Times New Roman" w:cstheme="minorHAnsi"/>
          <w:lang w:val="en-AU" w:eastAsia="en-AU"/>
        </w:rPr>
        <w:t xml:space="preserve"> it is violating the rights of an individual or a community.</w:t>
      </w:r>
    </w:p>
    <w:p w14:paraId="5B0DAD69" w14:textId="77777777" w:rsidR="00064A07" w:rsidRPr="008C1662" w:rsidRDefault="00064A07" w:rsidP="008C1662">
      <w:pPr>
        <w:autoSpaceDE w:val="0"/>
        <w:autoSpaceDN w:val="0"/>
        <w:adjustRightInd w:val="0"/>
        <w:spacing w:after="0" w:line="240" w:lineRule="auto"/>
        <w:rPr>
          <w:rFonts w:eastAsia="Times New Roman" w:cstheme="minorHAnsi"/>
          <w:lang w:val="en-AU" w:eastAsia="en-AU"/>
        </w:rPr>
      </w:pPr>
    </w:p>
    <w:p w14:paraId="659C803E" w14:textId="489513FB" w:rsidR="00A035BF" w:rsidRDefault="00A035BF" w:rsidP="00A035BF">
      <w:pPr>
        <w:autoSpaceDE w:val="0"/>
        <w:autoSpaceDN w:val="0"/>
        <w:adjustRightInd w:val="0"/>
        <w:spacing w:after="0" w:line="240" w:lineRule="auto"/>
        <w:rPr>
          <w:rFonts w:eastAsia="Times New Roman" w:cstheme="minorHAnsi"/>
          <w:lang w:val="en-AU" w:eastAsia="en-AU"/>
        </w:rPr>
      </w:pPr>
      <w:r w:rsidRPr="00A035BF">
        <w:rPr>
          <w:rFonts w:eastAsia="Times New Roman" w:cstheme="minorHAnsi"/>
          <w:lang w:val="en-AU" w:eastAsia="en-AU"/>
        </w:rPr>
        <w:t xml:space="preserve">The bottom-up nature of the development of Indigenous rights instruments is reflected in the rights themselves, which are intrinsically related to the relationship between Indigenous communities and their traditional territory, and, crucially, set out mechanisms for control over what happens on that territory. The right to free, </w:t>
      </w:r>
      <w:proofErr w:type="gramStart"/>
      <w:r w:rsidRPr="00A035BF">
        <w:rPr>
          <w:rFonts w:eastAsia="Times New Roman" w:cstheme="minorHAnsi"/>
          <w:lang w:val="en-AU" w:eastAsia="en-AU"/>
        </w:rPr>
        <w:t>prior</w:t>
      </w:r>
      <w:proofErr w:type="gramEnd"/>
      <w:r w:rsidRPr="00A035BF">
        <w:rPr>
          <w:rFonts w:eastAsia="Times New Roman" w:cstheme="minorHAnsi"/>
          <w:lang w:val="en-AU" w:eastAsia="en-AU"/>
        </w:rPr>
        <w:t xml:space="preserve"> and informed consent (FPIC) should be seen as an operationalisation of the broader right to self-determination.</w:t>
      </w:r>
      <w:r w:rsidR="00B343B2">
        <w:rPr>
          <w:rStyle w:val="FootnoteReference"/>
          <w:rFonts w:eastAsia="Times New Roman" w:cstheme="minorHAnsi"/>
          <w:lang w:val="en-AU" w:eastAsia="en-AU"/>
        </w:rPr>
        <w:footnoteReference w:id="38"/>
      </w:r>
    </w:p>
    <w:p w14:paraId="682AE715" w14:textId="77777777" w:rsidR="007A1FE3" w:rsidRPr="00A035BF" w:rsidRDefault="007A1FE3" w:rsidP="00A035BF">
      <w:pPr>
        <w:autoSpaceDE w:val="0"/>
        <w:autoSpaceDN w:val="0"/>
        <w:adjustRightInd w:val="0"/>
        <w:spacing w:after="0" w:line="240" w:lineRule="auto"/>
        <w:rPr>
          <w:rFonts w:eastAsia="Times New Roman" w:cstheme="minorHAnsi"/>
          <w:lang w:val="en-AU" w:eastAsia="en-AU"/>
        </w:rPr>
      </w:pPr>
    </w:p>
    <w:p w14:paraId="3FF0B812" w14:textId="4C825ED4" w:rsidR="00A035BF" w:rsidRDefault="00A035BF" w:rsidP="00A035BF">
      <w:pPr>
        <w:autoSpaceDE w:val="0"/>
        <w:autoSpaceDN w:val="0"/>
        <w:adjustRightInd w:val="0"/>
        <w:spacing w:after="0" w:line="240" w:lineRule="auto"/>
        <w:rPr>
          <w:rFonts w:eastAsia="Times New Roman" w:cstheme="minorHAnsi"/>
          <w:lang w:val="en-AU" w:eastAsia="en-AU"/>
        </w:rPr>
      </w:pPr>
      <w:r w:rsidRPr="00A035BF">
        <w:rPr>
          <w:rFonts w:eastAsia="Times New Roman" w:cstheme="minorHAnsi"/>
          <w:lang w:val="en-AU" w:eastAsia="en-AU"/>
        </w:rPr>
        <w:t>In many ways, FPIC has become a standard around which wider Indigenous expectations have coalesced. What Indigenous peoples expect from FPIC goes beyond the meaning of the four words that comprise it to encompass such principles as Indigenous co-design of projects, equity stakes and co-ownership, involvement in project governance and more. In the context of extractive projects, this implies a genuine partnership between community and company in which risks are identified and addressed collaboratively and impacts mitigated. Only in this way can the right to self-determination which underpins FPIC be truly realised.</w:t>
      </w:r>
    </w:p>
    <w:p w14:paraId="0D035DF5" w14:textId="77777777" w:rsidR="008B3012" w:rsidRPr="00A035BF" w:rsidRDefault="008B3012" w:rsidP="00A035BF">
      <w:pPr>
        <w:autoSpaceDE w:val="0"/>
        <w:autoSpaceDN w:val="0"/>
        <w:adjustRightInd w:val="0"/>
        <w:spacing w:after="0" w:line="240" w:lineRule="auto"/>
        <w:rPr>
          <w:rFonts w:eastAsia="Times New Roman" w:cstheme="minorHAnsi"/>
          <w:lang w:val="en-AU" w:eastAsia="en-AU"/>
        </w:rPr>
      </w:pPr>
    </w:p>
    <w:p w14:paraId="10D25373" w14:textId="77777777" w:rsidR="00A035BF" w:rsidRDefault="00A035BF" w:rsidP="00A035BF">
      <w:pPr>
        <w:autoSpaceDE w:val="0"/>
        <w:autoSpaceDN w:val="0"/>
        <w:adjustRightInd w:val="0"/>
        <w:spacing w:after="0" w:line="240" w:lineRule="auto"/>
        <w:rPr>
          <w:rFonts w:eastAsia="Times New Roman" w:cstheme="minorHAnsi"/>
          <w:lang w:val="en-AU" w:eastAsia="en-AU"/>
        </w:rPr>
      </w:pPr>
      <w:r w:rsidRPr="00A035BF">
        <w:rPr>
          <w:rFonts w:eastAsia="Times New Roman" w:cstheme="minorHAnsi"/>
          <w:lang w:val="en-AU" w:eastAsia="en-AU"/>
        </w:rPr>
        <w:t>Similarly, it is crucial that FPIC is thought of not as a single signoff, but as an ongoing process, a relationship with regular connection and documented processes whereby consent is maintained and, if not maintained, can be withdrawn.</w:t>
      </w:r>
    </w:p>
    <w:p w14:paraId="6B68E155" w14:textId="77777777" w:rsidR="008B3012" w:rsidRPr="00A035BF" w:rsidRDefault="008B3012" w:rsidP="00A035BF">
      <w:pPr>
        <w:autoSpaceDE w:val="0"/>
        <w:autoSpaceDN w:val="0"/>
        <w:adjustRightInd w:val="0"/>
        <w:spacing w:after="0" w:line="240" w:lineRule="auto"/>
        <w:rPr>
          <w:rFonts w:eastAsia="Times New Roman" w:cstheme="minorHAnsi"/>
          <w:lang w:val="en-AU" w:eastAsia="en-AU"/>
        </w:rPr>
      </w:pPr>
    </w:p>
    <w:p w14:paraId="6FD80C23" w14:textId="40D1CEDB" w:rsidR="00A035BF" w:rsidRDefault="008F0684" w:rsidP="00A035BF">
      <w:pPr>
        <w:autoSpaceDE w:val="0"/>
        <w:autoSpaceDN w:val="0"/>
        <w:adjustRightInd w:val="0"/>
        <w:spacing w:after="0" w:line="240" w:lineRule="auto"/>
        <w:rPr>
          <w:rFonts w:eastAsia="Times New Roman" w:cstheme="minorHAnsi"/>
          <w:lang w:val="en-AU" w:eastAsia="en-AU"/>
        </w:rPr>
      </w:pPr>
      <w:r>
        <w:rPr>
          <w:rFonts w:eastAsia="Times New Roman" w:cstheme="minorHAnsi"/>
          <w:lang w:val="en-AU" w:eastAsia="en-AU"/>
        </w:rPr>
        <w:t xml:space="preserve">There is an evident need to </w:t>
      </w:r>
      <w:r w:rsidR="001A266A">
        <w:rPr>
          <w:rFonts w:eastAsia="Times New Roman" w:cstheme="minorHAnsi"/>
          <w:lang w:val="en-AU" w:eastAsia="en-AU"/>
        </w:rPr>
        <w:t xml:space="preserve">integrate these </w:t>
      </w:r>
      <w:r w:rsidR="00A035BF" w:rsidRPr="00A035BF">
        <w:rPr>
          <w:rFonts w:eastAsia="Times New Roman" w:cstheme="minorHAnsi"/>
          <w:lang w:val="en-AU" w:eastAsia="en-AU"/>
        </w:rPr>
        <w:t xml:space="preserve">bottom-up processes, where communities have significant agency into assessing how they are impacted and can help define the actual parameters of the project, with the </w:t>
      </w:r>
      <w:r w:rsidR="00010BC8">
        <w:rPr>
          <w:rFonts w:eastAsia="Times New Roman" w:cstheme="minorHAnsi"/>
          <w:lang w:val="en-AU" w:eastAsia="en-AU"/>
        </w:rPr>
        <w:t xml:space="preserve">more </w:t>
      </w:r>
      <w:r w:rsidR="00A035BF" w:rsidRPr="00A035BF">
        <w:rPr>
          <w:rFonts w:eastAsia="Times New Roman" w:cstheme="minorHAnsi"/>
          <w:lang w:val="en-AU" w:eastAsia="en-AU"/>
        </w:rPr>
        <w:t xml:space="preserve">top-down HRDD processes. </w:t>
      </w:r>
      <w:r w:rsidR="00EC1747">
        <w:rPr>
          <w:rFonts w:eastAsia="Times New Roman" w:cstheme="minorHAnsi"/>
          <w:lang w:val="en-AU" w:eastAsia="en-AU"/>
        </w:rPr>
        <w:t xml:space="preserve">In the context of Indigenous communities, HRDD must go beyond ‘meaningful consultation’ to explicitly </w:t>
      </w:r>
      <w:r w:rsidR="000B4E71">
        <w:rPr>
          <w:rFonts w:eastAsia="Times New Roman" w:cstheme="minorHAnsi"/>
          <w:lang w:val="en-AU" w:eastAsia="en-AU"/>
        </w:rPr>
        <w:t xml:space="preserve">include FPIC at the core of the process. </w:t>
      </w:r>
      <w:r w:rsidR="00A035BF" w:rsidRPr="00A035BF">
        <w:rPr>
          <w:rFonts w:eastAsia="Times New Roman" w:cstheme="minorHAnsi"/>
          <w:lang w:val="en-AU" w:eastAsia="en-AU"/>
        </w:rPr>
        <w:t>It is also easy to incorporate consideration of positive impact</w:t>
      </w:r>
      <w:r w:rsidR="00AC32AF">
        <w:rPr>
          <w:rFonts w:eastAsia="Times New Roman" w:cstheme="minorHAnsi"/>
          <w:lang w:val="en-AU" w:eastAsia="en-AU"/>
        </w:rPr>
        <w:t xml:space="preserve"> </w:t>
      </w:r>
      <w:r w:rsidR="00A035BF" w:rsidRPr="00A035BF">
        <w:rPr>
          <w:rFonts w:eastAsia="Times New Roman" w:cstheme="minorHAnsi"/>
          <w:lang w:val="en-AU" w:eastAsia="en-AU"/>
        </w:rPr>
        <w:t xml:space="preserve">into these company-community processes, allowing a more holistic </w:t>
      </w:r>
      <w:r w:rsidR="00010BC8">
        <w:rPr>
          <w:rFonts w:eastAsia="Times New Roman" w:cstheme="minorHAnsi"/>
          <w:lang w:val="en-AU" w:eastAsia="en-AU"/>
        </w:rPr>
        <w:t xml:space="preserve">rights-based </w:t>
      </w:r>
      <w:r w:rsidR="00A035BF" w:rsidRPr="00A035BF">
        <w:rPr>
          <w:rFonts w:eastAsia="Times New Roman" w:cstheme="minorHAnsi"/>
          <w:lang w:val="en-AU" w:eastAsia="en-AU"/>
        </w:rPr>
        <w:t>approach than the risk-focused UNGPs, which take inadequate account of positive corporate impacts on human rights.</w:t>
      </w:r>
    </w:p>
    <w:p w14:paraId="5B03883F" w14:textId="77777777" w:rsidR="008A7350" w:rsidRDefault="008A7350" w:rsidP="00A035BF">
      <w:pPr>
        <w:autoSpaceDE w:val="0"/>
        <w:autoSpaceDN w:val="0"/>
        <w:adjustRightInd w:val="0"/>
        <w:spacing w:after="0" w:line="240" w:lineRule="auto"/>
        <w:rPr>
          <w:rFonts w:eastAsia="Times New Roman" w:cstheme="minorHAnsi"/>
          <w:lang w:val="en-AU" w:eastAsia="en-AU"/>
        </w:rPr>
      </w:pPr>
    </w:p>
    <w:p w14:paraId="4C796393" w14:textId="54E36340" w:rsidR="008A7350" w:rsidRPr="00A035BF" w:rsidRDefault="008A7350" w:rsidP="00A035BF">
      <w:pPr>
        <w:autoSpaceDE w:val="0"/>
        <w:autoSpaceDN w:val="0"/>
        <w:adjustRightInd w:val="0"/>
        <w:spacing w:after="0" w:line="240" w:lineRule="auto"/>
        <w:rPr>
          <w:rFonts w:eastAsia="Times New Roman" w:cstheme="minorHAnsi"/>
          <w:lang w:val="en-AU" w:eastAsia="en-AU"/>
        </w:rPr>
      </w:pPr>
      <w:r>
        <w:rPr>
          <w:rFonts w:eastAsia="Times New Roman" w:cstheme="minorHAnsi"/>
          <w:lang w:val="en-AU" w:eastAsia="en-AU"/>
        </w:rPr>
        <w:t xml:space="preserve">In the context of the extraction of transition minerals and the shift to renewable energy technologies, the need for these two </w:t>
      </w:r>
      <w:r w:rsidR="00541461">
        <w:rPr>
          <w:rFonts w:eastAsia="Times New Roman" w:cstheme="minorHAnsi"/>
          <w:lang w:val="en-AU" w:eastAsia="en-AU"/>
        </w:rPr>
        <w:t>crucial human rights mechanisms to be integrated is evident. It is critical that government</w:t>
      </w:r>
      <w:r w:rsidR="00C849DB">
        <w:rPr>
          <w:rFonts w:eastAsia="Times New Roman" w:cstheme="minorHAnsi"/>
          <w:lang w:val="en-AU" w:eastAsia="en-AU"/>
        </w:rPr>
        <w:t>s play a role in so doing, by not only mandating HRDD in the context of granting transition mineral exploitation licenses but al</w:t>
      </w:r>
      <w:r w:rsidR="00144FB5">
        <w:rPr>
          <w:rFonts w:eastAsia="Times New Roman" w:cstheme="minorHAnsi"/>
          <w:lang w:val="en-AU" w:eastAsia="en-AU"/>
        </w:rPr>
        <w:t>so ensuring that FPIC is reached in any project on Indigenous territory.</w:t>
      </w:r>
    </w:p>
    <w:p w14:paraId="5B78CADE" w14:textId="77777777" w:rsidR="00A27D97" w:rsidRPr="00D9207F" w:rsidRDefault="00A27D97" w:rsidP="00A27D97">
      <w:pPr>
        <w:spacing w:after="0" w:line="240" w:lineRule="auto"/>
        <w:ind w:left="720" w:hanging="720"/>
        <w:rPr>
          <w:rFonts w:eastAsia="Times New Roman" w:cstheme="minorHAnsi"/>
          <w:b/>
          <w:bCs/>
          <w:lang w:val="en-AU" w:eastAsia="en-AU"/>
        </w:rPr>
      </w:pPr>
    </w:p>
    <w:p w14:paraId="1BDEEED3" w14:textId="0E73616B" w:rsidR="000771C9" w:rsidRPr="00734A57" w:rsidRDefault="000771C9" w:rsidP="000771C9">
      <w:pPr>
        <w:spacing w:after="0" w:line="240" w:lineRule="auto"/>
        <w:ind w:left="720" w:hanging="720"/>
        <w:rPr>
          <w:rFonts w:eastAsia="Times New Roman" w:cstheme="minorHAnsi"/>
          <w:b/>
          <w:bCs/>
          <w:i/>
          <w:iCs/>
          <w:lang w:val="en-AU" w:eastAsia="en-AU"/>
        </w:rPr>
      </w:pPr>
      <w:r>
        <w:rPr>
          <w:rFonts w:eastAsia="Times New Roman" w:cstheme="minorHAnsi"/>
          <w:b/>
          <w:bCs/>
          <w:lang w:val="en-AU" w:eastAsia="en-AU"/>
        </w:rPr>
        <w:t>Q19</w:t>
      </w:r>
      <w:r>
        <w:rPr>
          <w:rFonts w:eastAsia="Times New Roman" w:cstheme="minorHAnsi"/>
          <w:b/>
          <w:bCs/>
          <w:lang w:val="en-AU" w:eastAsia="en-AU"/>
        </w:rPr>
        <w:tab/>
      </w:r>
      <w:r w:rsidRPr="00734A57">
        <w:rPr>
          <w:rFonts w:eastAsia="Times New Roman" w:cstheme="minorHAnsi"/>
          <w:b/>
          <w:bCs/>
          <w:i/>
          <w:iCs/>
          <w:lang w:val="en-AU" w:eastAsia="en-AU"/>
        </w:rPr>
        <w:t>Please provide examples of good practices regarding the integration of human rights issues in the extractive sector in the context of the energy transition.</w:t>
      </w:r>
    </w:p>
    <w:p w14:paraId="527CD4A4" w14:textId="77777777" w:rsidR="000771C9" w:rsidRDefault="000771C9" w:rsidP="000771C9">
      <w:pPr>
        <w:spacing w:after="0" w:line="240" w:lineRule="auto"/>
        <w:rPr>
          <w:rFonts w:cstheme="minorHAnsi"/>
          <w:highlight w:val="yellow"/>
        </w:rPr>
      </w:pPr>
    </w:p>
    <w:p w14:paraId="19F67611" w14:textId="2543168F" w:rsidR="000771C9" w:rsidRDefault="000771C9" w:rsidP="000771C9">
      <w:pPr>
        <w:spacing w:after="0" w:line="240" w:lineRule="auto"/>
        <w:rPr>
          <w:rFonts w:cstheme="minorHAnsi"/>
        </w:rPr>
      </w:pPr>
      <w:r>
        <w:rPr>
          <w:rFonts w:cstheme="minorHAnsi"/>
          <w:b/>
          <w:bCs/>
        </w:rPr>
        <w:t>Multistakeholder partnership</w:t>
      </w:r>
      <w:r>
        <w:rPr>
          <w:rFonts w:cstheme="minorHAnsi"/>
        </w:rPr>
        <w:t xml:space="preserve">: </w:t>
      </w:r>
      <w:r w:rsidRPr="005011A5">
        <w:rPr>
          <w:rFonts w:cstheme="minorHAnsi"/>
        </w:rPr>
        <w:t>The ubiquity of lithium-ion batteries in consumer electronics, electric vehicles and renewable energy storage means that the human rights impacts of lithium extraction are of relevance to numerous supply chains. Electric vehicle manufacturers have shown interest recently in ensuring a socially sustainable supply</w:t>
      </w:r>
      <w:r w:rsidR="00CE1D30">
        <w:rPr>
          <w:rFonts w:cstheme="minorHAnsi"/>
        </w:rPr>
        <w:t xml:space="preserve"> of lithium</w:t>
      </w:r>
      <w:r w:rsidRPr="005011A5">
        <w:rPr>
          <w:rFonts w:cstheme="minorHAnsi"/>
        </w:rPr>
        <w:t xml:space="preserve">, and some of them have formed a multi-stakeholder partnership with mining companies, local communities and a development agency to attempt to </w:t>
      </w:r>
      <w:r w:rsidR="00CE1D30">
        <w:rPr>
          <w:rFonts w:cstheme="minorHAnsi"/>
        </w:rPr>
        <w:t>collaborate on achieving</w:t>
      </w:r>
      <w:r w:rsidRPr="005011A5">
        <w:rPr>
          <w:rFonts w:cstheme="minorHAnsi"/>
        </w:rPr>
        <w:t xml:space="preserve"> </w:t>
      </w:r>
      <w:r w:rsidR="00CE1D30">
        <w:rPr>
          <w:rFonts w:cstheme="minorHAnsi"/>
        </w:rPr>
        <w:t>sustainable extraction of Chilean lithium, with a view to establishing</w:t>
      </w:r>
      <w:r w:rsidRPr="005011A5">
        <w:rPr>
          <w:rFonts w:cstheme="minorHAnsi"/>
        </w:rPr>
        <w:t xml:space="preserve"> some </w:t>
      </w:r>
      <w:r w:rsidR="00CE1D30">
        <w:rPr>
          <w:rFonts w:cstheme="minorHAnsi"/>
        </w:rPr>
        <w:t>form</w:t>
      </w:r>
      <w:r w:rsidRPr="005011A5">
        <w:rPr>
          <w:rFonts w:cstheme="minorHAnsi"/>
        </w:rPr>
        <w:t xml:space="preserve"> of bottom-up </w:t>
      </w:r>
      <w:r w:rsidR="00CE1D30">
        <w:rPr>
          <w:rFonts w:cstheme="minorHAnsi"/>
        </w:rPr>
        <w:t xml:space="preserve">assurance or </w:t>
      </w:r>
      <w:r w:rsidRPr="005011A5">
        <w:rPr>
          <w:rFonts w:cstheme="minorHAnsi"/>
        </w:rPr>
        <w:t>certification.</w:t>
      </w:r>
      <w:r w:rsidRPr="005011A5">
        <w:rPr>
          <w:rStyle w:val="FootnoteReference"/>
          <w:rFonts w:cstheme="minorHAnsi"/>
        </w:rPr>
        <w:footnoteReference w:id="39"/>
      </w:r>
      <w:r w:rsidRPr="005011A5">
        <w:rPr>
          <w:rFonts w:cstheme="minorHAnsi"/>
        </w:rPr>
        <w:t xml:space="preserve"> This direct engagement between companies at opposite ends of the supply chain, and the involvement of rights-holders, is one to follow with interest due to the need for end-to-end traceability through supply chains and bottom-up solutions to certification of social sustainability of products.</w:t>
      </w:r>
    </w:p>
    <w:p w14:paraId="387B76A0" w14:textId="77777777" w:rsidR="00CD1C1D" w:rsidRDefault="00CD1C1D" w:rsidP="000771C9">
      <w:pPr>
        <w:spacing w:after="0" w:line="240" w:lineRule="auto"/>
        <w:rPr>
          <w:rFonts w:cstheme="minorHAnsi"/>
        </w:rPr>
      </w:pPr>
    </w:p>
    <w:p w14:paraId="78202054" w14:textId="6AD00FE5" w:rsidR="00CD1C1D" w:rsidRDefault="00CD1C1D" w:rsidP="000771C9">
      <w:pPr>
        <w:spacing w:after="0" w:line="240" w:lineRule="auto"/>
        <w:rPr>
          <w:rFonts w:cstheme="minorHAnsi"/>
        </w:rPr>
      </w:pPr>
      <w:r>
        <w:rPr>
          <w:rFonts w:cstheme="minorHAnsi"/>
        </w:rPr>
        <w:t>Similarl</w:t>
      </w:r>
      <w:r w:rsidR="004A4F9C">
        <w:rPr>
          <w:rFonts w:cstheme="minorHAnsi"/>
        </w:rPr>
        <w:t>y, the IRMA standard, by far the most robust mining standard when it comes to human rights and Indigenous human rights</w:t>
      </w:r>
      <w:r w:rsidR="009B5CF6">
        <w:rPr>
          <w:rFonts w:cstheme="minorHAnsi"/>
        </w:rPr>
        <w:t>, gains further legitimacy by in</w:t>
      </w:r>
      <w:r w:rsidR="00FA1514">
        <w:rPr>
          <w:rFonts w:cstheme="minorHAnsi"/>
        </w:rPr>
        <w:t xml:space="preserve">volving downstream supply chain companies to </w:t>
      </w:r>
      <w:r w:rsidR="00320D4A">
        <w:rPr>
          <w:rFonts w:cstheme="minorHAnsi"/>
        </w:rPr>
        <w:t>enhance collaboration on responsible extractive processes.</w:t>
      </w:r>
    </w:p>
    <w:p w14:paraId="7B67BB95" w14:textId="77777777" w:rsidR="000771C9" w:rsidRDefault="000771C9" w:rsidP="000771C9">
      <w:pPr>
        <w:spacing w:after="0" w:line="240" w:lineRule="auto"/>
        <w:rPr>
          <w:rFonts w:cstheme="minorHAnsi"/>
        </w:rPr>
      </w:pPr>
    </w:p>
    <w:p w14:paraId="79DB77FB" w14:textId="18D507B3" w:rsidR="0068272D" w:rsidRPr="00955D94" w:rsidRDefault="00C50E02" w:rsidP="000771C9">
      <w:pPr>
        <w:spacing w:after="0" w:line="240" w:lineRule="auto"/>
        <w:rPr>
          <w:rFonts w:cstheme="minorHAnsi"/>
          <w:lang w:val="en-AU"/>
        </w:rPr>
      </w:pPr>
      <w:r>
        <w:rPr>
          <w:rFonts w:cstheme="minorHAnsi"/>
          <w:b/>
          <w:bCs/>
        </w:rPr>
        <w:t xml:space="preserve">Agreement-making and benefit-sharing: </w:t>
      </w:r>
      <w:r w:rsidR="000771C9">
        <w:rPr>
          <w:rFonts w:cstheme="minorHAnsi"/>
          <w:b/>
          <w:bCs/>
        </w:rPr>
        <w:t xml:space="preserve"> </w:t>
      </w:r>
      <w:r w:rsidR="009674EE">
        <w:rPr>
          <w:rFonts w:cstheme="minorHAnsi"/>
        </w:rPr>
        <w:t>The agreement between Albemarle</w:t>
      </w:r>
      <w:r w:rsidR="00955D94">
        <w:rPr>
          <w:rFonts w:cstheme="minorHAnsi"/>
        </w:rPr>
        <w:t xml:space="preserve">/Rockwood and the </w:t>
      </w:r>
      <w:proofErr w:type="spellStart"/>
      <w:r w:rsidR="00955D94">
        <w:rPr>
          <w:rFonts w:cstheme="minorHAnsi"/>
        </w:rPr>
        <w:t>Consejo</w:t>
      </w:r>
      <w:proofErr w:type="spellEnd"/>
      <w:r w:rsidR="00955D94">
        <w:rPr>
          <w:rFonts w:cstheme="minorHAnsi"/>
        </w:rPr>
        <w:t xml:space="preserve"> de Pueblos </w:t>
      </w:r>
      <w:proofErr w:type="spellStart"/>
      <w:r w:rsidR="00955D94">
        <w:rPr>
          <w:rFonts w:cstheme="minorHAnsi"/>
        </w:rPr>
        <w:t>Atacame</w:t>
      </w:r>
      <w:r w:rsidR="00955D94" w:rsidRPr="00955D94">
        <w:rPr>
          <w:rFonts w:cstheme="minorHAnsi"/>
          <w:lang w:val="en-AU"/>
        </w:rPr>
        <w:t>ñ</w:t>
      </w:r>
      <w:r w:rsidR="00955D94">
        <w:rPr>
          <w:rFonts w:cstheme="minorHAnsi"/>
          <w:lang w:val="en-AU"/>
        </w:rPr>
        <w:t>os</w:t>
      </w:r>
      <w:proofErr w:type="spellEnd"/>
      <w:r w:rsidR="00955D94">
        <w:rPr>
          <w:rFonts w:cstheme="minorHAnsi"/>
          <w:lang w:val="en-AU"/>
        </w:rPr>
        <w:t xml:space="preserve"> in the </w:t>
      </w:r>
      <w:proofErr w:type="spellStart"/>
      <w:r w:rsidR="00955D94">
        <w:rPr>
          <w:rFonts w:cstheme="minorHAnsi"/>
          <w:lang w:val="en-AU"/>
        </w:rPr>
        <w:t>Salar</w:t>
      </w:r>
      <w:proofErr w:type="spellEnd"/>
      <w:r w:rsidR="00955D94">
        <w:rPr>
          <w:rFonts w:cstheme="minorHAnsi"/>
          <w:lang w:val="en-AU"/>
        </w:rPr>
        <w:t xml:space="preserve"> de Atacama, Northern Chile, is something of a landmark.</w:t>
      </w:r>
      <w:r w:rsidR="0068272D">
        <w:rPr>
          <w:rFonts w:cstheme="minorHAnsi"/>
          <w:lang w:val="en-AU"/>
        </w:rPr>
        <w:t xml:space="preserve"> It stands out for several reasons. Firstly, </w:t>
      </w:r>
      <w:r w:rsidR="001D28B0">
        <w:rPr>
          <w:rFonts w:cstheme="minorHAnsi"/>
          <w:lang w:val="en-AU"/>
        </w:rPr>
        <w:t xml:space="preserve">the agreement was made with a much wider number of communities than those who could be said to be directly impacted by the project, </w:t>
      </w:r>
      <w:proofErr w:type="gramStart"/>
      <w:r w:rsidR="001D28B0">
        <w:rPr>
          <w:rFonts w:cstheme="minorHAnsi"/>
          <w:lang w:val="en-AU"/>
        </w:rPr>
        <w:t>taking into account</w:t>
      </w:r>
      <w:proofErr w:type="gramEnd"/>
      <w:r w:rsidR="001D28B0">
        <w:rPr>
          <w:rFonts w:cstheme="minorHAnsi"/>
          <w:lang w:val="en-AU"/>
        </w:rPr>
        <w:t xml:space="preserve"> the Indigenous groups’ own view of </w:t>
      </w:r>
      <w:r w:rsidR="009C2C5B">
        <w:rPr>
          <w:rFonts w:cstheme="minorHAnsi"/>
          <w:lang w:val="en-AU"/>
        </w:rPr>
        <w:t xml:space="preserve">territory. Secondly, the agreement was only to be established if every constituent community voted in favour of it. Though this process took four years, the </w:t>
      </w:r>
      <w:r w:rsidR="00FB3075">
        <w:rPr>
          <w:rFonts w:cstheme="minorHAnsi"/>
          <w:lang w:val="en-AU"/>
        </w:rPr>
        <w:t xml:space="preserve">resulting agreement is much more authoritative as a result. Thirdly, the agreement incorporates both </w:t>
      </w:r>
      <w:r w:rsidR="00450F54">
        <w:rPr>
          <w:rFonts w:cstheme="minorHAnsi"/>
          <w:lang w:val="en-AU"/>
        </w:rPr>
        <w:t>environmental and social elements, with a series of provisions for stopping extraction if certain environmental indicators are reached</w:t>
      </w:r>
      <w:r w:rsidR="000529A5">
        <w:rPr>
          <w:rFonts w:cstheme="minorHAnsi"/>
          <w:lang w:val="en-AU"/>
        </w:rPr>
        <w:t>, and for participatory community environmental monitoring, as well as a significant benefit-sharing arrangement</w:t>
      </w:r>
      <w:r w:rsidR="004869A1">
        <w:rPr>
          <w:rFonts w:cstheme="minorHAnsi"/>
          <w:lang w:val="en-AU"/>
        </w:rPr>
        <w:t>. This arrangement sees 3.5% of lithium sales apportioned to the communities</w:t>
      </w:r>
      <w:r w:rsidR="00302DE0">
        <w:rPr>
          <w:rFonts w:cstheme="minorHAnsi"/>
          <w:lang w:val="en-AU"/>
        </w:rPr>
        <w:t>, who then decide how to use it in the context of community development priorities.</w:t>
      </w:r>
    </w:p>
    <w:p w14:paraId="1EF2FDCD" w14:textId="77777777" w:rsidR="000771C9" w:rsidRDefault="000771C9" w:rsidP="00A27D97">
      <w:pPr>
        <w:spacing w:after="0" w:line="240" w:lineRule="auto"/>
        <w:ind w:left="720" w:hanging="720"/>
        <w:rPr>
          <w:rFonts w:eastAsia="Times New Roman" w:cstheme="minorHAnsi"/>
          <w:b/>
          <w:bCs/>
          <w:lang w:val="en-AU" w:eastAsia="en-AU"/>
        </w:rPr>
      </w:pPr>
    </w:p>
    <w:p w14:paraId="5FFD84DD" w14:textId="77777777" w:rsidR="000771C9" w:rsidRDefault="000771C9" w:rsidP="00A27D97">
      <w:pPr>
        <w:spacing w:after="0" w:line="240" w:lineRule="auto"/>
        <w:ind w:left="720" w:hanging="720"/>
        <w:rPr>
          <w:rFonts w:eastAsia="Times New Roman" w:cstheme="minorHAnsi"/>
          <w:b/>
          <w:bCs/>
          <w:lang w:val="en-AU" w:eastAsia="en-AU"/>
        </w:rPr>
      </w:pPr>
    </w:p>
    <w:p w14:paraId="440B7E3D" w14:textId="6AFF5219" w:rsidR="00A27D97" w:rsidRPr="002C4F92" w:rsidRDefault="00A27D97" w:rsidP="00A27D97">
      <w:pPr>
        <w:spacing w:after="0" w:line="240" w:lineRule="auto"/>
        <w:ind w:left="720" w:hanging="720"/>
        <w:rPr>
          <w:rFonts w:eastAsia="Times New Roman" w:cstheme="minorHAnsi"/>
          <w:b/>
          <w:bCs/>
          <w:i/>
          <w:iCs/>
          <w:lang w:val="en-AU" w:eastAsia="en-AU"/>
        </w:rPr>
      </w:pPr>
      <w:r w:rsidRPr="005011A5">
        <w:rPr>
          <w:rFonts w:eastAsia="Times New Roman" w:cstheme="minorHAnsi"/>
          <w:b/>
          <w:bCs/>
          <w:lang w:val="en-AU" w:eastAsia="en-AU"/>
        </w:rPr>
        <w:t>Q21</w:t>
      </w:r>
      <w:r w:rsidRPr="005011A5">
        <w:rPr>
          <w:rFonts w:eastAsia="Times New Roman" w:cstheme="minorHAnsi"/>
          <w:b/>
          <w:bCs/>
          <w:lang w:val="en-AU" w:eastAsia="en-AU"/>
        </w:rPr>
        <w:tab/>
      </w:r>
      <w:r w:rsidRPr="002C4F92">
        <w:rPr>
          <w:rFonts w:eastAsia="Times New Roman" w:cstheme="minorHAnsi"/>
          <w:b/>
          <w:bCs/>
          <w:i/>
          <w:iCs/>
          <w:lang w:val="en-AU" w:eastAsia="en-AU"/>
        </w:rPr>
        <w:t>Are there any specific recommendations to States, businesses (including investors), civil society, UN bodies and National Human Rights Institutions that would help further advance a just and human rights-based energy transition in the extractive sector? Any other comments or suggestions about the forthcoming report are also welcome.  </w:t>
      </w:r>
    </w:p>
    <w:p w14:paraId="4D2DB8C7" w14:textId="4C8B9FFA" w:rsidR="000B5FD6" w:rsidRPr="00132CF8" w:rsidRDefault="000B5FD6" w:rsidP="00A27D97">
      <w:pPr>
        <w:spacing w:after="0" w:line="240" w:lineRule="auto"/>
        <w:rPr>
          <w:rFonts w:cstheme="minorHAnsi"/>
          <w:i/>
          <w:iCs/>
          <w:highlight w:val="yellow"/>
        </w:rPr>
      </w:pPr>
    </w:p>
    <w:p w14:paraId="73721947" w14:textId="1698C73A" w:rsidR="00744A38" w:rsidRPr="00951F5C" w:rsidRDefault="00744A38" w:rsidP="00A27D97">
      <w:pPr>
        <w:spacing w:after="0" w:line="240" w:lineRule="auto"/>
        <w:rPr>
          <w:rFonts w:cstheme="minorHAnsi"/>
          <w:b/>
          <w:bCs/>
        </w:rPr>
      </w:pPr>
      <w:r w:rsidRPr="00951F5C">
        <w:rPr>
          <w:rFonts w:cstheme="minorHAnsi"/>
          <w:b/>
          <w:bCs/>
        </w:rPr>
        <w:t xml:space="preserve">Recommendations for </w:t>
      </w:r>
      <w:r w:rsidR="00544A87">
        <w:rPr>
          <w:rFonts w:cstheme="minorHAnsi"/>
          <w:b/>
          <w:bCs/>
        </w:rPr>
        <w:t>states:</w:t>
      </w:r>
    </w:p>
    <w:p w14:paraId="2FE7794E" w14:textId="4AB058FA" w:rsidR="00132BF6" w:rsidRPr="00744A38" w:rsidRDefault="00132BF6" w:rsidP="00A27D97">
      <w:pPr>
        <w:spacing w:after="0" w:line="240" w:lineRule="auto"/>
        <w:rPr>
          <w:rFonts w:cstheme="minorHAnsi"/>
          <w:highlight w:val="yellow"/>
        </w:rPr>
      </w:pPr>
    </w:p>
    <w:p w14:paraId="2D34D6B4" w14:textId="750481CC" w:rsidR="00744A38" w:rsidRPr="00037EEA" w:rsidRDefault="00744A38" w:rsidP="00142BFA">
      <w:pPr>
        <w:pStyle w:val="ListParagraph"/>
        <w:numPr>
          <w:ilvl w:val="0"/>
          <w:numId w:val="8"/>
        </w:numPr>
        <w:spacing w:after="0" w:line="240" w:lineRule="auto"/>
        <w:ind w:left="714" w:hanging="357"/>
        <w:rPr>
          <w:rFonts w:cstheme="minorHAnsi"/>
        </w:rPr>
      </w:pPr>
      <w:r w:rsidRPr="00037EEA">
        <w:rPr>
          <w:rFonts w:cstheme="minorHAnsi"/>
        </w:rPr>
        <w:t>Ensure that adequate data to assess predicted and ongoing impacts of mining operations are held by the state, including collecting and monitoring independent environmental data at basin rather than project level. This should inform a basin management approach to impact assessment.</w:t>
      </w:r>
    </w:p>
    <w:p w14:paraId="09FB4B89" w14:textId="77777777" w:rsidR="00037EEA" w:rsidRDefault="00037EEA" w:rsidP="00744A38">
      <w:pPr>
        <w:spacing w:after="0" w:line="240" w:lineRule="auto"/>
        <w:rPr>
          <w:rFonts w:cstheme="minorHAnsi"/>
          <w:lang w:val="en-AU"/>
        </w:rPr>
      </w:pPr>
    </w:p>
    <w:p w14:paraId="6A468047" w14:textId="77777777" w:rsidR="00037EEA" w:rsidRDefault="00744A38" w:rsidP="00744A38">
      <w:pPr>
        <w:pStyle w:val="ListParagraph"/>
        <w:numPr>
          <w:ilvl w:val="0"/>
          <w:numId w:val="8"/>
        </w:numPr>
        <w:spacing w:after="0" w:line="240" w:lineRule="auto"/>
        <w:rPr>
          <w:rFonts w:cstheme="minorHAnsi"/>
        </w:rPr>
      </w:pPr>
      <w:r w:rsidRPr="00037EEA">
        <w:rPr>
          <w:rFonts w:cstheme="minorHAnsi"/>
        </w:rPr>
        <w:t xml:space="preserve">Fulfil government obligations on Indigenous consultation, consent and self-determination, recognising the ongoing nature of these obligations and not permitting that company–community consultation </w:t>
      </w:r>
      <w:proofErr w:type="gramStart"/>
      <w:r w:rsidRPr="00037EEA">
        <w:rPr>
          <w:rFonts w:cstheme="minorHAnsi"/>
        </w:rPr>
        <w:t>stand</w:t>
      </w:r>
      <w:proofErr w:type="gramEnd"/>
      <w:r w:rsidRPr="00037EEA">
        <w:rPr>
          <w:rFonts w:cstheme="minorHAnsi"/>
        </w:rPr>
        <w:t xml:space="preserve"> in for them.</w:t>
      </w:r>
    </w:p>
    <w:p w14:paraId="2DB42139" w14:textId="77777777" w:rsidR="00037EEA" w:rsidRPr="00037EEA" w:rsidRDefault="00037EEA" w:rsidP="00037EEA">
      <w:pPr>
        <w:pStyle w:val="ListParagraph"/>
        <w:rPr>
          <w:rFonts w:cstheme="minorHAnsi"/>
        </w:rPr>
      </w:pPr>
    </w:p>
    <w:p w14:paraId="0B98BEC6" w14:textId="09EE5948" w:rsidR="00744A38" w:rsidRDefault="00744A38" w:rsidP="00744A38">
      <w:pPr>
        <w:pStyle w:val="ListParagraph"/>
        <w:numPr>
          <w:ilvl w:val="0"/>
          <w:numId w:val="8"/>
        </w:numPr>
        <w:spacing w:after="0" w:line="240" w:lineRule="auto"/>
        <w:rPr>
          <w:rFonts w:cstheme="minorHAnsi"/>
        </w:rPr>
      </w:pPr>
      <w:r w:rsidRPr="00037EEA">
        <w:rPr>
          <w:rFonts w:cstheme="minorHAnsi"/>
        </w:rPr>
        <w:lastRenderedPageBreak/>
        <w:t>Establish a standalone human rights impact assessment process for extractive projects that comprehensively assesses both negative and positive impacts with a human rights lens and incorporates community-designed consultation and consent processes.</w:t>
      </w:r>
    </w:p>
    <w:p w14:paraId="69ACE5A2" w14:textId="77777777" w:rsidR="00037EEA" w:rsidRPr="00037EEA" w:rsidRDefault="00037EEA" w:rsidP="00037EEA">
      <w:pPr>
        <w:pStyle w:val="ListParagraph"/>
        <w:rPr>
          <w:rFonts w:cstheme="minorHAnsi"/>
        </w:rPr>
      </w:pPr>
    </w:p>
    <w:p w14:paraId="7DDB6C85" w14:textId="43D128AD" w:rsidR="00744A38" w:rsidRDefault="00037EEA" w:rsidP="0096715C">
      <w:pPr>
        <w:pStyle w:val="ListParagraph"/>
        <w:numPr>
          <w:ilvl w:val="0"/>
          <w:numId w:val="8"/>
        </w:numPr>
        <w:spacing w:after="0" w:line="240" w:lineRule="auto"/>
        <w:rPr>
          <w:rFonts w:cstheme="minorHAnsi"/>
        </w:rPr>
      </w:pPr>
      <w:r w:rsidRPr="00037EEA">
        <w:rPr>
          <w:rFonts w:cstheme="minorHAnsi"/>
        </w:rPr>
        <w:t xml:space="preserve">Work to </w:t>
      </w:r>
      <w:r w:rsidR="00744A38" w:rsidRPr="00037EEA">
        <w:rPr>
          <w:rFonts w:cstheme="minorHAnsi"/>
        </w:rPr>
        <w:t xml:space="preserve">align departments such as Mining, </w:t>
      </w:r>
      <w:proofErr w:type="gramStart"/>
      <w:r w:rsidR="00744A38" w:rsidRPr="00037EEA">
        <w:rPr>
          <w:rFonts w:cstheme="minorHAnsi"/>
        </w:rPr>
        <w:t>Environment</w:t>
      </w:r>
      <w:proofErr w:type="gramEnd"/>
      <w:r w:rsidR="00744A38" w:rsidRPr="00037EEA">
        <w:rPr>
          <w:rFonts w:cstheme="minorHAnsi"/>
        </w:rPr>
        <w:t xml:space="preserve"> and Indigenous Affairs on a whole-of-government approach to extractive industries and their environmental and social sustainability, including via implementing and progressing National Action Plans on human rights.</w:t>
      </w:r>
    </w:p>
    <w:p w14:paraId="41D7D323" w14:textId="77777777" w:rsidR="0079209B" w:rsidRPr="0079209B" w:rsidRDefault="0079209B" w:rsidP="0079209B">
      <w:pPr>
        <w:pStyle w:val="ListParagraph"/>
        <w:rPr>
          <w:rFonts w:cstheme="minorHAnsi"/>
        </w:rPr>
      </w:pPr>
    </w:p>
    <w:p w14:paraId="3DFFCE92" w14:textId="77777777" w:rsidR="00142BFA" w:rsidRDefault="00744A38" w:rsidP="00142BFA">
      <w:pPr>
        <w:pStyle w:val="ListParagraph"/>
        <w:numPr>
          <w:ilvl w:val="0"/>
          <w:numId w:val="8"/>
        </w:numPr>
        <w:spacing w:after="0" w:line="240" w:lineRule="auto"/>
        <w:rPr>
          <w:rFonts w:cstheme="minorHAnsi"/>
        </w:rPr>
      </w:pPr>
      <w:r w:rsidRPr="0079209B">
        <w:rPr>
          <w:rFonts w:cstheme="minorHAnsi"/>
        </w:rPr>
        <w:t xml:space="preserve">Support the company–community dynamic via ongoing engagement in the process and assisting communities via provision of resources that allow them to engage external expertise for capability-building or other </w:t>
      </w:r>
      <w:proofErr w:type="gramStart"/>
      <w:r w:rsidRPr="0079209B">
        <w:rPr>
          <w:rFonts w:cstheme="minorHAnsi"/>
        </w:rPr>
        <w:t>support, and</w:t>
      </w:r>
      <w:proofErr w:type="gramEnd"/>
      <w:r w:rsidRPr="0079209B">
        <w:rPr>
          <w:rFonts w:cstheme="minorHAnsi"/>
        </w:rPr>
        <w:t xml:space="preserve"> participate in monitoring initiatives.</w:t>
      </w:r>
    </w:p>
    <w:p w14:paraId="19A47BE7" w14:textId="77777777" w:rsidR="00142BFA" w:rsidRPr="00142BFA" w:rsidRDefault="00142BFA" w:rsidP="00142BFA">
      <w:pPr>
        <w:pStyle w:val="ListParagraph"/>
        <w:rPr>
          <w:rFonts w:cstheme="minorHAnsi"/>
        </w:rPr>
      </w:pPr>
    </w:p>
    <w:p w14:paraId="192CB633" w14:textId="6C20B655" w:rsidR="00142BFA" w:rsidRPr="00142BFA" w:rsidRDefault="00744A38" w:rsidP="00142BFA">
      <w:pPr>
        <w:pStyle w:val="ListParagraph"/>
        <w:numPr>
          <w:ilvl w:val="0"/>
          <w:numId w:val="8"/>
        </w:numPr>
        <w:spacing w:after="0" w:line="240" w:lineRule="auto"/>
        <w:rPr>
          <w:rFonts w:cstheme="minorHAnsi"/>
        </w:rPr>
      </w:pPr>
      <w:r w:rsidRPr="00142BFA">
        <w:rPr>
          <w:rFonts w:cstheme="minorHAnsi"/>
        </w:rPr>
        <w:t xml:space="preserve">Foster opportunities for inter-company and cross-industry collaborations on these issues and putting in place clear mechanisms for regular three-way dialogue between companies, </w:t>
      </w:r>
      <w:proofErr w:type="gramStart"/>
      <w:r w:rsidRPr="00142BFA">
        <w:rPr>
          <w:rFonts w:cstheme="minorHAnsi"/>
        </w:rPr>
        <w:t>communities</w:t>
      </w:r>
      <w:proofErr w:type="gramEnd"/>
      <w:r w:rsidRPr="00142BFA">
        <w:rPr>
          <w:rFonts w:cstheme="minorHAnsi"/>
        </w:rPr>
        <w:t xml:space="preserve"> and government.</w:t>
      </w:r>
    </w:p>
    <w:p w14:paraId="08ABE283" w14:textId="77777777" w:rsidR="00142BFA" w:rsidRPr="00142BFA" w:rsidRDefault="00142BFA" w:rsidP="00142BFA">
      <w:pPr>
        <w:spacing w:before="240" w:after="0" w:line="240" w:lineRule="auto"/>
      </w:pPr>
    </w:p>
    <w:p w14:paraId="28C609EB" w14:textId="77777777" w:rsidR="00544A87" w:rsidRPr="00544A87" w:rsidRDefault="007135A5" w:rsidP="00544A87">
      <w:pPr>
        <w:spacing w:before="240" w:after="0" w:line="240" w:lineRule="auto"/>
        <w:rPr>
          <w:b/>
          <w:bCs/>
          <w:lang w:val="en-AU"/>
        </w:rPr>
      </w:pPr>
      <w:r w:rsidRPr="00544A87">
        <w:rPr>
          <w:rFonts w:cstheme="minorHAnsi"/>
          <w:b/>
          <w:bCs/>
          <w:color w:val="000000" w:themeColor="text1"/>
        </w:rPr>
        <w:t>Recommendations for business:</w:t>
      </w:r>
    </w:p>
    <w:p w14:paraId="4F63AF1A" w14:textId="77777777" w:rsidR="00544A87" w:rsidRDefault="007135A5" w:rsidP="00544A87">
      <w:pPr>
        <w:pStyle w:val="ListParagraph"/>
        <w:numPr>
          <w:ilvl w:val="1"/>
          <w:numId w:val="9"/>
        </w:numPr>
        <w:spacing w:before="240" w:after="160" w:line="240" w:lineRule="auto"/>
      </w:pPr>
      <w:r>
        <w:t>Tak</w:t>
      </w:r>
      <w:r w:rsidR="003C6AB4">
        <w:t>e</w:t>
      </w:r>
      <w:r>
        <w:t xml:space="preserve"> time to understand the community context before project design, engaging transparently and in good faith with communities before any prospecting or exploration is undertaken and involving community members in designing the parameters of a new project or material change to an existing project.</w:t>
      </w:r>
    </w:p>
    <w:p w14:paraId="71A459B2" w14:textId="77777777" w:rsidR="00544A87" w:rsidRDefault="00544A87" w:rsidP="00544A87">
      <w:pPr>
        <w:pStyle w:val="ListParagraph"/>
        <w:spacing w:before="240" w:after="160" w:line="240" w:lineRule="auto"/>
      </w:pPr>
    </w:p>
    <w:p w14:paraId="17D9E103" w14:textId="77777777" w:rsidR="00544A87" w:rsidRDefault="007135A5" w:rsidP="00544A87">
      <w:pPr>
        <w:pStyle w:val="ListParagraph"/>
        <w:numPr>
          <w:ilvl w:val="1"/>
          <w:numId w:val="9"/>
        </w:numPr>
        <w:spacing w:before="240" w:after="160" w:line="240" w:lineRule="auto"/>
      </w:pPr>
      <w:r>
        <w:t>Conduct</w:t>
      </w:r>
      <w:r w:rsidR="003C6AB4">
        <w:t xml:space="preserve"> </w:t>
      </w:r>
      <w:r>
        <w:t>regular, in-person engagement with communities by an employee with sufficient executive power to make decisions within the meeting and a primary or secondary reporting line to the highest levels of the business.</w:t>
      </w:r>
    </w:p>
    <w:p w14:paraId="1C99F866" w14:textId="77777777" w:rsidR="00544A87" w:rsidRDefault="00544A87" w:rsidP="00544A87">
      <w:pPr>
        <w:pStyle w:val="ListParagraph"/>
      </w:pPr>
    </w:p>
    <w:p w14:paraId="2DE5C101" w14:textId="77777777" w:rsidR="00544A87" w:rsidRDefault="007135A5" w:rsidP="00544A87">
      <w:pPr>
        <w:pStyle w:val="ListParagraph"/>
        <w:numPr>
          <w:ilvl w:val="1"/>
          <w:numId w:val="9"/>
        </w:numPr>
        <w:spacing w:before="240" w:after="160" w:line="240" w:lineRule="auto"/>
      </w:pPr>
      <w:r>
        <w:t>Enabl</w:t>
      </w:r>
      <w:r w:rsidR="003C6AB4">
        <w:t>e</w:t>
      </w:r>
      <w:r>
        <w:t xml:space="preserve"> participation of communities in ongoing evaluation and monitoring of environmental and social impact via such mechanisms as participatory environmental monitoring.</w:t>
      </w:r>
    </w:p>
    <w:p w14:paraId="622A0C45" w14:textId="77777777" w:rsidR="00544A87" w:rsidRDefault="00544A87" w:rsidP="00544A87">
      <w:pPr>
        <w:pStyle w:val="ListParagraph"/>
      </w:pPr>
    </w:p>
    <w:p w14:paraId="0A66EDBA" w14:textId="77777777" w:rsidR="00544A87" w:rsidRDefault="007135A5" w:rsidP="00544A87">
      <w:pPr>
        <w:pStyle w:val="ListParagraph"/>
        <w:numPr>
          <w:ilvl w:val="1"/>
          <w:numId w:val="9"/>
        </w:numPr>
        <w:spacing w:before="240" w:after="160" w:line="240" w:lineRule="auto"/>
      </w:pPr>
      <w:r>
        <w:t>Put in place clear guarantees for communities and a pre-established transition process in the case of acquisition or transfer of mining rights to another company.</w:t>
      </w:r>
    </w:p>
    <w:p w14:paraId="29BAB99C" w14:textId="77777777" w:rsidR="00544A87" w:rsidRDefault="00544A87" w:rsidP="00544A87">
      <w:pPr>
        <w:pStyle w:val="ListParagraph"/>
      </w:pPr>
    </w:p>
    <w:p w14:paraId="02D42FD2" w14:textId="77777777" w:rsidR="00544A87" w:rsidRDefault="007135A5" w:rsidP="00544A87">
      <w:pPr>
        <w:pStyle w:val="ListParagraph"/>
        <w:numPr>
          <w:ilvl w:val="1"/>
          <w:numId w:val="9"/>
        </w:numPr>
        <w:spacing w:before="240" w:after="160" w:line="240" w:lineRule="auto"/>
      </w:pPr>
      <w:r>
        <w:t xml:space="preserve">Apply a rights-based lens to assessment of risks and opportunities and community relations strategy </w:t>
      </w:r>
      <w:proofErr w:type="gramStart"/>
      <w:r>
        <w:t>in order to</w:t>
      </w:r>
      <w:proofErr w:type="gramEnd"/>
      <w:r>
        <w:t xml:space="preserve"> minimise negative impact from operations and maximise positive impact from other initiatives.</w:t>
      </w:r>
    </w:p>
    <w:p w14:paraId="213B3BB2" w14:textId="77777777" w:rsidR="00544A87" w:rsidRDefault="00544A87" w:rsidP="00544A87">
      <w:pPr>
        <w:pStyle w:val="ListParagraph"/>
      </w:pPr>
    </w:p>
    <w:p w14:paraId="56A28642" w14:textId="5CDC19BC" w:rsidR="007135A5" w:rsidRDefault="007135A5" w:rsidP="00544A87">
      <w:pPr>
        <w:pStyle w:val="ListParagraph"/>
        <w:numPr>
          <w:ilvl w:val="1"/>
          <w:numId w:val="9"/>
        </w:numPr>
        <w:spacing w:before="240" w:after="160" w:line="240" w:lineRule="auto"/>
      </w:pPr>
      <w:r>
        <w:t xml:space="preserve">Work with industry bodies and universities to introduce more social and rights-based elements into mining engineering courses. In the longer term, this would raise baseline capability for community engagement in junior mining companies. </w:t>
      </w:r>
    </w:p>
    <w:p w14:paraId="49369BB5" w14:textId="1AC7EA83" w:rsidR="004D61CA" w:rsidRPr="005011A5" w:rsidRDefault="004D61CA" w:rsidP="00A27D97">
      <w:pPr>
        <w:tabs>
          <w:tab w:val="left" w:pos="2200"/>
        </w:tabs>
        <w:spacing w:after="0" w:line="240" w:lineRule="auto"/>
        <w:contextualSpacing/>
        <w:rPr>
          <w:rFonts w:cstheme="minorHAnsi"/>
        </w:rPr>
      </w:pPr>
    </w:p>
    <w:sectPr w:rsidR="004D61CA" w:rsidRPr="005011A5" w:rsidSect="003C3652">
      <w:footerReference w:type="even" r:id="rId18"/>
      <w:footerReference w:type="defaul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359F" w14:textId="77777777" w:rsidR="00476380" w:rsidRDefault="00476380" w:rsidP="001F755D">
      <w:pPr>
        <w:spacing w:after="0" w:line="240" w:lineRule="auto"/>
      </w:pPr>
      <w:r>
        <w:separator/>
      </w:r>
    </w:p>
  </w:endnote>
  <w:endnote w:type="continuationSeparator" w:id="0">
    <w:p w14:paraId="3C084C4E" w14:textId="77777777" w:rsidR="00476380" w:rsidRDefault="00476380" w:rsidP="001F755D">
      <w:pPr>
        <w:spacing w:after="0" w:line="240" w:lineRule="auto"/>
      </w:pPr>
      <w:r>
        <w:continuationSeparator/>
      </w:r>
    </w:p>
  </w:endnote>
  <w:endnote w:type="continuationNotice" w:id="1">
    <w:p w14:paraId="0DAF02CF" w14:textId="77777777" w:rsidR="00476380" w:rsidRDefault="00476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671192"/>
      <w:docPartObj>
        <w:docPartGallery w:val="Page Numbers (Bottom of Page)"/>
        <w:docPartUnique/>
      </w:docPartObj>
    </w:sdtPr>
    <w:sdtContent>
      <w:p w14:paraId="176E62DD" w14:textId="4C524D0F" w:rsidR="003C3652" w:rsidRDefault="003C3652" w:rsidP="003C3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D15E8" w14:textId="77777777" w:rsidR="003C3652" w:rsidRDefault="003C3652" w:rsidP="003C36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069720"/>
      <w:docPartObj>
        <w:docPartGallery w:val="Page Numbers (Bottom of Page)"/>
        <w:docPartUnique/>
      </w:docPartObj>
    </w:sdtPr>
    <w:sdtContent>
      <w:p w14:paraId="331B9F4A" w14:textId="4FEB6D67" w:rsidR="003C3652" w:rsidRDefault="003C3652" w:rsidP="003C36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373A1AD" w14:textId="5E00E5CE" w:rsidR="00CF49F1" w:rsidRDefault="00CF49F1" w:rsidP="003C3652">
    <w:pPr>
      <w:pStyle w:val="Footer"/>
      <w:ind w:right="360"/>
      <w:jc w:val="center"/>
    </w:pPr>
  </w:p>
  <w:p w14:paraId="660E66FA" w14:textId="77777777" w:rsidR="00CF49F1" w:rsidRDefault="00CF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E668" w14:textId="77777777" w:rsidR="00476380" w:rsidRDefault="00476380" w:rsidP="001F755D">
      <w:pPr>
        <w:spacing w:after="0" w:line="240" w:lineRule="auto"/>
      </w:pPr>
      <w:r>
        <w:separator/>
      </w:r>
    </w:p>
  </w:footnote>
  <w:footnote w:type="continuationSeparator" w:id="0">
    <w:p w14:paraId="115D72B5" w14:textId="77777777" w:rsidR="00476380" w:rsidRDefault="00476380" w:rsidP="001F755D">
      <w:pPr>
        <w:spacing w:after="0" w:line="240" w:lineRule="auto"/>
      </w:pPr>
      <w:r>
        <w:continuationSeparator/>
      </w:r>
    </w:p>
  </w:footnote>
  <w:footnote w:type="continuationNotice" w:id="1">
    <w:p w14:paraId="12F1495F" w14:textId="77777777" w:rsidR="00476380" w:rsidRDefault="00476380">
      <w:pPr>
        <w:spacing w:after="0" w:line="240" w:lineRule="auto"/>
      </w:pPr>
    </w:p>
  </w:footnote>
  <w:footnote w:id="2">
    <w:p w14:paraId="788588EF" w14:textId="3D6C0440" w:rsidR="003A0C58" w:rsidRPr="00B9294E" w:rsidRDefault="003A0C58" w:rsidP="00B9294E">
      <w:pPr>
        <w:pStyle w:val="FootnoteText"/>
        <w:rPr>
          <w:rFonts w:cstheme="minorHAnsi"/>
        </w:rPr>
      </w:pPr>
      <w:r w:rsidRPr="00B9294E">
        <w:rPr>
          <w:rStyle w:val="FootnoteReference"/>
          <w:rFonts w:cstheme="minorHAnsi"/>
        </w:rPr>
        <w:footnoteRef/>
      </w:r>
      <w:r w:rsidRPr="00B9294E">
        <w:rPr>
          <w:rFonts w:cstheme="minorHAnsi"/>
        </w:rPr>
        <w:t xml:space="preserve"> International Renewable Energy Agency, </w:t>
      </w:r>
      <w:r w:rsidRPr="00B9294E">
        <w:rPr>
          <w:rFonts w:cstheme="minorHAnsi"/>
          <w:i/>
        </w:rPr>
        <w:t>Renewable Capacity Statistics 2022</w:t>
      </w:r>
      <w:r w:rsidRPr="00B9294E">
        <w:rPr>
          <w:rFonts w:cstheme="minorHAnsi"/>
        </w:rPr>
        <w:t xml:space="preserve"> (2022).</w:t>
      </w:r>
    </w:p>
  </w:footnote>
  <w:footnote w:id="3">
    <w:p w14:paraId="76F9AB37" w14:textId="76598AE2" w:rsidR="003A0C58" w:rsidRPr="00B9294E" w:rsidRDefault="003A0C58" w:rsidP="00B9294E">
      <w:pPr>
        <w:pStyle w:val="FootnoteText"/>
        <w:rPr>
          <w:rFonts w:cstheme="minorHAnsi"/>
        </w:rPr>
      </w:pPr>
      <w:r w:rsidRPr="00B9294E">
        <w:rPr>
          <w:rStyle w:val="FootnoteReference"/>
          <w:rFonts w:cstheme="minorHAnsi"/>
        </w:rPr>
        <w:footnoteRef/>
      </w:r>
      <w:r w:rsidRPr="00B9294E">
        <w:rPr>
          <w:rFonts w:cstheme="minorHAnsi"/>
        </w:rPr>
        <w:t xml:space="preserve"> International Energy Agency, </w:t>
      </w:r>
      <w:r w:rsidRPr="00B9294E">
        <w:rPr>
          <w:rFonts w:cstheme="minorHAnsi"/>
          <w:i/>
        </w:rPr>
        <w:t>Special Report on Solar PV Global Supply Chains</w:t>
      </w:r>
      <w:r w:rsidRPr="00B9294E">
        <w:rPr>
          <w:rFonts w:cstheme="minorHAnsi"/>
        </w:rPr>
        <w:t xml:space="preserve"> (July 2022).</w:t>
      </w:r>
    </w:p>
  </w:footnote>
  <w:footnote w:id="4">
    <w:p w14:paraId="2CA5D59C" w14:textId="103FCDA0" w:rsidR="003A0C58" w:rsidRPr="00B9294E" w:rsidRDefault="003A0C58" w:rsidP="00B9294E">
      <w:pPr>
        <w:pStyle w:val="FootnoteText"/>
        <w:rPr>
          <w:rFonts w:cstheme="minorHAnsi"/>
        </w:rPr>
      </w:pPr>
      <w:r w:rsidRPr="00B9294E">
        <w:rPr>
          <w:rStyle w:val="FootnoteReference"/>
          <w:rFonts w:cstheme="minorHAnsi"/>
        </w:rPr>
        <w:footnoteRef/>
      </w:r>
      <w:r w:rsidRPr="00B9294E">
        <w:rPr>
          <w:rFonts w:cstheme="minorHAnsi"/>
        </w:rPr>
        <w:t xml:space="preserve"> James Cockayne, Edgar Rodríguez Huera and Oana Burcu, </w:t>
      </w:r>
      <w:r w:rsidRPr="00B9294E">
        <w:rPr>
          <w:rFonts w:cstheme="minorHAnsi"/>
          <w:i/>
        </w:rPr>
        <w:t>‘The Energy of Freedom’? Solar Energy, Modern Slavery and the Just Transition</w:t>
      </w:r>
      <w:r w:rsidRPr="00B9294E">
        <w:rPr>
          <w:rFonts w:cstheme="minorHAnsi"/>
        </w:rPr>
        <w:t xml:space="preserve"> (University of Nottingham Rights Lab, 2022) 6.</w:t>
      </w:r>
    </w:p>
  </w:footnote>
  <w:footnote w:id="5">
    <w:p w14:paraId="5A0105F6" w14:textId="482B43B1" w:rsidR="000D0DF9" w:rsidRPr="00B9294E" w:rsidRDefault="000D0DF9" w:rsidP="00B9294E">
      <w:pPr>
        <w:pStyle w:val="FootnoteText"/>
        <w:rPr>
          <w:rFonts w:cstheme="minorHAnsi"/>
        </w:rPr>
      </w:pPr>
      <w:r w:rsidRPr="00B9294E">
        <w:rPr>
          <w:rStyle w:val="FootnoteReference"/>
          <w:rFonts w:cstheme="minorHAnsi"/>
        </w:rPr>
        <w:footnoteRef/>
      </w:r>
      <w:r w:rsidR="004A097C" w:rsidRPr="00B9294E">
        <w:rPr>
          <w:rFonts w:cstheme="minorHAnsi"/>
        </w:rPr>
        <w:t xml:space="preserve"> </w:t>
      </w:r>
      <w:r w:rsidR="004A097C" w:rsidRPr="00B9294E">
        <w:rPr>
          <w:rFonts w:cstheme="minorHAnsi"/>
        </w:rPr>
        <w:fldChar w:fldCharType="begin"/>
      </w:r>
      <w:r w:rsidR="007C3229" w:rsidRPr="00B9294E">
        <w:rPr>
          <w:rFonts w:cstheme="minorHAnsi"/>
        </w:rPr>
        <w:instrText xml:space="preserve"> ADDIN ZOTERO_ITEM CSL_CITATION {"citationID":"iZbevYvs","properties":{"formattedCitation":"OHCHR, {\\i{}OHCHR Assessment of Human Rights Concerns in the Xinjiang Uyghur Autonomous Region, People\\uc0\\u8217{}s Republic of China} (31 August 2022); Laura T Murphy and Nyrola Elim\\uc0\\u228{}, {\\i{}In Broad Daylight: Uyghur Forced Labour and Global Solar Supply Chains} (Sheffield Hallam University Helena Kennedy Centre for International Justice, 2021) 7.","plainCitation":"OHCHR, OHCHR Assessment of Human Rights Concerns in the Xinjiang Uyghur Autonomous Region, People’s Republic of China (31 August 2022); Laura T Murphy and Nyrola Elimä, In Broad Daylight: Uyghur Forced Labour and Global Solar Supply Chains (Sheffield Hallam University Helena Kennedy Centre for International Justice, 2021) 7.","noteIndex":4},"citationItems":[{"id":2341,"uris":["http://zotero.org/users/4776727/items/9J5XJRIQ"],"itemData":{"id":2341,"type":"report","title":"OHCHR Assessment of human rights concerns in the Xinjiang Uyghur Autonomous Region, People’s Republic of China","author":[{"family":"OHCHR","given":""}],"issued":{"date-parts":[["2022",8,31]]}}},{"id":2293,"uris":["http://zotero.org/users/4776727/items/S7L774DU"],"itemData":{"id":2293,"type":"report","language":"en","publisher":"Sheffield Hallam University Helena Kennedy Centre for International Justice","title":"In Broad Daylight: Uyghur Forced Labour and Global Solar Supply Chains","author":[{"family":"Murphy","given":"Laura T."},{"family":"Elimä","given":"Nyrola"}],"issued":{"date-parts":[["2021"]]}},"locator":"7","label":"page"}],"schema":"https://github.com/citation-style-language/schema/raw/master/csl-citation.json"} </w:instrText>
      </w:r>
      <w:r w:rsidR="004A097C" w:rsidRPr="00B9294E">
        <w:rPr>
          <w:rFonts w:cstheme="minorHAnsi"/>
        </w:rPr>
        <w:fldChar w:fldCharType="separate"/>
      </w:r>
      <w:r w:rsidR="007C3229" w:rsidRPr="00B9294E">
        <w:rPr>
          <w:rFonts w:cstheme="minorHAnsi"/>
        </w:rPr>
        <w:t xml:space="preserve">OHCHR, </w:t>
      </w:r>
      <w:r w:rsidR="007C3229" w:rsidRPr="00B9294E">
        <w:rPr>
          <w:rFonts w:cstheme="minorHAnsi"/>
          <w:i/>
        </w:rPr>
        <w:t>OHCHR Assessment of Human Rights Concerns in the Xinjiang Uyghur Autonomous Region, People’s Republic of China</w:t>
      </w:r>
      <w:r w:rsidR="007C3229" w:rsidRPr="00B9294E">
        <w:rPr>
          <w:rFonts w:cstheme="minorHAnsi"/>
        </w:rPr>
        <w:t xml:space="preserve"> (31 August 2022); Laura T Murphy and Nyrola Elimä, </w:t>
      </w:r>
      <w:r w:rsidR="007C3229" w:rsidRPr="00B9294E">
        <w:rPr>
          <w:rFonts w:cstheme="minorHAnsi"/>
          <w:i/>
        </w:rPr>
        <w:t>In Broad Daylight: Uyghur Forced Labour and Global Solar Supply Chains</w:t>
      </w:r>
      <w:r w:rsidR="007C3229" w:rsidRPr="00B9294E">
        <w:rPr>
          <w:rFonts w:cstheme="minorHAnsi"/>
        </w:rPr>
        <w:t xml:space="preserve"> (Sheffield Hallam University Helena Kennedy Centre for International Justice, 2021) 7.</w:t>
      </w:r>
      <w:r w:rsidR="004A097C" w:rsidRPr="00B9294E">
        <w:rPr>
          <w:rFonts w:cstheme="minorHAnsi"/>
        </w:rPr>
        <w:fldChar w:fldCharType="end"/>
      </w:r>
    </w:p>
  </w:footnote>
  <w:footnote w:id="6">
    <w:p w14:paraId="017E9AA6" w14:textId="27C51563" w:rsidR="00D42243" w:rsidRPr="00B9294E" w:rsidRDefault="00D42243"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CF0186" w:rsidRPr="00B9294E">
        <w:rPr>
          <w:rFonts w:cstheme="minorHAnsi"/>
        </w:rPr>
        <w:fldChar w:fldCharType="begin"/>
      </w:r>
      <w:r w:rsidR="00CF0186">
        <w:rPr>
          <w:rFonts w:ascii="Times New Roman" w:hAnsi="Times New Roman" w:cs="Times New Roman"/>
        </w:rPr>
        <w:instrText xml:space="preserve"> ADDIN ZOTERO_ITEM CSL_CITATION {"citationID":"tbx7d5vo","properties":{"formattedCitation":"James Cockayne, Edgar Rodr\\uc0\\u237{}guez Huera and Oana Burcu, {\\i{}\\uc0\\u8216{}The Energy of Freedom\\uc0\\u8217{}? Solar Energy, Modern Slavery and the Just Transition} (University of Nottingham Rights Lab, 2022); Vicky Xiuzhong Xu, {\\i{}Uyghurs for Sale: \\uc0\\u8216{}Re-Education\\uc0\\u8217{}, Forced Labour and Surveillance beyond Xinjiang} (Australian Strategic Policy Institute, 2020); Murphy and Elim\\uc0\\u228{} (n 4).","plainCitation":"James Cockayne, Edgar Rodríguez Huera and Oana Burcu, ‘The Energy of Freedom’? Solar Energy, Modern Slavery and the Just Transition (University of Nottingham Rights Lab, 2022); Vicky Xiuzhong Xu, Uyghurs for Sale: ‘Re-Education’, Forced Labour and Surveillance beyond Xinjiang (Australian Strategic Policy Institute, 2020); Murphy and Elimä (n 4).","noteIndex":5},"citationItems":[{"id":2295,"uris":["http://zotero.org/users/4776727/items/UD8ZULIH"],"itemData":{"id":2295,"type":"report","language":"en","publisher":"University of Nottingham Rights Lab","title":"'The Energy of Freedom'? Solar energy, modern slavery and the Just Transition","author":[{"family":"Cockayne","given":"James"},{"family":"Rodríguez Huera","given":"Edgar"},{"family":"Burcu","given":"Oana"}],"issued":{"date-parts":[["2022"]]}}},{"id":2294,"uris":["http://zotero.org/users/4776727/items/T7VKNAG4"],"itemData":{"id":2294,"type":"report","language":"en","publisher":"Australian Strategic Policy Institute","title":"Uyghurs for Sale: ‘Re-education’, forced labour and surveillance beyond Xinjiang","author":[{"family":"Xiuzhong Xu","given":"Vicky"}],"issued":{"date-parts":[["2020"]]}}},{"id":2293,"uris":["http://zotero.org/users/4776727/items/S7L774DU"],"itemData":{"id":2293,"type":"report","language":"en","publisher":"Sheffield Hallam University Helena Kennedy Centre for International Justice","title":"In Broad Daylight: Uyghur Forced Labour and Global Solar Supply Chains","author":[{"family":"Murphy","given":"Laura T."},{"family":"Elimä","given":"Nyrola"}],"issued":{"date-parts":[["2021"]]}}}],"schema":"https://github.com/citation-style-language/schema/raw/master/csl-citation.json"} </w:instrText>
      </w:r>
      <w:r w:rsidR="00CF0186" w:rsidRPr="00B9294E">
        <w:rPr>
          <w:rFonts w:cstheme="minorHAnsi"/>
        </w:rPr>
        <w:fldChar w:fldCharType="separate"/>
      </w:r>
      <w:r w:rsidR="00CF0186" w:rsidRPr="00B9294E">
        <w:rPr>
          <w:rFonts w:cstheme="minorHAnsi"/>
        </w:rPr>
        <w:t xml:space="preserve">James Cockayne, Edgar Rodríguez Huera and Oana Burcu, </w:t>
      </w:r>
      <w:r w:rsidR="00D3632D">
        <w:rPr>
          <w:rFonts w:cstheme="minorHAnsi"/>
          <w:iCs/>
        </w:rPr>
        <w:t>n3</w:t>
      </w:r>
      <w:r w:rsidR="00CF0186" w:rsidRPr="00B9294E">
        <w:rPr>
          <w:rFonts w:cstheme="minorHAnsi"/>
        </w:rPr>
        <w:t xml:space="preserve">; Vicky Xiuzhong Xu, </w:t>
      </w:r>
      <w:r w:rsidR="00CF0186" w:rsidRPr="00B9294E">
        <w:rPr>
          <w:rFonts w:cstheme="minorHAnsi"/>
          <w:i/>
        </w:rPr>
        <w:t>Uyghurs for Sale: ‘Re-Education’, Forced Labour and Surveillance beyond Xinjiang</w:t>
      </w:r>
      <w:r w:rsidR="00CF0186" w:rsidRPr="00B9294E">
        <w:rPr>
          <w:rFonts w:cstheme="minorHAnsi"/>
        </w:rPr>
        <w:t xml:space="preserve"> (Australian Strategic Policy Institute, 2020); Murphy and Elimä (n 4).</w:t>
      </w:r>
      <w:r w:rsidR="00CF0186" w:rsidRPr="00B9294E">
        <w:rPr>
          <w:rFonts w:cstheme="minorHAnsi"/>
        </w:rPr>
        <w:fldChar w:fldCharType="end"/>
      </w:r>
    </w:p>
  </w:footnote>
  <w:footnote w:id="7">
    <w:p w14:paraId="1EE98114" w14:textId="63E5F6FD" w:rsidR="0007386E" w:rsidRPr="00B9294E" w:rsidRDefault="0007386E" w:rsidP="00B9294E">
      <w:pPr>
        <w:pStyle w:val="FootnoteText"/>
        <w:rPr>
          <w:rFonts w:cstheme="minorHAnsi"/>
        </w:rPr>
      </w:pPr>
      <w:r w:rsidRPr="00B9294E">
        <w:rPr>
          <w:rStyle w:val="FootnoteReference"/>
          <w:rFonts w:cstheme="minorHAnsi"/>
        </w:rPr>
        <w:footnoteRef/>
      </w:r>
      <w:r w:rsidR="00BD60EC" w:rsidRPr="00B9294E">
        <w:rPr>
          <w:rFonts w:cstheme="minorHAnsi"/>
        </w:rPr>
        <w:t xml:space="preserve"> </w:t>
      </w:r>
      <w:r w:rsidR="00BD60EC" w:rsidRPr="00B9294E">
        <w:rPr>
          <w:rFonts w:cstheme="minorHAnsi"/>
        </w:rPr>
        <w:fldChar w:fldCharType="begin"/>
      </w:r>
      <w:r w:rsidR="00BD60EC" w:rsidRPr="00B9294E">
        <w:rPr>
          <w:rFonts w:cstheme="minorHAnsi"/>
        </w:rPr>
        <w:instrText xml:space="preserve"> ADDIN ZOTERO_ITEM CSL_CITATION {"citationID":"sClNzumo","properties":{"formattedCitation":"OHCHR (n 4); Xiuzhong Xu (n 5).","plainCitation":"OHCHR (n 4); Xiuzhong Xu (n 5).","noteIndex":6},"citationItems":[{"id":2341,"uris":["http://zotero.org/users/4776727/items/9J5XJRIQ"],"itemData":{"id":2341,"type":"report","title":"OHCHR Assessment of human rights concerns in the Xinjiang Uyghur Autonomous Region, People’s Republic of China","author":[{"family":"OHCHR","given":""}],"issued":{"date-parts":[["2022",8,31]]}}},{"id":2294,"uris":["http://zotero.org/users/4776727/items/T7VKNAG4"],"itemData":{"id":2294,"type":"report","language":"en","publisher":"Australian Strategic Policy Institute","title":"Uyghurs for Sale: ‘Re-education’, forced labour and surveillance beyond Xinjiang","author":[{"family":"Xiuzhong Xu","given":"Vicky"}],"issued":{"date-parts":[["2020"]]}}}],"schema":"https://github.com/citation-style-language/schema/raw/master/csl-citation.json"} </w:instrText>
      </w:r>
      <w:r w:rsidR="00BD60EC" w:rsidRPr="00B9294E">
        <w:rPr>
          <w:rFonts w:cstheme="minorHAnsi"/>
        </w:rPr>
        <w:fldChar w:fldCharType="separate"/>
      </w:r>
      <w:r w:rsidR="00BD60EC" w:rsidRPr="00B9294E">
        <w:rPr>
          <w:rFonts w:cstheme="minorHAnsi"/>
        </w:rPr>
        <w:t>OHCHR (n 4); Xiuzhong Xu (n 5).</w:t>
      </w:r>
      <w:r w:rsidR="00BD60EC" w:rsidRPr="00B9294E">
        <w:rPr>
          <w:rFonts w:cstheme="minorHAnsi"/>
        </w:rPr>
        <w:fldChar w:fldCharType="end"/>
      </w:r>
    </w:p>
  </w:footnote>
  <w:footnote w:id="8">
    <w:p w14:paraId="5F77586F" w14:textId="71764991" w:rsidR="00D42243" w:rsidRPr="00B9294E" w:rsidRDefault="00D42243" w:rsidP="00B9294E">
      <w:pPr>
        <w:pStyle w:val="FootnoteText"/>
        <w:rPr>
          <w:rFonts w:cstheme="minorHAnsi"/>
        </w:rPr>
      </w:pPr>
      <w:r w:rsidRPr="00B9294E">
        <w:rPr>
          <w:rStyle w:val="FootnoteReference"/>
          <w:rFonts w:cstheme="minorHAnsi"/>
        </w:rPr>
        <w:footnoteRef/>
      </w:r>
      <w:r w:rsidRPr="00B9294E">
        <w:rPr>
          <w:rFonts w:cstheme="minorHAnsi"/>
        </w:rPr>
        <w:t xml:space="preserve"> Levin Sources, </w:t>
      </w:r>
      <w:r w:rsidRPr="00B9294E">
        <w:rPr>
          <w:rFonts w:cstheme="minorHAnsi"/>
          <w:i/>
        </w:rPr>
        <w:t>Solar Photovoltaic and Energy Storage in the Electric Grid</w:t>
      </w:r>
      <w:r w:rsidRPr="00B9294E">
        <w:rPr>
          <w:rFonts w:cstheme="minorHAnsi"/>
        </w:rPr>
        <w:t xml:space="preserve"> (December 2017); Jessica Shankleman et al, ‘We’re Going to Need More Lithium’, </w:t>
      </w:r>
      <w:r w:rsidRPr="00B9294E">
        <w:rPr>
          <w:rFonts w:cstheme="minorHAnsi"/>
          <w:i/>
        </w:rPr>
        <w:t>Bloomberg Businessweek</w:t>
      </w:r>
      <w:r w:rsidRPr="00B9294E">
        <w:rPr>
          <w:rFonts w:cstheme="minorHAnsi"/>
        </w:rPr>
        <w:t xml:space="preserve"> (online, 7 September 2017) &lt;https://www.bloomberg.com/graphics/2017-lithium-battery-future/?cmpid=socialflow-twitter-business&amp;utm_content=business&amp;utm_campaign=socialflow-organic&amp;utm_source=twitter&amp;utm_medium=social&gt;.</w:t>
      </w:r>
    </w:p>
  </w:footnote>
  <w:footnote w:id="9">
    <w:p w14:paraId="6EC5F6C0" w14:textId="6CB3626E" w:rsidR="00C51FB7" w:rsidRPr="00B9294E" w:rsidRDefault="00C51FB7" w:rsidP="00B9294E">
      <w:pPr>
        <w:pStyle w:val="FootnoteText"/>
        <w:rPr>
          <w:rFonts w:cstheme="minorHAnsi"/>
          <w:lang w:val="en-US"/>
        </w:rPr>
      </w:pPr>
      <w:r w:rsidRPr="00B9294E">
        <w:rPr>
          <w:rStyle w:val="FootnoteReference"/>
          <w:rFonts w:cstheme="minorHAnsi"/>
        </w:rPr>
        <w:footnoteRef/>
      </w:r>
      <w:r w:rsidRPr="00B9294E">
        <w:rPr>
          <w:rFonts w:cstheme="minorHAnsi"/>
        </w:rPr>
        <w:t xml:space="preserve"> Luke Fletcher et al, </w:t>
      </w:r>
      <w:r w:rsidRPr="00B9294E">
        <w:rPr>
          <w:rFonts w:cstheme="minorHAnsi"/>
          <w:i/>
          <w:iCs/>
        </w:rPr>
        <w:t>Greenlight or Gaslight?: The Transition Minerals Dilemma for Australia</w:t>
      </w:r>
      <w:r w:rsidRPr="00B9294E">
        <w:rPr>
          <w:rFonts w:cstheme="minorHAnsi"/>
        </w:rPr>
        <w:t xml:space="preserve"> (Jubilee Australia, May 2023)</w:t>
      </w:r>
      <w:r w:rsidR="00D6585C" w:rsidRPr="00B9294E">
        <w:rPr>
          <w:rFonts w:cstheme="minorHAnsi"/>
        </w:rPr>
        <w:t>.</w:t>
      </w:r>
    </w:p>
  </w:footnote>
  <w:footnote w:id="10">
    <w:p w14:paraId="1BB6D125" w14:textId="00EB74A1" w:rsidR="00954EAF" w:rsidRPr="00B9294E" w:rsidRDefault="00954EAF" w:rsidP="00B9294E">
      <w:pPr>
        <w:pStyle w:val="FootnoteText"/>
        <w:rPr>
          <w:rFonts w:cstheme="minorHAnsi"/>
        </w:rPr>
      </w:pPr>
      <w:r w:rsidRPr="00B9294E">
        <w:rPr>
          <w:rStyle w:val="FootnoteReference"/>
          <w:rFonts w:cstheme="minorHAnsi"/>
        </w:rPr>
        <w:footnoteRef/>
      </w:r>
      <w:r w:rsidR="00A15603" w:rsidRPr="00B9294E">
        <w:rPr>
          <w:rFonts w:cstheme="minorHAnsi"/>
        </w:rPr>
        <w:t xml:space="preserve"> </w:t>
      </w:r>
      <w:r w:rsidR="00A15603" w:rsidRPr="00B9294E">
        <w:rPr>
          <w:rFonts w:cstheme="minorHAnsi"/>
        </w:rPr>
        <w:fldChar w:fldCharType="begin"/>
      </w:r>
      <w:r w:rsidR="00A15603" w:rsidRPr="00B9294E">
        <w:rPr>
          <w:rFonts w:cstheme="minorHAnsi"/>
        </w:rPr>
        <w:instrText xml:space="preserve"> ADDIN ZOTERO_ITEM CSL_CITATION {"citationID":"ZUbV65Up","properties":{"formattedCitation":"Doroth\\uc0\\u233{}e Baumann-Pauly, {\\i{}Cobalt Mining in the Democratic Republic of the Congo: Addressing Root Causes of Human Rights Abuses} (NYU Stern and University of Geneva, February 2023).","plainCitation":"Dorothée Baumann-Pauly, Cobalt Mining in the Democratic Republic of the Congo: Addressing Root Causes of Human Rights Abuses (NYU Stern and University of Geneva, February 2023).","noteIndex":8},"citationItems":[{"id":2342,"uris":["http://zotero.org/users/4776727/items/NQ6CYV8F"],"itemData":{"id":2342,"type":"report","publisher":"NYU Stern and University of Geneva","title":"Cobalt Mining in the Democratic Republic of the Congo: Addressing Root Causes of Human Rights Abuses","author":[{"family":"Baumann-Pauly","given":"Dorothée"}],"issued":{"date-parts":[["2023",2]]}}}],"schema":"https://github.com/citation-style-language/schema/raw/master/csl-citation.json"} </w:instrText>
      </w:r>
      <w:r w:rsidR="00A15603" w:rsidRPr="00B9294E">
        <w:rPr>
          <w:rFonts w:cstheme="minorHAnsi"/>
        </w:rPr>
        <w:fldChar w:fldCharType="separate"/>
      </w:r>
      <w:r w:rsidR="00A15603" w:rsidRPr="00B9294E">
        <w:rPr>
          <w:rFonts w:cstheme="minorHAnsi"/>
        </w:rPr>
        <w:t xml:space="preserve">Dorothée Baumann-Pauly, </w:t>
      </w:r>
      <w:r w:rsidR="00A15603" w:rsidRPr="00B9294E">
        <w:rPr>
          <w:rFonts w:cstheme="minorHAnsi"/>
          <w:i/>
        </w:rPr>
        <w:t>Cobalt Mining in the Democratic Republic of the Congo: Addressing Root Causes of Human Rights Abuses</w:t>
      </w:r>
      <w:r w:rsidR="00A15603" w:rsidRPr="00B9294E">
        <w:rPr>
          <w:rFonts w:cstheme="minorHAnsi"/>
        </w:rPr>
        <w:t xml:space="preserve"> (NYU Stern and University of Geneva, February 2023).</w:t>
      </w:r>
      <w:r w:rsidR="00A15603" w:rsidRPr="00B9294E">
        <w:rPr>
          <w:rFonts w:cstheme="minorHAnsi"/>
        </w:rPr>
        <w:fldChar w:fldCharType="end"/>
      </w:r>
    </w:p>
  </w:footnote>
  <w:footnote w:id="11">
    <w:p w14:paraId="614B2142" w14:textId="6DE1539C" w:rsidR="00D42243" w:rsidRPr="00B9294E" w:rsidRDefault="00D42243" w:rsidP="00B9294E">
      <w:pPr>
        <w:pStyle w:val="FootnoteText"/>
        <w:rPr>
          <w:rFonts w:cstheme="minorHAnsi"/>
          <w:lang w:val="es-ES"/>
        </w:rPr>
      </w:pPr>
      <w:r w:rsidRPr="00B9294E">
        <w:rPr>
          <w:rStyle w:val="FootnoteReference"/>
          <w:rFonts w:cstheme="minorHAnsi"/>
        </w:rPr>
        <w:footnoteRef/>
      </w:r>
      <w:r w:rsidRPr="00B9294E">
        <w:rPr>
          <w:rFonts w:cstheme="minorHAnsi"/>
        </w:rPr>
        <w:t xml:space="preserve"> Donald E Garrett, </w:t>
      </w:r>
      <w:r w:rsidRPr="00B9294E">
        <w:rPr>
          <w:rFonts w:cstheme="minorHAnsi"/>
          <w:i/>
        </w:rPr>
        <w:t>Handbook of Lithium and Natural Calcium Chloride: Their Deposits, Processing, Uses and Properties.</w:t>
      </w:r>
      <w:r w:rsidRPr="00B9294E">
        <w:rPr>
          <w:rFonts w:cstheme="minorHAnsi"/>
        </w:rPr>
        <w:t xml:space="preserve"> </w:t>
      </w:r>
      <w:r w:rsidRPr="00B9294E">
        <w:rPr>
          <w:rFonts w:cstheme="minorHAnsi"/>
          <w:lang w:val="es-ES"/>
        </w:rPr>
        <w:t>(Elsevier Academic Press, 2004) 1.</w:t>
      </w:r>
    </w:p>
  </w:footnote>
  <w:footnote w:id="12">
    <w:p w14:paraId="6E62775B" w14:textId="47881023" w:rsidR="00652FD5" w:rsidRPr="00BE47D3" w:rsidRDefault="00652FD5" w:rsidP="00B9294E">
      <w:pPr>
        <w:pStyle w:val="FootnoteText"/>
        <w:rPr>
          <w:rFonts w:cstheme="minorHAnsi"/>
          <w:lang w:val="es-ES"/>
        </w:rPr>
      </w:pPr>
      <w:r w:rsidRPr="00B9294E">
        <w:rPr>
          <w:rStyle w:val="FootnoteReference"/>
          <w:rFonts w:cstheme="minorHAnsi"/>
        </w:rPr>
        <w:footnoteRef/>
      </w:r>
      <w:r w:rsidRPr="00BE47D3">
        <w:rPr>
          <w:rFonts w:cstheme="minorHAnsi"/>
          <w:lang w:val="es-ES"/>
        </w:rPr>
        <w:t xml:space="preserve"> Luke Fletcher et al</w:t>
      </w:r>
      <w:r w:rsidR="00D6585C" w:rsidRPr="00BE47D3">
        <w:rPr>
          <w:rFonts w:cstheme="minorHAnsi"/>
          <w:lang w:val="es-ES"/>
        </w:rPr>
        <w:t xml:space="preserve"> (n 8)</w:t>
      </w:r>
      <w:r w:rsidRPr="00BE47D3">
        <w:rPr>
          <w:rFonts w:cstheme="minorHAnsi"/>
          <w:lang w:val="es-ES"/>
        </w:rPr>
        <w:t xml:space="preserve"> 11.</w:t>
      </w:r>
    </w:p>
  </w:footnote>
  <w:footnote w:id="13">
    <w:p w14:paraId="5289C1DD" w14:textId="77777777" w:rsidR="00652FD5" w:rsidRPr="00BE47D3" w:rsidRDefault="00652FD5" w:rsidP="00B9294E">
      <w:pPr>
        <w:pStyle w:val="FootnoteText"/>
        <w:rPr>
          <w:rFonts w:cstheme="minorHAnsi"/>
          <w:lang w:val="es-ES"/>
        </w:rPr>
      </w:pPr>
      <w:r w:rsidRPr="00B9294E">
        <w:rPr>
          <w:rStyle w:val="FootnoteReference"/>
          <w:rFonts w:cstheme="minorHAnsi"/>
        </w:rPr>
        <w:footnoteRef/>
      </w:r>
      <w:r w:rsidRPr="00BE47D3">
        <w:rPr>
          <w:rFonts w:cstheme="minorHAnsi"/>
          <w:lang w:val="es-ES"/>
        </w:rPr>
        <w:t xml:space="preserve"> Ibid.</w:t>
      </w:r>
    </w:p>
  </w:footnote>
  <w:footnote w:id="14">
    <w:p w14:paraId="58008F08" w14:textId="221E6345" w:rsidR="00D42243" w:rsidRPr="00B9294E" w:rsidRDefault="00D42243" w:rsidP="00B9294E">
      <w:pPr>
        <w:pStyle w:val="FootnoteText"/>
        <w:rPr>
          <w:rFonts w:cstheme="minorHAnsi"/>
          <w:lang w:val="es-ES"/>
        </w:rPr>
      </w:pPr>
      <w:r w:rsidRPr="00B9294E">
        <w:rPr>
          <w:rStyle w:val="FootnoteReference"/>
          <w:rFonts w:cstheme="minorHAnsi"/>
        </w:rPr>
        <w:footnoteRef/>
      </w:r>
      <w:r w:rsidRPr="00B9294E">
        <w:rPr>
          <w:rFonts w:cstheme="minorHAnsi"/>
          <w:lang w:val="es-ES"/>
        </w:rPr>
        <w:t xml:space="preserve"> Ministerio de Energía y Minería (Argentina), </w:t>
      </w:r>
      <w:r w:rsidRPr="00B9294E">
        <w:rPr>
          <w:rFonts w:cstheme="minorHAnsi"/>
          <w:i/>
          <w:lang w:val="es-ES"/>
        </w:rPr>
        <w:t>Mercado de Litio: Situación actual y perspectivas</w:t>
      </w:r>
      <w:r w:rsidRPr="00B9294E">
        <w:rPr>
          <w:rFonts w:cstheme="minorHAnsi"/>
          <w:lang w:val="es-ES"/>
        </w:rPr>
        <w:t xml:space="preserve"> (March 2017) 11</w:t>
      </w:r>
      <w:r w:rsidR="009A208C" w:rsidRPr="00B9294E">
        <w:rPr>
          <w:rFonts w:cstheme="minorHAnsi"/>
          <w:lang w:val="es-ES"/>
        </w:rPr>
        <w:t xml:space="preserve">; </w:t>
      </w:r>
      <w:r w:rsidR="009A208C" w:rsidRPr="00BE47D3">
        <w:rPr>
          <w:rFonts w:cstheme="minorHAnsi"/>
          <w:lang w:val="es-ES"/>
        </w:rPr>
        <w:t xml:space="preserve">Luke Fletcher et al (n </w:t>
      </w:r>
      <w:r w:rsidR="00D6585C" w:rsidRPr="00BE47D3">
        <w:rPr>
          <w:rFonts w:cstheme="minorHAnsi"/>
          <w:lang w:val="es-ES"/>
        </w:rPr>
        <w:t>8</w:t>
      </w:r>
      <w:r w:rsidR="009A208C" w:rsidRPr="00BE47D3">
        <w:rPr>
          <w:rFonts w:cstheme="minorHAnsi"/>
          <w:lang w:val="es-ES"/>
        </w:rPr>
        <w:t>) 13.</w:t>
      </w:r>
    </w:p>
  </w:footnote>
  <w:footnote w:id="15">
    <w:p w14:paraId="76EADB17" w14:textId="1CEE97C3" w:rsidR="00D42243" w:rsidRPr="00B9294E" w:rsidRDefault="00D42243" w:rsidP="00B9294E">
      <w:pPr>
        <w:pStyle w:val="FootnoteText"/>
        <w:rPr>
          <w:rFonts w:cstheme="minorHAnsi"/>
          <w:lang w:val="en-US"/>
        </w:rPr>
      </w:pPr>
      <w:r w:rsidRPr="00B9294E">
        <w:rPr>
          <w:rStyle w:val="FootnoteReference"/>
          <w:rFonts w:cstheme="minorHAnsi"/>
        </w:rPr>
        <w:footnoteRef/>
      </w:r>
      <w:r w:rsidR="00AE3B96" w:rsidRPr="00B9294E">
        <w:rPr>
          <w:rFonts w:cstheme="minorHAnsi"/>
        </w:rPr>
        <w:t xml:space="preserve"> </w:t>
      </w:r>
      <w:r w:rsidR="00FF1693" w:rsidRPr="00B9294E">
        <w:rPr>
          <w:rFonts w:cstheme="minorHAnsi"/>
        </w:rPr>
        <w:t xml:space="preserve">Luke Fletcher et al </w:t>
      </w:r>
      <w:r w:rsidR="0034418F" w:rsidRPr="00B9294E">
        <w:rPr>
          <w:rFonts w:cstheme="minorHAnsi"/>
        </w:rPr>
        <w:t xml:space="preserve">(n </w:t>
      </w:r>
      <w:r w:rsidR="00D6585C" w:rsidRPr="00B9294E">
        <w:rPr>
          <w:rFonts w:cstheme="minorHAnsi"/>
        </w:rPr>
        <w:t>8</w:t>
      </w:r>
      <w:r w:rsidR="0034418F" w:rsidRPr="00B9294E">
        <w:rPr>
          <w:rFonts w:cstheme="minorHAnsi"/>
        </w:rPr>
        <w:t xml:space="preserve">) </w:t>
      </w:r>
      <w:r w:rsidR="009C354E" w:rsidRPr="00B9294E">
        <w:rPr>
          <w:rFonts w:cstheme="minorHAnsi"/>
        </w:rPr>
        <w:t>16.</w:t>
      </w:r>
    </w:p>
  </w:footnote>
  <w:footnote w:id="16">
    <w:p w14:paraId="3B31E4C9" w14:textId="6E95D3F2" w:rsidR="00D42243" w:rsidRPr="00B9294E" w:rsidRDefault="00D42243" w:rsidP="00B9294E">
      <w:pPr>
        <w:pStyle w:val="FootnoteText"/>
        <w:rPr>
          <w:rFonts w:cstheme="minorHAnsi"/>
          <w:lang w:val="es-ES"/>
        </w:rPr>
      </w:pPr>
      <w:r w:rsidRPr="00B9294E">
        <w:rPr>
          <w:rStyle w:val="FootnoteReference"/>
          <w:rFonts w:cstheme="minorHAnsi"/>
        </w:rPr>
        <w:footnoteRef/>
      </w:r>
      <w:r w:rsidRPr="00B9294E">
        <w:rPr>
          <w:rFonts w:cstheme="minorHAnsi"/>
          <w:lang w:val="es-ES"/>
        </w:rPr>
        <w:t xml:space="preserve"> Ariel Slipak and Martín Kazimierski, ‘Exposición de las técnicas y saberes para la extracción de litio’ in Bruno Fornillo (ed), </w:t>
      </w:r>
      <w:r w:rsidRPr="00B9294E">
        <w:rPr>
          <w:rFonts w:cstheme="minorHAnsi"/>
          <w:i/>
          <w:lang w:val="es-ES"/>
        </w:rPr>
        <w:t>Litio en Sudamérica: Geopolítica, Energía, Territorios</w:t>
      </w:r>
      <w:r w:rsidRPr="00B9294E">
        <w:rPr>
          <w:rFonts w:cstheme="minorHAnsi"/>
          <w:lang w:val="es-ES"/>
        </w:rPr>
        <w:t xml:space="preserve"> (Editorial el Colectivo, 2019) 297; Bruno Fornillo, ‘La energía del litio en Argentina y Bolivia: comunidad, extractivismo y posdesarrollo’ 93 </w:t>
      </w:r>
      <w:r w:rsidRPr="00B9294E">
        <w:rPr>
          <w:rFonts w:cstheme="minorHAnsi"/>
          <w:i/>
          <w:lang w:val="es-ES"/>
        </w:rPr>
        <w:t>Colombia Internacional</w:t>
      </w:r>
      <w:r w:rsidRPr="00B9294E">
        <w:rPr>
          <w:rFonts w:cstheme="minorHAnsi"/>
          <w:lang w:val="es-ES"/>
        </w:rPr>
        <w:t xml:space="preserve"> 181.</w:t>
      </w:r>
    </w:p>
  </w:footnote>
  <w:footnote w:id="17">
    <w:p w14:paraId="2A79983B" w14:textId="1DCB84AE" w:rsidR="00D42243" w:rsidRPr="00B9294E" w:rsidRDefault="00D42243" w:rsidP="00B9294E">
      <w:pPr>
        <w:pStyle w:val="FootnoteText"/>
        <w:rPr>
          <w:rFonts w:cstheme="minorHAnsi"/>
        </w:rPr>
      </w:pPr>
      <w:r w:rsidRPr="00B9294E">
        <w:rPr>
          <w:rStyle w:val="FootnoteReference"/>
          <w:rFonts w:cstheme="minorHAnsi"/>
        </w:rPr>
        <w:footnoteRef/>
      </w:r>
      <w:r w:rsidRPr="00B9294E">
        <w:rPr>
          <w:rFonts w:cstheme="minorHAnsi"/>
        </w:rPr>
        <w:t xml:space="preserve"> ‘Resources’ refers to all known deposits of the mineral, while ‘reserves’ signifies commercially viable deposits.  </w:t>
      </w:r>
    </w:p>
  </w:footnote>
  <w:footnote w:id="18">
    <w:p w14:paraId="344AFF16" w14:textId="3996F8F0" w:rsidR="00D42243" w:rsidRPr="00B9294E" w:rsidRDefault="00D42243" w:rsidP="00B9294E">
      <w:pPr>
        <w:spacing w:after="0" w:line="240" w:lineRule="auto"/>
        <w:rPr>
          <w:rFonts w:cstheme="minorHAnsi"/>
          <w:sz w:val="20"/>
          <w:szCs w:val="20"/>
        </w:rPr>
      </w:pPr>
      <w:r w:rsidRPr="00B9294E">
        <w:rPr>
          <w:rStyle w:val="FootnoteReference"/>
          <w:rFonts w:cstheme="minorHAnsi"/>
          <w:sz w:val="20"/>
          <w:szCs w:val="20"/>
        </w:rPr>
        <w:footnoteRef/>
      </w:r>
      <w:r w:rsidRPr="00B9294E">
        <w:rPr>
          <w:rFonts w:cstheme="minorHAnsi"/>
          <w:sz w:val="20"/>
          <w:szCs w:val="20"/>
        </w:rPr>
        <w:t xml:space="preserve"> Fornillo (n 13) 181; Stratfor Worldview, </w:t>
      </w:r>
      <w:r w:rsidRPr="00B9294E">
        <w:rPr>
          <w:rFonts w:cstheme="minorHAnsi"/>
          <w:i/>
          <w:sz w:val="20"/>
          <w:szCs w:val="20"/>
        </w:rPr>
        <w:t>Why Cashing in on Lithium in South America Won’t Be Easy</w:t>
      </w:r>
      <w:r w:rsidRPr="00B9294E">
        <w:rPr>
          <w:rFonts w:cstheme="minorHAnsi"/>
          <w:sz w:val="20"/>
          <w:szCs w:val="20"/>
        </w:rPr>
        <w:t xml:space="preserve"> (15 June 2018) &lt;https://worldview.stratfor.com/article/why-cashing-lithium-south-america-wont-be-easy&gt;; Shankleman et al (n 10); Clare Church and Alec Crawford, </w:t>
      </w:r>
      <w:r w:rsidRPr="00B9294E">
        <w:rPr>
          <w:rFonts w:cstheme="minorHAnsi"/>
          <w:i/>
          <w:sz w:val="20"/>
          <w:szCs w:val="20"/>
        </w:rPr>
        <w:t>Green Conflict Minerals: The Fuels of Conflict in the Transition to a Low-Carbon Economy</w:t>
      </w:r>
      <w:r w:rsidRPr="00B9294E">
        <w:rPr>
          <w:rFonts w:cstheme="minorHAnsi"/>
          <w:sz w:val="20"/>
          <w:szCs w:val="20"/>
        </w:rPr>
        <w:t xml:space="preserve"> (International Institute for Sustainable Development, August 2018). </w:t>
      </w:r>
    </w:p>
  </w:footnote>
  <w:footnote w:id="19">
    <w:p w14:paraId="2C029BAA" w14:textId="690A5F57" w:rsidR="007E3A23" w:rsidRPr="00B9294E" w:rsidRDefault="007E3A23" w:rsidP="00B9294E">
      <w:pPr>
        <w:pStyle w:val="FootnoteText"/>
        <w:rPr>
          <w:rFonts w:cstheme="minorHAnsi"/>
        </w:rPr>
      </w:pPr>
      <w:r w:rsidRPr="00B9294E">
        <w:rPr>
          <w:rStyle w:val="FootnoteReference"/>
          <w:rFonts w:cstheme="minorHAnsi"/>
        </w:rPr>
        <w:footnoteRef/>
      </w:r>
      <w:r w:rsidRPr="00B9294E">
        <w:rPr>
          <w:rFonts w:cstheme="minorHAnsi"/>
        </w:rPr>
        <w:t xml:space="preserve"> U.S. Geological Survey, </w:t>
      </w:r>
      <w:r w:rsidRPr="00B9294E">
        <w:rPr>
          <w:rFonts w:cstheme="minorHAnsi"/>
          <w:i/>
        </w:rPr>
        <w:t>Mineral Commodity Summaries, February 2019</w:t>
      </w:r>
      <w:r w:rsidRPr="00B9294E">
        <w:rPr>
          <w:rFonts w:cstheme="minorHAnsi"/>
        </w:rPr>
        <w:t xml:space="preserve"> (February 2019).</w:t>
      </w:r>
    </w:p>
  </w:footnote>
  <w:footnote w:id="20">
    <w:p w14:paraId="074A841E" w14:textId="71062F65" w:rsidR="007B128A" w:rsidRPr="00B9294E" w:rsidRDefault="007B128A" w:rsidP="00B9294E">
      <w:pPr>
        <w:pStyle w:val="FootnoteText"/>
        <w:rPr>
          <w:rFonts w:cstheme="minorHAnsi"/>
          <w:lang w:val="es-ES"/>
        </w:rPr>
      </w:pPr>
      <w:r w:rsidRPr="00B9294E">
        <w:rPr>
          <w:rStyle w:val="FootnoteReference"/>
          <w:rFonts w:cstheme="minorHAnsi"/>
        </w:rPr>
        <w:footnoteRef/>
      </w:r>
      <w:r w:rsidRPr="00B9294E">
        <w:rPr>
          <w:rFonts w:cstheme="minorHAnsi"/>
          <w:lang w:val="es-ES"/>
        </w:rPr>
        <w:t xml:space="preserve"> Church and Crawford (n 1</w:t>
      </w:r>
      <w:r w:rsidR="00E75A37">
        <w:rPr>
          <w:rFonts w:cstheme="minorHAnsi"/>
          <w:lang w:val="es-ES"/>
        </w:rPr>
        <w:t>7</w:t>
      </w:r>
      <w:r w:rsidRPr="00B9294E">
        <w:rPr>
          <w:rFonts w:cstheme="minorHAnsi"/>
          <w:lang w:val="es-ES"/>
        </w:rPr>
        <w:t>).</w:t>
      </w:r>
    </w:p>
  </w:footnote>
  <w:footnote w:id="21">
    <w:p w14:paraId="3D9131AA" w14:textId="129850A7" w:rsidR="007B128A" w:rsidRPr="00B9294E" w:rsidRDefault="007B128A" w:rsidP="00B9294E">
      <w:pPr>
        <w:pStyle w:val="FootnoteText"/>
        <w:rPr>
          <w:rFonts w:cstheme="minorHAnsi"/>
          <w:lang w:val="es-ES"/>
        </w:rPr>
      </w:pPr>
      <w:r w:rsidRPr="00B9294E">
        <w:rPr>
          <w:rStyle w:val="FootnoteReference"/>
          <w:rFonts w:cstheme="minorHAnsi"/>
        </w:rPr>
        <w:footnoteRef/>
      </w:r>
      <w:r w:rsidRPr="00B9294E">
        <w:rPr>
          <w:rFonts w:cstheme="minorHAnsi"/>
          <w:lang w:val="es-ES"/>
        </w:rPr>
        <w:t xml:space="preserve"> Amanda Romero, José Aylwin and Marcel Didier, </w:t>
      </w:r>
      <w:r w:rsidRPr="00B9294E">
        <w:rPr>
          <w:rFonts w:cstheme="minorHAnsi"/>
          <w:i/>
          <w:lang w:val="es-ES"/>
        </w:rPr>
        <w:t>Globalización de las empresas de energía erechos: Extracción de litio y erechos de los pueblos indígenas en Argentina, Bolivia y Chile (‘Triángulo del Litio’)</w:t>
      </w:r>
      <w:r w:rsidRPr="00B9294E">
        <w:rPr>
          <w:rFonts w:cstheme="minorHAnsi"/>
          <w:lang w:val="es-ES"/>
        </w:rPr>
        <w:t>.</w:t>
      </w:r>
    </w:p>
  </w:footnote>
  <w:footnote w:id="22">
    <w:p w14:paraId="78290ACD" w14:textId="04A33E0A" w:rsidR="007758EB" w:rsidRPr="00B9294E" w:rsidRDefault="007758EB" w:rsidP="00B9294E">
      <w:pPr>
        <w:pStyle w:val="FootnoteText"/>
        <w:rPr>
          <w:rFonts w:cstheme="minorHAnsi"/>
        </w:rPr>
      </w:pPr>
      <w:r w:rsidRPr="00B9294E">
        <w:rPr>
          <w:rStyle w:val="FootnoteReference"/>
          <w:rFonts w:cstheme="minorHAnsi"/>
        </w:rPr>
        <w:footnoteRef/>
      </w:r>
      <w:r w:rsidRPr="00B9294E">
        <w:rPr>
          <w:rFonts w:cstheme="minorHAnsi"/>
        </w:rPr>
        <w:t xml:space="preserve"> Subhashish Tewari et al, ‘Exploitation of Mica Deposits at Nellore Mica Belt, Andhra Pradesh, India’ (2020) 118(4) </w:t>
      </w:r>
      <w:r w:rsidRPr="00B9294E">
        <w:rPr>
          <w:rFonts w:cstheme="minorHAnsi"/>
          <w:i/>
        </w:rPr>
        <w:t>Current Science</w:t>
      </w:r>
      <w:r w:rsidRPr="00B9294E">
        <w:rPr>
          <w:rFonts w:cstheme="minorHAnsi"/>
        </w:rPr>
        <w:t xml:space="preserve"> 593.</w:t>
      </w:r>
    </w:p>
  </w:footnote>
  <w:footnote w:id="23">
    <w:p w14:paraId="5ABE5C06" w14:textId="3CCE4594" w:rsidR="007758EB" w:rsidRPr="00B9294E" w:rsidRDefault="007758EB" w:rsidP="00B9294E">
      <w:pPr>
        <w:pStyle w:val="FootnoteText"/>
        <w:rPr>
          <w:rFonts w:cstheme="minorHAnsi"/>
        </w:rPr>
      </w:pPr>
      <w:r w:rsidRPr="00B9294E">
        <w:rPr>
          <w:rStyle w:val="FootnoteReference"/>
          <w:rFonts w:cstheme="minorHAnsi"/>
        </w:rPr>
        <w:footnoteRef/>
      </w:r>
      <w:r w:rsidRPr="00B9294E">
        <w:rPr>
          <w:rFonts w:cstheme="minorHAnsi"/>
        </w:rPr>
        <w:t xml:space="preserve"> Irene Schipper and Roberta Cowan, </w:t>
      </w:r>
      <w:r w:rsidRPr="00B9294E">
        <w:rPr>
          <w:rFonts w:cstheme="minorHAnsi"/>
          <w:i/>
        </w:rPr>
        <w:t>Global Mica Mining and the Impact on Children’s Rights</w:t>
      </w:r>
      <w:r w:rsidRPr="00B9294E">
        <w:rPr>
          <w:rFonts w:cstheme="minorHAnsi"/>
        </w:rPr>
        <w:t xml:space="preserve"> (SOMO Report, March 2018), 38.</w:t>
      </w:r>
    </w:p>
  </w:footnote>
  <w:footnote w:id="24">
    <w:p w14:paraId="5A59CB3F" w14:textId="02D30F8F" w:rsidR="007758EB" w:rsidRPr="00B9294E" w:rsidRDefault="007758E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3B50C7" w:rsidRPr="00B9294E">
        <w:rPr>
          <w:rFonts w:cstheme="minorHAnsi"/>
        </w:rPr>
        <w:t>I</w:t>
      </w:r>
      <w:r w:rsidRPr="00B9294E">
        <w:rPr>
          <w:rFonts w:cstheme="minorHAnsi"/>
        </w:rPr>
        <w:t>bid</w:t>
      </w:r>
    </w:p>
  </w:footnote>
  <w:footnote w:id="25">
    <w:p w14:paraId="0FB7515B" w14:textId="754AA56F" w:rsidR="00BD09C2" w:rsidRPr="00B9294E" w:rsidRDefault="00BD09C2"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Pr="00B9294E">
        <w:rPr>
          <w:rFonts w:cstheme="minorHAnsi"/>
          <w:lang w:val="en-GB"/>
        </w:rPr>
        <w:t xml:space="preserve">Irene Schipper and Roberta Cowan, </w:t>
      </w:r>
      <w:r w:rsidR="00E75A37">
        <w:rPr>
          <w:rFonts w:cstheme="minorHAnsi"/>
          <w:iCs/>
          <w:lang w:val="en-GB"/>
        </w:rPr>
        <w:t>(n23)</w:t>
      </w:r>
      <w:r w:rsidRPr="00B9294E">
        <w:rPr>
          <w:rFonts w:cstheme="minorHAnsi"/>
          <w:lang w:val="en-GB"/>
        </w:rPr>
        <w:t xml:space="preserve"> 35.</w:t>
      </w:r>
    </w:p>
  </w:footnote>
  <w:footnote w:id="26">
    <w:p w14:paraId="7F052F1A" w14:textId="76088AFB" w:rsidR="00BD09C2" w:rsidRPr="00B9294E" w:rsidRDefault="00BD09C2"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3B50C7" w:rsidRPr="00B9294E">
        <w:rPr>
          <w:rFonts w:cstheme="minorHAnsi"/>
        </w:rPr>
        <w:t>I</w:t>
      </w:r>
      <w:r w:rsidRPr="00B9294E">
        <w:rPr>
          <w:rFonts w:cstheme="minorHAnsi"/>
        </w:rPr>
        <w:t>bid</w:t>
      </w:r>
    </w:p>
  </w:footnote>
  <w:footnote w:id="27">
    <w:p w14:paraId="78C1F784" w14:textId="0D9584D3" w:rsidR="0057066B" w:rsidRPr="00B9294E" w:rsidRDefault="0057066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E75A37">
        <w:rPr>
          <w:rFonts w:cstheme="minorHAnsi"/>
        </w:rPr>
        <w:t>Ibid.</w:t>
      </w:r>
    </w:p>
  </w:footnote>
  <w:footnote w:id="28">
    <w:p w14:paraId="4441876D" w14:textId="56BABCAA" w:rsidR="0057066B" w:rsidRPr="00B9294E" w:rsidRDefault="0057066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D525F9" w:rsidRPr="00B9294E">
        <w:rPr>
          <w:rFonts w:cstheme="minorHAnsi"/>
          <w:lang w:val="en-GB"/>
        </w:rPr>
        <w:t>Ibid</w:t>
      </w:r>
      <w:r w:rsidRPr="00B9294E">
        <w:rPr>
          <w:rFonts w:cstheme="minorHAnsi"/>
          <w:lang w:val="en-GB"/>
        </w:rPr>
        <w:t>.</w:t>
      </w:r>
    </w:p>
  </w:footnote>
  <w:footnote w:id="29">
    <w:p w14:paraId="20F53FD5" w14:textId="77777777" w:rsidR="0057066B" w:rsidRPr="00B9294E" w:rsidRDefault="0057066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Pr="00B9294E">
        <w:rPr>
          <w:rFonts w:cstheme="minorHAnsi"/>
          <w:lang w:val="en-GB"/>
        </w:rPr>
        <w:t xml:space="preserve">Nina Lendal, </w:t>
      </w:r>
      <w:r w:rsidRPr="00B9294E">
        <w:rPr>
          <w:rFonts w:cstheme="minorHAnsi"/>
          <w:i/>
          <w:lang w:val="en-GB"/>
        </w:rPr>
        <w:t>Who Suffers for Beauty: The Child Labour Behind Make-up’s Glitter</w:t>
      </w:r>
      <w:r w:rsidRPr="00B9294E">
        <w:rPr>
          <w:rFonts w:cstheme="minorHAnsi"/>
          <w:lang w:val="en-GB"/>
        </w:rPr>
        <w:t xml:space="preserve"> (DanWatch Report, 6 February 2014).</w:t>
      </w:r>
    </w:p>
  </w:footnote>
  <w:footnote w:id="30">
    <w:p w14:paraId="7B9EA30B" w14:textId="77777777" w:rsidR="0057066B" w:rsidRPr="00B9294E" w:rsidRDefault="0057066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Pr="00B9294E">
        <w:rPr>
          <w:rFonts w:cstheme="minorHAnsi"/>
          <w:lang w:val="en-GB"/>
        </w:rPr>
        <w:t xml:space="preserve">Subhabrata Moitra, Arghya Bandyopadhyay and Saibal Moitra, ‘Mica Pneumoconiosis: A Neglected Occupational Lung Disease’ (2018) 6(8) </w:t>
      </w:r>
      <w:r w:rsidRPr="00B9294E">
        <w:rPr>
          <w:rFonts w:cstheme="minorHAnsi"/>
          <w:i/>
          <w:lang w:val="en-GB"/>
        </w:rPr>
        <w:t xml:space="preserve">The Lancet Respiratory Medicine </w:t>
      </w:r>
      <w:r w:rsidRPr="00B9294E">
        <w:rPr>
          <w:rFonts w:cstheme="minorHAnsi"/>
          <w:lang w:val="en-GB"/>
        </w:rPr>
        <w:t>39.</w:t>
      </w:r>
    </w:p>
  </w:footnote>
  <w:footnote w:id="31">
    <w:p w14:paraId="32384951" w14:textId="6ED37B2C" w:rsidR="008F486F" w:rsidRPr="00B9294E" w:rsidRDefault="008F486F"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Pr="00B9294E">
        <w:rPr>
          <w:rFonts w:cstheme="minorHAnsi"/>
        </w:rPr>
        <w:fldChar w:fldCharType="begin"/>
      </w:r>
      <w:r w:rsidRPr="00B9294E">
        <w:rPr>
          <w:rFonts w:cstheme="minorHAnsi"/>
        </w:rPr>
        <w:instrText xml:space="preserve"> ADDIN ZOTERO_ITEM CSL_CITATION {"citationID":"bqq6eT65","properties":{"formattedCitation":"Levin Sources, {\\i{}Lithium Mining in the High Puna of the Andes: An Environmental Blessing with Some Dark Footprints?} (June 2019) 10.","plainCitation":"Levin Sources, Lithium Mining in the High Puna of the Andes: An Environmental Blessing with Some Dark Footprints? (June 2019) 10.","noteIndex":26},"citationItems":[{"id":1888,"uris":["http://zotero.org/users/4776727/items/PUBF6W6V"],"itemData":{"id":1888,"type":"report","title":"Lithium mining in the High Puna of the Andes: an environmental blessing with some dark footprints?","author":[{"family":"Levin Sources","given":""}],"issued":{"date-parts":[["2019",6]]}},"locator":"10","label":"page"}],"schema":"https://github.com/citation-style-language/schema/raw/master/csl-citation.json"} </w:instrText>
      </w:r>
      <w:r w:rsidRPr="00B9294E">
        <w:rPr>
          <w:rFonts w:cstheme="minorHAnsi"/>
        </w:rPr>
        <w:fldChar w:fldCharType="separate"/>
      </w:r>
      <w:r w:rsidRPr="00B9294E">
        <w:rPr>
          <w:rFonts w:cstheme="minorHAnsi"/>
        </w:rPr>
        <w:t xml:space="preserve">Levin Sources, </w:t>
      </w:r>
      <w:r w:rsidRPr="00B9294E">
        <w:rPr>
          <w:rFonts w:cstheme="minorHAnsi"/>
          <w:i/>
        </w:rPr>
        <w:t>Lithium Mining in the High Puna of the Andes: An Environmental Blessing with Some Dark Footprints?</w:t>
      </w:r>
      <w:r w:rsidRPr="00B9294E">
        <w:rPr>
          <w:rFonts w:cstheme="minorHAnsi"/>
        </w:rPr>
        <w:t xml:space="preserve"> (June 2019) 10.</w:t>
      </w:r>
      <w:r w:rsidRPr="00B9294E">
        <w:rPr>
          <w:rFonts w:cstheme="minorHAnsi"/>
        </w:rPr>
        <w:fldChar w:fldCharType="end"/>
      </w:r>
    </w:p>
  </w:footnote>
  <w:footnote w:id="32">
    <w:p w14:paraId="1B3E1B50" w14:textId="1CAF744A" w:rsidR="002B4D50" w:rsidRPr="00B9294E" w:rsidRDefault="002B4D50" w:rsidP="00B9294E">
      <w:pPr>
        <w:autoSpaceDE w:val="0"/>
        <w:autoSpaceDN w:val="0"/>
        <w:adjustRightInd w:val="0"/>
        <w:spacing w:after="0" w:line="240" w:lineRule="auto"/>
        <w:rPr>
          <w:rFonts w:cstheme="minorHAnsi"/>
          <w:sz w:val="20"/>
          <w:szCs w:val="20"/>
        </w:rPr>
      </w:pPr>
      <w:r w:rsidRPr="00B9294E">
        <w:rPr>
          <w:rStyle w:val="FootnoteReference"/>
          <w:rFonts w:cstheme="minorHAnsi"/>
          <w:sz w:val="20"/>
          <w:szCs w:val="20"/>
        </w:rPr>
        <w:footnoteRef/>
      </w:r>
      <w:r w:rsidRPr="00B9294E">
        <w:rPr>
          <w:rFonts w:cstheme="minorHAnsi"/>
          <w:sz w:val="20"/>
          <w:szCs w:val="20"/>
        </w:rPr>
        <w:t xml:space="preserve"> McCorquodale R and Nolan J ‘</w:t>
      </w:r>
      <w:r w:rsidR="009631F4" w:rsidRPr="00B9294E">
        <w:rPr>
          <w:rFonts w:cstheme="minorHAnsi"/>
          <w:sz w:val="20"/>
          <w:szCs w:val="20"/>
          <w:lang w:val="en-AU"/>
        </w:rPr>
        <w:t>The Effectiveness of Human Rights Due Diligence</w:t>
      </w:r>
      <w:r w:rsidR="008D412C" w:rsidRPr="00B9294E">
        <w:rPr>
          <w:rFonts w:cstheme="minorHAnsi"/>
          <w:sz w:val="20"/>
          <w:szCs w:val="20"/>
          <w:lang w:val="en-AU"/>
        </w:rPr>
        <w:t xml:space="preserve"> </w:t>
      </w:r>
      <w:r w:rsidR="009631F4" w:rsidRPr="00B9294E">
        <w:rPr>
          <w:rFonts w:cstheme="minorHAnsi"/>
          <w:sz w:val="20"/>
          <w:szCs w:val="20"/>
        </w:rPr>
        <w:t xml:space="preserve">for Preventing Business Human Rights Abuses’ </w:t>
      </w:r>
      <w:r w:rsidR="009631F4" w:rsidRPr="00B9294E">
        <w:rPr>
          <w:rFonts w:cstheme="minorHAnsi"/>
          <w:i/>
          <w:iCs/>
          <w:sz w:val="20"/>
          <w:szCs w:val="20"/>
        </w:rPr>
        <w:t>Netherlands International Law Review</w:t>
      </w:r>
      <w:r w:rsidR="00C27956" w:rsidRPr="00B9294E">
        <w:rPr>
          <w:rFonts w:cstheme="minorHAnsi"/>
          <w:sz w:val="20"/>
          <w:szCs w:val="20"/>
        </w:rPr>
        <w:t xml:space="preserve"> </w:t>
      </w:r>
      <w:r w:rsidR="00251366" w:rsidRPr="00B9294E">
        <w:rPr>
          <w:rFonts w:cstheme="minorHAnsi"/>
          <w:sz w:val="20"/>
          <w:szCs w:val="20"/>
        </w:rPr>
        <w:t>(2021) Vol 68, 455-478.</w:t>
      </w:r>
    </w:p>
  </w:footnote>
  <w:footnote w:id="33">
    <w:p w14:paraId="19941BFE" w14:textId="430D6CF0" w:rsidR="00FE4778" w:rsidRPr="00B9294E" w:rsidRDefault="00FE4778" w:rsidP="00B9294E">
      <w:pPr>
        <w:spacing w:after="0" w:line="240" w:lineRule="auto"/>
        <w:rPr>
          <w:rFonts w:cstheme="minorHAnsi"/>
          <w:sz w:val="20"/>
          <w:szCs w:val="20"/>
        </w:rPr>
      </w:pPr>
      <w:r w:rsidRPr="00B9294E">
        <w:rPr>
          <w:rStyle w:val="FootnoteReference"/>
          <w:rFonts w:cstheme="minorHAnsi"/>
          <w:sz w:val="20"/>
          <w:szCs w:val="20"/>
        </w:rPr>
        <w:footnoteRef/>
      </w:r>
      <w:r w:rsidRPr="00B9294E">
        <w:rPr>
          <w:rFonts w:cstheme="minorHAnsi"/>
          <w:sz w:val="20"/>
          <w:szCs w:val="20"/>
        </w:rPr>
        <w:t xml:space="preserve"> </w:t>
      </w:r>
      <w:r w:rsidR="0092715C" w:rsidRPr="00B9294E">
        <w:rPr>
          <w:rFonts w:cstheme="minorHAnsi"/>
          <w:sz w:val="20"/>
          <w:szCs w:val="20"/>
        </w:rPr>
        <w:t xml:space="preserve">Sinclair, A., Dinshaw, F., Nolan, J., Marshall, S., Zirnsak, M., Adams, K., Keegan, P., Boersma, M., Bhakoo, V., &amp; Moore, H. (2022). </w:t>
      </w:r>
      <w:hyperlink r:id="rId1" w:history="1">
        <w:r w:rsidR="0092715C" w:rsidRPr="00B9294E">
          <w:rPr>
            <w:rStyle w:val="Hyperlink"/>
            <w:rFonts w:cstheme="minorHAnsi"/>
            <w:color w:val="auto"/>
            <w:sz w:val="20"/>
            <w:szCs w:val="20"/>
          </w:rPr>
          <w:t>Paper Promises? Evaluating the early impact of Australia's Modern Slavery Act.  </w:t>
        </w:r>
      </w:hyperlink>
      <w:r w:rsidR="00950D0A" w:rsidRPr="00B9294E">
        <w:rPr>
          <w:rFonts w:cstheme="minorHAnsi"/>
          <w:sz w:val="20"/>
          <w:szCs w:val="20"/>
        </w:rPr>
        <w:t xml:space="preserve"> https://www.humanrights.unsw.edu.au/research/testing-effectiveness-Australia-modern-slavery-act</w:t>
      </w:r>
    </w:p>
  </w:footnote>
  <w:footnote w:id="34">
    <w:p w14:paraId="2C98732C" w14:textId="77777777" w:rsidR="00CA29FA" w:rsidRPr="00B9294E" w:rsidRDefault="00CA29FA" w:rsidP="00B9294E">
      <w:pPr>
        <w:autoSpaceDE w:val="0"/>
        <w:autoSpaceDN w:val="0"/>
        <w:adjustRightInd w:val="0"/>
        <w:spacing w:after="0" w:line="240" w:lineRule="auto"/>
        <w:rPr>
          <w:rFonts w:cstheme="minorHAnsi"/>
          <w:sz w:val="20"/>
          <w:szCs w:val="20"/>
          <w:lang w:val="en-AU"/>
        </w:rPr>
      </w:pPr>
      <w:r w:rsidRPr="00B9294E">
        <w:rPr>
          <w:rStyle w:val="FootnoteReference"/>
          <w:rFonts w:cstheme="minorHAnsi"/>
          <w:sz w:val="20"/>
          <w:szCs w:val="20"/>
        </w:rPr>
        <w:footnoteRef/>
      </w:r>
      <w:r w:rsidRPr="00B9294E">
        <w:rPr>
          <w:rFonts w:cstheme="minorHAnsi"/>
          <w:sz w:val="20"/>
          <w:szCs w:val="20"/>
        </w:rPr>
        <w:t xml:space="preserve"> </w:t>
      </w:r>
      <w:r w:rsidRPr="00B9294E">
        <w:rPr>
          <w:rFonts w:cstheme="minorHAnsi"/>
          <w:sz w:val="20"/>
          <w:szCs w:val="20"/>
          <w:lang w:val="en-AU"/>
        </w:rPr>
        <w:t>OECD Due Diligence Guidance for Responsible Supply Chains in the Garment and Footwear Sector</w:t>
      </w:r>
    </w:p>
    <w:p w14:paraId="21A9A82A" w14:textId="4A81A208" w:rsidR="00CA29FA" w:rsidRPr="00B9294E" w:rsidRDefault="00CA29FA" w:rsidP="00B9294E">
      <w:pPr>
        <w:autoSpaceDE w:val="0"/>
        <w:autoSpaceDN w:val="0"/>
        <w:adjustRightInd w:val="0"/>
        <w:spacing w:after="0" w:line="240" w:lineRule="auto"/>
        <w:rPr>
          <w:rFonts w:cstheme="minorHAnsi"/>
          <w:sz w:val="20"/>
          <w:szCs w:val="20"/>
        </w:rPr>
      </w:pPr>
      <w:r w:rsidRPr="00B9294E">
        <w:rPr>
          <w:rFonts w:cstheme="minorHAnsi"/>
          <w:sz w:val="20"/>
          <w:szCs w:val="20"/>
          <w:lang w:val="en-AU"/>
        </w:rPr>
        <w:t>(2017), https:// www. oecd- ilibr ary. org/ gover nance/ oecd- due- dilig ence- guida nce- for- respo nsible- supplychains-in- the- garme nt- and- footw ear- sector_ 97892 64290 587- en, p. 29.</w:t>
      </w:r>
    </w:p>
  </w:footnote>
  <w:footnote w:id="35">
    <w:p w14:paraId="0F9C7519" w14:textId="5938DB71" w:rsidR="00ED714B" w:rsidRPr="00B9294E" w:rsidRDefault="00ED714B"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8B3D57" w:rsidRPr="00B9294E">
        <w:rPr>
          <w:rFonts w:cstheme="minorHAnsi"/>
        </w:rPr>
        <w:t>Cleaning Accountability Framework</w:t>
      </w:r>
      <w:r w:rsidR="008D412C" w:rsidRPr="00B9294E">
        <w:rPr>
          <w:rFonts w:cstheme="minorHAnsi"/>
        </w:rPr>
        <w:t xml:space="preserve"> https://www.cleaningaccountability.org.au/</w:t>
      </w:r>
    </w:p>
  </w:footnote>
  <w:footnote w:id="36">
    <w:p w14:paraId="362FD3A5" w14:textId="4BCAF5CA" w:rsidR="00132CF8" w:rsidRPr="00B9294E" w:rsidRDefault="00132CF8"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0027648F" w:rsidRPr="00B9294E">
        <w:rPr>
          <w:rFonts w:eastAsiaTheme="minorEastAsia" w:cstheme="minorHAnsi"/>
          <w:lang w:val="en-GB"/>
        </w:rPr>
        <w:t xml:space="preserve">Outhwaite, Opi. and Martin-Ortega, Olga,. ‘Worker-driven monitoring – Redefining supply chain monitoring to improve labour rights in global supply chains’ </w:t>
      </w:r>
      <w:r w:rsidR="00B9294E" w:rsidRPr="00B9294E">
        <w:rPr>
          <w:rFonts w:eastAsiaTheme="minorEastAsia" w:cstheme="minorHAnsi"/>
          <w:lang w:val="en-GB"/>
        </w:rPr>
        <w:t xml:space="preserve">(2019) </w:t>
      </w:r>
      <w:r w:rsidR="0027648F" w:rsidRPr="00B9294E">
        <w:rPr>
          <w:rFonts w:eastAsiaTheme="minorEastAsia" w:cstheme="minorHAnsi"/>
          <w:lang w:val="en-GB"/>
        </w:rPr>
        <w:t xml:space="preserve">Vol. 23(4) </w:t>
      </w:r>
      <w:r w:rsidR="0027648F" w:rsidRPr="00B9294E">
        <w:rPr>
          <w:rFonts w:eastAsiaTheme="minorEastAsia" w:cstheme="minorHAnsi"/>
          <w:i/>
          <w:iCs/>
          <w:lang w:val="en-GB"/>
        </w:rPr>
        <w:t xml:space="preserve">Competition and Change, </w:t>
      </w:r>
      <w:r w:rsidR="0027648F" w:rsidRPr="00B9294E">
        <w:rPr>
          <w:rFonts w:eastAsiaTheme="minorEastAsia" w:cstheme="minorHAnsi"/>
          <w:lang w:val="en-GB"/>
        </w:rPr>
        <w:t xml:space="preserve"> 378</w:t>
      </w:r>
      <w:r w:rsidR="00F26256">
        <w:rPr>
          <w:rFonts w:eastAsiaTheme="minorEastAsia" w:cstheme="minorHAnsi"/>
          <w:lang w:val="en-GB"/>
        </w:rPr>
        <w:t>.</w:t>
      </w:r>
    </w:p>
  </w:footnote>
  <w:footnote w:id="37">
    <w:p w14:paraId="283D1153" w14:textId="49B7FE42" w:rsidR="002B6D4B" w:rsidRPr="00B9294E" w:rsidRDefault="002B6D4B" w:rsidP="00B9294E">
      <w:pPr>
        <w:pStyle w:val="FootnoteText"/>
        <w:rPr>
          <w:rFonts w:cstheme="minorHAnsi"/>
        </w:rPr>
      </w:pPr>
      <w:r w:rsidRPr="00B9294E">
        <w:rPr>
          <w:rStyle w:val="FootnoteReference"/>
          <w:rFonts w:cstheme="minorHAnsi"/>
        </w:rPr>
        <w:footnoteRef/>
      </w:r>
      <w:r w:rsidRPr="00B9294E">
        <w:rPr>
          <w:rFonts w:cstheme="minorHAnsi"/>
        </w:rPr>
        <w:t xml:space="preserve"> Deanna Kemp</w:t>
      </w:r>
      <w:r w:rsidR="00A10582" w:rsidRPr="00B9294E">
        <w:rPr>
          <w:rFonts w:cstheme="minorHAnsi"/>
        </w:rPr>
        <w:t xml:space="preserve"> et al.</w:t>
      </w:r>
      <w:r w:rsidRPr="00B9294E">
        <w:rPr>
          <w:rFonts w:cstheme="minorHAnsi"/>
        </w:rPr>
        <w:t>, ‘Energy transition minerals and their intersection with land-connected peoples</w:t>
      </w:r>
      <w:r w:rsidR="00B241CB" w:rsidRPr="00B9294E">
        <w:rPr>
          <w:rFonts w:cstheme="minorHAnsi"/>
        </w:rPr>
        <w:t xml:space="preserve">’ (2023) 6 </w:t>
      </w:r>
      <w:r w:rsidR="00B241CB" w:rsidRPr="00B9294E">
        <w:rPr>
          <w:rFonts w:cstheme="minorHAnsi"/>
          <w:i/>
        </w:rPr>
        <w:t xml:space="preserve">Nature Sustainability </w:t>
      </w:r>
      <w:r w:rsidR="00B241CB" w:rsidRPr="00B9294E">
        <w:rPr>
          <w:rFonts w:cstheme="minorHAnsi"/>
        </w:rPr>
        <w:t>203</w:t>
      </w:r>
      <w:r w:rsidR="00A10582" w:rsidRPr="00B9294E">
        <w:rPr>
          <w:rFonts w:cstheme="minorHAnsi"/>
        </w:rPr>
        <w:t>.</w:t>
      </w:r>
    </w:p>
  </w:footnote>
  <w:footnote w:id="38">
    <w:p w14:paraId="1A2C72A1" w14:textId="0AF8E083" w:rsidR="00B343B2" w:rsidRPr="00B9294E" w:rsidRDefault="00B343B2" w:rsidP="00B9294E">
      <w:pPr>
        <w:pStyle w:val="FootnoteText"/>
        <w:rPr>
          <w:rFonts w:cstheme="minorHAnsi"/>
        </w:rPr>
      </w:pPr>
      <w:r w:rsidRPr="00B9294E">
        <w:rPr>
          <w:rStyle w:val="FootnoteReference"/>
          <w:rFonts w:cstheme="minorHAnsi"/>
        </w:rPr>
        <w:footnoteRef/>
      </w:r>
      <w:r w:rsidRPr="00B9294E">
        <w:rPr>
          <w:rFonts w:cstheme="minorHAnsi"/>
        </w:rPr>
        <w:t xml:space="preserve"> </w:t>
      </w:r>
      <w:r w:rsidRPr="00B9294E">
        <w:rPr>
          <w:rFonts w:cstheme="minorHAnsi"/>
        </w:rPr>
        <w:fldChar w:fldCharType="begin"/>
      </w:r>
      <w:r w:rsidRPr="00B9294E">
        <w:rPr>
          <w:rFonts w:cstheme="minorHAnsi"/>
        </w:rPr>
        <w:instrText xml:space="preserve"> ADDIN ZOTERO_ITEM CSL_CITATION {"citationID":"Kdol3kaq","properties":{"formattedCitation":"United Nations Human Rights Council, {\\i{}Free, Prior and Informed Consent: A Human Rights-Based Approach. Study of the Expert Mechanism on the Rights of Indigenous Peoples} (No UN Doc A/HRC/39/62, 10 August 2018).","plainCitation":"United Nations Human Rights Council, Free, Prior and Informed Consent: A Human Rights-Based Approach. Study of the Expert Mechanism on the Rights of Indigenous Peoples (No UN Doc A/HRC/39/62, 10 August 2018).","noteIndex":33},"citationItems":[{"id":1507,"uris":["http://zotero.org/users/4776727/items/Y6KSR8NR"],"itemData":{"id":1507,"type":"report","number":"UN Doc A/HRC/39/62","title":"Free, prior and informed consent: a human rights-based approach. Study of the Expert Mechanism on the Rights of Indigenous Peoples","author":[{"family":"United Nations Human Rights Council","given":""}],"issued":{"date-parts":[["2018",8,10]]}}}],"schema":"https://github.com/citation-style-language/schema/raw/master/csl-citation.json"} </w:instrText>
      </w:r>
      <w:r w:rsidRPr="00B9294E">
        <w:rPr>
          <w:rFonts w:cstheme="minorHAnsi"/>
        </w:rPr>
        <w:fldChar w:fldCharType="separate"/>
      </w:r>
      <w:r w:rsidRPr="00B9294E">
        <w:rPr>
          <w:rFonts w:cstheme="minorHAnsi"/>
        </w:rPr>
        <w:t xml:space="preserve">United Nations Human Rights Council, </w:t>
      </w:r>
      <w:r w:rsidRPr="00B9294E">
        <w:rPr>
          <w:rFonts w:cstheme="minorHAnsi"/>
          <w:i/>
        </w:rPr>
        <w:t>Free, Prior and Informed Consent: A Human Rights-Based Approach. Study of the Expert Mechanism on the Rights of Indigenous Peoples</w:t>
      </w:r>
      <w:r w:rsidRPr="00B9294E">
        <w:rPr>
          <w:rFonts w:cstheme="minorHAnsi"/>
        </w:rPr>
        <w:t xml:space="preserve"> (No UN Doc A/HRC/39/62, 10 August 2018).</w:t>
      </w:r>
      <w:r w:rsidRPr="00B9294E">
        <w:rPr>
          <w:rFonts w:cstheme="minorHAnsi"/>
        </w:rPr>
        <w:fldChar w:fldCharType="end"/>
      </w:r>
    </w:p>
  </w:footnote>
  <w:footnote w:id="39">
    <w:p w14:paraId="1F1C1F87" w14:textId="77777777" w:rsidR="000771C9" w:rsidRPr="00B9294E" w:rsidRDefault="000771C9" w:rsidP="00B9294E">
      <w:pPr>
        <w:pStyle w:val="FootnoteText"/>
        <w:rPr>
          <w:rFonts w:cstheme="minorHAnsi"/>
        </w:rPr>
      </w:pPr>
      <w:r w:rsidRPr="00B9294E">
        <w:rPr>
          <w:rStyle w:val="FootnoteReference"/>
          <w:rFonts w:cstheme="minorHAnsi"/>
        </w:rPr>
        <w:footnoteRef/>
      </w:r>
      <w:r w:rsidRPr="00B9294E">
        <w:rPr>
          <w:rFonts w:cstheme="minorHAnsi"/>
        </w:rPr>
        <w:t xml:space="preserve"> BMW Group, ‘BMW Group Joins Responsible Lithium Mining Project in Chile’ (online, 24 February 2022) &lt;https://www.press.bmwgroup.com/global/article/detail/T0370113EN/bmw-group-joins-sustainable-lithium-mining-project-in-chile&gt;.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774"/>
    <w:multiLevelType w:val="multilevel"/>
    <w:tmpl w:val="971807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923B3"/>
    <w:multiLevelType w:val="multilevel"/>
    <w:tmpl w:val="601EE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67484"/>
    <w:multiLevelType w:val="hybridMultilevel"/>
    <w:tmpl w:val="9FA62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9C0566"/>
    <w:multiLevelType w:val="hybridMultilevel"/>
    <w:tmpl w:val="BE06638E"/>
    <w:lvl w:ilvl="0" w:tplc="FFFFFFFF">
      <w:start w:val="1"/>
      <w:numFmt w:val="bullet"/>
      <w:lvlText w:val=""/>
      <w:lvlJc w:val="left"/>
      <w:pPr>
        <w:ind w:left="720" w:hanging="360"/>
      </w:pPr>
      <w:rPr>
        <w:rFonts w:ascii="Symbol" w:hAnsi="Symbol" w:hint="default"/>
      </w:rPr>
    </w:lvl>
    <w:lvl w:ilvl="1" w:tplc="C2DE5794">
      <w:start w:val="1"/>
      <w:numFmt w:val="decimal"/>
      <w:lvlText w:val="%2)"/>
      <w:lvlJc w:val="left"/>
      <w:pPr>
        <w:ind w:left="720" w:hanging="360"/>
      </w:pPr>
      <w:rPr>
        <w:rFonts w:asciiTheme="minorHAnsi" w:eastAsiaTheme="minorHAnsi" w:hAnsiTheme="minorHAnsi" w:cstheme="minorBid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0463C7"/>
    <w:multiLevelType w:val="multilevel"/>
    <w:tmpl w:val="30C4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1E0C"/>
    <w:multiLevelType w:val="multilevel"/>
    <w:tmpl w:val="B350727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53BAD"/>
    <w:multiLevelType w:val="hybridMultilevel"/>
    <w:tmpl w:val="3D288C1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571069"/>
    <w:multiLevelType w:val="multilevel"/>
    <w:tmpl w:val="971807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B29AE"/>
    <w:multiLevelType w:val="hybridMultilevel"/>
    <w:tmpl w:val="637C1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319814">
    <w:abstractNumId w:val="8"/>
  </w:num>
  <w:num w:numId="2" w16cid:durableId="1244217782">
    <w:abstractNumId w:val="6"/>
  </w:num>
  <w:num w:numId="3" w16cid:durableId="767508923">
    <w:abstractNumId w:val="4"/>
  </w:num>
  <w:num w:numId="4" w16cid:durableId="428896501">
    <w:abstractNumId w:val="1"/>
  </w:num>
  <w:num w:numId="5" w16cid:durableId="1724282505">
    <w:abstractNumId w:val="5"/>
  </w:num>
  <w:num w:numId="6" w16cid:durableId="559750079">
    <w:abstractNumId w:val="0"/>
  </w:num>
  <w:num w:numId="7" w16cid:durableId="741953592">
    <w:abstractNumId w:val="7"/>
  </w:num>
  <w:num w:numId="8" w16cid:durableId="353113674">
    <w:abstractNumId w:val="2"/>
  </w:num>
  <w:num w:numId="9" w16cid:durableId="12782179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D"/>
    <w:rsid w:val="0000048B"/>
    <w:rsid w:val="00006DC7"/>
    <w:rsid w:val="00007A72"/>
    <w:rsid w:val="00007E11"/>
    <w:rsid w:val="00010863"/>
    <w:rsid w:val="00010BC8"/>
    <w:rsid w:val="0001424B"/>
    <w:rsid w:val="000201C4"/>
    <w:rsid w:val="00022694"/>
    <w:rsid w:val="00022729"/>
    <w:rsid w:val="000239DA"/>
    <w:rsid w:val="00026C7C"/>
    <w:rsid w:val="0003419C"/>
    <w:rsid w:val="00037EEA"/>
    <w:rsid w:val="000412F7"/>
    <w:rsid w:val="00047377"/>
    <w:rsid w:val="00050D77"/>
    <w:rsid w:val="000529A5"/>
    <w:rsid w:val="00054BED"/>
    <w:rsid w:val="00057DB3"/>
    <w:rsid w:val="0006305D"/>
    <w:rsid w:val="00063535"/>
    <w:rsid w:val="00064A07"/>
    <w:rsid w:val="0006753B"/>
    <w:rsid w:val="000722D5"/>
    <w:rsid w:val="0007386E"/>
    <w:rsid w:val="000766DB"/>
    <w:rsid w:val="000771C9"/>
    <w:rsid w:val="0007753D"/>
    <w:rsid w:val="000816A7"/>
    <w:rsid w:val="00081EB8"/>
    <w:rsid w:val="000825D3"/>
    <w:rsid w:val="00083770"/>
    <w:rsid w:val="0008584D"/>
    <w:rsid w:val="00086CB2"/>
    <w:rsid w:val="00086F18"/>
    <w:rsid w:val="00087C24"/>
    <w:rsid w:val="00087F62"/>
    <w:rsid w:val="00094F52"/>
    <w:rsid w:val="000A1466"/>
    <w:rsid w:val="000A4B47"/>
    <w:rsid w:val="000A65D5"/>
    <w:rsid w:val="000A6BC5"/>
    <w:rsid w:val="000B4E71"/>
    <w:rsid w:val="000B5B6A"/>
    <w:rsid w:val="000B5FD6"/>
    <w:rsid w:val="000B61C7"/>
    <w:rsid w:val="000B70CD"/>
    <w:rsid w:val="000B7FAE"/>
    <w:rsid w:val="000C0570"/>
    <w:rsid w:val="000C2C49"/>
    <w:rsid w:val="000C3120"/>
    <w:rsid w:val="000D0DF9"/>
    <w:rsid w:val="000D1316"/>
    <w:rsid w:val="000D2ACA"/>
    <w:rsid w:val="000D5374"/>
    <w:rsid w:val="000D6F7D"/>
    <w:rsid w:val="000D7D0D"/>
    <w:rsid w:val="000E1522"/>
    <w:rsid w:val="000E646C"/>
    <w:rsid w:val="000F0029"/>
    <w:rsid w:val="0010014B"/>
    <w:rsid w:val="00104FC8"/>
    <w:rsid w:val="001253AC"/>
    <w:rsid w:val="001265F8"/>
    <w:rsid w:val="001268D9"/>
    <w:rsid w:val="00132BF6"/>
    <w:rsid w:val="00132CF8"/>
    <w:rsid w:val="0013483D"/>
    <w:rsid w:val="001349D6"/>
    <w:rsid w:val="00142BFA"/>
    <w:rsid w:val="00143D9C"/>
    <w:rsid w:val="00144DC0"/>
    <w:rsid w:val="00144FB5"/>
    <w:rsid w:val="00146276"/>
    <w:rsid w:val="00147504"/>
    <w:rsid w:val="0015141B"/>
    <w:rsid w:val="001526A6"/>
    <w:rsid w:val="00153832"/>
    <w:rsid w:val="001605E8"/>
    <w:rsid w:val="00170684"/>
    <w:rsid w:val="00175383"/>
    <w:rsid w:val="00187E73"/>
    <w:rsid w:val="0019036A"/>
    <w:rsid w:val="00193306"/>
    <w:rsid w:val="00196E7E"/>
    <w:rsid w:val="001A08FA"/>
    <w:rsid w:val="001A266A"/>
    <w:rsid w:val="001A3A65"/>
    <w:rsid w:val="001A7BBB"/>
    <w:rsid w:val="001B185D"/>
    <w:rsid w:val="001B5828"/>
    <w:rsid w:val="001C2BA0"/>
    <w:rsid w:val="001C51A8"/>
    <w:rsid w:val="001C5F23"/>
    <w:rsid w:val="001C7E1A"/>
    <w:rsid w:val="001D28B0"/>
    <w:rsid w:val="001E040C"/>
    <w:rsid w:val="001E0D05"/>
    <w:rsid w:val="001E3456"/>
    <w:rsid w:val="001E3610"/>
    <w:rsid w:val="001E631A"/>
    <w:rsid w:val="001F2490"/>
    <w:rsid w:val="001F4E10"/>
    <w:rsid w:val="001F755D"/>
    <w:rsid w:val="001F7C3E"/>
    <w:rsid w:val="002011CA"/>
    <w:rsid w:val="00204EE7"/>
    <w:rsid w:val="002063F0"/>
    <w:rsid w:val="00206754"/>
    <w:rsid w:val="002154CD"/>
    <w:rsid w:val="00216B11"/>
    <w:rsid w:val="0022193E"/>
    <w:rsid w:val="00222312"/>
    <w:rsid w:val="00226B97"/>
    <w:rsid w:val="0023005F"/>
    <w:rsid w:val="00230B6F"/>
    <w:rsid w:val="002316F9"/>
    <w:rsid w:val="002337B9"/>
    <w:rsid w:val="00240070"/>
    <w:rsid w:val="00251366"/>
    <w:rsid w:val="00252F96"/>
    <w:rsid w:val="00261A16"/>
    <w:rsid w:val="00262CBB"/>
    <w:rsid w:val="002638C3"/>
    <w:rsid w:val="00264F62"/>
    <w:rsid w:val="002667B1"/>
    <w:rsid w:val="00274E33"/>
    <w:rsid w:val="0027648F"/>
    <w:rsid w:val="00276EF3"/>
    <w:rsid w:val="00284AA6"/>
    <w:rsid w:val="00285A9A"/>
    <w:rsid w:val="00286137"/>
    <w:rsid w:val="00290B4D"/>
    <w:rsid w:val="00296810"/>
    <w:rsid w:val="002A1D0B"/>
    <w:rsid w:val="002A76D9"/>
    <w:rsid w:val="002B1770"/>
    <w:rsid w:val="002B17CB"/>
    <w:rsid w:val="002B3A1A"/>
    <w:rsid w:val="002B4D50"/>
    <w:rsid w:val="002B6C33"/>
    <w:rsid w:val="002B6D4B"/>
    <w:rsid w:val="002C04A4"/>
    <w:rsid w:val="002C0D45"/>
    <w:rsid w:val="002C25DD"/>
    <w:rsid w:val="002C4F92"/>
    <w:rsid w:val="002C7E16"/>
    <w:rsid w:val="002E0913"/>
    <w:rsid w:val="002E0FD1"/>
    <w:rsid w:val="002E55D5"/>
    <w:rsid w:val="002F35FF"/>
    <w:rsid w:val="002F7331"/>
    <w:rsid w:val="0030235A"/>
    <w:rsid w:val="00302DE0"/>
    <w:rsid w:val="00307C38"/>
    <w:rsid w:val="003117E2"/>
    <w:rsid w:val="00314E4E"/>
    <w:rsid w:val="00320D4A"/>
    <w:rsid w:val="00321228"/>
    <w:rsid w:val="003235E3"/>
    <w:rsid w:val="00331B26"/>
    <w:rsid w:val="003422F0"/>
    <w:rsid w:val="003431FE"/>
    <w:rsid w:val="0034418F"/>
    <w:rsid w:val="00347C0B"/>
    <w:rsid w:val="00350E06"/>
    <w:rsid w:val="003516DB"/>
    <w:rsid w:val="00357849"/>
    <w:rsid w:val="00360856"/>
    <w:rsid w:val="0036376A"/>
    <w:rsid w:val="003639E8"/>
    <w:rsid w:val="003640F0"/>
    <w:rsid w:val="00372C57"/>
    <w:rsid w:val="00374B78"/>
    <w:rsid w:val="003841A0"/>
    <w:rsid w:val="00390277"/>
    <w:rsid w:val="0039155F"/>
    <w:rsid w:val="00393420"/>
    <w:rsid w:val="003937B9"/>
    <w:rsid w:val="00393970"/>
    <w:rsid w:val="003A0C58"/>
    <w:rsid w:val="003B0E86"/>
    <w:rsid w:val="003B50C7"/>
    <w:rsid w:val="003B6FDD"/>
    <w:rsid w:val="003C3652"/>
    <w:rsid w:val="003C5892"/>
    <w:rsid w:val="003C6AB4"/>
    <w:rsid w:val="003D12B0"/>
    <w:rsid w:val="003D20EF"/>
    <w:rsid w:val="003D4DB9"/>
    <w:rsid w:val="003D5EFE"/>
    <w:rsid w:val="003D700A"/>
    <w:rsid w:val="003E16B7"/>
    <w:rsid w:val="003E5614"/>
    <w:rsid w:val="003F69A5"/>
    <w:rsid w:val="003F76FA"/>
    <w:rsid w:val="00403B2E"/>
    <w:rsid w:val="00412142"/>
    <w:rsid w:val="004133D9"/>
    <w:rsid w:val="00416FDC"/>
    <w:rsid w:val="0042115C"/>
    <w:rsid w:val="00423B4C"/>
    <w:rsid w:val="0043151D"/>
    <w:rsid w:val="0044169F"/>
    <w:rsid w:val="00442AF6"/>
    <w:rsid w:val="00444C4E"/>
    <w:rsid w:val="00450F54"/>
    <w:rsid w:val="004537EC"/>
    <w:rsid w:val="00456755"/>
    <w:rsid w:val="0046147D"/>
    <w:rsid w:val="00465BEE"/>
    <w:rsid w:val="004747A1"/>
    <w:rsid w:val="00476380"/>
    <w:rsid w:val="00477DA4"/>
    <w:rsid w:val="00480DBD"/>
    <w:rsid w:val="0048256B"/>
    <w:rsid w:val="00483A83"/>
    <w:rsid w:val="00484619"/>
    <w:rsid w:val="00485566"/>
    <w:rsid w:val="004869A1"/>
    <w:rsid w:val="00486F34"/>
    <w:rsid w:val="004933D1"/>
    <w:rsid w:val="004A097C"/>
    <w:rsid w:val="004A0D39"/>
    <w:rsid w:val="004A4A5B"/>
    <w:rsid w:val="004A4F9C"/>
    <w:rsid w:val="004B12C8"/>
    <w:rsid w:val="004C15AF"/>
    <w:rsid w:val="004C59A5"/>
    <w:rsid w:val="004C69D1"/>
    <w:rsid w:val="004C729F"/>
    <w:rsid w:val="004D04D2"/>
    <w:rsid w:val="004D19E2"/>
    <w:rsid w:val="004D1ABF"/>
    <w:rsid w:val="004D1CE9"/>
    <w:rsid w:val="004D29A9"/>
    <w:rsid w:val="004D42E1"/>
    <w:rsid w:val="004D61CA"/>
    <w:rsid w:val="004D6A77"/>
    <w:rsid w:val="004D705D"/>
    <w:rsid w:val="004E5FFB"/>
    <w:rsid w:val="004E7DE1"/>
    <w:rsid w:val="004F24A6"/>
    <w:rsid w:val="004F551B"/>
    <w:rsid w:val="004F6A95"/>
    <w:rsid w:val="004F6C42"/>
    <w:rsid w:val="005011A5"/>
    <w:rsid w:val="00503158"/>
    <w:rsid w:val="00507D81"/>
    <w:rsid w:val="00510D7A"/>
    <w:rsid w:val="00512484"/>
    <w:rsid w:val="00514423"/>
    <w:rsid w:val="005163A2"/>
    <w:rsid w:val="0052339D"/>
    <w:rsid w:val="005246A3"/>
    <w:rsid w:val="00526921"/>
    <w:rsid w:val="0053531B"/>
    <w:rsid w:val="005358A1"/>
    <w:rsid w:val="00536E19"/>
    <w:rsid w:val="00541461"/>
    <w:rsid w:val="00544A87"/>
    <w:rsid w:val="005451FA"/>
    <w:rsid w:val="00545BAC"/>
    <w:rsid w:val="00545F41"/>
    <w:rsid w:val="00547503"/>
    <w:rsid w:val="005510C7"/>
    <w:rsid w:val="00554332"/>
    <w:rsid w:val="005611E3"/>
    <w:rsid w:val="005622B7"/>
    <w:rsid w:val="00562B87"/>
    <w:rsid w:val="00565DAF"/>
    <w:rsid w:val="005669E7"/>
    <w:rsid w:val="0057066B"/>
    <w:rsid w:val="005727BD"/>
    <w:rsid w:val="00574119"/>
    <w:rsid w:val="0057743B"/>
    <w:rsid w:val="005817BC"/>
    <w:rsid w:val="0058314F"/>
    <w:rsid w:val="00587789"/>
    <w:rsid w:val="00591CB6"/>
    <w:rsid w:val="00592591"/>
    <w:rsid w:val="00596117"/>
    <w:rsid w:val="00597EAA"/>
    <w:rsid w:val="005A0EA0"/>
    <w:rsid w:val="005A1B8D"/>
    <w:rsid w:val="005A2569"/>
    <w:rsid w:val="005A5744"/>
    <w:rsid w:val="005A5BE7"/>
    <w:rsid w:val="005B12BC"/>
    <w:rsid w:val="005B44C2"/>
    <w:rsid w:val="005B58AD"/>
    <w:rsid w:val="005B6D38"/>
    <w:rsid w:val="005C2412"/>
    <w:rsid w:val="005C5ABC"/>
    <w:rsid w:val="005C7D50"/>
    <w:rsid w:val="005C7EC5"/>
    <w:rsid w:val="005D0B8B"/>
    <w:rsid w:val="005D0DE1"/>
    <w:rsid w:val="005D2BB4"/>
    <w:rsid w:val="005D59E0"/>
    <w:rsid w:val="005E182E"/>
    <w:rsid w:val="005E7A65"/>
    <w:rsid w:val="005F4101"/>
    <w:rsid w:val="005F4883"/>
    <w:rsid w:val="00610B02"/>
    <w:rsid w:val="00613414"/>
    <w:rsid w:val="006157AB"/>
    <w:rsid w:val="006220DA"/>
    <w:rsid w:val="00623AA0"/>
    <w:rsid w:val="00625AE6"/>
    <w:rsid w:val="00626F74"/>
    <w:rsid w:val="00631ED5"/>
    <w:rsid w:val="0063226E"/>
    <w:rsid w:val="0063666E"/>
    <w:rsid w:val="006419F4"/>
    <w:rsid w:val="006442AC"/>
    <w:rsid w:val="00645052"/>
    <w:rsid w:val="00645DB2"/>
    <w:rsid w:val="00652FD5"/>
    <w:rsid w:val="00661FAE"/>
    <w:rsid w:val="006642AB"/>
    <w:rsid w:val="00667C87"/>
    <w:rsid w:val="00670F38"/>
    <w:rsid w:val="006716A6"/>
    <w:rsid w:val="00674969"/>
    <w:rsid w:val="006757C2"/>
    <w:rsid w:val="006815A8"/>
    <w:rsid w:val="006818B5"/>
    <w:rsid w:val="0068272D"/>
    <w:rsid w:val="006828A7"/>
    <w:rsid w:val="00684D6F"/>
    <w:rsid w:val="00684E28"/>
    <w:rsid w:val="00684EE9"/>
    <w:rsid w:val="006870BB"/>
    <w:rsid w:val="0068736D"/>
    <w:rsid w:val="00691D76"/>
    <w:rsid w:val="00697D3D"/>
    <w:rsid w:val="006A0271"/>
    <w:rsid w:val="006A11CF"/>
    <w:rsid w:val="006B2C15"/>
    <w:rsid w:val="006B319B"/>
    <w:rsid w:val="006B460E"/>
    <w:rsid w:val="006C1745"/>
    <w:rsid w:val="006D7E1E"/>
    <w:rsid w:val="006E32F8"/>
    <w:rsid w:val="006E3945"/>
    <w:rsid w:val="006F2A13"/>
    <w:rsid w:val="006F4877"/>
    <w:rsid w:val="007006E6"/>
    <w:rsid w:val="007007EC"/>
    <w:rsid w:val="00700AD7"/>
    <w:rsid w:val="007027F5"/>
    <w:rsid w:val="00702FC7"/>
    <w:rsid w:val="00706732"/>
    <w:rsid w:val="00706D84"/>
    <w:rsid w:val="00706EF7"/>
    <w:rsid w:val="007135A5"/>
    <w:rsid w:val="0071362C"/>
    <w:rsid w:val="00715215"/>
    <w:rsid w:val="00715D8B"/>
    <w:rsid w:val="00720B88"/>
    <w:rsid w:val="00721183"/>
    <w:rsid w:val="00726CAF"/>
    <w:rsid w:val="00727C2D"/>
    <w:rsid w:val="00734A57"/>
    <w:rsid w:val="00744A38"/>
    <w:rsid w:val="00750CB7"/>
    <w:rsid w:val="00750DF7"/>
    <w:rsid w:val="00751D0B"/>
    <w:rsid w:val="00754F72"/>
    <w:rsid w:val="00757283"/>
    <w:rsid w:val="00764B9C"/>
    <w:rsid w:val="00765CDA"/>
    <w:rsid w:val="007758EB"/>
    <w:rsid w:val="00783D2A"/>
    <w:rsid w:val="00783E6B"/>
    <w:rsid w:val="00784C6A"/>
    <w:rsid w:val="00786485"/>
    <w:rsid w:val="0079209B"/>
    <w:rsid w:val="00793F03"/>
    <w:rsid w:val="007A0B57"/>
    <w:rsid w:val="007A0F10"/>
    <w:rsid w:val="007A19D5"/>
    <w:rsid w:val="007A1FE3"/>
    <w:rsid w:val="007B02B1"/>
    <w:rsid w:val="007B1000"/>
    <w:rsid w:val="007B128A"/>
    <w:rsid w:val="007C3229"/>
    <w:rsid w:val="007D3951"/>
    <w:rsid w:val="007D3A2A"/>
    <w:rsid w:val="007E3A23"/>
    <w:rsid w:val="007F066A"/>
    <w:rsid w:val="007F188C"/>
    <w:rsid w:val="007F486A"/>
    <w:rsid w:val="007F4DDA"/>
    <w:rsid w:val="007F65FD"/>
    <w:rsid w:val="00803BB2"/>
    <w:rsid w:val="00806A74"/>
    <w:rsid w:val="00811DF8"/>
    <w:rsid w:val="008132F8"/>
    <w:rsid w:val="00822C95"/>
    <w:rsid w:val="008246B4"/>
    <w:rsid w:val="00832742"/>
    <w:rsid w:val="0084305A"/>
    <w:rsid w:val="00845166"/>
    <w:rsid w:val="00850FC8"/>
    <w:rsid w:val="0085203C"/>
    <w:rsid w:val="00852504"/>
    <w:rsid w:val="008539FD"/>
    <w:rsid w:val="00863912"/>
    <w:rsid w:val="00863B27"/>
    <w:rsid w:val="00875325"/>
    <w:rsid w:val="00877E91"/>
    <w:rsid w:val="00880D5E"/>
    <w:rsid w:val="00880DF3"/>
    <w:rsid w:val="008817FC"/>
    <w:rsid w:val="00882423"/>
    <w:rsid w:val="008844E8"/>
    <w:rsid w:val="00887823"/>
    <w:rsid w:val="008921E2"/>
    <w:rsid w:val="008965C5"/>
    <w:rsid w:val="00896991"/>
    <w:rsid w:val="008A22DA"/>
    <w:rsid w:val="008A2CED"/>
    <w:rsid w:val="008A7350"/>
    <w:rsid w:val="008B05C3"/>
    <w:rsid w:val="008B18E4"/>
    <w:rsid w:val="008B29B0"/>
    <w:rsid w:val="008B3012"/>
    <w:rsid w:val="008B3D57"/>
    <w:rsid w:val="008B67F8"/>
    <w:rsid w:val="008C14D5"/>
    <w:rsid w:val="008C1662"/>
    <w:rsid w:val="008C6274"/>
    <w:rsid w:val="008C7ECF"/>
    <w:rsid w:val="008D08B0"/>
    <w:rsid w:val="008D3A9A"/>
    <w:rsid w:val="008D412C"/>
    <w:rsid w:val="008E05FE"/>
    <w:rsid w:val="008E1807"/>
    <w:rsid w:val="008E18B0"/>
    <w:rsid w:val="008E4793"/>
    <w:rsid w:val="008E57B9"/>
    <w:rsid w:val="008F0684"/>
    <w:rsid w:val="008F486F"/>
    <w:rsid w:val="008F6433"/>
    <w:rsid w:val="00917869"/>
    <w:rsid w:val="0092053E"/>
    <w:rsid w:val="0092715C"/>
    <w:rsid w:val="00927FFC"/>
    <w:rsid w:val="009319D6"/>
    <w:rsid w:val="00933722"/>
    <w:rsid w:val="00934B02"/>
    <w:rsid w:val="00937F17"/>
    <w:rsid w:val="009440A5"/>
    <w:rsid w:val="00950648"/>
    <w:rsid w:val="009507C4"/>
    <w:rsid w:val="00950D0A"/>
    <w:rsid w:val="00951F5C"/>
    <w:rsid w:val="00954EAF"/>
    <w:rsid w:val="00955D94"/>
    <w:rsid w:val="009561E8"/>
    <w:rsid w:val="009613F6"/>
    <w:rsid w:val="009631F4"/>
    <w:rsid w:val="00963FE6"/>
    <w:rsid w:val="009674EE"/>
    <w:rsid w:val="00971454"/>
    <w:rsid w:val="00981CD3"/>
    <w:rsid w:val="0098239A"/>
    <w:rsid w:val="00983475"/>
    <w:rsid w:val="009928CB"/>
    <w:rsid w:val="00994220"/>
    <w:rsid w:val="00995026"/>
    <w:rsid w:val="0099692B"/>
    <w:rsid w:val="00997547"/>
    <w:rsid w:val="009A0233"/>
    <w:rsid w:val="009A0E38"/>
    <w:rsid w:val="009A208C"/>
    <w:rsid w:val="009B22C1"/>
    <w:rsid w:val="009B5B7E"/>
    <w:rsid w:val="009B5CF6"/>
    <w:rsid w:val="009B71E1"/>
    <w:rsid w:val="009C2C5B"/>
    <w:rsid w:val="009C354E"/>
    <w:rsid w:val="009C5B2E"/>
    <w:rsid w:val="009E20E2"/>
    <w:rsid w:val="009E2460"/>
    <w:rsid w:val="009E55D2"/>
    <w:rsid w:val="009F6421"/>
    <w:rsid w:val="009F79CF"/>
    <w:rsid w:val="00A03290"/>
    <w:rsid w:val="00A035BF"/>
    <w:rsid w:val="00A05447"/>
    <w:rsid w:val="00A10582"/>
    <w:rsid w:val="00A127FB"/>
    <w:rsid w:val="00A13532"/>
    <w:rsid w:val="00A15603"/>
    <w:rsid w:val="00A17D23"/>
    <w:rsid w:val="00A207B7"/>
    <w:rsid w:val="00A229D2"/>
    <w:rsid w:val="00A24D4E"/>
    <w:rsid w:val="00A25D4A"/>
    <w:rsid w:val="00A2790B"/>
    <w:rsid w:val="00A27D97"/>
    <w:rsid w:val="00A32705"/>
    <w:rsid w:val="00A47CEE"/>
    <w:rsid w:val="00A50A5C"/>
    <w:rsid w:val="00A50E3E"/>
    <w:rsid w:val="00A54913"/>
    <w:rsid w:val="00A6182E"/>
    <w:rsid w:val="00A61D21"/>
    <w:rsid w:val="00A63276"/>
    <w:rsid w:val="00A64348"/>
    <w:rsid w:val="00A66D5F"/>
    <w:rsid w:val="00A67290"/>
    <w:rsid w:val="00A725BE"/>
    <w:rsid w:val="00A72AFE"/>
    <w:rsid w:val="00A85B1D"/>
    <w:rsid w:val="00A9082E"/>
    <w:rsid w:val="00A9669B"/>
    <w:rsid w:val="00AA16AB"/>
    <w:rsid w:val="00AA1CB7"/>
    <w:rsid w:val="00AA27E4"/>
    <w:rsid w:val="00AB3434"/>
    <w:rsid w:val="00AB442F"/>
    <w:rsid w:val="00AC2213"/>
    <w:rsid w:val="00AC32AF"/>
    <w:rsid w:val="00AC766E"/>
    <w:rsid w:val="00AD3B36"/>
    <w:rsid w:val="00AD5185"/>
    <w:rsid w:val="00AE2270"/>
    <w:rsid w:val="00AE34CA"/>
    <w:rsid w:val="00AE3B96"/>
    <w:rsid w:val="00AE4763"/>
    <w:rsid w:val="00AF0DF5"/>
    <w:rsid w:val="00AF69C6"/>
    <w:rsid w:val="00B0308B"/>
    <w:rsid w:val="00B037CC"/>
    <w:rsid w:val="00B0580B"/>
    <w:rsid w:val="00B07A3E"/>
    <w:rsid w:val="00B12F07"/>
    <w:rsid w:val="00B14365"/>
    <w:rsid w:val="00B1717C"/>
    <w:rsid w:val="00B20BC0"/>
    <w:rsid w:val="00B22008"/>
    <w:rsid w:val="00B241CB"/>
    <w:rsid w:val="00B27962"/>
    <w:rsid w:val="00B343B2"/>
    <w:rsid w:val="00B35AC7"/>
    <w:rsid w:val="00B41549"/>
    <w:rsid w:val="00B443CD"/>
    <w:rsid w:val="00B55D8A"/>
    <w:rsid w:val="00B70DF1"/>
    <w:rsid w:val="00B75241"/>
    <w:rsid w:val="00B76070"/>
    <w:rsid w:val="00B853A4"/>
    <w:rsid w:val="00B90459"/>
    <w:rsid w:val="00B90CA5"/>
    <w:rsid w:val="00B91673"/>
    <w:rsid w:val="00B91C76"/>
    <w:rsid w:val="00B9294E"/>
    <w:rsid w:val="00B933CA"/>
    <w:rsid w:val="00BA2BB8"/>
    <w:rsid w:val="00BA440E"/>
    <w:rsid w:val="00BA62EA"/>
    <w:rsid w:val="00BA65ED"/>
    <w:rsid w:val="00BB0A07"/>
    <w:rsid w:val="00BB0EC2"/>
    <w:rsid w:val="00BB146B"/>
    <w:rsid w:val="00BB7CA2"/>
    <w:rsid w:val="00BB7D4B"/>
    <w:rsid w:val="00BC27B8"/>
    <w:rsid w:val="00BC3E6F"/>
    <w:rsid w:val="00BC54DA"/>
    <w:rsid w:val="00BC7879"/>
    <w:rsid w:val="00BC794E"/>
    <w:rsid w:val="00BD09C2"/>
    <w:rsid w:val="00BD2047"/>
    <w:rsid w:val="00BD32BB"/>
    <w:rsid w:val="00BD56CF"/>
    <w:rsid w:val="00BD60EC"/>
    <w:rsid w:val="00BD627F"/>
    <w:rsid w:val="00BD66A1"/>
    <w:rsid w:val="00BE47D3"/>
    <w:rsid w:val="00BE494F"/>
    <w:rsid w:val="00BE7234"/>
    <w:rsid w:val="00BF1A85"/>
    <w:rsid w:val="00BF7576"/>
    <w:rsid w:val="00C001E3"/>
    <w:rsid w:val="00C06B8B"/>
    <w:rsid w:val="00C27956"/>
    <w:rsid w:val="00C34285"/>
    <w:rsid w:val="00C46C51"/>
    <w:rsid w:val="00C50E02"/>
    <w:rsid w:val="00C51FB7"/>
    <w:rsid w:val="00C5355B"/>
    <w:rsid w:val="00C53B91"/>
    <w:rsid w:val="00C54642"/>
    <w:rsid w:val="00C5634D"/>
    <w:rsid w:val="00C57892"/>
    <w:rsid w:val="00C57E9E"/>
    <w:rsid w:val="00C63CE8"/>
    <w:rsid w:val="00C82FDC"/>
    <w:rsid w:val="00C83EE5"/>
    <w:rsid w:val="00C849DB"/>
    <w:rsid w:val="00C8554A"/>
    <w:rsid w:val="00C872C0"/>
    <w:rsid w:val="00C90CF8"/>
    <w:rsid w:val="00C93EA7"/>
    <w:rsid w:val="00C978D4"/>
    <w:rsid w:val="00C97912"/>
    <w:rsid w:val="00CA29FA"/>
    <w:rsid w:val="00CA2D6B"/>
    <w:rsid w:val="00CB268C"/>
    <w:rsid w:val="00CC37BE"/>
    <w:rsid w:val="00CC6513"/>
    <w:rsid w:val="00CD1C1D"/>
    <w:rsid w:val="00CD330B"/>
    <w:rsid w:val="00CD5694"/>
    <w:rsid w:val="00CE005F"/>
    <w:rsid w:val="00CE1D30"/>
    <w:rsid w:val="00CF0186"/>
    <w:rsid w:val="00CF49F1"/>
    <w:rsid w:val="00CF4E76"/>
    <w:rsid w:val="00CF548E"/>
    <w:rsid w:val="00CF6113"/>
    <w:rsid w:val="00D012E3"/>
    <w:rsid w:val="00D062A1"/>
    <w:rsid w:val="00D06A80"/>
    <w:rsid w:val="00D11597"/>
    <w:rsid w:val="00D2018D"/>
    <w:rsid w:val="00D23B38"/>
    <w:rsid w:val="00D3632D"/>
    <w:rsid w:val="00D42243"/>
    <w:rsid w:val="00D44E27"/>
    <w:rsid w:val="00D469E0"/>
    <w:rsid w:val="00D51523"/>
    <w:rsid w:val="00D525F9"/>
    <w:rsid w:val="00D54B7C"/>
    <w:rsid w:val="00D553EC"/>
    <w:rsid w:val="00D60369"/>
    <w:rsid w:val="00D6439B"/>
    <w:rsid w:val="00D6585C"/>
    <w:rsid w:val="00D748DB"/>
    <w:rsid w:val="00D81137"/>
    <w:rsid w:val="00D8244E"/>
    <w:rsid w:val="00D837A9"/>
    <w:rsid w:val="00D838EA"/>
    <w:rsid w:val="00D83AE5"/>
    <w:rsid w:val="00D90DF8"/>
    <w:rsid w:val="00D9207F"/>
    <w:rsid w:val="00D94CBF"/>
    <w:rsid w:val="00D95771"/>
    <w:rsid w:val="00DA0642"/>
    <w:rsid w:val="00DA21D0"/>
    <w:rsid w:val="00DA3528"/>
    <w:rsid w:val="00DB16FE"/>
    <w:rsid w:val="00DB1B6A"/>
    <w:rsid w:val="00DB1BED"/>
    <w:rsid w:val="00DB2219"/>
    <w:rsid w:val="00DB3F27"/>
    <w:rsid w:val="00DB491A"/>
    <w:rsid w:val="00DB74F5"/>
    <w:rsid w:val="00DB7ED8"/>
    <w:rsid w:val="00DC1A72"/>
    <w:rsid w:val="00DC39DC"/>
    <w:rsid w:val="00DD274A"/>
    <w:rsid w:val="00DE113E"/>
    <w:rsid w:val="00DE33E3"/>
    <w:rsid w:val="00DE3462"/>
    <w:rsid w:val="00DE3BEC"/>
    <w:rsid w:val="00DE45CA"/>
    <w:rsid w:val="00DF09EA"/>
    <w:rsid w:val="00DF1905"/>
    <w:rsid w:val="00DF3616"/>
    <w:rsid w:val="00E0170F"/>
    <w:rsid w:val="00E01C41"/>
    <w:rsid w:val="00E064B4"/>
    <w:rsid w:val="00E178EF"/>
    <w:rsid w:val="00E17F39"/>
    <w:rsid w:val="00E27DDF"/>
    <w:rsid w:val="00E36F4C"/>
    <w:rsid w:val="00E50B87"/>
    <w:rsid w:val="00E53F1B"/>
    <w:rsid w:val="00E54755"/>
    <w:rsid w:val="00E54931"/>
    <w:rsid w:val="00E552CB"/>
    <w:rsid w:val="00E56C24"/>
    <w:rsid w:val="00E62199"/>
    <w:rsid w:val="00E67A31"/>
    <w:rsid w:val="00E726A8"/>
    <w:rsid w:val="00E75A37"/>
    <w:rsid w:val="00E840C6"/>
    <w:rsid w:val="00E91C1F"/>
    <w:rsid w:val="00E9302F"/>
    <w:rsid w:val="00E945F1"/>
    <w:rsid w:val="00E97C3F"/>
    <w:rsid w:val="00EA5329"/>
    <w:rsid w:val="00EB1F21"/>
    <w:rsid w:val="00EB68A9"/>
    <w:rsid w:val="00EB7262"/>
    <w:rsid w:val="00EC01FA"/>
    <w:rsid w:val="00EC1747"/>
    <w:rsid w:val="00ED714B"/>
    <w:rsid w:val="00ED755A"/>
    <w:rsid w:val="00EE50F7"/>
    <w:rsid w:val="00EE7012"/>
    <w:rsid w:val="00F069B4"/>
    <w:rsid w:val="00F07F7E"/>
    <w:rsid w:val="00F13637"/>
    <w:rsid w:val="00F145FD"/>
    <w:rsid w:val="00F17BA7"/>
    <w:rsid w:val="00F26256"/>
    <w:rsid w:val="00F312EE"/>
    <w:rsid w:val="00F32D85"/>
    <w:rsid w:val="00F368C2"/>
    <w:rsid w:val="00F36D7B"/>
    <w:rsid w:val="00F37C60"/>
    <w:rsid w:val="00F41225"/>
    <w:rsid w:val="00F41F34"/>
    <w:rsid w:val="00F4262A"/>
    <w:rsid w:val="00F45BB3"/>
    <w:rsid w:val="00F56E7F"/>
    <w:rsid w:val="00F60D16"/>
    <w:rsid w:val="00F63D11"/>
    <w:rsid w:val="00F63EB5"/>
    <w:rsid w:val="00F72149"/>
    <w:rsid w:val="00F74088"/>
    <w:rsid w:val="00F7796E"/>
    <w:rsid w:val="00F81293"/>
    <w:rsid w:val="00F96716"/>
    <w:rsid w:val="00FA1514"/>
    <w:rsid w:val="00FA280F"/>
    <w:rsid w:val="00FA3680"/>
    <w:rsid w:val="00FB12EA"/>
    <w:rsid w:val="00FB3075"/>
    <w:rsid w:val="00FB67E9"/>
    <w:rsid w:val="00FC0DFE"/>
    <w:rsid w:val="00FC26FD"/>
    <w:rsid w:val="00FC481C"/>
    <w:rsid w:val="00FC6591"/>
    <w:rsid w:val="00FD1C0F"/>
    <w:rsid w:val="00FD49ED"/>
    <w:rsid w:val="00FD7CA5"/>
    <w:rsid w:val="00FE144F"/>
    <w:rsid w:val="00FE4778"/>
    <w:rsid w:val="00FF15F3"/>
    <w:rsid w:val="00FF1693"/>
    <w:rsid w:val="00FF26C1"/>
    <w:rsid w:val="00FF3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0B650"/>
  <w15:chartTrackingRefBased/>
  <w15:docId w15:val="{E56BF358-E8D5-4B05-97EC-E13225ED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5C"/>
  </w:style>
  <w:style w:type="paragraph" w:styleId="Heading1">
    <w:name w:val="heading 1"/>
    <w:basedOn w:val="Normal"/>
    <w:next w:val="Normal"/>
    <w:link w:val="Heading1Char"/>
    <w:uiPriority w:val="9"/>
    <w:qFormat/>
    <w:rsid w:val="00934B02"/>
    <w:pPr>
      <w:outlineLvl w:val="0"/>
    </w:pPr>
    <w:rPr>
      <w:rFonts w:asciiTheme="majorHAnsi" w:eastAsiaTheme="majorEastAsia" w:hAnsi="Calibri Light" w:cstheme="majorBidi"/>
      <w:b/>
      <w:bCs/>
      <w:color w:val="20A9C2"/>
      <w:kern w:val="24"/>
      <w:sz w:val="28"/>
      <w:szCs w:val="72"/>
      <w:lang w:val="en-US"/>
    </w:rPr>
  </w:style>
  <w:style w:type="paragraph" w:styleId="Heading2">
    <w:name w:val="heading 2"/>
    <w:basedOn w:val="Normal"/>
    <w:next w:val="Normal"/>
    <w:link w:val="Heading2Char"/>
    <w:uiPriority w:val="9"/>
    <w:unhideWhenUsed/>
    <w:qFormat/>
    <w:rsid w:val="00934B02"/>
    <w:pPr>
      <w:outlineLvl w:val="1"/>
    </w:pPr>
    <w:rPr>
      <w:rFonts w:asciiTheme="majorHAnsi" w:eastAsiaTheme="majorEastAsia" w:hAnsi="Calibri Light" w:cstheme="majorBidi"/>
      <w:color w:val="20A9C2"/>
      <w:kern w:val="24"/>
      <w:sz w:val="28"/>
      <w:szCs w:val="48"/>
      <w:lang w:val="en-US"/>
    </w:rPr>
  </w:style>
  <w:style w:type="paragraph" w:styleId="Heading3">
    <w:name w:val="heading 3"/>
    <w:basedOn w:val="Heading2"/>
    <w:next w:val="Normal"/>
    <w:link w:val="Heading3Char"/>
    <w:uiPriority w:val="9"/>
    <w:unhideWhenUsed/>
    <w:qFormat/>
    <w:rsid w:val="00934B02"/>
    <w:pPr>
      <w:outlineLvl w:val="2"/>
    </w:pPr>
    <w:rPr>
      <w:b/>
      <w:bCs/>
      <w:sz w:val="24"/>
      <w:szCs w:val="36"/>
    </w:rPr>
  </w:style>
  <w:style w:type="paragraph" w:styleId="Heading4">
    <w:name w:val="heading 4"/>
    <w:basedOn w:val="Heading3"/>
    <w:next w:val="Normal"/>
    <w:link w:val="Heading4Char"/>
    <w:uiPriority w:val="9"/>
    <w:unhideWhenUsed/>
    <w:qFormat/>
    <w:rsid w:val="00934B02"/>
    <w:pPr>
      <w:outlineLvl w:val="3"/>
    </w:pPr>
    <w:rPr>
      <w:b w:val="0"/>
      <w:bCs w:val="0"/>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55D"/>
  </w:style>
  <w:style w:type="paragraph" w:styleId="Footer">
    <w:name w:val="footer"/>
    <w:basedOn w:val="Normal"/>
    <w:link w:val="FooterChar"/>
    <w:uiPriority w:val="99"/>
    <w:unhideWhenUsed/>
    <w:rsid w:val="001F7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55D"/>
  </w:style>
  <w:style w:type="paragraph" w:styleId="BalloonText">
    <w:name w:val="Balloon Text"/>
    <w:basedOn w:val="Normal"/>
    <w:link w:val="BalloonTextChar"/>
    <w:uiPriority w:val="99"/>
    <w:semiHidden/>
    <w:unhideWhenUsed/>
    <w:rsid w:val="00206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54"/>
    <w:rPr>
      <w:rFonts w:ascii="Segoe UI" w:hAnsi="Segoe UI" w:cs="Segoe UI"/>
      <w:sz w:val="18"/>
      <w:szCs w:val="18"/>
    </w:rPr>
  </w:style>
  <w:style w:type="paragraph" w:customStyle="1" w:styleId="BasicParagraph">
    <w:name w:val="[Basic Paragraph]"/>
    <w:basedOn w:val="Normal"/>
    <w:uiPriority w:val="99"/>
    <w:rsid w:val="00206754"/>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AU"/>
    </w:rPr>
  </w:style>
  <w:style w:type="character" w:customStyle="1" w:styleId="Heading1Char">
    <w:name w:val="Heading 1 Char"/>
    <w:basedOn w:val="DefaultParagraphFont"/>
    <w:link w:val="Heading1"/>
    <w:uiPriority w:val="9"/>
    <w:rsid w:val="00934B02"/>
    <w:rPr>
      <w:rFonts w:asciiTheme="majorHAnsi" w:eastAsiaTheme="majorEastAsia" w:hAnsi="Calibri Light" w:cstheme="majorBidi"/>
      <w:b/>
      <w:bCs/>
      <w:color w:val="20A9C2"/>
      <w:kern w:val="24"/>
      <w:sz w:val="28"/>
      <w:szCs w:val="72"/>
      <w:lang w:val="en-US"/>
    </w:rPr>
  </w:style>
  <w:style w:type="paragraph" w:styleId="TOCHeading">
    <w:name w:val="TOC Heading"/>
    <w:basedOn w:val="Heading1"/>
    <w:next w:val="Normal"/>
    <w:uiPriority w:val="39"/>
    <w:unhideWhenUsed/>
    <w:qFormat/>
    <w:rsid w:val="00206754"/>
    <w:pPr>
      <w:outlineLvl w:val="9"/>
    </w:pPr>
  </w:style>
  <w:style w:type="character" w:customStyle="1" w:styleId="Heading2Char">
    <w:name w:val="Heading 2 Char"/>
    <w:basedOn w:val="DefaultParagraphFont"/>
    <w:link w:val="Heading2"/>
    <w:uiPriority w:val="9"/>
    <w:rsid w:val="00934B02"/>
    <w:rPr>
      <w:rFonts w:asciiTheme="majorHAnsi" w:eastAsiaTheme="majorEastAsia" w:hAnsi="Calibri Light" w:cstheme="majorBidi"/>
      <w:color w:val="20A9C2"/>
      <w:kern w:val="24"/>
      <w:sz w:val="28"/>
      <w:szCs w:val="48"/>
      <w:lang w:val="en-US"/>
    </w:rPr>
  </w:style>
  <w:style w:type="character" w:customStyle="1" w:styleId="Heading3Char">
    <w:name w:val="Heading 3 Char"/>
    <w:basedOn w:val="DefaultParagraphFont"/>
    <w:link w:val="Heading3"/>
    <w:uiPriority w:val="9"/>
    <w:rsid w:val="00934B02"/>
    <w:rPr>
      <w:rFonts w:asciiTheme="majorHAnsi" w:eastAsiaTheme="majorEastAsia" w:hAnsi="Calibri Light" w:cstheme="majorBidi"/>
      <w:b/>
      <w:bCs/>
      <w:color w:val="20A9C2"/>
      <w:kern w:val="24"/>
      <w:sz w:val="24"/>
      <w:szCs w:val="36"/>
      <w:lang w:val="en-US"/>
    </w:rPr>
  </w:style>
  <w:style w:type="paragraph" w:styleId="TOC1">
    <w:name w:val="toc 1"/>
    <w:basedOn w:val="Normal"/>
    <w:next w:val="Normal"/>
    <w:autoRedefine/>
    <w:uiPriority w:val="39"/>
    <w:unhideWhenUsed/>
    <w:rsid w:val="00D062A1"/>
    <w:pPr>
      <w:spacing w:after="100"/>
    </w:pPr>
  </w:style>
  <w:style w:type="paragraph" w:styleId="TOC2">
    <w:name w:val="toc 2"/>
    <w:basedOn w:val="Normal"/>
    <w:next w:val="Normal"/>
    <w:autoRedefine/>
    <w:uiPriority w:val="39"/>
    <w:unhideWhenUsed/>
    <w:rsid w:val="00D062A1"/>
    <w:pPr>
      <w:spacing w:after="100"/>
      <w:ind w:left="220"/>
    </w:pPr>
  </w:style>
  <w:style w:type="paragraph" w:styleId="TOC3">
    <w:name w:val="toc 3"/>
    <w:basedOn w:val="Normal"/>
    <w:next w:val="Normal"/>
    <w:autoRedefine/>
    <w:uiPriority w:val="39"/>
    <w:unhideWhenUsed/>
    <w:rsid w:val="00D062A1"/>
    <w:pPr>
      <w:spacing w:after="100"/>
      <w:ind w:left="440"/>
    </w:pPr>
  </w:style>
  <w:style w:type="character" w:styleId="Hyperlink">
    <w:name w:val="Hyperlink"/>
    <w:basedOn w:val="DefaultParagraphFont"/>
    <w:uiPriority w:val="99"/>
    <w:unhideWhenUsed/>
    <w:rsid w:val="00D062A1"/>
    <w:rPr>
      <w:color w:val="0563C1" w:themeColor="hyperlink"/>
      <w:u w:val="single"/>
    </w:rPr>
  </w:style>
  <w:style w:type="character" w:customStyle="1" w:styleId="Heading4Char">
    <w:name w:val="Heading 4 Char"/>
    <w:basedOn w:val="DefaultParagraphFont"/>
    <w:link w:val="Heading4"/>
    <w:uiPriority w:val="9"/>
    <w:rsid w:val="00934B02"/>
    <w:rPr>
      <w:rFonts w:asciiTheme="majorHAnsi" w:eastAsiaTheme="majorEastAsia" w:hAnsi="Calibri Light" w:cstheme="majorBidi"/>
      <w:i/>
      <w:iCs/>
      <w:color w:val="20A9C2"/>
      <w:kern w:val="24"/>
      <w:sz w:val="24"/>
      <w:szCs w:val="28"/>
      <w:lang w:val="en-US"/>
    </w:rPr>
  </w:style>
  <w:style w:type="character" w:styleId="UnresolvedMention">
    <w:name w:val="Unresolved Mention"/>
    <w:basedOn w:val="DefaultParagraphFont"/>
    <w:uiPriority w:val="99"/>
    <w:semiHidden/>
    <w:unhideWhenUsed/>
    <w:rsid w:val="00A24D4E"/>
    <w:rPr>
      <w:color w:val="605E5C"/>
      <w:shd w:val="clear" w:color="auto" w:fill="E1DFDD"/>
    </w:rPr>
  </w:style>
  <w:style w:type="paragraph" w:styleId="FootnoteText">
    <w:name w:val="footnote text"/>
    <w:aliases w:val="Footnote Text Char Char,Footnote Text Char Char Char Char,Footnote Text Char1,Footnote Text Char Char Char1,Footnote Text Char Char Char Char Char,Footnote Text Char Char1,fn,FOOTNOTES,single space,footnote text"/>
    <w:basedOn w:val="Normal"/>
    <w:link w:val="FootnoteTextChar"/>
    <w:uiPriority w:val="99"/>
    <w:unhideWhenUsed/>
    <w:rsid w:val="00726CAF"/>
    <w:pPr>
      <w:spacing w:after="0" w:line="240" w:lineRule="auto"/>
    </w:pPr>
    <w:rPr>
      <w:sz w:val="20"/>
      <w:szCs w:val="20"/>
      <w:lang w:val="en-AU"/>
    </w:rPr>
  </w:style>
  <w:style w:type="character" w:customStyle="1" w:styleId="FootnoteTextChar">
    <w:name w:val="Footnote Text Char"/>
    <w:aliases w:val="Footnote Text Char Char Char,Footnote Text Char Char Char Char Char1,Footnote Text Char1 Char,Footnote Text Char Char Char1 Char,Footnote Text Char Char Char Char Char Char,Footnote Text Char Char1 Char,fn Char,FOOTNOTES Char"/>
    <w:basedOn w:val="DefaultParagraphFont"/>
    <w:link w:val="FootnoteText"/>
    <w:uiPriority w:val="99"/>
    <w:rsid w:val="00726CAF"/>
    <w:rPr>
      <w:sz w:val="20"/>
      <w:szCs w:val="20"/>
      <w:lang w:val="en-AU"/>
    </w:rPr>
  </w:style>
  <w:style w:type="character" w:styleId="FootnoteReference">
    <w:name w:val="footnote reference"/>
    <w:aliases w:val="4_G,Standard + Block,Erste Zeile:  1 cm,callout,Footnotes refss,Appel note de bas de p.,ftref,Ref,de nota al pie,fr,oc-footreference,oc-footnoteref,oc-footreference1,oc-footnoteref1,(Diplomarbeit FZ),-E Fußnotenzeichen,(Dipl..."/>
    <w:basedOn w:val="DefaultParagraphFont"/>
    <w:uiPriority w:val="99"/>
    <w:unhideWhenUsed/>
    <w:qFormat/>
    <w:rsid w:val="00726CAF"/>
    <w:rPr>
      <w:vertAlign w:val="superscript"/>
    </w:rPr>
  </w:style>
  <w:style w:type="paragraph" w:styleId="NormalWeb">
    <w:name w:val="Normal (Web)"/>
    <w:basedOn w:val="Normal"/>
    <w:uiPriority w:val="99"/>
    <w:unhideWhenUsed/>
    <w:rsid w:val="00726CAF"/>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ListParagraph">
    <w:name w:val="List Paragraph"/>
    <w:aliases w:val="List Paragraph1,Recommendation,List Paragraph11,L,List Paragraph111,F5 List Paragraph,Dot pt,CV text,Table text,Numbered Paragraph,List Paragraph2,Bulleted Para,NFP GP Bulleted List,FooterText,numbered,列出段落,列出段落1,Paragraphe de liste1"/>
    <w:basedOn w:val="Normal"/>
    <w:link w:val="ListParagraphChar"/>
    <w:uiPriority w:val="34"/>
    <w:qFormat/>
    <w:rsid w:val="00726CAF"/>
    <w:pPr>
      <w:spacing w:after="200" w:line="276" w:lineRule="auto"/>
      <w:ind w:left="720"/>
      <w:contextualSpacing/>
    </w:pPr>
    <w:rPr>
      <w:lang w:val="en-AU"/>
    </w:rPr>
  </w:style>
  <w:style w:type="character" w:styleId="PageNumber">
    <w:name w:val="page number"/>
    <w:basedOn w:val="DefaultParagraphFont"/>
    <w:uiPriority w:val="99"/>
    <w:semiHidden/>
    <w:unhideWhenUsed/>
    <w:rsid w:val="00726CAF"/>
  </w:style>
  <w:style w:type="table" w:styleId="TableGrid">
    <w:name w:val="Table Grid"/>
    <w:basedOn w:val="TableNormal"/>
    <w:uiPriority w:val="59"/>
    <w:rsid w:val="004C15A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54F72"/>
    <w:pPr>
      <w:spacing w:after="0" w:line="240" w:lineRule="auto"/>
    </w:pPr>
    <w:rPr>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CommentReference">
    <w:name w:val="annotation reference"/>
    <w:basedOn w:val="DefaultParagraphFont"/>
    <w:uiPriority w:val="99"/>
    <w:semiHidden/>
    <w:unhideWhenUsed/>
    <w:rsid w:val="00050D77"/>
    <w:rPr>
      <w:sz w:val="16"/>
      <w:szCs w:val="16"/>
    </w:rPr>
  </w:style>
  <w:style w:type="paragraph" w:styleId="CommentText">
    <w:name w:val="annotation text"/>
    <w:basedOn w:val="Normal"/>
    <w:link w:val="CommentTextChar"/>
    <w:uiPriority w:val="99"/>
    <w:unhideWhenUsed/>
    <w:rsid w:val="00050D77"/>
    <w:pPr>
      <w:spacing w:line="240" w:lineRule="auto"/>
    </w:pPr>
    <w:rPr>
      <w:sz w:val="20"/>
      <w:szCs w:val="20"/>
    </w:rPr>
  </w:style>
  <w:style w:type="character" w:customStyle="1" w:styleId="CommentTextChar">
    <w:name w:val="Comment Text Char"/>
    <w:basedOn w:val="DefaultParagraphFont"/>
    <w:link w:val="CommentText"/>
    <w:uiPriority w:val="99"/>
    <w:rsid w:val="00050D77"/>
    <w:rPr>
      <w:sz w:val="20"/>
      <w:szCs w:val="20"/>
    </w:rPr>
  </w:style>
  <w:style w:type="paragraph" w:styleId="CommentSubject">
    <w:name w:val="annotation subject"/>
    <w:basedOn w:val="CommentText"/>
    <w:next w:val="CommentText"/>
    <w:link w:val="CommentSubjectChar"/>
    <w:uiPriority w:val="99"/>
    <w:semiHidden/>
    <w:unhideWhenUsed/>
    <w:rsid w:val="00050D77"/>
    <w:rPr>
      <w:b/>
      <w:bCs/>
    </w:rPr>
  </w:style>
  <w:style w:type="character" w:customStyle="1" w:styleId="CommentSubjectChar">
    <w:name w:val="Comment Subject Char"/>
    <w:basedOn w:val="CommentTextChar"/>
    <w:link w:val="CommentSubject"/>
    <w:uiPriority w:val="99"/>
    <w:semiHidden/>
    <w:rsid w:val="00050D77"/>
    <w:rPr>
      <w:b/>
      <w:bCs/>
      <w:sz w:val="20"/>
      <w:szCs w:val="20"/>
    </w:rPr>
  </w:style>
  <w:style w:type="paragraph" w:styleId="Bibliography">
    <w:name w:val="Bibliography"/>
    <w:basedOn w:val="Normal"/>
    <w:next w:val="Normal"/>
    <w:uiPriority w:val="37"/>
    <w:unhideWhenUsed/>
    <w:rsid w:val="00CD330B"/>
    <w:pPr>
      <w:spacing w:before="120" w:after="120" w:line="360" w:lineRule="auto"/>
      <w:jc w:val="both"/>
    </w:pPr>
    <w:rPr>
      <w:rFonts w:ascii="Times New Roman" w:hAnsi="Times New Roman" w:cs="Times New Roman"/>
      <w:sz w:val="24"/>
      <w:szCs w:val="24"/>
      <w:lang w:val="en-AU"/>
    </w:rPr>
  </w:style>
  <w:style w:type="character" w:styleId="FollowedHyperlink">
    <w:name w:val="FollowedHyperlink"/>
    <w:basedOn w:val="DefaultParagraphFont"/>
    <w:uiPriority w:val="99"/>
    <w:semiHidden/>
    <w:unhideWhenUsed/>
    <w:rsid w:val="004D61CA"/>
    <w:rPr>
      <w:color w:val="954F72" w:themeColor="followedHyperlink"/>
      <w:u w:val="single"/>
    </w:rPr>
  </w:style>
  <w:style w:type="character" w:styleId="Strong">
    <w:name w:val="Strong"/>
    <w:basedOn w:val="DefaultParagraphFont"/>
    <w:uiPriority w:val="22"/>
    <w:qFormat/>
    <w:rsid w:val="00EB68A9"/>
    <w:rPr>
      <w:b/>
      <w:bCs/>
    </w:rPr>
  </w:style>
  <w:style w:type="character" w:customStyle="1" w:styleId="ListParagraphChar">
    <w:name w:val="List Paragraph Char"/>
    <w:aliases w:val="List Paragraph1 Char,Recommendation Char,List Paragraph11 Char,L Char,List Paragraph111 Char,F5 List Paragraph Char,Dot pt Char,CV text Char,Table text Char,Numbered Paragraph Char,List Paragraph2 Char,Bulleted Para Char,列出段落 Char"/>
    <w:basedOn w:val="DefaultParagraphFont"/>
    <w:link w:val="ListParagraph"/>
    <w:uiPriority w:val="34"/>
    <w:rsid w:val="00E50B87"/>
    <w:rPr>
      <w:lang w:val="en-AU"/>
    </w:rPr>
  </w:style>
  <w:style w:type="paragraph" w:styleId="EndnoteText">
    <w:name w:val="endnote text"/>
    <w:basedOn w:val="Normal"/>
    <w:link w:val="EndnoteTextChar"/>
    <w:uiPriority w:val="99"/>
    <w:unhideWhenUsed/>
    <w:rsid w:val="00933722"/>
    <w:pPr>
      <w:spacing w:after="0" w:line="240" w:lineRule="auto"/>
    </w:pPr>
    <w:rPr>
      <w:sz w:val="20"/>
      <w:szCs w:val="20"/>
    </w:rPr>
  </w:style>
  <w:style w:type="character" w:customStyle="1" w:styleId="EndnoteTextChar">
    <w:name w:val="Endnote Text Char"/>
    <w:basedOn w:val="DefaultParagraphFont"/>
    <w:link w:val="EndnoteText"/>
    <w:uiPriority w:val="99"/>
    <w:rsid w:val="00933722"/>
    <w:rPr>
      <w:sz w:val="20"/>
      <w:szCs w:val="20"/>
    </w:rPr>
  </w:style>
  <w:style w:type="character" w:styleId="EndnoteReference">
    <w:name w:val="endnote reference"/>
    <w:basedOn w:val="DefaultParagraphFont"/>
    <w:uiPriority w:val="99"/>
    <w:unhideWhenUsed/>
    <w:rsid w:val="00933722"/>
    <w:rPr>
      <w:vertAlign w:val="superscript"/>
    </w:rPr>
  </w:style>
  <w:style w:type="paragraph" w:customStyle="1" w:styleId="ActHead5">
    <w:name w:val="ActHead 5"/>
    <w:aliases w:val="s"/>
    <w:basedOn w:val="Normal"/>
    <w:next w:val="subsection"/>
    <w:qFormat/>
    <w:rsid w:val="007007EC"/>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paragraph" w:customStyle="1" w:styleId="subsection">
    <w:name w:val="subsection"/>
    <w:aliases w:val="ss"/>
    <w:basedOn w:val="Normal"/>
    <w:link w:val="subsectionChar"/>
    <w:rsid w:val="007007EC"/>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7007EC"/>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7007EC"/>
    <w:rPr>
      <w:rFonts w:ascii="Times New Roman" w:eastAsia="Times New Roman" w:hAnsi="Times New Roman" w:cs="Times New Roman"/>
      <w:szCs w:val="20"/>
      <w:lang w:val="en-AU" w:eastAsia="en-AU"/>
    </w:rPr>
  </w:style>
  <w:style w:type="character" w:customStyle="1" w:styleId="paragraphChar">
    <w:name w:val="paragraph Char"/>
    <w:aliases w:val="a Char"/>
    <w:basedOn w:val="DefaultParagraphFont"/>
    <w:link w:val="paragraph"/>
    <w:locked/>
    <w:rsid w:val="007007EC"/>
    <w:rPr>
      <w:rFonts w:ascii="Times New Roman" w:eastAsia="Times New Roman" w:hAnsi="Times New Roman" w:cs="Times New Roman"/>
      <w:szCs w:val="20"/>
      <w:lang w:val="en-AU" w:eastAsia="en-AU"/>
    </w:rPr>
  </w:style>
  <w:style w:type="paragraph" w:styleId="Revision">
    <w:name w:val="Revision"/>
    <w:hidden/>
    <w:uiPriority w:val="99"/>
    <w:semiHidden/>
    <w:rsid w:val="000B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541288025">
      <w:bodyDiv w:val="1"/>
      <w:marLeft w:val="0"/>
      <w:marRight w:val="0"/>
      <w:marTop w:val="0"/>
      <w:marBottom w:val="0"/>
      <w:divBdr>
        <w:top w:val="none" w:sz="0" w:space="0" w:color="auto"/>
        <w:left w:val="none" w:sz="0" w:space="0" w:color="auto"/>
        <w:bottom w:val="none" w:sz="0" w:space="0" w:color="auto"/>
        <w:right w:val="none" w:sz="0" w:space="0" w:color="auto"/>
      </w:divBdr>
    </w:div>
    <w:div w:id="755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5715481">
          <w:marLeft w:val="480"/>
          <w:marRight w:val="0"/>
          <w:marTop w:val="0"/>
          <w:marBottom w:val="0"/>
          <w:divBdr>
            <w:top w:val="none" w:sz="0" w:space="0" w:color="auto"/>
            <w:left w:val="none" w:sz="0" w:space="0" w:color="auto"/>
            <w:bottom w:val="none" w:sz="0" w:space="0" w:color="auto"/>
            <w:right w:val="none" w:sz="0" w:space="0" w:color="auto"/>
          </w:divBdr>
          <w:divsChild>
            <w:div w:id="18753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404">
      <w:bodyDiv w:val="1"/>
      <w:marLeft w:val="0"/>
      <w:marRight w:val="0"/>
      <w:marTop w:val="0"/>
      <w:marBottom w:val="0"/>
      <w:divBdr>
        <w:top w:val="none" w:sz="0" w:space="0" w:color="auto"/>
        <w:left w:val="none" w:sz="0" w:space="0" w:color="auto"/>
        <w:bottom w:val="none" w:sz="0" w:space="0" w:color="auto"/>
        <w:right w:val="none" w:sz="0" w:space="0" w:color="auto"/>
      </w:divBdr>
    </w:div>
    <w:div w:id="1671908295">
      <w:bodyDiv w:val="1"/>
      <w:marLeft w:val="0"/>
      <w:marRight w:val="0"/>
      <w:marTop w:val="0"/>
      <w:marBottom w:val="0"/>
      <w:divBdr>
        <w:top w:val="none" w:sz="0" w:space="0" w:color="auto"/>
        <w:left w:val="none" w:sz="0" w:space="0" w:color="auto"/>
        <w:bottom w:val="none" w:sz="0" w:space="0" w:color="auto"/>
        <w:right w:val="none" w:sz="0" w:space="0" w:color="auto"/>
      </w:divBdr>
    </w:div>
    <w:div w:id="1704286880">
      <w:bodyDiv w:val="1"/>
      <w:marLeft w:val="0"/>
      <w:marRight w:val="0"/>
      <w:marTop w:val="0"/>
      <w:marBottom w:val="0"/>
      <w:divBdr>
        <w:top w:val="none" w:sz="0" w:space="0" w:color="auto"/>
        <w:left w:val="none" w:sz="0" w:space="0" w:color="auto"/>
        <w:bottom w:val="none" w:sz="0" w:space="0" w:color="auto"/>
        <w:right w:val="none" w:sz="0" w:space="0" w:color="auto"/>
      </w:divBdr>
    </w:div>
    <w:div w:id="1971587676">
      <w:bodyDiv w:val="1"/>
      <w:marLeft w:val="0"/>
      <w:marRight w:val="0"/>
      <w:marTop w:val="0"/>
      <w:marBottom w:val="0"/>
      <w:divBdr>
        <w:top w:val="none" w:sz="0" w:space="0" w:color="auto"/>
        <w:left w:val="none" w:sz="0" w:space="0" w:color="auto"/>
        <w:bottom w:val="none" w:sz="0" w:space="0" w:color="auto"/>
        <w:right w:val="none" w:sz="0" w:space="0" w:color="auto"/>
      </w:divBdr>
    </w:div>
    <w:div w:id="2065519497">
      <w:bodyDiv w:val="1"/>
      <w:marLeft w:val="0"/>
      <w:marRight w:val="0"/>
      <w:marTop w:val="0"/>
      <w:marBottom w:val="0"/>
      <w:divBdr>
        <w:top w:val="none" w:sz="0" w:space="0" w:color="auto"/>
        <w:left w:val="none" w:sz="0" w:space="0" w:color="auto"/>
        <w:bottom w:val="none" w:sz="0" w:space="0" w:color="auto"/>
        <w:right w:val="none" w:sz="0" w:space="0" w:color="auto"/>
      </w:divBdr>
    </w:div>
    <w:div w:id="2136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w.sharepoint.com/sites/AustralianHumanRightsInstitute/Shared%20Documents/Research,%20KE,%20Grants%20&amp;%20Funding/Submissions/andy@andysymingt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auc-word-edit.officeapps.live.com/we/wordeditorframe.aspx?ui=en%2DUS&amp;rs=en%2DUS&amp;wopisrc=https%3A%2F%2Funsw.sharepoint.com%2Fsites%2FAustralianHumanRightsInstitute%2F_vti_bin%2Fwopi.ashx%2Ffiles%2Ff18e54ab15524abf968705a0d579dfac&amp;wdenableroaming=1&amp;mscc=1&amp;hid=34D545A0-7043-1000-4B4D-17C6BF02660B&amp;wdorigin=ItemsView&amp;wdhostclicktime=1654823259139&amp;jsapi=1&amp;jsapiver=v1&amp;newsession=1&amp;corrid=81fd5d5e-9d24-4edf-9f82-f6d1a3be55d5&amp;usid=81fd5d5e-9d24-4edf-9f82-f6d1a3be55d5&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https://auc-word-edit.officeapps.live.com/we/wordeditorframe.aspx?ui=en&amp;rs=en%2DUS&amp;wopisrc=https%3A%2F%2Funsw.sharepoint.com%2Fsites%2FAustralianHumanRightsInstitute%2F_vti_bin%2Fwopi.ashx%2Ffiles%2Ff18e54ab15524abf968705a0d579dfac&amp;wdpid=416baa2b&amp;wdenableroaming=1&amp;mscc=1&amp;hid=B9C151A0-50B8-1000-6060-A07E14CD8D77&amp;wdorigin=AuthPrompt&amp;jsapi=1&amp;jsapiver=v1&amp;newsession=1&amp;corrid=5040c661-4027-48d3-9628-8fbeaded9a47&amp;usid=5040c661-4027-48d3-9628-8fbeaded9a47&amp;sftc=1&amp;cac=1&amp;mtf=1&amp;sfp=1&amp;instantedit=1&amp;wopicomplete=1&amp;wdredirectionreason=Unified_SingleFlush&amp;rct=Medium&amp;ctp=LeastProte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ryde@unsw.edu.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stine.nolan@unsw.edu.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suu.com/humanrightsdefender/docs/paper_promises_australia_modern_slavery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6C58A-3A7D-4AEB-97C0-45D58EF7ACF7}"/>
</file>

<file path=customXml/itemProps2.xml><?xml version="1.0" encoding="utf-8"?>
<ds:datastoreItem xmlns:ds="http://schemas.openxmlformats.org/officeDocument/2006/customXml" ds:itemID="{B20EACC2-9031-46EF-A85A-A77B5543E4B8}"/>
</file>

<file path=customXml/itemProps3.xml><?xml version="1.0" encoding="utf-8"?>
<ds:datastoreItem xmlns:ds="http://schemas.openxmlformats.org/officeDocument/2006/customXml" ds:itemID="{0A158399-7DEE-4E87-9D68-31A2C90688F0}"/>
</file>

<file path=customXml/itemProps4.xml><?xml version="1.0" encoding="utf-8"?>
<ds:datastoreItem xmlns:ds="http://schemas.openxmlformats.org/officeDocument/2006/customXml" ds:itemID="{BE1FD6B5-F702-47AA-A091-F425C6DE6348}"/>
</file>

<file path=docProps/app.xml><?xml version="1.0" encoding="utf-8"?>
<Properties xmlns="http://schemas.openxmlformats.org/officeDocument/2006/extended-properties" xmlns:vt="http://schemas.openxmlformats.org/officeDocument/2006/docPropsVTypes">
  <Template>Normal</Template>
  <TotalTime>0</TotalTime>
  <Pages>11</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Thompson</dc:creator>
  <cp:keywords/>
  <dc:description/>
  <cp:lastModifiedBy>Justine Nolan</cp:lastModifiedBy>
  <cp:revision>3</cp:revision>
  <dcterms:created xsi:type="dcterms:W3CDTF">2023-05-10T10:03:00Z</dcterms:created>
  <dcterms:modified xsi:type="dcterms:W3CDTF">2023-05-10T10:06:00Z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ZOTERO_PREF_1">
    <vt:lpwstr>&lt;data data-version="3" zotero-version="6.0.23"&gt;&lt;session id="OlpuGBBt"/&gt;&lt;style id="http://www.zotero.org/styles/australian-guide-to-legal-citation" hasBibliography="1" bibliographyStyleHasBeenSet="0"/&gt;&lt;prefs&gt;&lt;pref name="fieldType" value="Field"/&gt;&lt;pref name</vt:lpwstr>
  </property>
  <property fmtid="{D5CDD505-2E9C-101B-9397-08002B2CF9AE}" pid="4" name="ZOTERO_PREF_2">
    <vt:lpwstr>="noteType" value="1"/&gt;&lt;/prefs&gt;&lt;/data&gt;</vt:lpwstr>
  </property>
  <property fmtid="{D5CDD505-2E9C-101B-9397-08002B2CF9AE}" pid="5" name="MediaServiceImageTags">
    <vt:lpwstr/>
  </property>
</Properties>
</file>