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5E9" w14:textId="77777777" w:rsidR="005D5330" w:rsidRDefault="00B04BF4">
      <w:pPr>
        <w:rPr>
          <w:sz w:val="32"/>
          <w:szCs w:val="32"/>
        </w:rPr>
      </w:pPr>
      <w:r w:rsidRPr="00B04BF4">
        <w:rPr>
          <w:sz w:val="32"/>
          <w:szCs w:val="32"/>
        </w:rPr>
        <w:t xml:space="preserve">                                  EXTRACTIVES QUESTIONNAIRE</w:t>
      </w:r>
    </w:p>
    <w:p w14:paraId="59359CC9" w14:textId="77777777" w:rsidR="00B04BF4" w:rsidRDefault="00B04BF4">
      <w:pPr>
        <w:rPr>
          <w:sz w:val="32"/>
          <w:szCs w:val="32"/>
        </w:rPr>
      </w:pPr>
      <w:r>
        <w:rPr>
          <w:sz w:val="32"/>
          <w:szCs w:val="32"/>
        </w:rPr>
        <w:t xml:space="preserve">                      RESPONSES TO INTERGENERATIONAL EQUITY</w:t>
      </w:r>
    </w:p>
    <w:p w14:paraId="78CCAFA5" w14:textId="77777777" w:rsidR="00B04BF4" w:rsidRDefault="00B04BF4" w:rsidP="00B04BF4">
      <w:pPr>
        <w:pStyle w:val="ListParagraph"/>
        <w:numPr>
          <w:ilvl w:val="0"/>
          <w:numId w:val="1"/>
        </w:numPr>
        <w:rPr>
          <w:sz w:val="24"/>
          <w:szCs w:val="24"/>
        </w:rPr>
      </w:pPr>
      <w:r w:rsidRPr="00AB66C9">
        <w:rPr>
          <w:b/>
          <w:sz w:val="24"/>
          <w:szCs w:val="24"/>
        </w:rPr>
        <w:t>ENVIRONMENT</w:t>
      </w:r>
      <w:r>
        <w:rPr>
          <w:sz w:val="24"/>
          <w:szCs w:val="24"/>
        </w:rPr>
        <w:t>: Mining is a worst asset and I totally agree that our intergenerational Equity will blame us for not holding Multinational Companies Accountable for their bad mining methods and lack of Environmental Protection measures. Here in Mufulira Copperbelt Province where I reside we have a Mine Called Mopani Copper Mines owned by Glencore and during the sale of the Mines our Government did not negotiate properly and following benchmarks were agreed upon:</w:t>
      </w:r>
    </w:p>
    <w:p w14:paraId="5F7B4AF8" w14:textId="77777777" w:rsidR="0086544C" w:rsidRDefault="0086544C" w:rsidP="00B04BF4">
      <w:pPr>
        <w:pStyle w:val="ListParagraph"/>
        <w:numPr>
          <w:ilvl w:val="0"/>
          <w:numId w:val="2"/>
        </w:numPr>
        <w:rPr>
          <w:sz w:val="24"/>
          <w:szCs w:val="24"/>
        </w:rPr>
      </w:pPr>
      <w:r>
        <w:rPr>
          <w:sz w:val="24"/>
          <w:szCs w:val="24"/>
        </w:rPr>
        <w:t>Selling 90% shares</w:t>
      </w:r>
      <w:r w:rsidR="00B04BF4">
        <w:rPr>
          <w:sz w:val="24"/>
          <w:szCs w:val="24"/>
        </w:rPr>
        <w:t xml:space="preserve"> to Glencore and remained with 10% however the currently the Government has retained 100% shares despite owing Glencore </w:t>
      </w:r>
      <w:r>
        <w:rPr>
          <w:sz w:val="24"/>
          <w:szCs w:val="24"/>
        </w:rPr>
        <w:t xml:space="preserve">$ </w:t>
      </w:r>
      <w:r w:rsidR="00B04BF4">
        <w:rPr>
          <w:sz w:val="24"/>
          <w:szCs w:val="24"/>
        </w:rPr>
        <w:t xml:space="preserve">I.5 </w:t>
      </w:r>
      <w:r>
        <w:rPr>
          <w:sz w:val="24"/>
          <w:szCs w:val="24"/>
        </w:rPr>
        <w:t>Billion. Glencore still enjoys returns from Mopani Copper Mines.</w:t>
      </w:r>
    </w:p>
    <w:p w14:paraId="17F7FA04" w14:textId="77777777" w:rsidR="00B04BF4" w:rsidRDefault="0086544C" w:rsidP="00B04BF4">
      <w:pPr>
        <w:pStyle w:val="ListParagraph"/>
        <w:numPr>
          <w:ilvl w:val="0"/>
          <w:numId w:val="2"/>
        </w:numPr>
        <w:rPr>
          <w:b/>
          <w:sz w:val="24"/>
          <w:szCs w:val="24"/>
        </w:rPr>
      </w:pPr>
      <w:r>
        <w:rPr>
          <w:sz w:val="24"/>
          <w:szCs w:val="24"/>
        </w:rPr>
        <w:t xml:space="preserve">On the Environment our Government and the Mine signed the Environmental Liability Agreement (ELA) which indemnified Mopani Copper Mines against been liable for all Environmental losses. Now how do we overlook the Polluter Pay Principle because the mine is still polluting the Air, Water and Soil. Government agreed that they will take care of all environmental losses of which they have lamentably failed to control. On top that they borrowed $ $ 65.5 million from the World Bank to remediate and vegetate 3 districts on the Copperbelt and 1 District in Central Province. Our District is a beneficially of this project, alas noting tangible have come out this World Bank funded </w:t>
      </w:r>
      <w:r w:rsidR="00AB66C9">
        <w:rPr>
          <w:sz w:val="24"/>
          <w:szCs w:val="24"/>
        </w:rPr>
        <w:t xml:space="preserve">project. </w:t>
      </w:r>
      <w:r w:rsidR="00AB66C9" w:rsidRPr="00AB66C9">
        <w:rPr>
          <w:b/>
          <w:sz w:val="24"/>
          <w:szCs w:val="24"/>
        </w:rPr>
        <w:t>Quoting from your words for sure our Children will be the ones paying back the $65.5 million dollars loan from</w:t>
      </w:r>
      <w:r w:rsidR="00AB66C9">
        <w:rPr>
          <w:sz w:val="24"/>
          <w:szCs w:val="24"/>
        </w:rPr>
        <w:t xml:space="preserve"> </w:t>
      </w:r>
      <w:r w:rsidR="00AB66C9" w:rsidRPr="00AB66C9">
        <w:rPr>
          <w:b/>
          <w:sz w:val="24"/>
          <w:szCs w:val="24"/>
        </w:rPr>
        <w:t>World Bank</w:t>
      </w:r>
      <w:r w:rsidR="00AB66C9">
        <w:rPr>
          <w:b/>
          <w:sz w:val="24"/>
          <w:szCs w:val="24"/>
        </w:rPr>
        <w:t>.</w:t>
      </w:r>
    </w:p>
    <w:p w14:paraId="1F3F30D7" w14:textId="77777777" w:rsidR="00AB66C9" w:rsidRDefault="00AB66C9" w:rsidP="00AB66C9">
      <w:pPr>
        <w:rPr>
          <w:b/>
        </w:rPr>
      </w:pPr>
      <w:r w:rsidRPr="001A0676">
        <w:rPr>
          <w:b/>
        </w:rPr>
        <w:t xml:space="preserve">  HISTORY OF THE PROJECT</w:t>
      </w:r>
    </w:p>
    <w:p w14:paraId="56416339" w14:textId="77777777" w:rsidR="00AB66C9" w:rsidRDefault="00AB66C9" w:rsidP="00AB66C9">
      <w:r>
        <w:t>During the Privatization Mopani Copper Mines only bought Economic Assets and they left Historical Mining Liabilities with the Zambian Government through Zambia Consolidated Copper Mines PLC (ZCCMIH) and TD 10 was among the Liabilities that was handed over to Government.</w:t>
      </w:r>
    </w:p>
    <w:p w14:paraId="2588679D" w14:textId="77777777" w:rsidR="00AB66C9" w:rsidRDefault="00940E2F" w:rsidP="00940E2F">
      <w:pPr>
        <w:pStyle w:val="ListParagraph"/>
        <w:spacing w:after="200" w:line="276" w:lineRule="auto"/>
      </w:pPr>
      <w:r>
        <w:t xml:space="preserve">i) </w:t>
      </w:r>
      <w:r w:rsidR="00AB66C9">
        <w:t xml:space="preserve">Copperbelt Environmental Project (CEP) was established between 2003 to 2010 as an Institution meant to counter long time challenges of the Environment in the 3 Districts namely Mufulira, Kabwe and Kitwe at that time and the Project was supported by the World Bank. </w:t>
      </w:r>
    </w:p>
    <w:p w14:paraId="7CFBA6B5" w14:textId="77777777" w:rsidR="00AB66C9" w:rsidRDefault="00AB66C9" w:rsidP="00940E2F">
      <w:pPr>
        <w:pStyle w:val="ListParagraph"/>
        <w:numPr>
          <w:ilvl w:val="0"/>
          <w:numId w:val="8"/>
        </w:numPr>
        <w:spacing w:after="200" w:line="276" w:lineRule="auto"/>
      </w:pPr>
      <w:r>
        <w:t>The CEP was closed in 2010 due to the delayed implementation of the project as per the World Bank guidelines of the planned Project Timeframe.</w:t>
      </w:r>
    </w:p>
    <w:p w14:paraId="5D376231" w14:textId="77777777" w:rsidR="00AB66C9" w:rsidRPr="00A46FDE" w:rsidRDefault="00AB66C9" w:rsidP="00AB66C9">
      <w:pPr>
        <w:rPr>
          <w:b/>
        </w:rPr>
      </w:pPr>
      <w:r>
        <w:rPr>
          <w:b/>
        </w:rPr>
        <w:t>ST</w:t>
      </w:r>
      <w:r w:rsidRPr="00A46FDE">
        <w:rPr>
          <w:b/>
        </w:rPr>
        <w:t>ATUS OF THE PROJECT</w:t>
      </w:r>
      <w:r>
        <w:rPr>
          <w:b/>
        </w:rPr>
        <w:t xml:space="preserve">     </w:t>
      </w:r>
    </w:p>
    <w:p w14:paraId="30BED622" w14:textId="77777777" w:rsidR="00AB66C9" w:rsidRDefault="00AB66C9" w:rsidP="00AB66C9">
      <w:r>
        <w:t>The World Bank was written to once again in the quest to finance the same projects with a view to initially start with the Rehabilitation and Closure of TD 10.Zambia Mining and Environmental Remediation and Improvement Project (ZMERIP) in collaboration with the Ministry of Mines Safety Department was constituted to carry out the remediation program in the 4 Districts of Zambia namely Mufulira, Kabwe, Chingola and Kitwe. The main mandate of the Project is to reduce Environmental losses so as to albeit Climate Change Impact as well as to meet the following benchmarks:</w:t>
      </w:r>
    </w:p>
    <w:p w14:paraId="24299225" w14:textId="77777777" w:rsidR="00AB66C9" w:rsidRDefault="00AB66C9" w:rsidP="00AB66C9">
      <w:pPr>
        <w:pStyle w:val="ListParagraph"/>
        <w:numPr>
          <w:ilvl w:val="0"/>
          <w:numId w:val="4"/>
        </w:numPr>
        <w:spacing w:after="200" w:line="276" w:lineRule="auto"/>
      </w:pPr>
      <w:r>
        <w:lastRenderedPageBreak/>
        <w:t>Improvement of Environmental Infrastructure.</w:t>
      </w:r>
    </w:p>
    <w:p w14:paraId="69D86D54" w14:textId="77777777" w:rsidR="00AB66C9" w:rsidRDefault="00AB66C9" w:rsidP="00AB66C9">
      <w:pPr>
        <w:pStyle w:val="ListParagraph"/>
        <w:numPr>
          <w:ilvl w:val="0"/>
          <w:numId w:val="4"/>
        </w:numPr>
        <w:spacing w:after="200" w:line="276" w:lineRule="auto"/>
      </w:pPr>
      <w:r>
        <w:t>Enhance Institution Capacity Building of Zambia Environmental Management Agency (ZEMA) and Mine Safety Department of the Ministry of Mines.</w:t>
      </w:r>
    </w:p>
    <w:p w14:paraId="2EE73231" w14:textId="77777777" w:rsidR="00AB66C9" w:rsidRDefault="00AB66C9" w:rsidP="00AB66C9">
      <w:pPr>
        <w:pStyle w:val="ListParagraph"/>
        <w:numPr>
          <w:ilvl w:val="0"/>
          <w:numId w:val="4"/>
        </w:numPr>
        <w:spacing w:after="200" w:line="276" w:lineRule="auto"/>
      </w:pPr>
      <w:r>
        <w:t>Reducing Risks by using intervention of Mitigating the Impact of Environmental Pollution.</w:t>
      </w:r>
    </w:p>
    <w:p w14:paraId="767D533F" w14:textId="77777777" w:rsidR="00AB66C9" w:rsidRPr="00022E26" w:rsidRDefault="00AB66C9" w:rsidP="00AB66C9">
      <w:pPr>
        <w:pStyle w:val="ListParagraph"/>
        <w:rPr>
          <w:b/>
        </w:rPr>
      </w:pPr>
      <w:r w:rsidRPr="00022E26">
        <w:rPr>
          <w:b/>
        </w:rPr>
        <w:t>WHY REHABILITATION AND CLOSURE OF TD 10?</w:t>
      </w:r>
    </w:p>
    <w:p w14:paraId="40EF82BC" w14:textId="77777777" w:rsidR="00AB66C9" w:rsidRDefault="00AB66C9" w:rsidP="00AB66C9">
      <w:pPr>
        <w:pStyle w:val="ListParagraph"/>
        <w:numPr>
          <w:ilvl w:val="0"/>
          <w:numId w:val="5"/>
        </w:numPr>
        <w:spacing w:after="200" w:line="276" w:lineRule="auto"/>
      </w:pPr>
      <w:r>
        <w:t>To restore the Environment into a stable condition.</w:t>
      </w:r>
    </w:p>
    <w:p w14:paraId="3F774109" w14:textId="77777777" w:rsidR="00AB66C9" w:rsidRDefault="00AB66C9" w:rsidP="00AB66C9">
      <w:pPr>
        <w:pStyle w:val="ListParagraph"/>
        <w:numPr>
          <w:ilvl w:val="0"/>
          <w:numId w:val="5"/>
        </w:numPr>
        <w:spacing w:after="200" w:line="276" w:lineRule="auto"/>
      </w:pPr>
      <w:r>
        <w:t xml:space="preserve">  To enhance self-sustaining by planting Trees around the rehabilitated TD 10 as way of restoring the dilapidated Vegetation and the surrounding Environment.</w:t>
      </w:r>
    </w:p>
    <w:p w14:paraId="5D06CED5" w14:textId="77777777" w:rsidR="00AB66C9" w:rsidRDefault="00AB66C9" w:rsidP="00AB66C9">
      <w:pPr>
        <w:pStyle w:val="ListParagraph"/>
        <w:numPr>
          <w:ilvl w:val="0"/>
          <w:numId w:val="5"/>
        </w:numPr>
        <w:spacing w:after="200" w:line="276" w:lineRule="auto"/>
      </w:pPr>
      <w:r>
        <w:t>To allow provision of safe and Healthy Environment in the surrounding Community.</w:t>
      </w:r>
    </w:p>
    <w:p w14:paraId="6939B60A" w14:textId="77777777" w:rsidR="00AB66C9" w:rsidRDefault="00AB66C9" w:rsidP="00940E2F">
      <w:pPr>
        <w:pStyle w:val="ListParagraph"/>
        <w:numPr>
          <w:ilvl w:val="0"/>
          <w:numId w:val="7"/>
        </w:numPr>
        <w:rPr>
          <w:sz w:val="24"/>
          <w:szCs w:val="24"/>
        </w:rPr>
      </w:pPr>
      <w:r w:rsidRPr="00940E2F">
        <w:rPr>
          <w:sz w:val="24"/>
          <w:szCs w:val="24"/>
        </w:rPr>
        <w:t>Rehabilitation of the</w:t>
      </w:r>
      <w:r w:rsidR="00940E2F" w:rsidRPr="00940E2F">
        <w:rPr>
          <w:sz w:val="24"/>
          <w:szCs w:val="24"/>
        </w:rPr>
        <w:t xml:space="preserve"> active Tailing</w:t>
      </w:r>
      <w:r w:rsidRPr="00940E2F">
        <w:rPr>
          <w:sz w:val="24"/>
          <w:szCs w:val="24"/>
        </w:rPr>
        <w:t xml:space="preserve"> Facility</w:t>
      </w:r>
      <w:r w:rsidR="00940E2F" w:rsidRPr="00940E2F">
        <w:rPr>
          <w:sz w:val="24"/>
          <w:szCs w:val="24"/>
        </w:rPr>
        <w:t xml:space="preserve"> number 11</w:t>
      </w:r>
      <w:r w:rsidRPr="00940E2F">
        <w:rPr>
          <w:sz w:val="24"/>
          <w:szCs w:val="24"/>
        </w:rPr>
        <w:t xml:space="preserve"> is also a challenge because the </w:t>
      </w:r>
      <w:r w:rsidR="00940E2F" w:rsidRPr="00940E2F">
        <w:rPr>
          <w:sz w:val="24"/>
          <w:szCs w:val="24"/>
        </w:rPr>
        <w:t xml:space="preserve">it is </w:t>
      </w:r>
      <w:r w:rsidRPr="00940E2F">
        <w:rPr>
          <w:sz w:val="24"/>
          <w:szCs w:val="24"/>
        </w:rPr>
        <w:t>overburden and it is a threat to host mining communities.</w:t>
      </w:r>
    </w:p>
    <w:p w14:paraId="660996B7" w14:textId="77777777" w:rsidR="00940E2F" w:rsidRDefault="00940E2F" w:rsidP="00940E2F">
      <w:pPr>
        <w:pStyle w:val="ListParagraph"/>
        <w:numPr>
          <w:ilvl w:val="0"/>
          <w:numId w:val="7"/>
        </w:numPr>
        <w:rPr>
          <w:sz w:val="24"/>
          <w:szCs w:val="24"/>
        </w:rPr>
      </w:pPr>
      <w:r>
        <w:rPr>
          <w:sz w:val="24"/>
          <w:szCs w:val="24"/>
        </w:rPr>
        <w:t>All the above proposals have not yielded any results and Host Mining Communities are in suspense.</w:t>
      </w:r>
    </w:p>
    <w:p w14:paraId="18E7D8B4" w14:textId="77777777" w:rsidR="00940E2F" w:rsidRDefault="00940E2F" w:rsidP="00940E2F">
      <w:pPr>
        <w:pStyle w:val="ListParagraph"/>
        <w:numPr>
          <w:ilvl w:val="0"/>
          <w:numId w:val="1"/>
        </w:numPr>
        <w:rPr>
          <w:sz w:val="24"/>
          <w:szCs w:val="24"/>
        </w:rPr>
      </w:pPr>
      <w:r>
        <w:rPr>
          <w:sz w:val="24"/>
          <w:szCs w:val="24"/>
        </w:rPr>
        <w:t xml:space="preserve">FPIC: On Free Prior and Informed Consent we do have a challenge usually Communities are left out during the Sale of mines in our Country </w:t>
      </w:r>
      <w:r w:rsidR="001B7F35">
        <w:rPr>
          <w:sz w:val="24"/>
          <w:szCs w:val="24"/>
        </w:rPr>
        <w:t xml:space="preserve">.In our Environment Impact Assessment Standard it is a precondition that before a mine Company starts operating People must be </w:t>
      </w:r>
      <w:r w:rsidR="00851475">
        <w:rPr>
          <w:sz w:val="24"/>
          <w:szCs w:val="24"/>
        </w:rPr>
        <w:t>consulted, however we only observe foreign and Local Mining Companies been shown areas were people and Animals habitat and eventually People and Animals are displaced.</w:t>
      </w:r>
      <w:r w:rsidR="001B7F35">
        <w:rPr>
          <w:sz w:val="24"/>
          <w:szCs w:val="24"/>
        </w:rPr>
        <w:t xml:space="preserve"> Zambia CSOs advocated against Government that wanted to give MNE a license to start mining operations in the Lower Zambezi Game Park and the project was halted. I support what you mentioned about protected Areas which is our heritage of which our intergeneration equity can benefit from in terms cultural and traditional ecological formation and creation.</w:t>
      </w:r>
    </w:p>
    <w:p w14:paraId="11712C4A" w14:textId="77777777" w:rsidR="00851475" w:rsidRDefault="00851475" w:rsidP="00851475">
      <w:pPr>
        <w:pStyle w:val="ListParagraph"/>
        <w:rPr>
          <w:sz w:val="24"/>
          <w:szCs w:val="24"/>
        </w:rPr>
      </w:pPr>
      <w:r>
        <w:rPr>
          <w:sz w:val="24"/>
          <w:szCs w:val="24"/>
        </w:rPr>
        <w:t>Another example is Mopani Copper Mines which claims ownership of a vast Land where the former employs of Zambia Consolidated Copper Mines was resettling its Employees before it sold the mine to Mopani Copper Mines. This Land in question is very far away from the Mine plant and it is Farm block.</w:t>
      </w:r>
    </w:p>
    <w:p w14:paraId="3DBCBD84" w14:textId="77777777" w:rsidR="00851475" w:rsidRDefault="00851475" w:rsidP="00851475">
      <w:pPr>
        <w:pStyle w:val="ListParagraph"/>
        <w:rPr>
          <w:sz w:val="24"/>
          <w:szCs w:val="24"/>
        </w:rPr>
      </w:pPr>
      <w:r>
        <w:rPr>
          <w:sz w:val="24"/>
          <w:szCs w:val="24"/>
        </w:rPr>
        <w:t>ATTACHED IS A SUMMARY OF A CASE STUDY THAT WE DID WITH MY CO-AUTHOR</w:t>
      </w:r>
    </w:p>
    <w:p w14:paraId="0CBF585C" w14:textId="77777777" w:rsidR="00851475" w:rsidRPr="00B93A75" w:rsidRDefault="00B04BF4" w:rsidP="00851475">
      <w:pPr>
        <w:autoSpaceDE w:val="0"/>
        <w:autoSpaceDN w:val="0"/>
        <w:adjustRightInd w:val="0"/>
        <w:spacing w:after="0" w:line="360" w:lineRule="auto"/>
        <w:jc w:val="both"/>
        <w:rPr>
          <w:rFonts w:cstheme="minorHAnsi"/>
          <w:sz w:val="24"/>
          <w:szCs w:val="24"/>
        </w:rPr>
      </w:pPr>
      <w:r w:rsidRPr="00B93A75">
        <w:rPr>
          <w:rFonts w:cstheme="minorHAnsi"/>
          <w:sz w:val="24"/>
          <w:szCs w:val="24"/>
        </w:rPr>
        <w:t xml:space="preserve"> </w:t>
      </w:r>
      <w:r w:rsidR="00940E2F" w:rsidRPr="00B93A75">
        <w:rPr>
          <w:rFonts w:cstheme="minorHAnsi"/>
          <w:sz w:val="24"/>
          <w:szCs w:val="24"/>
        </w:rPr>
        <w:t xml:space="preserve"> </w:t>
      </w:r>
      <w:r w:rsidR="00851475" w:rsidRPr="00B93A75">
        <w:rPr>
          <w:rFonts w:cstheme="minorHAnsi"/>
          <w:sz w:val="24"/>
          <w:szCs w:val="24"/>
        </w:rPr>
        <w:t xml:space="preserve">Lack of land tenure security is the case of Mitundu Farm Block; whose occupants abide by a set of rules to occupy the land. Since the establishment of the farm block in the 1960s, security of tenure has been positively correlated to the changes of governments. The changes of government came along with them the nationalization, then later, privatization of the mines. </w:t>
      </w:r>
    </w:p>
    <w:p w14:paraId="23AD6803" w14:textId="77777777" w:rsidR="00851475" w:rsidRPr="00B93A75" w:rsidRDefault="00851475" w:rsidP="00851475">
      <w:pPr>
        <w:autoSpaceDE w:val="0"/>
        <w:autoSpaceDN w:val="0"/>
        <w:adjustRightInd w:val="0"/>
        <w:spacing w:after="0" w:line="360" w:lineRule="auto"/>
        <w:jc w:val="both"/>
        <w:rPr>
          <w:rFonts w:cstheme="minorHAnsi"/>
          <w:sz w:val="24"/>
          <w:szCs w:val="24"/>
        </w:rPr>
      </w:pPr>
    </w:p>
    <w:p w14:paraId="4E7C0378" w14:textId="77777777" w:rsidR="00851475" w:rsidRPr="00B93A75" w:rsidRDefault="00B93A75" w:rsidP="00851475">
      <w:pPr>
        <w:autoSpaceDE w:val="0"/>
        <w:autoSpaceDN w:val="0"/>
        <w:adjustRightInd w:val="0"/>
        <w:spacing w:after="0" w:line="360" w:lineRule="auto"/>
        <w:jc w:val="both"/>
        <w:rPr>
          <w:rFonts w:cstheme="minorHAnsi"/>
          <w:sz w:val="24"/>
          <w:szCs w:val="24"/>
        </w:rPr>
      </w:pPr>
      <w:r w:rsidRPr="00B93A75">
        <w:rPr>
          <w:rFonts w:cstheme="minorHAnsi"/>
          <w:sz w:val="24"/>
          <w:szCs w:val="24"/>
        </w:rPr>
        <w:t>Mitundu</w:t>
      </w:r>
      <w:r w:rsidR="00851475" w:rsidRPr="00B93A75">
        <w:rPr>
          <w:rFonts w:cstheme="minorHAnsi"/>
          <w:sz w:val="24"/>
          <w:szCs w:val="24"/>
        </w:rPr>
        <w:t xml:space="preserve"> Farm block settlement of Mufulira first came to existence in a bid to resettle former mine workers upon retirement in the 1960. </w:t>
      </w:r>
      <w:r w:rsidRPr="00B93A75">
        <w:rPr>
          <w:rFonts w:cstheme="minorHAnsi"/>
          <w:sz w:val="24"/>
          <w:szCs w:val="24"/>
        </w:rPr>
        <w:t>Mitundu</w:t>
      </w:r>
      <w:r w:rsidR="00851475" w:rsidRPr="00B93A75">
        <w:rPr>
          <w:rFonts w:cstheme="minorHAnsi"/>
          <w:sz w:val="24"/>
          <w:szCs w:val="24"/>
        </w:rPr>
        <w:t xml:space="preserve"> area was administered by Roan Selection Trust (RST), Secondly by Roan Consolidated Mines (RCM and by then government owned Zambia Consolidated Copper Mines (ZCCM), in the early 1970s. </w:t>
      </w:r>
      <w:r w:rsidRPr="00B93A75">
        <w:rPr>
          <w:rFonts w:cstheme="minorHAnsi"/>
          <w:sz w:val="24"/>
          <w:szCs w:val="24"/>
        </w:rPr>
        <w:t>However, during</w:t>
      </w:r>
      <w:r w:rsidR="00851475" w:rsidRPr="00B93A75">
        <w:rPr>
          <w:rFonts w:cstheme="minorHAnsi"/>
          <w:sz w:val="24"/>
          <w:szCs w:val="24"/>
        </w:rPr>
        <w:t xml:space="preserve"> and after the privatization of Zambia’s Copper Mines in the early 2000s, which saw Mopani Copper </w:t>
      </w:r>
      <w:r w:rsidRPr="00B93A75">
        <w:rPr>
          <w:rFonts w:cstheme="minorHAnsi"/>
          <w:sz w:val="24"/>
          <w:szCs w:val="24"/>
        </w:rPr>
        <w:t xml:space="preserve">Mines </w:t>
      </w:r>
      <w:r w:rsidRPr="00B93A75">
        <w:rPr>
          <w:rFonts w:cstheme="minorHAnsi"/>
          <w:sz w:val="24"/>
          <w:szCs w:val="24"/>
        </w:rPr>
        <w:lastRenderedPageBreak/>
        <w:t>(</w:t>
      </w:r>
      <w:r w:rsidR="00851475" w:rsidRPr="00B93A75">
        <w:rPr>
          <w:rFonts w:cstheme="minorHAnsi"/>
          <w:sz w:val="24"/>
          <w:szCs w:val="24"/>
        </w:rPr>
        <w:t xml:space="preserve">MCM) took over, </w:t>
      </w:r>
      <w:r w:rsidRPr="00B93A75">
        <w:rPr>
          <w:rFonts w:cstheme="minorHAnsi"/>
          <w:sz w:val="24"/>
          <w:szCs w:val="24"/>
        </w:rPr>
        <w:t>Mitundu</w:t>
      </w:r>
      <w:r w:rsidR="00851475" w:rsidRPr="00B93A75">
        <w:rPr>
          <w:rFonts w:cstheme="minorHAnsi"/>
          <w:sz w:val="24"/>
          <w:szCs w:val="24"/>
        </w:rPr>
        <w:t xml:space="preserve"> was included in the assets bought by the mine hence the mine owning both underground and surface rights of the farm block. </w:t>
      </w:r>
    </w:p>
    <w:p w14:paraId="069DFE45" w14:textId="77777777" w:rsidR="00851475" w:rsidRPr="00B93A75" w:rsidRDefault="00851475" w:rsidP="00851475">
      <w:pPr>
        <w:spacing w:line="360" w:lineRule="auto"/>
        <w:jc w:val="both"/>
        <w:rPr>
          <w:rFonts w:cstheme="minorHAnsi"/>
          <w:sz w:val="24"/>
          <w:szCs w:val="24"/>
        </w:rPr>
      </w:pPr>
    </w:p>
    <w:p w14:paraId="76305137" w14:textId="77777777" w:rsidR="00851475" w:rsidRPr="00B93A75" w:rsidRDefault="00851475" w:rsidP="00851475">
      <w:pPr>
        <w:spacing w:line="360" w:lineRule="auto"/>
        <w:jc w:val="both"/>
        <w:rPr>
          <w:rFonts w:cstheme="minorHAnsi"/>
          <w:sz w:val="24"/>
          <w:szCs w:val="24"/>
        </w:rPr>
      </w:pPr>
      <w:r w:rsidRPr="00B93A75">
        <w:rPr>
          <w:rFonts w:cstheme="minorHAnsi"/>
          <w:sz w:val="24"/>
          <w:szCs w:val="24"/>
        </w:rPr>
        <w:t xml:space="preserve">The </w:t>
      </w:r>
      <w:r w:rsidR="00B93A75" w:rsidRPr="00B93A75">
        <w:rPr>
          <w:rFonts w:cstheme="minorHAnsi"/>
          <w:sz w:val="24"/>
          <w:szCs w:val="24"/>
        </w:rPr>
        <w:t>project will explore</w:t>
      </w:r>
      <w:r w:rsidRPr="00B93A75">
        <w:rPr>
          <w:rFonts w:cstheme="minorHAnsi"/>
          <w:sz w:val="24"/>
          <w:szCs w:val="24"/>
        </w:rPr>
        <w:t xml:space="preserve"> the effects of the lack of land tenure on 399 farmers in </w:t>
      </w:r>
      <w:r w:rsidR="00B93A75" w:rsidRPr="00B93A75">
        <w:rPr>
          <w:rFonts w:cstheme="minorHAnsi"/>
          <w:sz w:val="24"/>
          <w:szCs w:val="24"/>
        </w:rPr>
        <w:t>Mitundu</w:t>
      </w:r>
      <w:r w:rsidRPr="00B93A75">
        <w:rPr>
          <w:rFonts w:cstheme="minorHAnsi"/>
          <w:sz w:val="24"/>
          <w:szCs w:val="24"/>
        </w:rPr>
        <w:t xml:space="preserve"> area with a looming of displacement and the effects of Climate Change Adaptation and its </w:t>
      </w:r>
      <w:r w:rsidR="00B93A75" w:rsidRPr="00B93A75">
        <w:rPr>
          <w:rFonts w:cstheme="minorHAnsi"/>
          <w:sz w:val="24"/>
          <w:szCs w:val="24"/>
        </w:rPr>
        <w:t>resilience, while</w:t>
      </w:r>
      <w:r w:rsidRPr="00B93A75">
        <w:rPr>
          <w:rFonts w:cstheme="minorHAnsi"/>
          <w:sz w:val="24"/>
          <w:szCs w:val="24"/>
        </w:rPr>
        <w:t xml:space="preserve"> also identifying workable solutions to curb the negative effec</w:t>
      </w:r>
      <w:r w:rsidR="00B93A75">
        <w:rPr>
          <w:rFonts w:cstheme="minorHAnsi"/>
          <w:sz w:val="24"/>
          <w:szCs w:val="24"/>
        </w:rPr>
        <w:t>t</w:t>
      </w:r>
      <w:r w:rsidRPr="000376D5">
        <w:rPr>
          <w:rFonts w:ascii="Century Gothic" w:hAnsi="Century Gothic" w:cs="Times New Roman"/>
          <w:sz w:val="24"/>
          <w:szCs w:val="24"/>
        </w:rPr>
        <w:t xml:space="preserve"> </w:t>
      </w:r>
      <w:r w:rsidRPr="00B93A75">
        <w:rPr>
          <w:rFonts w:cstheme="minorHAnsi"/>
          <w:sz w:val="24"/>
          <w:szCs w:val="24"/>
        </w:rPr>
        <w:t xml:space="preserve">of lack of land tenure security. In doing so, the activities </w:t>
      </w:r>
      <w:r w:rsidR="00B93A75" w:rsidRPr="00B93A75">
        <w:rPr>
          <w:rFonts w:cstheme="minorHAnsi"/>
          <w:sz w:val="24"/>
          <w:szCs w:val="24"/>
        </w:rPr>
        <w:t>will focus</w:t>
      </w:r>
      <w:r w:rsidRPr="00B93A75">
        <w:rPr>
          <w:rFonts w:cstheme="minorHAnsi"/>
          <w:sz w:val="24"/>
          <w:szCs w:val="24"/>
        </w:rPr>
        <w:t xml:space="preserve"> on the current conjuncture looking at political realities and social and economic conjuncture as the first part and second part looks at “Resistance and Alternatives” looking at “strategies, projects, policy concepts and agrarians’ alternatives in theory and practice. The project </w:t>
      </w:r>
      <w:r w:rsidR="00B93A75" w:rsidRPr="00B93A75">
        <w:rPr>
          <w:rFonts w:cstheme="minorHAnsi"/>
          <w:sz w:val="24"/>
          <w:szCs w:val="24"/>
        </w:rPr>
        <w:t>will make</w:t>
      </w:r>
      <w:r w:rsidRPr="00B93A75">
        <w:rPr>
          <w:rFonts w:cstheme="minorHAnsi"/>
          <w:sz w:val="24"/>
          <w:szCs w:val="24"/>
        </w:rPr>
        <w:t xml:space="preserve"> use of the </w:t>
      </w:r>
      <w:r w:rsidR="00B93A75" w:rsidRPr="00B93A75">
        <w:rPr>
          <w:rFonts w:cstheme="minorHAnsi"/>
          <w:sz w:val="24"/>
          <w:szCs w:val="24"/>
        </w:rPr>
        <w:t>already secondary</w:t>
      </w:r>
      <w:r w:rsidRPr="00B93A75">
        <w:rPr>
          <w:rFonts w:cstheme="minorHAnsi"/>
          <w:sz w:val="24"/>
          <w:szCs w:val="24"/>
        </w:rPr>
        <w:t xml:space="preserve"> and primary data collection that is in public domain to inform the findings.</w:t>
      </w:r>
    </w:p>
    <w:p w14:paraId="36A89501" w14:textId="77777777" w:rsidR="00B93A75" w:rsidRPr="009D76A2" w:rsidRDefault="00851475" w:rsidP="00B93A75">
      <w:pPr>
        <w:pStyle w:val="ListParagraph"/>
        <w:rPr>
          <w:rFonts w:cstheme="minorHAnsi"/>
          <w:sz w:val="24"/>
          <w:szCs w:val="24"/>
        </w:rPr>
      </w:pPr>
      <w:r w:rsidRPr="00B93A75">
        <w:rPr>
          <w:rFonts w:cstheme="minorHAnsi"/>
          <w:sz w:val="24"/>
          <w:szCs w:val="24"/>
        </w:rPr>
        <w:t xml:space="preserve">Among the key finding of the effects of lack of land tenure security </w:t>
      </w:r>
      <w:r w:rsidR="00B93A75" w:rsidRPr="00B93A75">
        <w:rPr>
          <w:rFonts w:cstheme="minorHAnsi"/>
          <w:sz w:val="24"/>
          <w:szCs w:val="24"/>
        </w:rPr>
        <w:t>included; the</w:t>
      </w:r>
      <w:r w:rsidRPr="00B93A75">
        <w:rPr>
          <w:rFonts w:cstheme="minorHAnsi"/>
          <w:sz w:val="24"/>
          <w:szCs w:val="24"/>
        </w:rPr>
        <w:t xml:space="preserve"> restriction of local residents to; build permanent structures, restrictions of the local residents to plant long maturing duration crops like cassava and fruits,   from non-complying farmers and the insecurities of owning long term </w:t>
      </w:r>
      <w:r w:rsidR="00B93A75" w:rsidRPr="00B93A75">
        <w:rPr>
          <w:rFonts w:cstheme="minorHAnsi"/>
          <w:sz w:val="24"/>
          <w:szCs w:val="24"/>
        </w:rPr>
        <w:t>asse</w:t>
      </w:r>
      <w:r w:rsidRPr="00B93A75">
        <w:rPr>
          <w:rFonts w:cstheme="minorHAnsi"/>
          <w:sz w:val="24"/>
          <w:szCs w:val="24"/>
        </w:rPr>
        <w:t xml:space="preserve">ts. The </w:t>
      </w:r>
      <w:r w:rsidR="00B93A75" w:rsidRPr="00B93A75">
        <w:rPr>
          <w:rFonts w:cstheme="minorHAnsi"/>
          <w:sz w:val="24"/>
          <w:szCs w:val="24"/>
        </w:rPr>
        <w:t>ongoing flush</w:t>
      </w:r>
      <w:r w:rsidRPr="00B93A75">
        <w:rPr>
          <w:rFonts w:cstheme="minorHAnsi"/>
          <w:sz w:val="24"/>
          <w:szCs w:val="24"/>
        </w:rPr>
        <w:t xml:space="preserve"> floods due to </w:t>
      </w:r>
      <w:r w:rsidR="00B93A75">
        <w:rPr>
          <w:rFonts w:cstheme="minorHAnsi"/>
          <w:sz w:val="24"/>
          <w:szCs w:val="24"/>
        </w:rPr>
        <w:t xml:space="preserve">the </w:t>
      </w:r>
      <w:r w:rsidR="00B93A75" w:rsidRPr="009D76A2">
        <w:rPr>
          <w:rFonts w:cstheme="minorHAnsi"/>
          <w:sz w:val="24"/>
          <w:szCs w:val="24"/>
        </w:rPr>
        <w:t xml:space="preserve">heavy rains that the entire district and the Country is currently facing. The currently suffers from the following impacts; </w:t>
      </w:r>
    </w:p>
    <w:p w14:paraId="7C692219"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No food security.</w:t>
      </w:r>
    </w:p>
    <w:p w14:paraId="684E1802"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No capital projects investment.</w:t>
      </w:r>
    </w:p>
    <w:p w14:paraId="16FBF98B"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Low farm output productivity.</w:t>
      </w:r>
    </w:p>
    <w:p w14:paraId="5BA103CA"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No access to bank loans for Agro- Business.</w:t>
      </w:r>
    </w:p>
    <w:p w14:paraId="4B1B425C"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No future prospects for children and grandchildren.</w:t>
      </w:r>
    </w:p>
    <w:p w14:paraId="6FCDA56D"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Farmers live in fear because they don’t know when evictions will be done.</w:t>
      </w:r>
    </w:p>
    <w:p w14:paraId="3F5036EA"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No alternatives land for resettlement since land in Mufulira has dwindled.</w:t>
      </w:r>
    </w:p>
    <w:p w14:paraId="035793A4" w14:textId="77777777" w:rsidR="00B93A75" w:rsidRPr="009D76A2" w:rsidRDefault="00B93A75" w:rsidP="00B93A75">
      <w:pPr>
        <w:pStyle w:val="ListParagraph"/>
        <w:numPr>
          <w:ilvl w:val="0"/>
          <w:numId w:val="10"/>
        </w:numPr>
        <w:spacing w:after="200" w:line="360" w:lineRule="auto"/>
        <w:jc w:val="both"/>
        <w:rPr>
          <w:rFonts w:cstheme="minorHAnsi"/>
          <w:i/>
          <w:sz w:val="24"/>
          <w:szCs w:val="24"/>
        </w:rPr>
      </w:pPr>
      <w:r w:rsidRPr="009D76A2">
        <w:rPr>
          <w:rFonts w:cstheme="minorHAnsi"/>
          <w:i/>
          <w:sz w:val="24"/>
          <w:szCs w:val="24"/>
        </w:rPr>
        <w:t>No permanent shelters for farmers and their families.</w:t>
      </w:r>
    </w:p>
    <w:p w14:paraId="51C7ABE1" w14:textId="77777777" w:rsidR="00B93A75" w:rsidRPr="004014A8" w:rsidRDefault="00B93A75" w:rsidP="00B93A75">
      <w:pPr>
        <w:pStyle w:val="ListParagraph"/>
        <w:numPr>
          <w:ilvl w:val="0"/>
          <w:numId w:val="10"/>
        </w:numPr>
        <w:spacing w:after="200" w:line="360" w:lineRule="auto"/>
        <w:jc w:val="both"/>
        <w:rPr>
          <w:rFonts w:ascii="Century Gothic" w:hAnsi="Century Gothic" w:cs="Times New Roman"/>
          <w:i/>
          <w:sz w:val="24"/>
          <w:szCs w:val="24"/>
        </w:rPr>
      </w:pPr>
      <w:r w:rsidRPr="009D76A2">
        <w:rPr>
          <w:rFonts w:cstheme="minorHAnsi"/>
          <w:i/>
          <w:sz w:val="24"/>
          <w:szCs w:val="24"/>
        </w:rPr>
        <w:t>No title Deeds to Land, no letters of offer</w:t>
      </w:r>
      <w:r w:rsidRPr="004014A8">
        <w:rPr>
          <w:rFonts w:ascii="Century Gothic" w:hAnsi="Century Gothic" w:cs="Times New Roman"/>
          <w:i/>
          <w:sz w:val="24"/>
          <w:szCs w:val="24"/>
        </w:rPr>
        <w:t xml:space="preserve"> </w:t>
      </w:r>
      <w:r w:rsidRPr="009D76A2">
        <w:rPr>
          <w:rFonts w:cstheme="minorHAnsi"/>
          <w:i/>
          <w:sz w:val="24"/>
          <w:szCs w:val="24"/>
        </w:rPr>
        <w:t>on land that they occupy.</w:t>
      </w:r>
    </w:p>
    <w:p w14:paraId="7419C481" w14:textId="77777777" w:rsidR="00B93A75" w:rsidRPr="009D76A2" w:rsidRDefault="00B93A75" w:rsidP="00B93A75">
      <w:pPr>
        <w:spacing w:line="360" w:lineRule="auto"/>
        <w:jc w:val="both"/>
        <w:rPr>
          <w:rFonts w:cstheme="minorHAnsi"/>
          <w:sz w:val="24"/>
          <w:szCs w:val="24"/>
        </w:rPr>
      </w:pPr>
      <w:r w:rsidRPr="009D76A2">
        <w:rPr>
          <w:rFonts w:cstheme="minorHAnsi"/>
          <w:sz w:val="24"/>
          <w:szCs w:val="24"/>
        </w:rPr>
        <w:t>The project   recommend</w:t>
      </w:r>
      <w:r w:rsidR="009D76A2" w:rsidRPr="009D76A2">
        <w:rPr>
          <w:rFonts w:cstheme="minorHAnsi"/>
          <w:sz w:val="24"/>
          <w:szCs w:val="24"/>
        </w:rPr>
        <w:t>ed</w:t>
      </w:r>
      <w:r w:rsidRPr="009D76A2">
        <w:rPr>
          <w:rFonts w:cstheme="minorHAnsi"/>
          <w:sz w:val="24"/>
          <w:szCs w:val="24"/>
        </w:rPr>
        <w:t xml:space="preserve"> that;</w:t>
      </w:r>
    </w:p>
    <w:p w14:paraId="1B948D0A" w14:textId="77777777" w:rsidR="00B93A75" w:rsidRPr="009D76A2" w:rsidRDefault="00B93A75" w:rsidP="00B93A75">
      <w:pPr>
        <w:pStyle w:val="ListParagraph"/>
        <w:numPr>
          <w:ilvl w:val="0"/>
          <w:numId w:val="9"/>
        </w:numPr>
        <w:spacing w:after="200" w:line="360" w:lineRule="auto"/>
        <w:jc w:val="both"/>
        <w:rPr>
          <w:rFonts w:cstheme="minorHAnsi"/>
          <w:i/>
          <w:sz w:val="24"/>
          <w:szCs w:val="24"/>
        </w:rPr>
      </w:pPr>
      <w:r w:rsidRPr="009D76A2">
        <w:rPr>
          <w:rFonts w:cstheme="minorHAnsi"/>
          <w:i/>
          <w:sz w:val="24"/>
          <w:szCs w:val="24"/>
        </w:rPr>
        <w:t>There is need for government to transparently allocate arable titled land to the poor in communities in Mufulira.</w:t>
      </w:r>
    </w:p>
    <w:p w14:paraId="2CF37BFF" w14:textId="77777777" w:rsidR="00B93A75" w:rsidRPr="009D76A2" w:rsidRDefault="00B93A75" w:rsidP="00B93A75">
      <w:pPr>
        <w:pStyle w:val="ListParagraph"/>
        <w:numPr>
          <w:ilvl w:val="0"/>
          <w:numId w:val="9"/>
        </w:numPr>
        <w:spacing w:after="200" w:line="360" w:lineRule="auto"/>
        <w:jc w:val="both"/>
        <w:rPr>
          <w:rFonts w:cstheme="minorHAnsi"/>
          <w:i/>
          <w:sz w:val="24"/>
          <w:szCs w:val="24"/>
        </w:rPr>
      </w:pPr>
      <w:r w:rsidRPr="009D76A2">
        <w:rPr>
          <w:rFonts w:cstheme="minorHAnsi"/>
          <w:i/>
          <w:sz w:val="24"/>
          <w:szCs w:val="24"/>
        </w:rPr>
        <w:t xml:space="preserve">Government must revise the land alienation procedures that do not </w:t>
      </w:r>
      <w:proofErr w:type="spellStart"/>
      <w:r w:rsidRPr="009D76A2">
        <w:rPr>
          <w:rFonts w:cstheme="minorHAnsi"/>
          <w:i/>
          <w:sz w:val="24"/>
          <w:szCs w:val="24"/>
        </w:rPr>
        <w:t>favor</w:t>
      </w:r>
      <w:proofErr w:type="spellEnd"/>
      <w:r w:rsidRPr="009D76A2">
        <w:rPr>
          <w:rFonts w:cstheme="minorHAnsi"/>
          <w:i/>
          <w:sz w:val="24"/>
          <w:szCs w:val="24"/>
        </w:rPr>
        <w:t xml:space="preserve"> the poor in society.</w:t>
      </w:r>
    </w:p>
    <w:p w14:paraId="13E8A46E" w14:textId="77777777" w:rsidR="00B93A75" w:rsidRPr="009D76A2" w:rsidRDefault="00B93A75" w:rsidP="00B93A75">
      <w:pPr>
        <w:pStyle w:val="ListParagraph"/>
        <w:numPr>
          <w:ilvl w:val="0"/>
          <w:numId w:val="9"/>
        </w:numPr>
        <w:spacing w:after="200" w:line="360" w:lineRule="auto"/>
        <w:jc w:val="both"/>
        <w:rPr>
          <w:rFonts w:cstheme="minorHAnsi"/>
          <w:i/>
          <w:sz w:val="24"/>
          <w:szCs w:val="24"/>
        </w:rPr>
      </w:pPr>
      <w:r w:rsidRPr="009D76A2">
        <w:rPr>
          <w:rFonts w:cstheme="minorHAnsi"/>
          <w:i/>
          <w:sz w:val="24"/>
          <w:szCs w:val="24"/>
        </w:rPr>
        <w:t>Mopani Copper Mines must clearly indicate how they obtained both the underground and surface rights, so that a lasting solution to the land impasse can be resolved.</w:t>
      </w:r>
    </w:p>
    <w:p w14:paraId="5EF8CBAD" w14:textId="77777777" w:rsidR="00B93A75" w:rsidRPr="009D76A2" w:rsidRDefault="00B93A75" w:rsidP="00B93A75">
      <w:pPr>
        <w:pStyle w:val="ListParagraph"/>
        <w:numPr>
          <w:ilvl w:val="0"/>
          <w:numId w:val="9"/>
        </w:numPr>
        <w:spacing w:after="200" w:line="360" w:lineRule="auto"/>
        <w:jc w:val="both"/>
        <w:rPr>
          <w:rFonts w:cstheme="minorHAnsi"/>
          <w:i/>
          <w:sz w:val="24"/>
          <w:szCs w:val="24"/>
        </w:rPr>
      </w:pPr>
      <w:r w:rsidRPr="009D76A2">
        <w:rPr>
          <w:rFonts w:cstheme="minorHAnsi"/>
          <w:i/>
          <w:sz w:val="24"/>
          <w:szCs w:val="24"/>
        </w:rPr>
        <w:t xml:space="preserve">Ministry of Agriculture and Cooperatives must ensure timely supply of farming inputs in time to avoid poor yields so that food security can be enhanced and </w:t>
      </w:r>
      <w:r w:rsidR="009D76A2" w:rsidRPr="009D76A2">
        <w:rPr>
          <w:rFonts w:cstheme="minorHAnsi"/>
          <w:i/>
          <w:sz w:val="24"/>
          <w:szCs w:val="24"/>
        </w:rPr>
        <w:t>albeit</w:t>
      </w:r>
      <w:r w:rsidRPr="009D76A2">
        <w:rPr>
          <w:rFonts w:cstheme="minorHAnsi"/>
          <w:i/>
          <w:sz w:val="24"/>
          <w:szCs w:val="24"/>
        </w:rPr>
        <w:t xml:space="preserve"> climate change hazards.</w:t>
      </w:r>
    </w:p>
    <w:p w14:paraId="09AAA323" w14:textId="77777777" w:rsidR="00B93A75" w:rsidRPr="009D76A2" w:rsidRDefault="00B93A75" w:rsidP="00B93A75">
      <w:pPr>
        <w:pStyle w:val="ListParagraph"/>
        <w:numPr>
          <w:ilvl w:val="0"/>
          <w:numId w:val="9"/>
        </w:numPr>
        <w:spacing w:after="200" w:line="360" w:lineRule="auto"/>
        <w:jc w:val="both"/>
        <w:rPr>
          <w:rFonts w:cstheme="minorHAnsi"/>
          <w:i/>
          <w:sz w:val="24"/>
          <w:szCs w:val="24"/>
        </w:rPr>
      </w:pPr>
      <w:r w:rsidRPr="009D76A2">
        <w:rPr>
          <w:rFonts w:cstheme="minorHAnsi"/>
          <w:i/>
          <w:sz w:val="24"/>
          <w:szCs w:val="24"/>
        </w:rPr>
        <w:t xml:space="preserve">Compensation to land displacements must be clearly stipulated so that the affected can be empowered and have their lives secured. </w:t>
      </w:r>
    </w:p>
    <w:p w14:paraId="72412FC8" w14:textId="77777777" w:rsidR="00B93A75" w:rsidRDefault="00B93A75" w:rsidP="00B93A75">
      <w:pPr>
        <w:pStyle w:val="ListParagraph"/>
        <w:numPr>
          <w:ilvl w:val="0"/>
          <w:numId w:val="9"/>
        </w:numPr>
        <w:spacing w:after="200" w:line="360" w:lineRule="auto"/>
        <w:jc w:val="both"/>
        <w:rPr>
          <w:rFonts w:cstheme="minorHAnsi"/>
          <w:i/>
          <w:sz w:val="24"/>
          <w:szCs w:val="24"/>
        </w:rPr>
      </w:pPr>
      <w:r w:rsidRPr="009D76A2">
        <w:rPr>
          <w:rFonts w:cstheme="minorHAnsi"/>
          <w:i/>
          <w:sz w:val="24"/>
          <w:szCs w:val="24"/>
        </w:rPr>
        <w:t>The community in the 3 areas need clean water by sinking boreholes so that lives of the people are safe guarded.</w:t>
      </w:r>
    </w:p>
    <w:p w14:paraId="49D30317" w14:textId="77777777" w:rsidR="009D76A2" w:rsidRDefault="009D76A2" w:rsidP="009D76A2">
      <w:pPr>
        <w:pStyle w:val="ListParagraph"/>
        <w:numPr>
          <w:ilvl w:val="0"/>
          <w:numId w:val="1"/>
        </w:numPr>
        <w:spacing w:after="200" w:line="360" w:lineRule="auto"/>
        <w:jc w:val="both"/>
        <w:rPr>
          <w:rFonts w:cstheme="minorHAnsi"/>
          <w:sz w:val="24"/>
          <w:szCs w:val="24"/>
        </w:rPr>
      </w:pPr>
      <w:r>
        <w:rPr>
          <w:rFonts w:cstheme="minorHAnsi"/>
          <w:sz w:val="24"/>
          <w:szCs w:val="24"/>
        </w:rPr>
        <w:t xml:space="preserve"> JOB AND INCOME FROM EXTRACTION</w:t>
      </w:r>
    </w:p>
    <w:p w14:paraId="3F2A77E0" w14:textId="77777777" w:rsidR="009D76A2" w:rsidRDefault="009D76A2" w:rsidP="009D76A2">
      <w:pPr>
        <w:pStyle w:val="ListParagraph"/>
        <w:spacing w:after="200" w:line="360" w:lineRule="auto"/>
        <w:jc w:val="both"/>
        <w:rPr>
          <w:rFonts w:cstheme="minorHAnsi"/>
          <w:sz w:val="24"/>
          <w:szCs w:val="24"/>
        </w:rPr>
      </w:pPr>
      <w:r>
        <w:rPr>
          <w:rFonts w:cstheme="minorHAnsi"/>
          <w:sz w:val="24"/>
          <w:szCs w:val="24"/>
        </w:rPr>
        <w:t xml:space="preserve">Jobs in the Mining Sector in Zambia are mainly Contractual and they is no Job security especially Mines owned by the Chinese and </w:t>
      </w:r>
      <w:r w:rsidR="007A5007">
        <w:rPr>
          <w:rFonts w:cstheme="minorHAnsi"/>
          <w:sz w:val="24"/>
          <w:szCs w:val="24"/>
        </w:rPr>
        <w:t>including</w:t>
      </w:r>
      <w:r>
        <w:rPr>
          <w:rFonts w:cstheme="minorHAnsi"/>
          <w:sz w:val="24"/>
          <w:szCs w:val="24"/>
        </w:rPr>
        <w:t xml:space="preserve"> local contractors. This is compounded by Weaker Labour Local Laws that is superseded by International Laws. There isn’t decent work for all has indicated in the SDGs and ILO work standards. The involvement of Politically Exposed Persons in the contract awarding of mining Companies compromises the spirit of ensuring </w:t>
      </w:r>
      <w:r w:rsidR="007A5007">
        <w:rPr>
          <w:rFonts w:cstheme="minorHAnsi"/>
          <w:sz w:val="24"/>
          <w:szCs w:val="24"/>
        </w:rPr>
        <w:t>transparency and Accountability in the deploying local qualified personnel, and at times we do observe that the local employees orients expatriate who eventually gets remuneration of over 100% more than the local Employees who guides him or her.</w:t>
      </w:r>
    </w:p>
    <w:p w14:paraId="5B45A324" w14:textId="77777777" w:rsidR="007A5007" w:rsidRDefault="007A5007" w:rsidP="009D76A2">
      <w:pPr>
        <w:pStyle w:val="ListParagraph"/>
        <w:spacing w:after="200" w:line="360" w:lineRule="auto"/>
        <w:jc w:val="both"/>
        <w:rPr>
          <w:rFonts w:cstheme="minorHAnsi"/>
          <w:sz w:val="24"/>
          <w:szCs w:val="24"/>
        </w:rPr>
      </w:pPr>
      <w:r>
        <w:rPr>
          <w:rFonts w:cstheme="minorHAnsi"/>
          <w:sz w:val="24"/>
          <w:szCs w:val="24"/>
        </w:rPr>
        <w:t>INCOME</w:t>
      </w:r>
    </w:p>
    <w:p w14:paraId="199082F5" w14:textId="77777777" w:rsidR="007A5007" w:rsidRPr="00E648FA" w:rsidRDefault="007A5007" w:rsidP="007A5007">
      <w:pPr>
        <w:spacing w:after="240" w:line="276" w:lineRule="auto"/>
        <w:ind w:left="708"/>
        <w:jc w:val="both"/>
        <w:rPr>
          <w:sz w:val="20"/>
          <w:szCs w:val="20"/>
        </w:rPr>
      </w:pPr>
      <w:r w:rsidRPr="00E648FA">
        <w:rPr>
          <w:sz w:val="20"/>
          <w:szCs w:val="20"/>
        </w:rPr>
        <w:t xml:space="preserve">According to the data collected from Government Agencies, revenue generated from the extractive sector totalled </w:t>
      </w:r>
      <w:r w:rsidRPr="00542F9E">
        <w:rPr>
          <w:b/>
          <w:bCs/>
          <w:sz w:val="20"/>
          <w:szCs w:val="20"/>
        </w:rPr>
        <w:t>ZMW 38.98 billion</w:t>
      </w:r>
      <w:r w:rsidRPr="00E648FA">
        <w:rPr>
          <w:sz w:val="20"/>
          <w:szCs w:val="20"/>
        </w:rPr>
        <w:t xml:space="preserve"> in 2021 against</w:t>
      </w:r>
      <w:r>
        <w:rPr>
          <w:sz w:val="20"/>
          <w:szCs w:val="20"/>
        </w:rPr>
        <w:t xml:space="preserve"> ZMW</w:t>
      </w:r>
      <w:r w:rsidRPr="00E648FA">
        <w:rPr>
          <w:sz w:val="20"/>
          <w:szCs w:val="20"/>
        </w:rPr>
        <w:t xml:space="preserve"> 25</w:t>
      </w:r>
      <w:r>
        <w:rPr>
          <w:sz w:val="20"/>
          <w:szCs w:val="20"/>
        </w:rPr>
        <w:t>.</w:t>
      </w:r>
      <w:r w:rsidRPr="00E648FA">
        <w:rPr>
          <w:sz w:val="20"/>
          <w:szCs w:val="20"/>
        </w:rPr>
        <w:t xml:space="preserve">85 </w:t>
      </w:r>
      <w:r>
        <w:rPr>
          <w:sz w:val="20"/>
          <w:szCs w:val="20"/>
        </w:rPr>
        <w:t>billion</w:t>
      </w:r>
      <w:r w:rsidRPr="00E648FA">
        <w:rPr>
          <w:sz w:val="20"/>
          <w:szCs w:val="20"/>
        </w:rPr>
        <w:t xml:space="preserve"> in 2020 after the reconciliation work. This revenue includes dividends and other investment income of ZMW </w:t>
      </w:r>
      <w:proofErr w:type="spellStart"/>
      <w:r>
        <w:rPr>
          <w:sz w:val="20"/>
          <w:szCs w:val="20"/>
        </w:rPr>
        <w:t>ZMW</w:t>
      </w:r>
      <w:proofErr w:type="spellEnd"/>
      <w:r>
        <w:rPr>
          <w:sz w:val="20"/>
          <w:szCs w:val="20"/>
        </w:rPr>
        <w:t xml:space="preserve"> 2.2 billion</w:t>
      </w:r>
      <w:r w:rsidRPr="00E648FA">
        <w:rPr>
          <w:sz w:val="20"/>
          <w:szCs w:val="20"/>
        </w:rPr>
        <w:t xml:space="preserve"> collected by ZCCM-IH and IDC from their subsidiaries which operate in the mining sector, as well as social payments of ZMW 15 million paid by companies, while payments to the Environmental Protection Fund (EPF) amounted to ZMW 0.3 million.</w:t>
      </w:r>
    </w:p>
    <w:p w14:paraId="57FCB38A" w14:textId="77777777" w:rsidR="007A5007" w:rsidRPr="00E648FA" w:rsidRDefault="007A5007" w:rsidP="007A5007">
      <w:pPr>
        <w:spacing w:after="240" w:line="276" w:lineRule="auto"/>
        <w:ind w:left="708"/>
        <w:jc w:val="both"/>
        <w:rPr>
          <w:sz w:val="20"/>
          <w:szCs w:val="20"/>
        </w:rPr>
      </w:pPr>
      <w:r w:rsidRPr="00E648FA">
        <w:rPr>
          <w:sz w:val="20"/>
          <w:szCs w:val="20"/>
        </w:rPr>
        <w:t>Government Revenues increased by ZMW 1</w:t>
      </w:r>
      <w:r>
        <w:rPr>
          <w:sz w:val="20"/>
          <w:szCs w:val="20"/>
        </w:rPr>
        <w:t>3.13 billion</w:t>
      </w:r>
      <w:r w:rsidRPr="00E648FA">
        <w:rPr>
          <w:sz w:val="20"/>
          <w:szCs w:val="20"/>
        </w:rPr>
        <w:t xml:space="preserve"> from 2020. However, over the same period, social payments decreased by over </w:t>
      </w:r>
      <w:r>
        <w:rPr>
          <w:sz w:val="20"/>
          <w:szCs w:val="20"/>
        </w:rPr>
        <w:t>ZMW 0.</w:t>
      </w:r>
      <w:r w:rsidRPr="00E648FA">
        <w:rPr>
          <w:sz w:val="20"/>
          <w:szCs w:val="20"/>
        </w:rPr>
        <w:t>2</w:t>
      </w:r>
      <w:r>
        <w:rPr>
          <w:sz w:val="20"/>
          <w:szCs w:val="20"/>
        </w:rPr>
        <w:t xml:space="preserve"> billion</w:t>
      </w:r>
      <w:r w:rsidRPr="00E648FA">
        <w:rPr>
          <w:sz w:val="20"/>
          <w:szCs w:val="20"/>
        </w:rPr>
        <w:t>. The decrease in social payments is mainly explained by the fact that the companies selected in the reconciliation reduced production activity and were in care and maintenance in 2021.</w:t>
      </w:r>
    </w:p>
    <w:p w14:paraId="14809A5D" w14:textId="77777777" w:rsidR="007A5007" w:rsidRPr="008D4A2A" w:rsidRDefault="007A5007" w:rsidP="007A5007">
      <w:pPr>
        <w:spacing w:after="240" w:line="276" w:lineRule="auto"/>
        <w:ind w:left="708"/>
        <w:jc w:val="both"/>
        <w:rPr>
          <w:rFonts w:asciiTheme="majorHAnsi" w:hAnsiTheme="majorHAnsi"/>
          <w:sz w:val="20"/>
          <w:szCs w:val="20"/>
        </w:rPr>
      </w:pPr>
      <w:r w:rsidRPr="00E648FA">
        <w:rPr>
          <w:sz w:val="20"/>
          <w:szCs w:val="20"/>
        </w:rPr>
        <w:t>Table below sets out the variances in the sector revenues.</w:t>
      </w:r>
    </w:p>
    <w:p w14:paraId="24AEA479" w14:textId="77777777" w:rsidR="007A5007" w:rsidRDefault="007A5007" w:rsidP="007A5007">
      <w:pPr>
        <w:tabs>
          <w:tab w:val="left" w:pos="567"/>
          <w:tab w:val="left" w:pos="709"/>
        </w:tabs>
        <w:spacing w:line="276" w:lineRule="auto"/>
        <w:ind w:left="142" w:firstLine="567"/>
        <w:rPr>
          <w:rFonts w:asciiTheme="majorHAnsi" w:hAnsiTheme="majorHAnsi" w:cs="Arial"/>
          <w:i/>
          <w:iCs/>
          <w:color w:val="C00000"/>
          <w:sz w:val="20"/>
          <w:szCs w:val="24"/>
        </w:rPr>
      </w:pPr>
      <w:r w:rsidRPr="00D01647">
        <w:rPr>
          <w:rFonts w:asciiTheme="majorHAnsi" w:hAnsiTheme="majorHAnsi" w:cs="Arial"/>
          <w:i/>
          <w:iCs/>
          <w:color w:val="C00000"/>
          <w:sz w:val="20"/>
          <w:szCs w:val="24"/>
        </w:rPr>
        <w:t>Table 1: Payments made by the extractive companies and ZCCM-IH in 2021 and 2020</w:t>
      </w:r>
    </w:p>
    <w:p w14:paraId="5AE882C2" w14:textId="77777777" w:rsidR="007A5007" w:rsidRPr="00D01647" w:rsidRDefault="007A5007" w:rsidP="007A5007">
      <w:pPr>
        <w:tabs>
          <w:tab w:val="left" w:pos="567"/>
          <w:tab w:val="left" w:pos="709"/>
          <w:tab w:val="left" w:pos="2595"/>
        </w:tabs>
        <w:spacing w:line="276" w:lineRule="auto"/>
        <w:ind w:left="142" w:firstLine="567"/>
        <w:rPr>
          <w:rFonts w:asciiTheme="majorHAnsi" w:hAnsiTheme="majorHAnsi" w:cs="Arial"/>
          <w:i/>
          <w:iCs/>
          <w:color w:val="C00000"/>
          <w:sz w:val="20"/>
          <w:szCs w:val="24"/>
        </w:rPr>
      </w:pPr>
      <w:r w:rsidRPr="00D01647">
        <w:rPr>
          <w:rFonts w:asciiTheme="majorHAnsi" w:hAnsiTheme="majorHAnsi" w:cs="Arial"/>
          <w:i/>
          <w:iCs/>
          <w:color w:val="C00000"/>
          <w:sz w:val="20"/>
          <w:szCs w:val="24"/>
        </w:rPr>
        <w:t xml:space="preserve"> </w:t>
      </w:r>
      <w:r>
        <w:rPr>
          <w:rFonts w:asciiTheme="majorHAnsi" w:hAnsiTheme="majorHAnsi" w:cs="Arial"/>
          <w:i/>
          <w:iCs/>
          <w:color w:val="C00000"/>
          <w:sz w:val="20"/>
          <w:szCs w:val="24"/>
        </w:rPr>
        <w:tab/>
      </w:r>
    </w:p>
    <w:tbl>
      <w:tblPr>
        <w:tblStyle w:val="TableGrid"/>
        <w:tblW w:w="901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93"/>
        <w:gridCol w:w="1132"/>
        <w:gridCol w:w="1015"/>
        <w:gridCol w:w="1063"/>
        <w:gridCol w:w="2716"/>
      </w:tblGrid>
      <w:tr w:rsidR="007A5007" w:rsidRPr="00084C8C" w14:paraId="683A660A" w14:textId="77777777" w:rsidTr="007F119D">
        <w:trPr>
          <w:jc w:val="center"/>
        </w:trPr>
        <w:tc>
          <w:tcPr>
            <w:tcW w:w="3093" w:type="dxa"/>
            <w:vMerge w:val="restart"/>
            <w:shd w:val="clear" w:color="auto" w:fill="BDD6EE" w:themeFill="accent1" w:themeFillTint="66"/>
            <w:vAlign w:val="center"/>
          </w:tcPr>
          <w:p w14:paraId="24ED2D49" w14:textId="77777777" w:rsidR="007A5007" w:rsidRPr="00084C8C" w:rsidRDefault="007A5007" w:rsidP="007F119D">
            <w:pPr>
              <w:spacing w:line="276" w:lineRule="auto"/>
              <w:jc w:val="center"/>
              <w:rPr>
                <w:rFonts w:asciiTheme="majorHAnsi" w:hAnsiTheme="majorHAnsi"/>
                <w:b/>
                <w:sz w:val="16"/>
                <w:szCs w:val="16"/>
              </w:rPr>
            </w:pPr>
            <w:bookmarkStart w:id="0" w:name="_Hlk128579624"/>
            <w:r w:rsidRPr="00084C8C">
              <w:rPr>
                <w:rFonts w:asciiTheme="majorHAnsi" w:hAnsiTheme="majorHAnsi"/>
                <w:b/>
                <w:sz w:val="16"/>
                <w:szCs w:val="16"/>
              </w:rPr>
              <w:t>Payments</w:t>
            </w:r>
          </w:p>
        </w:tc>
        <w:tc>
          <w:tcPr>
            <w:tcW w:w="3210" w:type="dxa"/>
            <w:gridSpan w:val="3"/>
            <w:shd w:val="clear" w:color="auto" w:fill="BDD6EE" w:themeFill="accent1" w:themeFillTint="66"/>
          </w:tcPr>
          <w:p w14:paraId="39EF1712" w14:textId="77777777" w:rsidR="007A5007" w:rsidRPr="00084C8C" w:rsidRDefault="007A5007" w:rsidP="007F119D">
            <w:pPr>
              <w:spacing w:line="276" w:lineRule="auto"/>
              <w:jc w:val="center"/>
              <w:rPr>
                <w:rFonts w:asciiTheme="majorHAnsi" w:hAnsiTheme="majorHAnsi"/>
                <w:b/>
                <w:sz w:val="16"/>
                <w:szCs w:val="16"/>
              </w:rPr>
            </w:pPr>
            <w:r w:rsidRPr="00084C8C">
              <w:rPr>
                <w:rFonts w:asciiTheme="majorHAnsi" w:hAnsiTheme="majorHAnsi"/>
                <w:b/>
                <w:sz w:val="16"/>
                <w:szCs w:val="16"/>
              </w:rPr>
              <w:t>ZMW Million</w:t>
            </w:r>
          </w:p>
        </w:tc>
        <w:tc>
          <w:tcPr>
            <w:tcW w:w="2716" w:type="dxa"/>
            <w:shd w:val="clear" w:color="auto" w:fill="BDD6EE" w:themeFill="accent1" w:themeFillTint="66"/>
          </w:tcPr>
          <w:p w14:paraId="2454E74E" w14:textId="77777777" w:rsidR="007A5007" w:rsidRPr="00084C8C" w:rsidRDefault="007A5007" w:rsidP="007F119D">
            <w:pPr>
              <w:spacing w:line="276" w:lineRule="auto"/>
              <w:jc w:val="center"/>
              <w:rPr>
                <w:rFonts w:asciiTheme="majorHAnsi" w:hAnsiTheme="majorHAnsi"/>
                <w:b/>
                <w:sz w:val="16"/>
                <w:szCs w:val="16"/>
              </w:rPr>
            </w:pPr>
          </w:p>
        </w:tc>
      </w:tr>
      <w:tr w:rsidR="007A5007" w:rsidRPr="00084C8C" w14:paraId="76BE6A70" w14:textId="77777777" w:rsidTr="007F119D">
        <w:trPr>
          <w:jc w:val="center"/>
        </w:trPr>
        <w:tc>
          <w:tcPr>
            <w:tcW w:w="3093" w:type="dxa"/>
            <w:vMerge/>
            <w:shd w:val="clear" w:color="auto" w:fill="BDD6EE" w:themeFill="accent1" w:themeFillTint="66"/>
          </w:tcPr>
          <w:p w14:paraId="23696B25" w14:textId="77777777" w:rsidR="007A5007" w:rsidRPr="00084C8C" w:rsidRDefault="007A5007" w:rsidP="007F119D">
            <w:pPr>
              <w:spacing w:line="276" w:lineRule="auto"/>
              <w:jc w:val="both"/>
              <w:rPr>
                <w:rFonts w:asciiTheme="majorHAnsi" w:hAnsiTheme="majorHAnsi"/>
                <w:sz w:val="16"/>
                <w:szCs w:val="16"/>
              </w:rPr>
            </w:pPr>
          </w:p>
        </w:tc>
        <w:tc>
          <w:tcPr>
            <w:tcW w:w="1132" w:type="dxa"/>
            <w:shd w:val="clear" w:color="auto" w:fill="BDD6EE" w:themeFill="accent1" w:themeFillTint="66"/>
          </w:tcPr>
          <w:p w14:paraId="1E40384B" w14:textId="77777777" w:rsidR="007A5007" w:rsidRPr="00084C8C" w:rsidRDefault="007A5007" w:rsidP="007F119D">
            <w:pPr>
              <w:spacing w:line="276" w:lineRule="auto"/>
              <w:jc w:val="center"/>
              <w:rPr>
                <w:rFonts w:asciiTheme="majorHAnsi" w:hAnsiTheme="majorHAnsi"/>
                <w:b/>
                <w:bCs/>
                <w:sz w:val="16"/>
                <w:szCs w:val="16"/>
              </w:rPr>
            </w:pPr>
            <w:r w:rsidRPr="00084C8C">
              <w:rPr>
                <w:rFonts w:asciiTheme="majorHAnsi" w:hAnsiTheme="majorHAnsi"/>
                <w:b/>
                <w:bCs/>
                <w:sz w:val="16"/>
                <w:szCs w:val="16"/>
              </w:rPr>
              <w:t>2021</w:t>
            </w:r>
          </w:p>
        </w:tc>
        <w:tc>
          <w:tcPr>
            <w:tcW w:w="1015" w:type="dxa"/>
            <w:shd w:val="clear" w:color="auto" w:fill="BDD6EE" w:themeFill="accent1" w:themeFillTint="66"/>
          </w:tcPr>
          <w:p w14:paraId="20BC6486" w14:textId="77777777" w:rsidR="007A5007" w:rsidRPr="00084C8C" w:rsidRDefault="007A5007" w:rsidP="007F119D">
            <w:pPr>
              <w:spacing w:line="276" w:lineRule="auto"/>
              <w:jc w:val="center"/>
              <w:rPr>
                <w:rFonts w:asciiTheme="majorHAnsi" w:hAnsiTheme="majorHAnsi"/>
                <w:b/>
                <w:bCs/>
                <w:sz w:val="16"/>
                <w:szCs w:val="16"/>
              </w:rPr>
            </w:pPr>
            <w:r w:rsidRPr="00084C8C">
              <w:rPr>
                <w:rFonts w:asciiTheme="majorHAnsi" w:hAnsiTheme="majorHAnsi"/>
                <w:b/>
                <w:bCs/>
                <w:sz w:val="16"/>
                <w:szCs w:val="16"/>
              </w:rPr>
              <w:t>2020</w:t>
            </w:r>
          </w:p>
        </w:tc>
        <w:tc>
          <w:tcPr>
            <w:tcW w:w="1063" w:type="dxa"/>
            <w:shd w:val="clear" w:color="auto" w:fill="BDD6EE" w:themeFill="accent1" w:themeFillTint="66"/>
          </w:tcPr>
          <w:p w14:paraId="766922E5" w14:textId="77777777" w:rsidR="007A5007" w:rsidRPr="00084C8C" w:rsidRDefault="007A5007" w:rsidP="007F119D">
            <w:pPr>
              <w:spacing w:line="276" w:lineRule="auto"/>
              <w:jc w:val="center"/>
              <w:rPr>
                <w:rFonts w:asciiTheme="majorHAnsi" w:hAnsiTheme="majorHAnsi"/>
                <w:b/>
                <w:bCs/>
                <w:sz w:val="16"/>
                <w:szCs w:val="16"/>
              </w:rPr>
            </w:pPr>
            <w:r w:rsidRPr="00084C8C">
              <w:rPr>
                <w:rFonts w:asciiTheme="majorHAnsi" w:hAnsiTheme="majorHAnsi"/>
                <w:b/>
                <w:bCs/>
                <w:sz w:val="16"/>
                <w:szCs w:val="16"/>
              </w:rPr>
              <w:t>Variance</w:t>
            </w:r>
          </w:p>
        </w:tc>
        <w:tc>
          <w:tcPr>
            <w:tcW w:w="2716" w:type="dxa"/>
            <w:shd w:val="clear" w:color="auto" w:fill="BDD6EE" w:themeFill="accent1" w:themeFillTint="66"/>
          </w:tcPr>
          <w:p w14:paraId="3A6CB090" w14:textId="77777777" w:rsidR="007A5007" w:rsidRPr="00084C8C" w:rsidRDefault="007A5007" w:rsidP="007F119D">
            <w:pPr>
              <w:spacing w:line="276" w:lineRule="auto"/>
              <w:jc w:val="center"/>
              <w:rPr>
                <w:rFonts w:asciiTheme="majorHAnsi" w:hAnsiTheme="majorHAnsi"/>
                <w:b/>
                <w:bCs/>
                <w:sz w:val="16"/>
                <w:szCs w:val="16"/>
              </w:rPr>
            </w:pPr>
          </w:p>
        </w:tc>
      </w:tr>
      <w:tr w:rsidR="007A5007" w:rsidRPr="00084C8C" w14:paraId="142AAE8F" w14:textId="77777777" w:rsidTr="007F119D">
        <w:trPr>
          <w:jc w:val="center"/>
        </w:trPr>
        <w:tc>
          <w:tcPr>
            <w:tcW w:w="3093" w:type="dxa"/>
            <w:shd w:val="clear" w:color="auto" w:fill="9CC2E5" w:themeFill="accent1" w:themeFillTint="99"/>
            <w:vAlign w:val="center"/>
          </w:tcPr>
          <w:p w14:paraId="02063AA2"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Payments to Government Agencies</w:t>
            </w:r>
          </w:p>
        </w:tc>
        <w:tc>
          <w:tcPr>
            <w:tcW w:w="1132" w:type="dxa"/>
            <w:shd w:val="clear" w:color="auto" w:fill="9CC2E5" w:themeFill="accent1" w:themeFillTint="99"/>
            <w:vAlign w:val="center"/>
          </w:tcPr>
          <w:p w14:paraId="44041AB7"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36,43</w:t>
            </w:r>
            <w:r>
              <w:rPr>
                <w:rFonts w:asciiTheme="majorHAnsi" w:hAnsiTheme="majorHAnsi"/>
                <w:i/>
                <w:iCs/>
                <w:sz w:val="16"/>
                <w:szCs w:val="16"/>
              </w:rPr>
              <w:t>8</w:t>
            </w:r>
            <w:r w:rsidRPr="00084C8C">
              <w:rPr>
                <w:rFonts w:asciiTheme="majorHAnsi" w:hAnsiTheme="majorHAnsi"/>
                <w:i/>
                <w:iCs/>
                <w:sz w:val="16"/>
                <w:szCs w:val="16"/>
              </w:rPr>
              <w:t xml:space="preserve"> </w:t>
            </w:r>
          </w:p>
        </w:tc>
        <w:tc>
          <w:tcPr>
            <w:tcW w:w="1015" w:type="dxa"/>
            <w:shd w:val="clear" w:color="auto" w:fill="9CC2E5" w:themeFill="accent1" w:themeFillTint="99"/>
            <w:vAlign w:val="center"/>
          </w:tcPr>
          <w:p w14:paraId="6C81AB5B"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25,168 </w:t>
            </w:r>
          </w:p>
        </w:tc>
        <w:tc>
          <w:tcPr>
            <w:tcW w:w="1063" w:type="dxa"/>
            <w:shd w:val="clear" w:color="auto" w:fill="9CC2E5" w:themeFill="accent1" w:themeFillTint="99"/>
            <w:vAlign w:val="center"/>
          </w:tcPr>
          <w:p w14:paraId="4597C0D6"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11,2</w:t>
            </w:r>
            <w:r>
              <w:rPr>
                <w:rFonts w:asciiTheme="majorHAnsi" w:hAnsiTheme="majorHAnsi"/>
                <w:i/>
                <w:iCs/>
                <w:sz w:val="16"/>
                <w:szCs w:val="16"/>
              </w:rPr>
              <w:t>70</w:t>
            </w:r>
            <w:r w:rsidRPr="00084C8C">
              <w:rPr>
                <w:rFonts w:asciiTheme="majorHAnsi" w:hAnsiTheme="majorHAnsi"/>
                <w:i/>
                <w:iCs/>
                <w:sz w:val="16"/>
                <w:szCs w:val="16"/>
              </w:rPr>
              <w:t xml:space="preserve"> </w:t>
            </w:r>
          </w:p>
        </w:tc>
        <w:tc>
          <w:tcPr>
            <w:tcW w:w="2716" w:type="dxa"/>
            <w:shd w:val="clear" w:color="auto" w:fill="9CC2E5" w:themeFill="accent1" w:themeFillTint="99"/>
          </w:tcPr>
          <w:p w14:paraId="69CDB877"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15CA6A7B" w14:textId="77777777" w:rsidTr="007F119D">
        <w:trPr>
          <w:jc w:val="center"/>
        </w:trPr>
        <w:tc>
          <w:tcPr>
            <w:tcW w:w="3093" w:type="dxa"/>
            <w:shd w:val="clear" w:color="auto" w:fill="FFFFFF" w:themeFill="background1"/>
            <w:vAlign w:val="center"/>
          </w:tcPr>
          <w:p w14:paraId="44776B0E"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Tax paid to ZRA (including mineral royalties)</w:t>
            </w:r>
          </w:p>
        </w:tc>
        <w:tc>
          <w:tcPr>
            <w:tcW w:w="1132" w:type="dxa"/>
            <w:shd w:val="clear" w:color="auto" w:fill="FFFFFF" w:themeFill="background1"/>
            <w:vAlign w:val="center"/>
          </w:tcPr>
          <w:p w14:paraId="3452E063"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36,373 </w:t>
            </w:r>
          </w:p>
        </w:tc>
        <w:tc>
          <w:tcPr>
            <w:tcW w:w="1015" w:type="dxa"/>
            <w:shd w:val="clear" w:color="auto" w:fill="FFFFFF" w:themeFill="background1"/>
            <w:vAlign w:val="center"/>
          </w:tcPr>
          <w:p w14:paraId="6A7709CF"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25,122 </w:t>
            </w:r>
          </w:p>
        </w:tc>
        <w:tc>
          <w:tcPr>
            <w:tcW w:w="1063" w:type="dxa"/>
            <w:shd w:val="clear" w:color="auto" w:fill="FFFFFF" w:themeFill="background1"/>
            <w:vAlign w:val="center"/>
          </w:tcPr>
          <w:p w14:paraId="73C02DDA"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11,251  </w:t>
            </w:r>
          </w:p>
        </w:tc>
        <w:tc>
          <w:tcPr>
            <w:tcW w:w="2716" w:type="dxa"/>
            <w:shd w:val="clear" w:color="auto" w:fill="FFFFFF" w:themeFill="background1"/>
          </w:tcPr>
          <w:p w14:paraId="2EABF45D"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08623663" w14:textId="77777777" w:rsidTr="007F119D">
        <w:trPr>
          <w:jc w:val="center"/>
        </w:trPr>
        <w:tc>
          <w:tcPr>
            <w:tcW w:w="3093" w:type="dxa"/>
            <w:vAlign w:val="center"/>
          </w:tcPr>
          <w:p w14:paraId="1163AA3B"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Royalties, fees and charges paid to MMMD</w:t>
            </w:r>
          </w:p>
        </w:tc>
        <w:tc>
          <w:tcPr>
            <w:tcW w:w="1132" w:type="dxa"/>
            <w:vAlign w:val="center"/>
          </w:tcPr>
          <w:p w14:paraId="37866018"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w:t>
            </w:r>
            <w:r>
              <w:rPr>
                <w:rFonts w:asciiTheme="majorHAnsi" w:hAnsiTheme="majorHAnsi"/>
                <w:i/>
                <w:iCs/>
                <w:sz w:val="16"/>
                <w:szCs w:val="16"/>
              </w:rPr>
              <w:t>61</w:t>
            </w:r>
            <w:r w:rsidRPr="00084C8C">
              <w:rPr>
                <w:rFonts w:asciiTheme="majorHAnsi" w:hAnsiTheme="majorHAnsi"/>
                <w:i/>
                <w:iCs/>
                <w:sz w:val="16"/>
                <w:szCs w:val="16"/>
              </w:rPr>
              <w:t xml:space="preserve"> </w:t>
            </w:r>
          </w:p>
        </w:tc>
        <w:tc>
          <w:tcPr>
            <w:tcW w:w="1015" w:type="dxa"/>
            <w:vAlign w:val="center"/>
          </w:tcPr>
          <w:p w14:paraId="39213736"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41 </w:t>
            </w:r>
          </w:p>
        </w:tc>
        <w:tc>
          <w:tcPr>
            <w:tcW w:w="1063" w:type="dxa"/>
            <w:vAlign w:val="center"/>
          </w:tcPr>
          <w:p w14:paraId="4A4FD8D3" w14:textId="77777777" w:rsidR="007A5007" w:rsidRPr="00084C8C" w:rsidRDefault="007A5007" w:rsidP="007F119D">
            <w:pPr>
              <w:spacing w:line="276" w:lineRule="auto"/>
              <w:jc w:val="right"/>
              <w:rPr>
                <w:rFonts w:asciiTheme="majorHAnsi" w:hAnsiTheme="majorHAnsi"/>
                <w:i/>
                <w:iCs/>
                <w:sz w:val="16"/>
                <w:szCs w:val="16"/>
              </w:rPr>
            </w:pPr>
            <w:r>
              <w:rPr>
                <w:rFonts w:asciiTheme="majorHAnsi" w:hAnsiTheme="majorHAnsi"/>
                <w:i/>
                <w:iCs/>
                <w:sz w:val="16"/>
                <w:szCs w:val="16"/>
              </w:rPr>
              <w:t>20</w:t>
            </w:r>
            <w:r w:rsidRPr="00084C8C">
              <w:rPr>
                <w:rFonts w:asciiTheme="majorHAnsi" w:hAnsiTheme="majorHAnsi"/>
                <w:i/>
                <w:iCs/>
                <w:sz w:val="16"/>
                <w:szCs w:val="16"/>
              </w:rPr>
              <w:t xml:space="preserve"> </w:t>
            </w:r>
          </w:p>
        </w:tc>
        <w:tc>
          <w:tcPr>
            <w:tcW w:w="2716" w:type="dxa"/>
          </w:tcPr>
          <w:p w14:paraId="743DF80E" w14:textId="77777777" w:rsidR="007A5007" w:rsidRDefault="007A5007" w:rsidP="007F119D">
            <w:pPr>
              <w:spacing w:line="276" w:lineRule="auto"/>
              <w:jc w:val="right"/>
              <w:rPr>
                <w:rFonts w:asciiTheme="majorHAnsi" w:hAnsiTheme="majorHAnsi"/>
                <w:i/>
                <w:iCs/>
                <w:sz w:val="16"/>
                <w:szCs w:val="16"/>
              </w:rPr>
            </w:pPr>
          </w:p>
        </w:tc>
      </w:tr>
      <w:tr w:rsidR="007A5007" w:rsidRPr="00084C8C" w14:paraId="4117AFC6" w14:textId="77777777" w:rsidTr="007F119D">
        <w:trPr>
          <w:jc w:val="center"/>
        </w:trPr>
        <w:tc>
          <w:tcPr>
            <w:tcW w:w="3093" w:type="dxa"/>
            <w:shd w:val="clear" w:color="auto" w:fill="FFFFFF" w:themeFill="background1"/>
            <w:vAlign w:val="center"/>
          </w:tcPr>
          <w:p w14:paraId="3ACD2CD6"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Payments to Petroleum Unit</w:t>
            </w:r>
          </w:p>
        </w:tc>
        <w:tc>
          <w:tcPr>
            <w:tcW w:w="1132" w:type="dxa"/>
            <w:shd w:val="clear" w:color="auto" w:fill="FFFFFF" w:themeFill="background1"/>
            <w:vAlign w:val="center"/>
          </w:tcPr>
          <w:p w14:paraId="6C3DE269"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   </w:t>
            </w:r>
          </w:p>
        </w:tc>
        <w:tc>
          <w:tcPr>
            <w:tcW w:w="1015" w:type="dxa"/>
            <w:shd w:val="clear" w:color="auto" w:fill="FFFFFF" w:themeFill="background1"/>
            <w:vAlign w:val="center"/>
          </w:tcPr>
          <w:p w14:paraId="1D23B9BA"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5 </w:t>
            </w:r>
          </w:p>
        </w:tc>
        <w:tc>
          <w:tcPr>
            <w:tcW w:w="1063" w:type="dxa"/>
            <w:shd w:val="clear" w:color="auto" w:fill="FFFFFF" w:themeFill="background1"/>
            <w:vAlign w:val="center"/>
          </w:tcPr>
          <w:p w14:paraId="7E98D77A"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(5)</w:t>
            </w:r>
          </w:p>
        </w:tc>
        <w:tc>
          <w:tcPr>
            <w:tcW w:w="2716" w:type="dxa"/>
            <w:shd w:val="clear" w:color="auto" w:fill="FFFFFF" w:themeFill="background1"/>
          </w:tcPr>
          <w:p w14:paraId="488F6B64" w14:textId="77777777" w:rsidR="007A5007" w:rsidRPr="006E1F43" w:rsidRDefault="007A5007" w:rsidP="007F119D">
            <w:pPr>
              <w:spacing w:line="276" w:lineRule="auto"/>
              <w:jc w:val="right"/>
              <w:rPr>
                <w:rFonts w:asciiTheme="majorHAnsi" w:hAnsiTheme="majorHAnsi"/>
                <w:i/>
                <w:iCs/>
                <w:color w:val="FF0000"/>
                <w:sz w:val="16"/>
                <w:szCs w:val="16"/>
              </w:rPr>
            </w:pPr>
            <w:r w:rsidRPr="006E1F43">
              <w:rPr>
                <w:rFonts w:asciiTheme="majorHAnsi" w:hAnsiTheme="majorHAnsi"/>
                <w:i/>
                <w:iCs/>
                <w:color w:val="FF0000"/>
                <w:sz w:val="16"/>
                <w:szCs w:val="16"/>
              </w:rPr>
              <w:t>Why was the payments for petroleum not paid in 2021</w:t>
            </w:r>
          </w:p>
        </w:tc>
      </w:tr>
      <w:tr w:rsidR="007A5007" w:rsidRPr="00084C8C" w14:paraId="0FD79E54" w14:textId="77777777" w:rsidTr="007F119D">
        <w:trPr>
          <w:jc w:val="center"/>
        </w:trPr>
        <w:tc>
          <w:tcPr>
            <w:tcW w:w="3093" w:type="dxa"/>
            <w:vAlign w:val="center"/>
          </w:tcPr>
          <w:p w14:paraId="44BF0D9B"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 xml:space="preserve">Ground rents and other payments to </w:t>
            </w:r>
            <w:proofErr w:type="spellStart"/>
            <w:r w:rsidRPr="00084C8C">
              <w:rPr>
                <w:rFonts w:asciiTheme="majorHAnsi" w:hAnsiTheme="majorHAnsi"/>
                <w:i/>
                <w:iCs/>
                <w:sz w:val="16"/>
                <w:szCs w:val="16"/>
              </w:rPr>
              <w:t>MoL</w:t>
            </w:r>
            <w:proofErr w:type="spellEnd"/>
          </w:p>
        </w:tc>
        <w:tc>
          <w:tcPr>
            <w:tcW w:w="1132" w:type="dxa"/>
            <w:vAlign w:val="center"/>
          </w:tcPr>
          <w:p w14:paraId="7079C281"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4 </w:t>
            </w:r>
          </w:p>
        </w:tc>
        <w:tc>
          <w:tcPr>
            <w:tcW w:w="1015" w:type="dxa"/>
            <w:vAlign w:val="center"/>
          </w:tcPr>
          <w:p w14:paraId="0A27CED8"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1 </w:t>
            </w:r>
          </w:p>
        </w:tc>
        <w:tc>
          <w:tcPr>
            <w:tcW w:w="1063" w:type="dxa"/>
            <w:vAlign w:val="center"/>
          </w:tcPr>
          <w:p w14:paraId="3436F13D"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3  </w:t>
            </w:r>
          </w:p>
        </w:tc>
        <w:tc>
          <w:tcPr>
            <w:tcW w:w="2716" w:type="dxa"/>
          </w:tcPr>
          <w:p w14:paraId="3AD1708D"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5668228D" w14:textId="77777777" w:rsidTr="007F119D">
        <w:trPr>
          <w:jc w:val="center"/>
        </w:trPr>
        <w:tc>
          <w:tcPr>
            <w:tcW w:w="3093" w:type="dxa"/>
            <w:shd w:val="clear" w:color="auto" w:fill="9CC2E5" w:themeFill="accent1" w:themeFillTint="99"/>
            <w:vAlign w:val="center"/>
          </w:tcPr>
          <w:p w14:paraId="5DE1AC78"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Dividends paid to ZCCM-IH</w:t>
            </w:r>
          </w:p>
        </w:tc>
        <w:tc>
          <w:tcPr>
            <w:tcW w:w="1132" w:type="dxa"/>
            <w:shd w:val="clear" w:color="auto" w:fill="9CC2E5" w:themeFill="accent1" w:themeFillTint="99"/>
            <w:vAlign w:val="center"/>
          </w:tcPr>
          <w:p w14:paraId="35A25B06"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942   </w:t>
            </w:r>
          </w:p>
        </w:tc>
        <w:tc>
          <w:tcPr>
            <w:tcW w:w="1015" w:type="dxa"/>
            <w:shd w:val="clear" w:color="auto" w:fill="9CC2E5" w:themeFill="accent1" w:themeFillTint="99"/>
            <w:vAlign w:val="center"/>
          </w:tcPr>
          <w:p w14:paraId="308AD072"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129 </w:t>
            </w:r>
          </w:p>
        </w:tc>
        <w:tc>
          <w:tcPr>
            <w:tcW w:w="1063" w:type="dxa"/>
            <w:shd w:val="clear" w:color="auto" w:fill="9CC2E5" w:themeFill="accent1" w:themeFillTint="99"/>
            <w:vAlign w:val="center"/>
          </w:tcPr>
          <w:p w14:paraId="586B6208"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814</w:t>
            </w:r>
          </w:p>
        </w:tc>
        <w:tc>
          <w:tcPr>
            <w:tcW w:w="2716" w:type="dxa"/>
            <w:shd w:val="clear" w:color="auto" w:fill="9CC2E5" w:themeFill="accent1" w:themeFillTint="99"/>
          </w:tcPr>
          <w:p w14:paraId="2A9CA4B9"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3F63DF5A" w14:textId="77777777" w:rsidTr="007F119D">
        <w:trPr>
          <w:jc w:val="center"/>
        </w:trPr>
        <w:tc>
          <w:tcPr>
            <w:tcW w:w="3093" w:type="dxa"/>
            <w:vAlign w:val="center"/>
          </w:tcPr>
          <w:p w14:paraId="740250CA"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 xml:space="preserve">Price participation fees paid </w:t>
            </w:r>
          </w:p>
        </w:tc>
        <w:tc>
          <w:tcPr>
            <w:tcW w:w="1132" w:type="dxa"/>
            <w:vAlign w:val="center"/>
          </w:tcPr>
          <w:p w14:paraId="17E23FDC"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942 </w:t>
            </w:r>
          </w:p>
        </w:tc>
        <w:tc>
          <w:tcPr>
            <w:tcW w:w="1015" w:type="dxa"/>
            <w:vAlign w:val="center"/>
          </w:tcPr>
          <w:p w14:paraId="5DB892BE"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87 </w:t>
            </w:r>
          </w:p>
        </w:tc>
        <w:tc>
          <w:tcPr>
            <w:tcW w:w="1063" w:type="dxa"/>
            <w:vAlign w:val="center"/>
          </w:tcPr>
          <w:p w14:paraId="0CE2693B"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855  </w:t>
            </w:r>
          </w:p>
        </w:tc>
        <w:tc>
          <w:tcPr>
            <w:tcW w:w="2716" w:type="dxa"/>
          </w:tcPr>
          <w:p w14:paraId="64EBA69E"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467C7FCC" w14:textId="77777777" w:rsidTr="007F119D">
        <w:trPr>
          <w:jc w:val="center"/>
        </w:trPr>
        <w:tc>
          <w:tcPr>
            <w:tcW w:w="3093" w:type="dxa"/>
            <w:shd w:val="clear" w:color="auto" w:fill="FFFFFF" w:themeFill="background1"/>
            <w:vAlign w:val="center"/>
          </w:tcPr>
          <w:p w14:paraId="757C655F"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 xml:space="preserve">Dividends paid </w:t>
            </w:r>
          </w:p>
        </w:tc>
        <w:tc>
          <w:tcPr>
            <w:tcW w:w="1132" w:type="dxa"/>
            <w:shd w:val="clear" w:color="auto" w:fill="FFFFFF" w:themeFill="background1"/>
            <w:vAlign w:val="center"/>
          </w:tcPr>
          <w:p w14:paraId="4049DA02"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   </w:t>
            </w:r>
          </w:p>
        </w:tc>
        <w:tc>
          <w:tcPr>
            <w:tcW w:w="1015" w:type="dxa"/>
            <w:shd w:val="clear" w:color="auto" w:fill="FFFFFF" w:themeFill="background1"/>
            <w:vAlign w:val="center"/>
          </w:tcPr>
          <w:p w14:paraId="6C3D592A"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42 </w:t>
            </w:r>
          </w:p>
        </w:tc>
        <w:tc>
          <w:tcPr>
            <w:tcW w:w="1063" w:type="dxa"/>
            <w:shd w:val="clear" w:color="auto" w:fill="FFFFFF" w:themeFill="background1"/>
            <w:vAlign w:val="center"/>
          </w:tcPr>
          <w:p w14:paraId="08928351"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(42)</w:t>
            </w:r>
          </w:p>
        </w:tc>
        <w:tc>
          <w:tcPr>
            <w:tcW w:w="2716" w:type="dxa"/>
            <w:shd w:val="clear" w:color="auto" w:fill="FFFFFF" w:themeFill="background1"/>
          </w:tcPr>
          <w:p w14:paraId="77C472FE"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2CB458D5" w14:textId="77777777" w:rsidTr="007F119D">
        <w:trPr>
          <w:jc w:val="center"/>
        </w:trPr>
        <w:tc>
          <w:tcPr>
            <w:tcW w:w="3093" w:type="dxa"/>
            <w:shd w:val="clear" w:color="auto" w:fill="9CC2E5" w:themeFill="accent1" w:themeFillTint="99"/>
            <w:vAlign w:val="center"/>
          </w:tcPr>
          <w:p w14:paraId="313F82F6"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Dividends paid by ZCCM-IH</w:t>
            </w:r>
          </w:p>
        </w:tc>
        <w:tc>
          <w:tcPr>
            <w:tcW w:w="1132" w:type="dxa"/>
            <w:shd w:val="clear" w:color="auto" w:fill="9CC2E5" w:themeFill="accent1" w:themeFillTint="99"/>
            <w:vAlign w:val="center"/>
          </w:tcPr>
          <w:p w14:paraId="6C8FE6A4"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1</w:t>
            </w:r>
            <w:r>
              <w:rPr>
                <w:rFonts w:asciiTheme="majorHAnsi" w:hAnsiTheme="majorHAnsi"/>
                <w:i/>
                <w:iCs/>
                <w:sz w:val="16"/>
                <w:szCs w:val="16"/>
              </w:rPr>
              <w:t>,300</w:t>
            </w:r>
            <w:r w:rsidRPr="00084C8C">
              <w:rPr>
                <w:rFonts w:asciiTheme="majorHAnsi" w:hAnsiTheme="majorHAnsi"/>
                <w:i/>
                <w:iCs/>
                <w:sz w:val="16"/>
                <w:szCs w:val="16"/>
              </w:rPr>
              <w:t xml:space="preserve">   </w:t>
            </w:r>
          </w:p>
        </w:tc>
        <w:tc>
          <w:tcPr>
            <w:tcW w:w="1015" w:type="dxa"/>
            <w:shd w:val="clear" w:color="auto" w:fill="9CC2E5" w:themeFill="accent1" w:themeFillTint="99"/>
            <w:vAlign w:val="center"/>
          </w:tcPr>
          <w:p w14:paraId="67900229"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41 </w:t>
            </w:r>
          </w:p>
        </w:tc>
        <w:tc>
          <w:tcPr>
            <w:tcW w:w="1063" w:type="dxa"/>
            <w:shd w:val="clear" w:color="auto" w:fill="9CC2E5" w:themeFill="accent1" w:themeFillTint="99"/>
            <w:vAlign w:val="center"/>
          </w:tcPr>
          <w:p w14:paraId="1AAFBDFB" w14:textId="77777777" w:rsidR="007A5007" w:rsidRPr="00084C8C" w:rsidRDefault="007A5007" w:rsidP="007F119D">
            <w:pPr>
              <w:spacing w:line="276" w:lineRule="auto"/>
              <w:jc w:val="right"/>
              <w:rPr>
                <w:rFonts w:asciiTheme="majorHAnsi" w:hAnsiTheme="majorHAnsi"/>
                <w:i/>
                <w:iCs/>
                <w:sz w:val="16"/>
                <w:szCs w:val="16"/>
              </w:rPr>
            </w:pPr>
            <w:r>
              <w:rPr>
                <w:rFonts w:asciiTheme="majorHAnsi" w:hAnsiTheme="majorHAnsi"/>
                <w:i/>
                <w:iCs/>
                <w:sz w:val="16"/>
                <w:szCs w:val="16"/>
              </w:rPr>
              <w:t>1,259</w:t>
            </w:r>
            <w:r w:rsidRPr="00084C8C">
              <w:rPr>
                <w:rFonts w:asciiTheme="majorHAnsi" w:hAnsiTheme="majorHAnsi"/>
                <w:i/>
                <w:iCs/>
                <w:sz w:val="16"/>
                <w:szCs w:val="16"/>
              </w:rPr>
              <w:t xml:space="preserve"> </w:t>
            </w:r>
          </w:p>
        </w:tc>
        <w:tc>
          <w:tcPr>
            <w:tcW w:w="2716" w:type="dxa"/>
            <w:shd w:val="clear" w:color="auto" w:fill="9CC2E5" w:themeFill="accent1" w:themeFillTint="99"/>
          </w:tcPr>
          <w:p w14:paraId="63180CEA" w14:textId="77777777" w:rsidR="007A5007" w:rsidRDefault="007A5007" w:rsidP="007F119D">
            <w:pPr>
              <w:spacing w:line="276" w:lineRule="auto"/>
              <w:jc w:val="right"/>
              <w:rPr>
                <w:rFonts w:asciiTheme="majorHAnsi" w:hAnsiTheme="majorHAnsi"/>
                <w:i/>
                <w:iCs/>
                <w:sz w:val="16"/>
                <w:szCs w:val="16"/>
              </w:rPr>
            </w:pPr>
          </w:p>
        </w:tc>
      </w:tr>
      <w:tr w:rsidR="007A5007" w:rsidRPr="00084C8C" w14:paraId="24A1E0E1" w14:textId="77777777" w:rsidTr="007F119D">
        <w:trPr>
          <w:jc w:val="center"/>
        </w:trPr>
        <w:tc>
          <w:tcPr>
            <w:tcW w:w="3093" w:type="dxa"/>
            <w:shd w:val="clear" w:color="auto" w:fill="FFFFFF" w:themeFill="background1"/>
            <w:vAlign w:val="center"/>
          </w:tcPr>
          <w:p w14:paraId="1DC0A578"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Dividends paid to IDC</w:t>
            </w:r>
          </w:p>
        </w:tc>
        <w:tc>
          <w:tcPr>
            <w:tcW w:w="1132" w:type="dxa"/>
            <w:shd w:val="clear" w:color="auto" w:fill="FFFFFF" w:themeFill="background1"/>
            <w:vAlign w:val="center"/>
          </w:tcPr>
          <w:p w14:paraId="0298A804"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0.03   </w:t>
            </w:r>
          </w:p>
        </w:tc>
        <w:tc>
          <w:tcPr>
            <w:tcW w:w="1015" w:type="dxa"/>
            <w:shd w:val="clear" w:color="auto" w:fill="FFFFFF" w:themeFill="background1"/>
            <w:vAlign w:val="center"/>
          </w:tcPr>
          <w:p w14:paraId="35725681"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32 </w:t>
            </w:r>
          </w:p>
        </w:tc>
        <w:tc>
          <w:tcPr>
            <w:tcW w:w="1063" w:type="dxa"/>
            <w:shd w:val="clear" w:color="auto" w:fill="FFFFFF" w:themeFill="background1"/>
            <w:vAlign w:val="center"/>
          </w:tcPr>
          <w:p w14:paraId="7E6D5D6A"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(31.</w:t>
            </w:r>
            <w:r>
              <w:rPr>
                <w:rFonts w:asciiTheme="majorHAnsi" w:hAnsiTheme="majorHAnsi"/>
                <w:i/>
                <w:iCs/>
                <w:sz w:val="16"/>
                <w:szCs w:val="16"/>
              </w:rPr>
              <w:t>97)</w:t>
            </w:r>
            <w:r w:rsidRPr="00084C8C">
              <w:rPr>
                <w:rFonts w:asciiTheme="majorHAnsi" w:hAnsiTheme="majorHAnsi"/>
                <w:i/>
                <w:iCs/>
                <w:sz w:val="16"/>
                <w:szCs w:val="16"/>
              </w:rPr>
              <w:t xml:space="preserve"> </w:t>
            </w:r>
          </w:p>
        </w:tc>
        <w:tc>
          <w:tcPr>
            <w:tcW w:w="2716" w:type="dxa"/>
            <w:shd w:val="clear" w:color="auto" w:fill="FFFFFF" w:themeFill="background1"/>
          </w:tcPr>
          <w:p w14:paraId="44A5B873"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734E529E" w14:textId="77777777" w:rsidTr="007F119D">
        <w:trPr>
          <w:jc w:val="center"/>
        </w:trPr>
        <w:tc>
          <w:tcPr>
            <w:tcW w:w="3093" w:type="dxa"/>
            <w:shd w:val="clear" w:color="auto" w:fill="FFFFFF" w:themeFill="background1"/>
            <w:vAlign w:val="center"/>
          </w:tcPr>
          <w:p w14:paraId="713CEE0E"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Dividends paid to MoF</w:t>
            </w:r>
          </w:p>
        </w:tc>
        <w:tc>
          <w:tcPr>
            <w:tcW w:w="1132" w:type="dxa"/>
            <w:shd w:val="clear" w:color="auto" w:fill="FFFFFF" w:themeFill="background1"/>
            <w:vAlign w:val="center"/>
          </w:tcPr>
          <w:p w14:paraId="49857284"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1</w:t>
            </w:r>
            <w:r>
              <w:rPr>
                <w:rFonts w:asciiTheme="majorHAnsi" w:hAnsiTheme="majorHAnsi"/>
                <w:i/>
                <w:iCs/>
                <w:sz w:val="16"/>
                <w:szCs w:val="16"/>
              </w:rPr>
              <w:t>,300</w:t>
            </w:r>
            <w:r w:rsidRPr="00084C8C">
              <w:rPr>
                <w:rFonts w:asciiTheme="majorHAnsi" w:hAnsiTheme="majorHAnsi"/>
                <w:i/>
                <w:iCs/>
                <w:sz w:val="16"/>
                <w:szCs w:val="16"/>
              </w:rPr>
              <w:t xml:space="preserve">   </w:t>
            </w:r>
          </w:p>
        </w:tc>
        <w:tc>
          <w:tcPr>
            <w:tcW w:w="1015" w:type="dxa"/>
            <w:shd w:val="clear" w:color="auto" w:fill="FFFFFF" w:themeFill="background1"/>
            <w:vAlign w:val="center"/>
          </w:tcPr>
          <w:p w14:paraId="1F870D4B"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9 </w:t>
            </w:r>
          </w:p>
        </w:tc>
        <w:tc>
          <w:tcPr>
            <w:tcW w:w="1063" w:type="dxa"/>
            <w:shd w:val="clear" w:color="auto" w:fill="FFFFFF" w:themeFill="background1"/>
            <w:vAlign w:val="center"/>
          </w:tcPr>
          <w:p w14:paraId="1B15B9D6" w14:textId="77777777" w:rsidR="007A5007" w:rsidRPr="00084C8C" w:rsidRDefault="007A5007" w:rsidP="007F119D">
            <w:pPr>
              <w:spacing w:line="276" w:lineRule="auto"/>
              <w:jc w:val="right"/>
              <w:rPr>
                <w:rFonts w:asciiTheme="majorHAnsi" w:hAnsiTheme="majorHAnsi"/>
                <w:i/>
                <w:iCs/>
                <w:sz w:val="16"/>
                <w:szCs w:val="16"/>
              </w:rPr>
            </w:pPr>
            <w:r>
              <w:rPr>
                <w:rFonts w:asciiTheme="majorHAnsi" w:hAnsiTheme="majorHAnsi"/>
                <w:i/>
                <w:iCs/>
                <w:sz w:val="16"/>
                <w:szCs w:val="16"/>
              </w:rPr>
              <w:t>1,291</w:t>
            </w:r>
            <w:r w:rsidRPr="00084C8C">
              <w:rPr>
                <w:rFonts w:asciiTheme="majorHAnsi" w:hAnsiTheme="majorHAnsi"/>
                <w:i/>
                <w:iCs/>
                <w:sz w:val="16"/>
                <w:szCs w:val="16"/>
              </w:rPr>
              <w:t xml:space="preserve"> </w:t>
            </w:r>
          </w:p>
        </w:tc>
        <w:tc>
          <w:tcPr>
            <w:tcW w:w="2716" w:type="dxa"/>
            <w:shd w:val="clear" w:color="auto" w:fill="FFFFFF" w:themeFill="background1"/>
          </w:tcPr>
          <w:p w14:paraId="2B86F413" w14:textId="77777777" w:rsidR="007A5007" w:rsidRDefault="007A5007" w:rsidP="007F119D">
            <w:pPr>
              <w:spacing w:line="276" w:lineRule="auto"/>
              <w:jc w:val="right"/>
              <w:rPr>
                <w:rFonts w:asciiTheme="majorHAnsi" w:hAnsiTheme="majorHAnsi"/>
                <w:i/>
                <w:iCs/>
                <w:sz w:val="16"/>
                <w:szCs w:val="16"/>
              </w:rPr>
            </w:pPr>
          </w:p>
        </w:tc>
      </w:tr>
      <w:tr w:rsidR="007A5007" w:rsidRPr="00084C8C" w14:paraId="7F652353" w14:textId="77777777" w:rsidTr="007F119D">
        <w:trPr>
          <w:jc w:val="center"/>
        </w:trPr>
        <w:tc>
          <w:tcPr>
            <w:tcW w:w="3093" w:type="dxa"/>
            <w:shd w:val="clear" w:color="auto" w:fill="9CC2E5" w:themeFill="accent1" w:themeFillTint="99"/>
            <w:vAlign w:val="center"/>
          </w:tcPr>
          <w:p w14:paraId="1EC46FD0"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Social payments</w:t>
            </w:r>
          </w:p>
        </w:tc>
        <w:tc>
          <w:tcPr>
            <w:tcW w:w="1132" w:type="dxa"/>
            <w:shd w:val="clear" w:color="auto" w:fill="9CC2E5" w:themeFill="accent1" w:themeFillTint="99"/>
            <w:vAlign w:val="center"/>
          </w:tcPr>
          <w:p w14:paraId="71022E24"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15 </w:t>
            </w:r>
          </w:p>
        </w:tc>
        <w:tc>
          <w:tcPr>
            <w:tcW w:w="1015" w:type="dxa"/>
            <w:shd w:val="clear" w:color="auto" w:fill="9CC2E5" w:themeFill="accent1" w:themeFillTint="99"/>
            <w:vAlign w:val="center"/>
          </w:tcPr>
          <w:p w14:paraId="7BB10207"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252 </w:t>
            </w:r>
          </w:p>
        </w:tc>
        <w:tc>
          <w:tcPr>
            <w:tcW w:w="1063" w:type="dxa"/>
            <w:shd w:val="clear" w:color="auto" w:fill="9CC2E5" w:themeFill="accent1" w:themeFillTint="99"/>
            <w:vAlign w:val="center"/>
          </w:tcPr>
          <w:p w14:paraId="50A7B68F"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(237) </w:t>
            </w:r>
          </w:p>
        </w:tc>
        <w:tc>
          <w:tcPr>
            <w:tcW w:w="2716" w:type="dxa"/>
            <w:shd w:val="clear" w:color="auto" w:fill="9CC2E5" w:themeFill="accent1" w:themeFillTint="99"/>
          </w:tcPr>
          <w:p w14:paraId="4D137B11"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33F58A82" w14:textId="77777777" w:rsidTr="007F119D">
        <w:trPr>
          <w:jc w:val="center"/>
        </w:trPr>
        <w:tc>
          <w:tcPr>
            <w:tcW w:w="3093" w:type="dxa"/>
            <w:shd w:val="clear" w:color="auto" w:fill="FFFFFF" w:themeFill="background1"/>
            <w:vAlign w:val="center"/>
          </w:tcPr>
          <w:p w14:paraId="6609136C" w14:textId="77777777" w:rsidR="007A5007" w:rsidRPr="00084C8C" w:rsidRDefault="007A5007" w:rsidP="007F119D">
            <w:pPr>
              <w:spacing w:line="276" w:lineRule="auto"/>
              <w:rPr>
                <w:rFonts w:asciiTheme="majorHAnsi" w:hAnsiTheme="majorHAnsi"/>
                <w:i/>
                <w:iCs/>
                <w:sz w:val="16"/>
                <w:szCs w:val="16"/>
              </w:rPr>
            </w:pPr>
          </w:p>
        </w:tc>
        <w:tc>
          <w:tcPr>
            <w:tcW w:w="1132" w:type="dxa"/>
            <w:shd w:val="clear" w:color="auto" w:fill="FFFFFF" w:themeFill="background1"/>
            <w:vAlign w:val="center"/>
          </w:tcPr>
          <w:p w14:paraId="053B0236" w14:textId="77777777" w:rsidR="007A5007" w:rsidRPr="00084C8C" w:rsidRDefault="007A5007" w:rsidP="007F119D">
            <w:pPr>
              <w:spacing w:line="276" w:lineRule="auto"/>
              <w:jc w:val="right"/>
              <w:rPr>
                <w:rFonts w:asciiTheme="majorHAnsi" w:hAnsiTheme="majorHAnsi"/>
                <w:i/>
                <w:iCs/>
                <w:sz w:val="16"/>
                <w:szCs w:val="16"/>
              </w:rPr>
            </w:pPr>
          </w:p>
        </w:tc>
        <w:tc>
          <w:tcPr>
            <w:tcW w:w="1015" w:type="dxa"/>
            <w:shd w:val="clear" w:color="auto" w:fill="FFFFFF" w:themeFill="background1"/>
            <w:vAlign w:val="center"/>
          </w:tcPr>
          <w:p w14:paraId="43D07B47" w14:textId="77777777" w:rsidR="007A5007" w:rsidRPr="00084C8C" w:rsidRDefault="007A5007" w:rsidP="007F119D">
            <w:pPr>
              <w:spacing w:line="276" w:lineRule="auto"/>
              <w:jc w:val="right"/>
              <w:rPr>
                <w:rFonts w:asciiTheme="majorHAnsi" w:hAnsiTheme="majorHAnsi"/>
                <w:i/>
                <w:iCs/>
                <w:sz w:val="16"/>
                <w:szCs w:val="16"/>
              </w:rPr>
            </w:pPr>
          </w:p>
        </w:tc>
        <w:tc>
          <w:tcPr>
            <w:tcW w:w="1063" w:type="dxa"/>
            <w:shd w:val="clear" w:color="auto" w:fill="FFFFFF" w:themeFill="background1"/>
            <w:vAlign w:val="center"/>
          </w:tcPr>
          <w:p w14:paraId="30162C55" w14:textId="77777777" w:rsidR="007A5007" w:rsidRPr="00084C8C" w:rsidRDefault="007A5007" w:rsidP="007F119D">
            <w:pPr>
              <w:spacing w:line="276" w:lineRule="auto"/>
              <w:jc w:val="right"/>
              <w:rPr>
                <w:rFonts w:asciiTheme="majorHAnsi" w:hAnsiTheme="majorHAnsi"/>
                <w:i/>
                <w:iCs/>
                <w:sz w:val="16"/>
                <w:szCs w:val="16"/>
              </w:rPr>
            </w:pPr>
          </w:p>
        </w:tc>
        <w:tc>
          <w:tcPr>
            <w:tcW w:w="2716" w:type="dxa"/>
            <w:shd w:val="clear" w:color="auto" w:fill="FFFFFF" w:themeFill="background1"/>
          </w:tcPr>
          <w:p w14:paraId="5DAF950A"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25D04AC9" w14:textId="77777777" w:rsidTr="007F119D">
        <w:trPr>
          <w:jc w:val="center"/>
        </w:trPr>
        <w:tc>
          <w:tcPr>
            <w:tcW w:w="3093" w:type="dxa"/>
            <w:shd w:val="clear" w:color="auto" w:fill="9CC2E5" w:themeFill="accent1" w:themeFillTint="99"/>
            <w:vAlign w:val="center"/>
          </w:tcPr>
          <w:p w14:paraId="6DCF69F3"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Fees and levies paid by Local Councils</w:t>
            </w:r>
          </w:p>
        </w:tc>
        <w:tc>
          <w:tcPr>
            <w:tcW w:w="1132" w:type="dxa"/>
            <w:shd w:val="clear" w:color="auto" w:fill="9CC2E5" w:themeFill="accent1" w:themeFillTint="99"/>
            <w:vAlign w:val="center"/>
          </w:tcPr>
          <w:p w14:paraId="49208F7B"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2</w:t>
            </w:r>
            <w:r>
              <w:rPr>
                <w:rFonts w:asciiTheme="majorHAnsi" w:hAnsiTheme="majorHAnsi"/>
                <w:i/>
                <w:iCs/>
                <w:sz w:val="16"/>
                <w:szCs w:val="16"/>
              </w:rPr>
              <w:t>81</w:t>
            </w:r>
            <w:r w:rsidRPr="00084C8C">
              <w:rPr>
                <w:rFonts w:asciiTheme="majorHAnsi" w:hAnsiTheme="majorHAnsi"/>
                <w:i/>
                <w:iCs/>
                <w:sz w:val="16"/>
                <w:szCs w:val="16"/>
              </w:rPr>
              <w:t xml:space="preserve"> </w:t>
            </w:r>
          </w:p>
        </w:tc>
        <w:tc>
          <w:tcPr>
            <w:tcW w:w="1015" w:type="dxa"/>
            <w:shd w:val="clear" w:color="auto" w:fill="9CC2E5" w:themeFill="accent1" w:themeFillTint="99"/>
            <w:vAlign w:val="center"/>
          </w:tcPr>
          <w:p w14:paraId="012D336F"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214 </w:t>
            </w:r>
          </w:p>
        </w:tc>
        <w:tc>
          <w:tcPr>
            <w:tcW w:w="1063" w:type="dxa"/>
            <w:shd w:val="clear" w:color="auto" w:fill="9CC2E5" w:themeFill="accent1" w:themeFillTint="99"/>
            <w:vAlign w:val="center"/>
          </w:tcPr>
          <w:p w14:paraId="3E1AE352" w14:textId="77777777" w:rsidR="007A5007" w:rsidRPr="00084C8C" w:rsidRDefault="007A5007" w:rsidP="007F119D">
            <w:pPr>
              <w:spacing w:line="276" w:lineRule="auto"/>
              <w:jc w:val="right"/>
              <w:rPr>
                <w:rFonts w:asciiTheme="majorHAnsi" w:hAnsiTheme="majorHAnsi"/>
                <w:i/>
                <w:iCs/>
                <w:sz w:val="16"/>
                <w:szCs w:val="16"/>
              </w:rPr>
            </w:pPr>
            <w:r>
              <w:rPr>
                <w:rFonts w:asciiTheme="majorHAnsi" w:hAnsiTheme="majorHAnsi"/>
                <w:i/>
                <w:iCs/>
                <w:sz w:val="16"/>
                <w:szCs w:val="16"/>
              </w:rPr>
              <w:t>67</w:t>
            </w:r>
            <w:r w:rsidRPr="00084C8C">
              <w:rPr>
                <w:rFonts w:asciiTheme="majorHAnsi" w:hAnsiTheme="majorHAnsi"/>
                <w:i/>
                <w:iCs/>
                <w:sz w:val="16"/>
                <w:szCs w:val="16"/>
              </w:rPr>
              <w:t xml:space="preserve"> </w:t>
            </w:r>
          </w:p>
        </w:tc>
        <w:tc>
          <w:tcPr>
            <w:tcW w:w="2716" w:type="dxa"/>
            <w:shd w:val="clear" w:color="auto" w:fill="9CC2E5" w:themeFill="accent1" w:themeFillTint="99"/>
          </w:tcPr>
          <w:p w14:paraId="288F8AE5" w14:textId="77777777" w:rsidR="007A5007" w:rsidRDefault="007A5007" w:rsidP="007F119D">
            <w:pPr>
              <w:spacing w:line="276" w:lineRule="auto"/>
              <w:jc w:val="right"/>
              <w:rPr>
                <w:rFonts w:asciiTheme="majorHAnsi" w:hAnsiTheme="majorHAnsi"/>
                <w:i/>
                <w:iCs/>
                <w:sz w:val="16"/>
                <w:szCs w:val="16"/>
              </w:rPr>
            </w:pPr>
          </w:p>
        </w:tc>
      </w:tr>
      <w:tr w:rsidR="007A5007" w:rsidRPr="00084C8C" w14:paraId="147A8965" w14:textId="77777777" w:rsidTr="007F119D">
        <w:trPr>
          <w:jc w:val="center"/>
        </w:trPr>
        <w:tc>
          <w:tcPr>
            <w:tcW w:w="3093" w:type="dxa"/>
            <w:vAlign w:val="center"/>
          </w:tcPr>
          <w:p w14:paraId="42D1C175" w14:textId="77777777" w:rsidR="007A5007" w:rsidRPr="00084C8C" w:rsidRDefault="007A5007" w:rsidP="007F119D">
            <w:pPr>
              <w:spacing w:line="276" w:lineRule="auto"/>
              <w:rPr>
                <w:rFonts w:asciiTheme="majorHAnsi" w:hAnsiTheme="majorHAnsi"/>
                <w:i/>
                <w:iCs/>
                <w:sz w:val="16"/>
                <w:szCs w:val="16"/>
              </w:rPr>
            </w:pPr>
          </w:p>
        </w:tc>
        <w:tc>
          <w:tcPr>
            <w:tcW w:w="1132" w:type="dxa"/>
            <w:vAlign w:val="center"/>
          </w:tcPr>
          <w:p w14:paraId="03F78770" w14:textId="77777777" w:rsidR="007A5007" w:rsidRPr="00084C8C" w:rsidRDefault="007A5007" w:rsidP="007F119D">
            <w:pPr>
              <w:spacing w:line="276" w:lineRule="auto"/>
              <w:jc w:val="right"/>
              <w:rPr>
                <w:rFonts w:asciiTheme="majorHAnsi" w:hAnsiTheme="majorHAnsi"/>
                <w:i/>
                <w:iCs/>
                <w:sz w:val="16"/>
                <w:szCs w:val="16"/>
              </w:rPr>
            </w:pPr>
          </w:p>
        </w:tc>
        <w:tc>
          <w:tcPr>
            <w:tcW w:w="1015" w:type="dxa"/>
            <w:vAlign w:val="center"/>
          </w:tcPr>
          <w:p w14:paraId="4A1396AC" w14:textId="77777777" w:rsidR="007A5007" w:rsidRPr="00084C8C" w:rsidRDefault="007A5007" w:rsidP="007F119D">
            <w:pPr>
              <w:spacing w:line="276" w:lineRule="auto"/>
              <w:jc w:val="right"/>
              <w:rPr>
                <w:rFonts w:asciiTheme="majorHAnsi" w:hAnsiTheme="majorHAnsi"/>
                <w:i/>
                <w:iCs/>
                <w:sz w:val="16"/>
                <w:szCs w:val="16"/>
              </w:rPr>
            </w:pPr>
          </w:p>
        </w:tc>
        <w:tc>
          <w:tcPr>
            <w:tcW w:w="1063" w:type="dxa"/>
            <w:vAlign w:val="center"/>
          </w:tcPr>
          <w:p w14:paraId="6C882D28" w14:textId="77777777" w:rsidR="007A5007" w:rsidRPr="00084C8C" w:rsidRDefault="007A5007" w:rsidP="007F119D">
            <w:pPr>
              <w:spacing w:line="276" w:lineRule="auto"/>
              <w:jc w:val="right"/>
              <w:rPr>
                <w:rFonts w:asciiTheme="majorHAnsi" w:hAnsiTheme="majorHAnsi"/>
                <w:i/>
                <w:iCs/>
                <w:sz w:val="16"/>
                <w:szCs w:val="16"/>
              </w:rPr>
            </w:pPr>
          </w:p>
        </w:tc>
        <w:tc>
          <w:tcPr>
            <w:tcW w:w="2716" w:type="dxa"/>
          </w:tcPr>
          <w:p w14:paraId="3F394E38" w14:textId="77777777" w:rsidR="007A5007" w:rsidRPr="00084C8C" w:rsidRDefault="007A5007" w:rsidP="007F119D">
            <w:pPr>
              <w:spacing w:line="276" w:lineRule="auto"/>
              <w:jc w:val="right"/>
              <w:rPr>
                <w:rFonts w:asciiTheme="majorHAnsi" w:hAnsiTheme="majorHAnsi"/>
                <w:i/>
                <w:iCs/>
                <w:sz w:val="16"/>
                <w:szCs w:val="16"/>
              </w:rPr>
            </w:pPr>
          </w:p>
        </w:tc>
      </w:tr>
      <w:tr w:rsidR="007A5007" w:rsidRPr="00084C8C" w14:paraId="78F37A89" w14:textId="77777777" w:rsidTr="007F119D">
        <w:trPr>
          <w:jc w:val="center"/>
        </w:trPr>
        <w:tc>
          <w:tcPr>
            <w:tcW w:w="3093" w:type="dxa"/>
            <w:shd w:val="clear" w:color="auto" w:fill="9CC2E5" w:themeFill="accent1" w:themeFillTint="99"/>
            <w:vAlign w:val="center"/>
          </w:tcPr>
          <w:p w14:paraId="3BF5B35F" w14:textId="77777777" w:rsidR="007A5007" w:rsidRPr="00084C8C" w:rsidRDefault="007A5007" w:rsidP="007F119D">
            <w:pPr>
              <w:spacing w:line="276" w:lineRule="auto"/>
              <w:rPr>
                <w:rFonts w:asciiTheme="majorHAnsi" w:hAnsiTheme="majorHAnsi"/>
                <w:i/>
                <w:iCs/>
                <w:sz w:val="16"/>
                <w:szCs w:val="16"/>
              </w:rPr>
            </w:pPr>
            <w:r w:rsidRPr="00084C8C">
              <w:rPr>
                <w:rFonts w:asciiTheme="majorHAnsi" w:hAnsiTheme="majorHAnsi"/>
                <w:i/>
                <w:iCs/>
                <w:sz w:val="16"/>
                <w:szCs w:val="16"/>
              </w:rPr>
              <w:t>Payments to EPF</w:t>
            </w:r>
          </w:p>
        </w:tc>
        <w:tc>
          <w:tcPr>
            <w:tcW w:w="1132" w:type="dxa"/>
            <w:shd w:val="clear" w:color="auto" w:fill="9CC2E5" w:themeFill="accent1" w:themeFillTint="99"/>
            <w:vAlign w:val="center"/>
          </w:tcPr>
          <w:p w14:paraId="5BEF0885"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0.3   </w:t>
            </w:r>
          </w:p>
        </w:tc>
        <w:tc>
          <w:tcPr>
            <w:tcW w:w="1015" w:type="dxa"/>
            <w:shd w:val="clear" w:color="auto" w:fill="9CC2E5" w:themeFill="accent1" w:themeFillTint="99"/>
            <w:vAlign w:val="center"/>
          </w:tcPr>
          <w:p w14:paraId="7C26BB51"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 51 </w:t>
            </w:r>
          </w:p>
        </w:tc>
        <w:tc>
          <w:tcPr>
            <w:tcW w:w="1063" w:type="dxa"/>
            <w:shd w:val="clear" w:color="auto" w:fill="9CC2E5" w:themeFill="accent1" w:themeFillTint="99"/>
            <w:vAlign w:val="center"/>
          </w:tcPr>
          <w:p w14:paraId="74ED0CEE" w14:textId="77777777" w:rsidR="007A5007" w:rsidRPr="00084C8C" w:rsidRDefault="007A5007" w:rsidP="007F119D">
            <w:pPr>
              <w:spacing w:line="276" w:lineRule="auto"/>
              <w:jc w:val="right"/>
              <w:rPr>
                <w:rFonts w:asciiTheme="majorHAnsi" w:hAnsiTheme="majorHAnsi"/>
                <w:i/>
                <w:iCs/>
                <w:sz w:val="16"/>
                <w:szCs w:val="16"/>
              </w:rPr>
            </w:pPr>
            <w:r w:rsidRPr="00084C8C">
              <w:rPr>
                <w:rFonts w:asciiTheme="majorHAnsi" w:hAnsiTheme="majorHAnsi"/>
                <w:i/>
                <w:iCs/>
                <w:sz w:val="16"/>
                <w:szCs w:val="16"/>
              </w:rPr>
              <w:t xml:space="preserve">(50.7) </w:t>
            </w:r>
          </w:p>
        </w:tc>
        <w:tc>
          <w:tcPr>
            <w:tcW w:w="2716" w:type="dxa"/>
            <w:shd w:val="clear" w:color="auto" w:fill="9CC2E5" w:themeFill="accent1" w:themeFillTint="99"/>
          </w:tcPr>
          <w:p w14:paraId="45160610" w14:textId="77777777" w:rsidR="007A5007" w:rsidRPr="00084C8C" w:rsidRDefault="007A5007" w:rsidP="007F119D">
            <w:pPr>
              <w:spacing w:line="276" w:lineRule="auto"/>
              <w:jc w:val="right"/>
              <w:rPr>
                <w:rFonts w:asciiTheme="majorHAnsi" w:hAnsiTheme="majorHAnsi"/>
                <w:i/>
                <w:iCs/>
                <w:sz w:val="16"/>
                <w:szCs w:val="16"/>
              </w:rPr>
            </w:pPr>
          </w:p>
        </w:tc>
      </w:tr>
    </w:tbl>
    <w:bookmarkEnd w:id="0"/>
    <w:p w14:paraId="2FB0DB19" w14:textId="77777777" w:rsidR="007A5007" w:rsidRPr="008D4A2A" w:rsidRDefault="00BF575F" w:rsidP="007A5007">
      <w:pPr>
        <w:spacing w:after="240" w:line="276" w:lineRule="auto"/>
        <w:ind w:left="708"/>
        <w:jc w:val="both"/>
        <w:rPr>
          <w:rFonts w:asciiTheme="majorHAnsi" w:hAnsiTheme="majorHAnsi"/>
          <w:sz w:val="20"/>
          <w:szCs w:val="20"/>
        </w:rPr>
      </w:pPr>
      <w:r>
        <w:rPr>
          <w:rFonts w:asciiTheme="majorHAnsi" w:hAnsiTheme="majorHAnsi"/>
          <w:sz w:val="20"/>
          <w:szCs w:val="20"/>
        </w:rPr>
        <w:t xml:space="preserve"> </w:t>
      </w:r>
    </w:p>
    <w:p w14:paraId="2ED21557" w14:textId="77777777" w:rsidR="007A5007" w:rsidRDefault="00BF575F" w:rsidP="009D76A2">
      <w:pPr>
        <w:pStyle w:val="ListParagraph"/>
        <w:spacing w:after="200" w:line="360" w:lineRule="auto"/>
        <w:jc w:val="both"/>
        <w:rPr>
          <w:rFonts w:cstheme="minorHAnsi"/>
          <w:sz w:val="24"/>
          <w:szCs w:val="24"/>
        </w:rPr>
      </w:pPr>
      <w:r>
        <w:rPr>
          <w:rFonts w:cstheme="minorHAnsi"/>
          <w:sz w:val="24"/>
          <w:szCs w:val="24"/>
        </w:rPr>
        <w:t>This is an example of Zambia’s Revenues that are paid by mining Companies to Government and how much Government receives from mining Companies comparisons of 2020 and 2021.</w:t>
      </w:r>
    </w:p>
    <w:p w14:paraId="4C897A7B" w14:textId="77777777" w:rsidR="00BF575F" w:rsidRDefault="00BF575F" w:rsidP="009D76A2">
      <w:pPr>
        <w:pStyle w:val="ListParagraph"/>
        <w:spacing w:after="200" w:line="360" w:lineRule="auto"/>
        <w:jc w:val="both"/>
        <w:rPr>
          <w:rFonts w:cstheme="minorHAnsi"/>
          <w:sz w:val="24"/>
          <w:szCs w:val="24"/>
        </w:rPr>
      </w:pPr>
      <w:r>
        <w:rPr>
          <w:rFonts w:cstheme="minorHAnsi"/>
          <w:sz w:val="24"/>
          <w:szCs w:val="24"/>
        </w:rPr>
        <w:t>When you look at the figures what the mining Companies is far lesser than the profits that they accumulate from their Sales.</w:t>
      </w:r>
    </w:p>
    <w:p w14:paraId="512C8C49" w14:textId="77777777" w:rsidR="00BF575F" w:rsidRDefault="00BF575F" w:rsidP="009D76A2">
      <w:pPr>
        <w:pStyle w:val="ListParagraph"/>
        <w:spacing w:after="200" w:line="360" w:lineRule="auto"/>
        <w:jc w:val="both"/>
        <w:rPr>
          <w:rFonts w:cstheme="minorHAnsi"/>
          <w:sz w:val="24"/>
          <w:szCs w:val="24"/>
        </w:rPr>
      </w:pPr>
      <w:r>
        <w:rPr>
          <w:rFonts w:cstheme="minorHAnsi"/>
          <w:sz w:val="24"/>
          <w:szCs w:val="24"/>
        </w:rPr>
        <w:t>NOTE: Actually I’m one of the 6 proxies in the EITI MSG Member in Zambia and in total we are 12 MSG Members.</w:t>
      </w:r>
    </w:p>
    <w:p w14:paraId="350EB0ED" w14:textId="77777777" w:rsidR="00BF575F" w:rsidRDefault="00BF575F" w:rsidP="009D76A2">
      <w:pPr>
        <w:pStyle w:val="ListParagraph"/>
        <w:spacing w:after="200" w:line="360" w:lineRule="auto"/>
        <w:jc w:val="both"/>
        <w:rPr>
          <w:rFonts w:cstheme="minorHAnsi"/>
          <w:sz w:val="24"/>
          <w:szCs w:val="24"/>
        </w:rPr>
      </w:pPr>
      <w:r>
        <w:rPr>
          <w:rFonts w:cstheme="minorHAnsi"/>
          <w:sz w:val="24"/>
          <w:szCs w:val="24"/>
        </w:rPr>
        <w:t>This qualifies your mention of calling were income as Revenues which is an error and a big loss.</w:t>
      </w:r>
    </w:p>
    <w:p w14:paraId="0FA636DD" w14:textId="77777777" w:rsidR="00BF575F" w:rsidRDefault="00BF575F" w:rsidP="00BF575F">
      <w:pPr>
        <w:pStyle w:val="ListParagraph"/>
        <w:numPr>
          <w:ilvl w:val="0"/>
          <w:numId w:val="1"/>
        </w:numPr>
        <w:spacing w:after="200" w:line="360" w:lineRule="auto"/>
        <w:jc w:val="both"/>
        <w:rPr>
          <w:rFonts w:cstheme="minorHAnsi"/>
          <w:sz w:val="24"/>
          <w:szCs w:val="24"/>
        </w:rPr>
      </w:pPr>
      <w:r>
        <w:rPr>
          <w:rFonts w:cstheme="minorHAnsi"/>
          <w:sz w:val="24"/>
          <w:szCs w:val="24"/>
        </w:rPr>
        <w:t>OPPORTUNITY TO USE THE MINERAL FOR USEFUL THINGS</w:t>
      </w:r>
    </w:p>
    <w:p w14:paraId="769369B0" w14:textId="77777777" w:rsidR="007E5D2B" w:rsidRDefault="007E5D2B" w:rsidP="007E5D2B">
      <w:pPr>
        <w:pStyle w:val="ListParagraph"/>
        <w:spacing w:after="200" w:line="360" w:lineRule="auto"/>
        <w:jc w:val="both"/>
        <w:rPr>
          <w:rFonts w:cstheme="minorHAnsi"/>
          <w:sz w:val="24"/>
          <w:szCs w:val="24"/>
        </w:rPr>
      </w:pPr>
      <w:r>
        <w:rPr>
          <w:rFonts w:cstheme="minorHAnsi"/>
          <w:sz w:val="24"/>
          <w:szCs w:val="24"/>
        </w:rPr>
        <w:t>The opportunity that we have to ensure intergeneration Equity to benefit from our Minerals to promote the Value addition our Minerals into finished Products that we are able to export and earn enough revenues to support our Children in the Comprehensive Education for all.</w:t>
      </w:r>
    </w:p>
    <w:p w14:paraId="104A87FE" w14:textId="77777777" w:rsidR="00BF575F" w:rsidRPr="009D76A2" w:rsidRDefault="007E5D2B" w:rsidP="009D76A2">
      <w:pPr>
        <w:pStyle w:val="ListParagraph"/>
        <w:spacing w:after="200" w:line="360" w:lineRule="auto"/>
        <w:jc w:val="both"/>
        <w:rPr>
          <w:rFonts w:cstheme="minorHAnsi"/>
          <w:sz w:val="24"/>
          <w:szCs w:val="24"/>
        </w:rPr>
      </w:pPr>
      <w:r>
        <w:rPr>
          <w:rFonts w:cstheme="minorHAnsi"/>
          <w:sz w:val="24"/>
          <w:szCs w:val="24"/>
        </w:rPr>
        <w:t>Equally the promotion of Local Content so that local Mine Suppliers are supported fully rather depending mainly on foreign suppliers.</w:t>
      </w:r>
    </w:p>
    <w:p w14:paraId="164FC2EA" w14:textId="77777777" w:rsidR="007E5D2B" w:rsidRDefault="007E5D2B" w:rsidP="007E5D2B">
      <w:pPr>
        <w:pStyle w:val="Heading2"/>
        <w:ind w:left="737" w:hanging="737"/>
        <w:rPr>
          <w:b/>
          <w:i/>
          <w:caps/>
        </w:rPr>
      </w:pPr>
      <w:r w:rsidRPr="008D4A2A">
        <w:rPr>
          <w:i/>
        </w:rPr>
        <w:t>Re</w:t>
      </w:r>
      <w:r>
        <w:rPr>
          <w:i/>
        </w:rPr>
        <w:t>commendations</w:t>
      </w:r>
    </w:p>
    <w:p w14:paraId="0CF541DC" w14:textId="77777777" w:rsidR="007E5D2B" w:rsidRPr="009B4998" w:rsidRDefault="007E5D2B" w:rsidP="007E5D2B">
      <w:pPr>
        <w:spacing w:line="276" w:lineRule="auto"/>
        <w:ind w:left="567"/>
        <w:jc w:val="both"/>
        <w:rPr>
          <w:sz w:val="20"/>
          <w:szCs w:val="20"/>
        </w:rPr>
      </w:pPr>
      <w:r>
        <w:rPr>
          <w:sz w:val="20"/>
          <w:szCs w:val="20"/>
        </w:rPr>
        <w:t>I have provided th</w:t>
      </w:r>
      <w:r w:rsidRPr="009B4998">
        <w:rPr>
          <w:sz w:val="20"/>
          <w:szCs w:val="20"/>
        </w:rPr>
        <w:t xml:space="preserve">e </w:t>
      </w:r>
      <w:r>
        <w:rPr>
          <w:sz w:val="20"/>
          <w:szCs w:val="20"/>
        </w:rPr>
        <w:t xml:space="preserve">following </w:t>
      </w:r>
      <w:r w:rsidRPr="009B4998">
        <w:rPr>
          <w:sz w:val="20"/>
          <w:szCs w:val="20"/>
        </w:rPr>
        <w:t xml:space="preserve">recommendations </w:t>
      </w:r>
      <w:r>
        <w:rPr>
          <w:sz w:val="20"/>
          <w:szCs w:val="20"/>
        </w:rPr>
        <w:t>on what we would like to see happen in our mining sector</w:t>
      </w:r>
      <w:r w:rsidRPr="009B4998">
        <w:rPr>
          <w:sz w:val="20"/>
          <w:szCs w:val="20"/>
        </w:rPr>
        <w:t>:</w:t>
      </w:r>
      <w:r>
        <w:rPr>
          <w:sz w:val="20"/>
          <w:szCs w:val="20"/>
        </w:rPr>
        <w:tab/>
      </w:r>
      <w:r>
        <w:rPr>
          <w:sz w:val="20"/>
          <w:szCs w:val="20"/>
        </w:rPr>
        <w:tab/>
      </w:r>
    </w:p>
    <w:p w14:paraId="37EC46E6" w14:textId="77777777" w:rsidR="007E5D2B" w:rsidRPr="004B2D15" w:rsidRDefault="007E5D2B" w:rsidP="007E5D2B">
      <w:pPr>
        <w:pStyle w:val="ListParagraph"/>
        <w:numPr>
          <w:ilvl w:val="0"/>
          <w:numId w:val="11"/>
        </w:numPr>
        <w:autoSpaceDE w:val="0"/>
        <w:autoSpaceDN w:val="0"/>
        <w:adjustRightInd w:val="0"/>
        <w:spacing w:after="120" w:line="276" w:lineRule="auto"/>
        <w:contextualSpacing w:val="0"/>
        <w:jc w:val="both"/>
      </w:pPr>
      <w:r w:rsidRPr="004B2D15">
        <w:t xml:space="preserve">Improvements </w:t>
      </w:r>
      <w:r>
        <w:t>to</w:t>
      </w:r>
      <w:r w:rsidRPr="004B2D15">
        <w:t xml:space="preserve"> the beneficial ownership information management</w:t>
      </w:r>
    </w:p>
    <w:p w14:paraId="7E68C54F" w14:textId="77777777" w:rsidR="007E5D2B" w:rsidRPr="004B2D15" w:rsidRDefault="007E5D2B" w:rsidP="007E5D2B">
      <w:pPr>
        <w:pStyle w:val="ListParagraph"/>
        <w:numPr>
          <w:ilvl w:val="0"/>
          <w:numId w:val="11"/>
        </w:numPr>
        <w:autoSpaceDE w:val="0"/>
        <w:autoSpaceDN w:val="0"/>
        <w:adjustRightInd w:val="0"/>
        <w:spacing w:after="120" w:line="276" w:lineRule="auto"/>
        <w:contextualSpacing w:val="0"/>
        <w:jc w:val="both"/>
      </w:pPr>
      <w:r w:rsidRPr="004B2D15">
        <w:t xml:space="preserve">Improvements </w:t>
      </w:r>
      <w:r>
        <w:t>to</w:t>
      </w:r>
      <w:r w:rsidRPr="004B2D15">
        <w:t xml:space="preserve"> the MOSES system (Mineral Output Statistical Evaluation System)</w:t>
      </w:r>
    </w:p>
    <w:p w14:paraId="14666D26" w14:textId="77777777" w:rsidR="007E5D2B" w:rsidRPr="004B2D15" w:rsidRDefault="007E5D2B" w:rsidP="007E5D2B">
      <w:pPr>
        <w:pStyle w:val="ListParagraph"/>
        <w:numPr>
          <w:ilvl w:val="0"/>
          <w:numId w:val="11"/>
        </w:numPr>
        <w:autoSpaceDE w:val="0"/>
        <w:autoSpaceDN w:val="0"/>
        <w:adjustRightInd w:val="0"/>
        <w:spacing w:after="120" w:line="276" w:lineRule="auto"/>
        <w:contextualSpacing w:val="0"/>
        <w:jc w:val="both"/>
      </w:pPr>
      <w:r w:rsidRPr="004B2D15">
        <w:t xml:space="preserve">Improvements </w:t>
      </w:r>
      <w:r>
        <w:t>in</w:t>
      </w:r>
      <w:r w:rsidRPr="004B2D15">
        <w:t xml:space="preserve"> the licence allocation</w:t>
      </w:r>
    </w:p>
    <w:p w14:paraId="3876119D" w14:textId="77777777" w:rsidR="007E5D2B" w:rsidRPr="004B2D15" w:rsidRDefault="007E5D2B" w:rsidP="007E5D2B">
      <w:pPr>
        <w:pStyle w:val="ListParagraph"/>
        <w:numPr>
          <w:ilvl w:val="0"/>
          <w:numId w:val="11"/>
        </w:numPr>
        <w:autoSpaceDE w:val="0"/>
        <w:autoSpaceDN w:val="0"/>
        <w:adjustRightInd w:val="0"/>
        <w:spacing w:after="120" w:line="276" w:lineRule="auto"/>
        <w:contextualSpacing w:val="0"/>
        <w:jc w:val="both"/>
      </w:pPr>
      <w:r w:rsidRPr="004B2D15">
        <w:t xml:space="preserve">Improvements </w:t>
      </w:r>
      <w:r>
        <w:t>to</w:t>
      </w:r>
      <w:r w:rsidRPr="004B2D15">
        <w:t xml:space="preserve"> the Environmental Protection Fun</w:t>
      </w:r>
      <w:r>
        <w:t>d</w:t>
      </w:r>
      <w:r w:rsidRPr="004B2D15">
        <w:t xml:space="preserve"> Management</w:t>
      </w:r>
    </w:p>
    <w:p w14:paraId="248E8077" w14:textId="77777777" w:rsidR="007E5D2B" w:rsidRPr="004B2D15" w:rsidRDefault="007E5D2B" w:rsidP="007E5D2B">
      <w:pPr>
        <w:pStyle w:val="ListParagraph"/>
        <w:numPr>
          <w:ilvl w:val="0"/>
          <w:numId w:val="11"/>
        </w:numPr>
        <w:autoSpaceDE w:val="0"/>
        <w:autoSpaceDN w:val="0"/>
        <w:adjustRightInd w:val="0"/>
        <w:spacing w:after="120" w:line="276" w:lineRule="auto"/>
        <w:contextualSpacing w:val="0"/>
        <w:jc w:val="both"/>
      </w:pPr>
      <w:r w:rsidRPr="004B2D15">
        <w:t xml:space="preserve">Improvements </w:t>
      </w:r>
      <w:r>
        <w:t>to</w:t>
      </w:r>
      <w:r w:rsidRPr="004B2D15">
        <w:t xml:space="preserve"> the Zambia Revenue Authority on Mining Data Management</w:t>
      </w:r>
    </w:p>
    <w:p w14:paraId="09E31333" w14:textId="77777777" w:rsidR="007E5D2B" w:rsidRDefault="007E5D2B" w:rsidP="005D62D7">
      <w:pPr>
        <w:pStyle w:val="ListParagraph"/>
        <w:numPr>
          <w:ilvl w:val="0"/>
          <w:numId w:val="11"/>
        </w:numPr>
        <w:autoSpaceDE w:val="0"/>
        <w:autoSpaceDN w:val="0"/>
        <w:adjustRightInd w:val="0"/>
        <w:spacing w:after="120" w:line="276" w:lineRule="auto"/>
        <w:contextualSpacing w:val="0"/>
        <w:jc w:val="both"/>
      </w:pPr>
      <w:r w:rsidRPr="004B2D15">
        <w:t>Follow up on previous EITI recommendations</w:t>
      </w:r>
      <w:r>
        <w:t xml:space="preserve"> and Validation</w:t>
      </w:r>
    </w:p>
    <w:p w14:paraId="67644751" w14:textId="77777777" w:rsidR="007E5D2B" w:rsidRDefault="007E5D2B" w:rsidP="007E5D2B">
      <w:pPr>
        <w:pStyle w:val="ListParagraph"/>
        <w:numPr>
          <w:ilvl w:val="0"/>
          <w:numId w:val="11"/>
        </w:numPr>
        <w:autoSpaceDE w:val="0"/>
        <w:autoSpaceDN w:val="0"/>
        <w:adjustRightInd w:val="0"/>
        <w:spacing w:after="120" w:line="276" w:lineRule="auto"/>
        <w:contextualSpacing w:val="0"/>
        <w:jc w:val="both"/>
      </w:pPr>
      <w:r>
        <w:t>Follow up to the Office of Auditor General’s  special report on parastatals and MNEs</w:t>
      </w:r>
    </w:p>
    <w:p w14:paraId="0D10ECAF" w14:textId="77777777" w:rsidR="007E5D2B" w:rsidRDefault="007E5D2B" w:rsidP="007E5D2B">
      <w:pPr>
        <w:pStyle w:val="ListParagraph"/>
        <w:numPr>
          <w:ilvl w:val="0"/>
          <w:numId w:val="1"/>
        </w:numPr>
        <w:autoSpaceDE w:val="0"/>
        <w:autoSpaceDN w:val="0"/>
        <w:adjustRightInd w:val="0"/>
        <w:spacing w:after="120" w:line="276" w:lineRule="auto"/>
        <w:jc w:val="both"/>
      </w:pPr>
      <w:r>
        <w:t xml:space="preserve">  </w:t>
      </w:r>
      <w:r w:rsidR="00E74A75">
        <w:t>DEVELOP OTHER ASPECTS OF THE SOCIETY</w:t>
      </w:r>
    </w:p>
    <w:p w14:paraId="5D54AB85" w14:textId="77777777" w:rsidR="00E74A75" w:rsidRDefault="00E74A75" w:rsidP="00E74A75">
      <w:pPr>
        <w:pStyle w:val="ListParagraph"/>
        <w:autoSpaceDE w:val="0"/>
        <w:autoSpaceDN w:val="0"/>
        <w:adjustRightInd w:val="0"/>
        <w:spacing w:after="120" w:line="276" w:lineRule="auto"/>
        <w:ind w:left="975"/>
        <w:jc w:val="both"/>
      </w:pPr>
      <w:r>
        <w:t>CORPORATE SOCIAL RESPONSBILITY</w:t>
      </w:r>
    </w:p>
    <w:p w14:paraId="14450521" w14:textId="77777777" w:rsidR="00E74A75" w:rsidRDefault="00E74A75" w:rsidP="00E74A75">
      <w:pPr>
        <w:pStyle w:val="ListParagraph"/>
        <w:numPr>
          <w:ilvl w:val="0"/>
          <w:numId w:val="12"/>
        </w:numPr>
      </w:pPr>
      <w:r w:rsidRPr="00141663">
        <w:rPr>
          <w:b/>
        </w:rPr>
        <w:t>CSR is Voluntary –</w:t>
      </w:r>
      <w:r w:rsidRPr="00141663">
        <w:t>This is a problem because Copper is ours God planted the Minerals</w:t>
      </w:r>
      <w:r>
        <w:t xml:space="preserve"> in the Soil </w:t>
      </w:r>
      <w:r w:rsidRPr="00141663">
        <w:t xml:space="preserve">so that we can enrich ourselves however </w:t>
      </w:r>
      <w:r>
        <w:t xml:space="preserve">they are </w:t>
      </w:r>
      <w:r w:rsidRPr="00141663">
        <w:t>Good and Bad</w:t>
      </w:r>
      <w:r w:rsidRPr="00141663">
        <w:rPr>
          <w:b/>
        </w:rPr>
        <w:t xml:space="preserve"> </w:t>
      </w:r>
      <w:r w:rsidRPr="00141663">
        <w:t>guys in the Extractive</w:t>
      </w:r>
      <w:r w:rsidRPr="00141663">
        <w:rPr>
          <w:b/>
        </w:rPr>
        <w:t xml:space="preserve"> </w:t>
      </w:r>
      <w:r w:rsidRPr="00141663">
        <w:t xml:space="preserve">Industry. </w:t>
      </w:r>
      <w:r>
        <w:t>‘</w:t>
      </w:r>
      <w:r w:rsidRPr="00141663">
        <w:rPr>
          <w:b/>
        </w:rPr>
        <w:t>There must be a win</w:t>
      </w:r>
      <w:r w:rsidRPr="00141663">
        <w:t xml:space="preserve"> </w:t>
      </w:r>
      <w:proofErr w:type="spellStart"/>
      <w:r w:rsidRPr="00141663">
        <w:rPr>
          <w:b/>
        </w:rPr>
        <w:t>win</w:t>
      </w:r>
      <w:proofErr w:type="spellEnd"/>
      <w:r w:rsidRPr="00141663">
        <w:rPr>
          <w:b/>
        </w:rPr>
        <w:t xml:space="preserve"> situation and not a Win lose situation.</w:t>
      </w:r>
      <w:r>
        <w:rPr>
          <w:b/>
        </w:rPr>
        <w:t xml:space="preserve"> </w:t>
      </w:r>
      <w:r w:rsidRPr="00141663">
        <w:t xml:space="preserve">In Botswana it is called Corporate </w:t>
      </w:r>
      <w:r>
        <w:t xml:space="preserve">Social </w:t>
      </w:r>
      <w:r w:rsidRPr="00141663">
        <w:t>Investment and Mining Companies give Monies direct to Community Projects</w:t>
      </w:r>
      <w:r>
        <w:rPr>
          <w:b/>
        </w:rPr>
        <w:t xml:space="preserve"> </w:t>
      </w:r>
      <w:r w:rsidRPr="00141663">
        <w:t>and it is sustainable.</w:t>
      </w:r>
      <w:r>
        <w:t xml:space="preserve"> Mopani pays little revenues to Mufulira and Kitwe Councils in terms Property Rates and Business Fees respectively. Extractive Industries Transparency Initiative (EITI} Reports indicates payments to Government annually. DeCoP is one of the Alternate Member of EITI we were elected 3 Months ago among 12 Members in the Country. We verify payments that goes to Government Coffers and counter check how much Mining Companies actually pays, thereafter we make follow up where the Money goes. </w:t>
      </w:r>
    </w:p>
    <w:p w14:paraId="36E28779" w14:textId="77777777" w:rsidR="00E74A75" w:rsidRDefault="00E74A75" w:rsidP="00E74A75">
      <w:pPr>
        <w:pStyle w:val="ListParagraph"/>
        <w:numPr>
          <w:ilvl w:val="0"/>
          <w:numId w:val="12"/>
        </w:numPr>
        <w:rPr>
          <w:b/>
        </w:rPr>
      </w:pPr>
      <w:r w:rsidRPr="00F45ED2">
        <w:rPr>
          <w:b/>
        </w:rPr>
        <w:t>TAXATION</w:t>
      </w:r>
      <w:r>
        <w:rPr>
          <w:b/>
        </w:rPr>
        <w:t xml:space="preserve"> </w:t>
      </w:r>
    </w:p>
    <w:p w14:paraId="2B74078C" w14:textId="77777777" w:rsidR="00594298" w:rsidRDefault="00594298" w:rsidP="00594298">
      <w:pPr>
        <w:pStyle w:val="ListParagraph"/>
        <w:numPr>
          <w:ilvl w:val="0"/>
          <w:numId w:val="12"/>
        </w:numPr>
        <w:rPr>
          <w:b/>
        </w:rPr>
      </w:pPr>
      <w:r w:rsidRPr="00F45ED2">
        <w:rPr>
          <w:b/>
        </w:rPr>
        <w:t>Publication by Oxfam on the Estimates Tax Revenue gains from addressing Profit shifting or revising profit allocation Rules. A case study of Mopani Copper Mines. Published on December 9</w:t>
      </w:r>
      <w:r w:rsidRPr="00F45ED2">
        <w:rPr>
          <w:b/>
          <w:vertAlign w:val="superscript"/>
        </w:rPr>
        <w:t>th</w:t>
      </w:r>
      <w:r w:rsidRPr="00F45ED2">
        <w:rPr>
          <w:b/>
        </w:rPr>
        <w:t xml:space="preserve"> 2021</w:t>
      </w:r>
    </w:p>
    <w:p w14:paraId="1D52507E" w14:textId="77777777" w:rsidR="00594298" w:rsidRDefault="00594298" w:rsidP="00594298">
      <w:pPr>
        <w:pStyle w:val="ListParagraph"/>
        <w:numPr>
          <w:ilvl w:val="0"/>
          <w:numId w:val="12"/>
        </w:numPr>
        <w:rPr>
          <w:b/>
        </w:rPr>
      </w:pPr>
      <w:r>
        <w:rPr>
          <w:b/>
        </w:rPr>
        <w:t xml:space="preserve"> (Summary}  The report presents a Quantitative Tax analysis to determine the Potential level of Mopani’s profit shifting (and of foregone Zambian Tax Revenue}</w:t>
      </w:r>
    </w:p>
    <w:p w14:paraId="79E6A1F3" w14:textId="77777777" w:rsidR="00594298" w:rsidRDefault="00594298" w:rsidP="00594298">
      <w:pPr>
        <w:pStyle w:val="ListParagraph"/>
        <w:numPr>
          <w:ilvl w:val="0"/>
          <w:numId w:val="12"/>
        </w:numPr>
        <w:rPr>
          <w:b/>
        </w:rPr>
      </w:pPr>
      <w:r>
        <w:rPr>
          <w:b/>
        </w:rPr>
        <w:t xml:space="preserve">Determining the true level of profit is a complex and imprecise exercise .The report relies on several methods for estimating Mopani’s profits, using taxable profit allocation principles contained in both existing tax rules using Transfer Pricing methods as well as proposed alternative rules to allocate profits and Tax via formulary apportionment. </w:t>
      </w:r>
    </w:p>
    <w:p w14:paraId="1FDFDF9D" w14:textId="77777777" w:rsidR="00594298" w:rsidRDefault="00594298" w:rsidP="00594298">
      <w:pPr>
        <w:pStyle w:val="ListParagraph"/>
        <w:numPr>
          <w:ilvl w:val="0"/>
          <w:numId w:val="12"/>
        </w:numPr>
        <w:rPr>
          <w:b/>
        </w:rPr>
      </w:pPr>
      <w:r>
        <w:rPr>
          <w:b/>
        </w:rPr>
        <w:t>The estimated profit shifting has potentially significant in income tax implications, both for Mopani and for Zambia. Based on Oxfam estimates, Zambia should have been collecting up to US $ 102 Million per year in extra in Income Taxes from Mopani .That is more than half of Zambia’s National Water supply and Sanitation Budget for 2020.</w:t>
      </w:r>
    </w:p>
    <w:p w14:paraId="6A925915" w14:textId="77777777" w:rsidR="00594298" w:rsidRDefault="00594298" w:rsidP="00594298">
      <w:pPr>
        <w:tabs>
          <w:tab w:val="left" w:pos="567"/>
          <w:tab w:val="left" w:pos="709"/>
        </w:tabs>
        <w:spacing w:line="276" w:lineRule="auto"/>
        <w:jc w:val="both"/>
        <w:rPr>
          <w:b/>
        </w:rPr>
      </w:pPr>
      <w:r>
        <w:rPr>
          <w:b/>
        </w:rPr>
        <w:t xml:space="preserve">      </w:t>
      </w:r>
      <w:proofErr w:type="gramStart"/>
      <w:r>
        <w:rPr>
          <w:b/>
        </w:rPr>
        <w:t>6 .</w:t>
      </w:r>
      <w:proofErr w:type="gramEnd"/>
      <w:r>
        <w:rPr>
          <w:b/>
        </w:rPr>
        <w:t xml:space="preserve">        CONCLUSION</w:t>
      </w:r>
    </w:p>
    <w:p w14:paraId="0B706CAC" w14:textId="77777777" w:rsidR="00594298" w:rsidRDefault="00594298" w:rsidP="00594298">
      <w:pPr>
        <w:tabs>
          <w:tab w:val="left" w:pos="567"/>
          <w:tab w:val="left" w:pos="709"/>
        </w:tabs>
        <w:spacing w:line="276" w:lineRule="auto"/>
        <w:jc w:val="both"/>
        <w:rPr>
          <w:b/>
        </w:rPr>
      </w:pPr>
      <w:r>
        <w:rPr>
          <w:b/>
        </w:rPr>
        <w:t xml:space="preserve">                    My responses on behalf of my Organization Development Education Community  Project on intergeneration equity is that the extraction of Oil, Gas and Mineral as quoted is effectively the sale of our inheritance with Royalties and other proceeds being consideration paid in Exchange for the Mineral wealth Extracted. Unfortunately our Governments all over the World treat the proceeds obtained from selling their Mineral Wealth as revenues or Income is a crucial error.Im equally in support of the following Five Principles as illustrated.</w:t>
      </w:r>
    </w:p>
    <w:p w14:paraId="7305C77E" w14:textId="77777777" w:rsidR="007E5D2B" w:rsidRPr="00594298" w:rsidRDefault="00594298" w:rsidP="00594298">
      <w:pPr>
        <w:pStyle w:val="ListParagraph"/>
        <w:numPr>
          <w:ilvl w:val="0"/>
          <w:numId w:val="13"/>
        </w:numPr>
        <w:tabs>
          <w:tab w:val="left" w:pos="567"/>
          <w:tab w:val="left" w:pos="709"/>
        </w:tabs>
        <w:spacing w:line="276" w:lineRule="auto"/>
        <w:jc w:val="both"/>
        <w:rPr>
          <w:rFonts w:cs="Arial"/>
          <w:color w:val="C00000"/>
          <w:sz w:val="20"/>
          <w:szCs w:val="24"/>
        </w:rPr>
      </w:pPr>
      <w:r w:rsidRPr="00594298">
        <w:rPr>
          <w:b/>
        </w:rPr>
        <w:tab/>
      </w:r>
      <w:r>
        <w:rPr>
          <w:b/>
        </w:rPr>
        <w:t>Fair</w:t>
      </w:r>
    </w:p>
    <w:p w14:paraId="3FC311C7" w14:textId="77777777" w:rsidR="00594298" w:rsidRPr="00594298" w:rsidRDefault="00594298" w:rsidP="00594298">
      <w:pPr>
        <w:pStyle w:val="ListParagraph"/>
        <w:numPr>
          <w:ilvl w:val="0"/>
          <w:numId w:val="13"/>
        </w:numPr>
        <w:tabs>
          <w:tab w:val="left" w:pos="567"/>
          <w:tab w:val="left" w:pos="709"/>
        </w:tabs>
        <w:spacing w:line="276" w:lineRule="auto"/>
        <w:jc w:val="both"/>
        <w:rPr>
          <w:rFonts w:cs="Arial"/>
          <w:color w:val="C00000"/>
          <w:sz w:val="20"/>
          <w:szCs w:val="24"/>
        </w:rPr>
      </w:pPr>
      <w:r>
        <w:rPr>
          <w:b/>
        </w:rPr>
        <w:t xml:space="preserve">   Ethical</w:t>
      </w:r>
    </w:p>
    <w:p w14:paraId="398DD370" w14:textId="77777777" w:rsidR="00594298" w:rsidRPr="00594298" w:rsidRDefault="00594298" w:rsidP="00594298">
      <w:pPr>
        <w:pStyle w:val="ListParagraph"/>
        <w:numPr>
          <w:ilvl w:val="0"/>
          <w:numId w:val="13"/>
        </w:numPr>
        <w:tabs>
          <w:tab w:val="left" w:pos="567"/>
          <w:tab w:val="left" w:pos="709"/>
        </w:tabs>
        <w:spacing w:line="276" w:lineRule="auto"/>
        <w:jc w:val="both"/>
        <w:rPr>
          <w:rFonts w:cs="Arial"/>
          <w:color w:val="C00000"/>
          <w:sz w:val="20"/>
          <w:szCs w:val="24"/>
        </w:rPr>
      </w:pPr>
      <w:r>
        <w:rPr>
          <w:b/>
        </w:rPr>
        <w:t>Moral</w:t>
      </w:r>
    </w:p>
    <w:p w14:paraId="10F548DB" w14:textId="77777777" w:rsidR="00594298" w:rsidRPr="00594298" w:rsidRDefault="00594298" w:rsidP="00594298">
      <w:pPr>
        <w:pStyle w:val="ListParagraph"/>
        <w:numPr>
          <w:ilvl w:val="0"/>
          <w:numId w:val="13"/>
        </w:numPr>
        <w:tabs>
          <w:tab w:val="left" w:pos="567"/>
          <w:tab w:val="left" w:pos="709"/>
        </w:tabs>
        <w:spacing w:line="276" w:lineRule="auto"/>
        <w:jc w:val="both"/>
        <w:rPr>
          <w:rFonts w:cs="Arial"/>
          <w:color w:val="C00000"/>
          <w:sz w:val="20"/>
          <w:szCs w:val="24"/>
        </w:rPr>
      </w:pPr>
      <w:r>
        <w:rPr>
          <w:b/>
        </w:rPr>
        <w:t>Just and</w:t>
      </w:r>
    </w:p>
    <w:p w14:paraId="2CF8B2E1" w14:textId="77777777" w:rsidR="00594298" w:rsidRPr="00594298" w:rsidRDefault="00594298" w:rsidP="00594298">
      <w:pPr>
        <w:pStyle w:val="ListParagraph"/>
        <w:numPr>
          <w:ilvl w:val="0"/>
          <w:numId w:val="13"/>
        </w:numPr>
        <w:tabs>
          <w:tab w:val="left" w:pos="567"/>
          <w:tab w:val="left" w:pos="709"/>
        </w:tabs>
        <w:spacing w:line="276" w:lineRule="auto"/>
        <w:jc w:val="both"/>
        <w:rPr>
          <w:rFonts w:cs="Arial"/>
          <w:color w:val="C00000"/>
          <w:sz w:val="20"/>
          <w:szCs w:val="24"/>
        </w:rPr>
      </w:pPr>
      <w:r>
        <w:rPr>
          <w:b/>
        </w:rPr>
        <w:t xml:space="preserve">   Right</w:t>
      </w:r>
    </w:p>
    <w:p w14:paraId="2EB2CA2C" w14:textId="77777777" w:rsidR="00594298" w:rsidRPr="009D76A2" w:rsidRDefault="00594298" w:rsidP="00B93A75">
      <w:pPr>
        <w:autoSpaceDE w:val="0"/>
        <w:autoSpaceDN w:val="0"/>
        <w:adjustRightInd w:val="0"/>
        <w:spacing w:after="0" w:line="360" w:lineRule="auto"/>
        <w:jc w:val="both"/>
        <w:rPr>
          <w:rFonts w:cstheme="minorHAnsi"/>
          <w:sz w:val="24"/>
          <w:szCs w:val="24"/>
        </w:rPr>
      </w:pPr>
    </w:p>
    <w:p w14:paraId="1C02D626" w14:textId="77777777" w:rsidR="00B93A75" w:rsidRPr="009D76A2" w:rsidRDefault="00B93A75" w:rsidP="009D76A2">
      <w:pPr>
        <w:rPr>
          <w:rFonts w:cstheme="minorHAnsi"/>
          <w:sz w:val="24"/>
          <w:szCs w:val="24"/>
        </w:rPr>
      </w:pPr>
    </w:p>
    <w:sectPr w:rsidR="00B93A75" w:rsidRPr="009D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54"/>
    <w:multiLevelType w:val="hybridMultilevel"/>
    <w:tmpl w:val="37FAC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47BB"/>
    <w:multiLevelType w:val="hybridMultilevel"/>
    <w:tmpl w:val="45FC2BB0"/>
    <w:lvl w:ilvl="0" w:tplc="04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271E51FE"/>
    <w:multiLevelType w:val="hybridMultilevel"/>
    <w:tmpl w:val="75D6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718C"/>
    <w:multiLevelType w:val="hybridMultilevel"/>
    <w:tmpl w:val="8ED645BC"/>
    <w:lvl w:ilvl="0" w:tplc="89E6BB38">
      <w:start w:val="1"/>
      <w:numFmt w:val="upperRoman"/>
      <w:lvlText w:val="%1."/>
      <w:lvlJc w:val="right"/>
      <w:pPr>
        <w:ind w:left="1287" w:hanging="360"/>
      </w:pPr>
      <w:rPr>
        <w:rFonts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 w15:restartNumberingAfterBreak="0">
    <w:nsid w:val="33F74221"/>
    <w:multiLevelType w:val="hybridMultilevel"/>
    <w:tmpl w:val="57FA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27F0E"/>
    <w:multiLevelType w:val="hybridMultilevel"/>
    <w:tmpl w:val="192AE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0C6CFA"/>
    <w:multiLevelType w:val="hybridMultilevel"/>
    <w:tmpl w:val="19D6AF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547A4"/>
    <w:multiLevelType w:val="hybridMultilevel"/>
    <w:tmpl w:val="6DB076C6"/>
    <w:lvl w:ilvl="0" w:tplc="12047EA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011CF"/>
    <w:multiLevelType w:val="hybridMultilevel"/>
    <w:tmpl w:val="DC28862E"/>
    <w:lvl w:ilvl="0" w:tplc="7384FBB4">
      <w:start w:val="1"/>
      <w:numFmt w:val="lowerRoman"/>
      <w:lvlText w:val="%1)"/>
      <w:lvlJc w:val="left"/>
      <w:pPr>
        <w:ind w:left="1080" w:hanging="720"/>
      </w:pPr>
      <w:rPr>
        <w:rFonts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B7475"/>
    <w:multiLevelType w:val="hybridMultilevel"/>
    <w:tmpl w:val="1EB0C9D4"/>
    <w:lvl w:ilvl="0" w:tplc="0809000B">
      <w:start w:val="1"/>
      <w:numFmt w:val="bullet"/>
      <w:lvlText w:val=""/>
      <w:lvlJc w:val="left"/>
      <w:pPr>
        <w:ind w:left="975" w:hanging="360"/>
      </w:pPr>
      <w:rPr>
        <w:rFonts w:ascii="Wingdings" w:hAnsi="Wingding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5CE330E9"/>
    <w:multiLevelType w:val="hybridMultilevel"/>
    <w:tmpl w:val="5844B768"/>
    <w:lvl w:ilvl="0" w:tplc="8E9A1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05180"/>
    <w:multiLevelType w:val="hybridMultilevel"/>
    <w:tmpl w:val="5A5CF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162A9"/>
    <w:multiLevelType w:val="hybridMultilevel"/>
    <w:tmpl w:val="D2AEE45A"/>
    <w:lvl w:ilvl="0" w:tplc="251858D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7564200">
    <w:abstractNumId w:val="12"/>
  </w:num>
  <w:num w:numId="2" w16cid:durableId="803892451">
    <w:abstractNumId w:val="5"/>
  </w:num>
  <w:num w:numId="3" w16cid:durableId="76561148">
    <w:abstractNumId w:val="2"/>
  </w:num>
  <w:num w:numId="4" w16cid:durableId="318391931">
    <w:abstractNumId w:val="0"/>
  </w:num>
  <w:num w:numId="5" w16cid:durableId="342368372">
    <w:abstractNumId w:val="10"/>
  </w:num>
  <w:num w:numId="6" w16cid:durableId="282812555">
    <w:abstractNumId w:val="4"/>
  </w:num>
  <w:num w:numId="7" w16cid:durableId="1964267577">
    <w:abstractNumId w:val="1"/>
  </w:num>
  <w:num w:numId="8" w16cid:durableId="1083990623">
    <w:abstractNumId w:val="7"/>
  </w:num>
  <w:num w:numId="9" w16cid:durableId="583805008">
    <w:abstractNumId w:val="6"/>
  </w:num>
  <w:num w:numId="10" w16cid:durableId="1628510366">
    <w:abstractNumId w:val="11"/>
  </w:num>
  <w:num w:numId="11" w16cid:durableId="1312756710">
    <w:abstractNumId w:val="3"/>
  </w:num>
  <w:num w:numId="12" w16cid:durableId="1075279634">
    <w:abstractNumId w:val="9"/>
  </w:num>
  <w:num w:numId="13" w16cid:durableId="1538927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4"/>
    <w:rsid w:val="001B7F35"/>
    <w:rsid w:val="00594298"/>
    <w:rsid w:val="005D5330"/>
    <w:rsid w:val="007A5007"/>
    <w:rsid w:val="007E5D2B"/>
    <w:rsid w:val="00851475"/>
    <w:rsid w:val="0086544C"/>
    <w:rsid w:val="00940E2F"/>
    <w:rsid w:val="009D76A2"/>
    <w:rsid w:val="00AB66C9"/>
    <w:rsid w:val="00B04BF4"/>
    <w:rsid w:val="00B93A75"/>
    <w:rsid w:val="00BF575F"/>
    <w:rsid w:val="00E2185A"/>
    <w:rsid w:val="00E70D1C"/>
    <w:rsid w:val="00E7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7726"/>
  <w15:chartTrackingRefBased/>
  <w15:docId w15:val="{CD6BCCDD-A658-42C6-885A-C4E807D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3A7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Bullet Mary,List Paragraph (numbered (a)),body bullets,Liste 1,Paragraphe  revu,List Paragraph nowy,Numbered Paragraph"/>
    <w:basedOn w:val="Normal"/>
    <w:link w:val="ListParagraphChar"/>
    <w:uiPriority w:val="34"/>
    <w:qFormat/>
    <w:rsid w:val="00B04BF4"/>
    <w:pPr>
      <w:ind w:left="720"/>
      <w:contextualSpacing/>
    </w:pPr>
  </w:style>
  <w:style w:type="character" w:customStyle="1" w:styleId="Heading2Char">
    <w:name w:val="Heading 2 Char"/>
    <w:basedOn w:val="DefaultParagraphFont"/>
    <w:link w:val="Heading2"/>
    <w:uiPriority w:val="9"/>
    <w:rsid w:val="00B93A75"/>
    <w:rPr>
      <w:rFonts w:asciiTheme="majorHAnsi" w:eastAsiaTheme="majorEastAsia" w:hAnsiTheme="majorHAnsi" w:cstheme="majorBidi"/>
      <w:color w:val="2E74B5" w:themeColor="accent1" w:themeShade="BF"/>
      <w:sz w:val="26"/>
      <w:szCs w:val="26"/>
      <w:lang w:val="en-US"/>
    </w:rPr>
  </w:style>
  <w:style w:type="table" w:styleId="TableGrid">
    <w:name w:val="Table Grid"/>
    <w:aliases w:val="IPG Table 1"/>
    <w:basedOn w:val="TableNormal"/>
    <w:uiPriority w:val="39"/>
    <w:rsid w:val="007A500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s Char,List Bullet Mary Char,List Paragraph (numbered (a)) Char,body bullets Char,Liste 1 Char,Paragraphe  revu Char,List Paragraph nowy Char,Numbered Paragraph Char"/>
    <w:basedOn w:val="DefaultParagraphFont"/>
    <w:link w:val="ListParagraph"/>
    <w:uiPriority w:val="34"/>
    <w:rsid w:val="007E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78C0968-7E81-42A7-8050-FA5F7E7EC5C3}"/>
</file>

<file path=customXml/itemProps2.xml><?xml version="1.0" encoding="utf-8"?>
<ds:datastoreItem xmlns:ds="http://schemas.openxmlformats.org/officeDocument/2006/customXml" ds:itemID="{8B14D771-69B0-4F6C-8FE9-1763027C5487}"/>
</file>

<file path=customXml/itemProps3.xml><?xml version="1.0" encoding="utf-8"?>
<ds:datastoreItem xmlns:ds="http://schemas.openxmlformats.org/officeDocument/2006/customXml" ds:itemID="{7C39EB13-2E0B-4FD9-BF28-3EB5987AE799}"/>
</file>

<file path=docProps/app.xml><?xml version="1.0" encoding="utf-8"?>
<Properties xmlns="http://schemas.openxmlformats.org/officeDocument/2006/extended-properties" xmlns:vt="http://schemas.openxmlformats.org/officeDocument/2006/docPropsVTypes">
  <Template>Normal.dotm</Template>
  <TotalTime>1</TotalTime>
  <Pages>7</Pages>
  <Words>2252</Words>
  <Characters>12843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Mulila</dc:creator>
  <cp:keywords/>
  <dc:description/>
  <cp:lastModifiedBy>Sonia Cuesta</cp:lastModifiedBy>
  <cp:revision>2</cp:revision>
  <dcterms:created xsi:type="dcterms:W3CDTF">2023-05-31T18:56:00Z</dcterms:created>
  <dcterms:modified xsi:type="dcterms:W3CDTF">2023-05-31T18:56:00Z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