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C5F2" w14:textId="00D732AD" w:rsidR="007718AD" w:rsidRPr="00830104" w:rsidRDefault="007718AD" w:rsidP="00830104">
      <w:pPr>
        <w:jc w:val="both"/>
        <w:rPr>
          <w:rFonts w:asciiTheme="minorHAnsi" w:hAnsiTheme="minorHAnsi" w:cstheme="minorHAnsi"/>
          <w:sz w:val="24"/>
          <w:szCs w:val="24"/>
        </w:rPr>
      </w:pPr>
    </w:p>
    <w:p w14:paraId="5ABFB93D" w14:textId="490B4DD4" w:rsidR="00B40187" w:rsidRPr="00DF6BC1" w:rsidRDefault="00B40187" w:rsidP="00830104">
      <w:pPr>
        <w:jc w:val="right"/>
        <w:rPr>
          <w:rFonts w:asciiTheme="minorHAnsi" w:hAnsiTheme="minorHAnsi" w:cstheme="minorHAnsi"/>
          <w:sz w:val="24"/>
          <w:szCs w:val="24"/>
        </w:rPr>
      </w:pPr>
      <w:r w:rsidRPr="00DF6BC1">
        <w:rPr>
          <w:rFonts w:asciiTheme="minorHAnsi" w:hAnsiTheme="minorHAnsi" w:cstheme="minorHAnsi"/>
          <w:sz w:val="24"/>
          <w:szCs w:val="24"/>
        </w:rPr>
        <w:t>México, 29 de mayo de 2023</w:t>
      </w:r>
    </w:p>
    <w:p w14:paraId="55C8B8CD" w14:textId="682EF753" w:rsidR="00B40187" w:rsidRPr="00DF6BC1" w:rsidRDefault="00B40187" w:rsidP="00830104">
      <w:pPr>
        <w:jc w:val="right"/>
        <w:rPr>
          <w:rFonts w:asciiTheme="minorHAnsi" w:hAnsiTheme="minorHAnsi" w:cstheme="minorHAnsi"/>
          <w:sz w:val="24"/>
          <w:szCs w:val="24"/>
        </w:rPr>
      </w:pPr>
      <w:r w:rsidRPr="00DF6BC1">
        <w:rPr>
          <w:rFonts w:asciiTheme="minorHAnsi" w:hAnsiTheme="minorHAnsi" w:cstheme="minorHAnsi"/>
          <w:sz w:val="24"/>
          <w:szCs w:val="24"/>
        </w:rPr>
        <w:t xml:space="preserve">Dialogo, Innovación y Cambio (Dialógica) </w:t>
      </w:r>
    </w:p>
    <w:p w14:paraId="7799E974" w14:textId="77777777" w:rsidR="00830104" w:rsidRPr="00DF6BC1" w:rsidRDefault="00830104" w:rsidP="00830104">
      <w:pPr>
        <w:jc w:val="both"/>
        <w:rPr>
          <w:rFonts w:asciiTheme="minorHAnsi" w:hAnsiTheme="minorHAnsi" w:cstheme="minorHAnsi"/>
          <w:sz w:val="24"/>
          <w:szCs w:val="24"/>
        </w:rPr>
      </w:pPr>
    </w:p>
    <w:p w14:paraId="6CD30E81" w14:textId="33DB1AA5" w:rsidR="00354DBF" w:rsidRPr="00DF6BC1" w:rsidRDefault="00354DBF" w:rsidP="00830104">
      <w:pPr>
        <w:jc w:val="both"/>
        <w:rPr>
          <w:rFonts w:asciiTheme="minorHAnsi" w:hAnsiTheme="minorHAnsi" w:cstheme="minorHAnsi"/>
          <w:sz w:val="24"/>
          <w:szCs w:val="24"/>
        </w:rPr>
      </w:pPr>
      <w:r w:rsidRPr="00DF6BC1">
        <w:rPr>
          <w:rFonts w:asciiTheme="minorHAnsi" w:hAnsiTheme="minorHAnsi" w:cstheme="minorHAnsi"/>
          <w:sz w:val="24"/>
          <w:szCs w:val="24"/>
        </w:rPr>
        <w:t>Cuestionario extractivo</w:t>
      </w:r>
    </w:p>
    <w:p w14:paraId="199B1107" w14:textId="09F30858" w:rsidR="00354DBF" w:rsidRPr="00DF6BC1" w:rsidRDefault="00354DBF" w:rsidP="00830104">
      <w:pPr>
        <w:jc w:val="both"/>
        <w:rPr>
          <w:rFonts w:asciiTheme="minorHAnsi" w:hAnsiTheme="minorHAnsi" w:cstheme="minorHAnsi"/>
          <w:sz w:val="24"/>
          <w:szCs w:val="24"/>
        </w:rPr>
      </w:pPr>
      <w:r w:rsidRPr="00DF6BC1">
        <w:rPr>
          <w:rFonts w:asciiTheme="minorHAnsi" w:hAnsiTheme="minorHAnsi" w:cstheme="minorHAnsi"/>
          <w:sz w:val="24"/>
          <w:szCs w:val="24"/>
        </w:rPr>
        <w:t>Grupo de Trabajo sobre empresas y derechos humanos</w:t>
      </w:r>
    </w:p>
    <w:p w14:paraId="4B93BB09" w14:textId="60732D6C" w:rsidR="00354DBF" w:rsidRPr="00DF6BC1" w:rsidRDefault="00354DBF" w:rsidP="00830104">
      <w:pPr>
        <w:jc w:val="both"/>
        <w:rPr>
          <w:rFonts w:asciiTheme="minorHAnsi" w:hAnsiTheme="minorHAnsi" w:cstheme="minorHAnsi"/>
          <w:sz w:val="24"/>
          <w:szCs w:val="24"/>
        </w:rPr>
      </w:pPr>
      <w:r w:rsidRPr="00DF6BC1">
        <w:rPr>
          <w:rFonts w:asciiTheme="minorHAnsi" w:hAnsiTheme="minorHAnsi" w:cstheme="minorHAnsi"/>
          <w:sz w:val="24"/>
          <w:szCs w:val="24"/>
        </w:rPr>
        <w:t xml:space="preserve">Organización de las Naciones Unidas </w:t>
      </w:r>
    </w:p>
    <w:p w14:paraId="3DA279C0" w14:textId="1D259BB6" w:rsidR="00354DBF" w:rsidRPr="00DF6BC1" w:rsidRDefault="00354DBF" w:rsidP="00830104">
      <w:pPr>
        <w:jc w:val="both"/>
        <w:rPr>
          <w:rFonts w:asciiTheme="minorHAnsi" w:hAnsiTheme="minorHAnsi" w:cstheme="minorHAnsi"/>
          <w:sz w:val="24"/>
          <w:szCs w:val="24"/>
        </w:rPr>
      </w:pPr>
    </w:p>
    <w:p w14:paraId="46D34A3E" w14:textId="4BC12C51" w:rsidR="00354DBF" w:rsidRPr="00DF6BC1" w:rsidRDefault="00354DBF" w:rsidP="00830104">
      <w:pPr>
        <w:jc w:val="both"/>
        <w:rPr>
          <w:rFonts w:asciiTheme="minorHAnsi" w:hAnsiTheme="minorHAnsi" w:cstheme="minorHAnsi"/>
          <w:sz w:val="24"/>
          <w:szCs w:val="24"/>
        </w:rPr>
      </w:pPr>
      <w:r w:rsidRPr="00DF6BC1">
        <w:rPr>
          <w:rFonts w:asciiTheme="minorHAnsi" w:hAnsiTheme="minorHAnsi" w:cstheme="minorHAnsi"/>
          <w:sz w:val="24"/>
          <w:szCs w:val="24"/>
        </w:rPr>
        <w:t xml:space="preserve">Por el presente, nos complace presentar nuestra aportación al “llamado a contribuciones: Sector extractivo, transición justa y derechos humanos” con el objetivo de contribuir al Informe a ser presentado en el 78º periodo de sesiones de la Asamblea General de las Naciones Unidas en octubre de 2023. </w:t>
      </w:r>
    </w:p>
    <w:p w14:paraId="2B976CC9" w14:textId="6B35123D" w:rsidR="00354DBF" w:rsidRPr="00DF6BC1" w:rsidRDefault="00354DBF" w:rsidP="00830104">
      <w:pPr>
        <w:jc w:val="both"/>
        <w:rPr>
          <w:rFonts w:asciiTheme="minorHAnsi" w:hAnsiTheme="minorHAnsi" w:cstheme="minorHAnsi"/>
          <w:sz w:val="24"/>
          <w:szCs w:val="24"/>
        </w:rPr>
      </w:pPr>
    </w:p>
    <w:p w14:paraId="6E09A957" w14:textId="379F992A" w:rsidR="00354DBF" w:rsidRPr="00DF6BC1" w:rsidRDefault="00354DBF" w:rsidP="00830104">
      <w:pPr>
        <w:jc w:val="both"/>
        <w:rPr>
          <w:rFonts w:asciiTheme="minorHAnsi" w:hAnsiTheme="minorHAnsi" w:cstheme="minorHAnsi"/>
          <w:b/>
          <w:bCs/>
          <w:sz w:val="24"/>
          <w:szCs w:val="24"/>
        </w:rPr>
      </w:pPr>
      <w:r w:rsidRPr="00DF6BC1">
        <w:rPr>
          <w:rFonts w:asciiTheme="minorHAnsi" w:hAnsiTheme="minorHAnsi" w:cstheme="minorHAnsi"/>
          <w:b/>
          <w:bCs/>
          <w:sz w:val="24"/>
          <w:szCs w:val="24"/>
        </w:rPr>
        <w:t xml:space="preserve">Sobre Dialógica </w:t>
      </w:r>
    </w:p>
    <w:p w14:paraId="2DF6E97D" w14:textId="77777777" w:rsidR="00354DBF" w:rsidRPr="00354DBF" w:rsidRDefault="00354DBF" w:rsidP="00830104">
      <w:pPr>
        <w:spacing w:after="0" w:line="240" w:lineRule="auto"/>
        <w:jc w:val="both"/>
        <w:rPr>
          <w:rFonts w:asciiTheme="minorHAnsi" w:eastAsia="Times New Roman" w:hAnsiTheme="minorHAnsi" w:cstheme="minorHAnsi"/>
          <w:sz w:val="24"/>
          <w:szCs w:val="24"/>
        </w:rPr>
      </w:pPr>
      <w:r w:rsidRPr="00354DBF">
        <w:rPr>
          <w:rFonts w:asciiTheme="minorHAnsi" w:eastAsia="Times New Roman" w:hAnsiTheme="minorHAnsi" w:cstheme="minorHAnsi"/>
          <w:color w:val="000000"/>
          <w:sz w:val="24"/>
          <w:szCs w:val="24"/>
        </w:rPr>
        <w:t xml:space="preserve">Organización jóven fundada en 2018 por personas con una amplia experiencia en facilitación de diálogos, construcción de acuerdos y solución de conflictos a través del diálogo, y de la aplicación de técnicas y herramientas colaborativas que facilitan el entendimiento de las necesidades de las personas, organizaciones y partes interesadas. Diseñamos e implementamos modelos de trabajo sustentables a corto y a largo plazo para organizaciones o redes de colaboración utilizando modelos de gobernanza claros y visibles para todos los involucrados. Buscamos transversalizar enfoques de género, paz y derechos humanos en todas nuestras intervenciones. </w:t>
      </w:r>
    </w:p>
    <w:p w14:paraId="2B21DC8C" w14:textId="1751B00A" w:rsidR="00830104" w:rsidRPr="00830104" w:rsidRDefault="00830104" w:rsidP="00830104">
      <w:pPr>
        <w:shd w:val="clear" w:color="auto" w:fill="FFFFFF"/>
        <w:spacing w:before="240" w:after="200" w:line="240" w:lineRule="auto"/>
        <w:ind w:firstLine="720"/>
        <w:jc w:val="both"/>
        <w:rPr>
          <w:rFonts w:asciiTheme="minorHAnsi" w:eastAsia="Times New Roman" w:hAnsiTheme="minorHAnsi" w:cstheme="minorHAnsi"/>
          <w:sz w:val="24"/>
          <w:szCs w:val="24"/>
        </w:rPr>
      </w:pPr>
      <w:r w:rsidRPr="00DF6BC1">
        <w:rPr>
          <w:rFonts w:asciiTheme="minorHAnsi" w:eastAsia="Times New Roman" w:hAnsiTheme="minorHAnsi" w:cstheme="minorHAnsi"/>
          <w:color w:val="000000"/>
          <w:sz w:val="24"/>
          <w:szCs w:val="24"/>
        </w:rPr>
        <w:t>D</w:t>
      </w:r>
      <w:r w:rsidRPr="00830104">
        <w:rPr>
          <w:rFonts w:asciiTheme="minorHAnsi" w:eastAsia="Times New Roman" w:hAnsiTheme="minorHAnsi" w:cstheme="minorHAnsi"/>
          <w:color w:val="000000"/>
          <w:sz w:val="24"/>
          <w:szCs w:val="24"/>
        </w:rPr>
        <w:t>ialógica ha tenido experiencias en torno a proyectos de intervención y en relación con conflictos mineros. Uno de ellos fue en la intervención directa en un conflicto minero en la Amazonia de alta visibilidad mediática, como resultado de una contingencia ambiental. Dicha intervención tendió puentes de diálogo con todos los actores y permitió que la empresa minera estableciera un proceso de interlocución a largo plazo con los actores más agraviados.  Así como la consultoría para el diseño de un sistema de atención de la conflictividad en el sector minero y de un monitor regional de conflictividad minera en América Latina y el Caribe (ALC), impulsado por el Banco Interamericano de Desarrollo (BID) con el objetivo central de mejorar las capacidades institucionales para prevenir y gestionar la conflictividad relacionada con la actividad minera en la región.</w:t>
      </w:r>
    </w:p>
    <w:p w14:paraId="4D16B8C2" w14:textId="77777777" w:rsidR="00830104" w:rsidRPr="00830104" w:rsidRDefault="00830104" w:rsidP="00830104">
      <w:pPr>
        <w:spacing w:after="0" w:line="240" w:lineRule="auto"/>
        <w:rPr>
          <w:rFonts w:asciiTheme="minorHAnsi" w:eastAsia="Times New Roman" w:hAnsiTheme="minorHAnsi" w:cstheme="minorHAnsi"/>
          <w:sz w:val="24"/>
          <w:szCs w:val="24"/>
        </w:rPr>
      </w:pPr>
    </w:p>
    <w:p w14:paraId="00C3A56C" w14:textId="77777777" w:rsidR="00354DBF" w:rsidRPr="00DF6BC1" w:rsidRDefault="00354DBF" w:rsidP="00354DBF">
      <w:pPr>
        <w:rPr>
          <w:rFonts w:asciiTheme="minorHAnsi" w:hAnsiTheme="minorHAnsi" w:cstheme="minorHAnsi"/>
        </w:rPr>
      </w:pPr>
    </w:p>
    <w:p w14:paraId="703CDEB1" w14:textId="51B599BA" w:rsidR="00B40187" w:rsidRPr="00DF6BC1" w:rsidRDefault="00B40187" w:rsidP="00B40187">
      <w:pPr>
        <w:jc w:val="right"/>
        <w:rPr>
          <w:rFonts w:asciiTheme="minorHAnsi" w:hAnsiTheme="minorHAnsi" w:cstheme="minorHAnsi"/>
        </w:rPr>
      </w:pPr>
    </w:p>
    <w:p w14:paraId="3ED75AFF" w14:textId="7521638F" w:rsidR="00B40187" w:rsidRPr="00DF6BC1" w:rsidRDefault="00B40187" w:rsidP="00B40187">
      <w:pPr>
        <w:jc w:val="right"/>
        <w:rPr>
          <w:rFonts w:asciiTheme="minorHAnsi" w:hAnsiTheme="minorHAnsi" w:cstheme="minorHAnsi"/>
        </w:rPr>
      </w:pPr>
    </w:p>
    <w:p w14:paraId="5847643C" w14:textId="77777777" w:rsidR="00830104" w:rsidRPr="00DF6BC1" w:rsidRDefault="00830104" w:rsidP="00E769C4">
      <w:pPr>
        <w:spacing w:before="100" w:beforeAutospacing="1" w:after="100" w:afterAutospacing="1" w:line="240" w:lineRule="auto"/>
        <w:jc w:val="both"/>
        <w:rPr>
          <w:rFonts w:asciiTheme="minorHAnsi" w:eastAsia="Times New Roman" w:hAnsiTheme="minorHAnsi" w:cstheme="minorHAnsi"/>
          <w:color w:val="000000"/>
          <w:sz w:val="24"/>
          <w:szCs w:val="24"/>
        </w:rPr>
      </w:pPr>
    </w:p>
    <w:p w14:paraId="6CC7A67D" w14:textId="36ACBB21" w:rsidR="00E769C4" w:rsidRPr="00E769C4" w:rsidRDefault="00830104" w:rsidP="001A5CF9">
      <w:pPr>
        <w:spacing w:before="100" w:beforeAutospacing="1" w:after="100" w:afterAutospacing="1" w:line="240" w:lineRule="auto"/>
        <w:jc w:val="both"/>
        <w:rPr>
          <w:rFonts w:asciiTheme="minorHAnsi" w:eastAsia="Times New Roman" w:hAnsiTheme="minorHAnsi" w:cstheme="minorHAnsi"/>
          <w:b/>
          <w:bCs/>
          <w:color w:val="000000"/>
          <w:sz w:val="24"/>
          <w:szCs w:val="24"/>
        </w:rPr>
      </w:pPr>
      <w:r w:rsidRPr="00DF6BC1">
        <w:rPr>
          <w:rFonts w:asciiTheme="minorHAnsi" w:eastAsia="Times New Roman" w:hAnsiTheme="minorHAnsi" w:cstheme="minorHAnsi"/>
          <w:b/>
          <w:bCs/>
          <w:color w:val="000000"/>
          <w:sz w:val="24"/>
          <w:szCs w:val="24"/>
        </w:rPr>
        <w:t>Contribuciones</w:t>
      </w:r>
    </w:p>
    <w:p w14:paraId="2B06A7BB" w14:textId="77777777" w:rsidR="001A5CF9" w:rsidRDefault="001A5CF9" w:rsidP="00830104">
      <w:pPr>
        <w:spacing w:before="100" w:beforeAutospacing="1" w:after="100" w:afterAutospacing="1" w:line="240" w:lineRule="auto"/>
        <w:jc w:val="both"/>
        <w:rPr>
          <w:rFonts w:asciiTheme="minorHAnsi" w:hAnsiTheme="minorHAnsi" w:cstheme="minorHAnsi"/>
        </w:rPr>
      </w:pPr>
    </w:p>
    <w:p w14:paraId="2ED41017" w14:textId="6D0D1C61" w:rsidR="00E769C4" w:rsidRPr="00E769C4" w:rsidRDefault="00E769C4" w:rsidP="00830104">
      <w:pPr>
        <w:spacing w:before="100" w:beforeAutospacing="1" w:after="100" w:afterAutospacing="1" w:line="240" w:lineRule="auto"/>
        <w:jc w:val="both"/>
        <w:rPr>
          <w:rFonts w:asciiTheme="minorHAnsi" w:eastAsia="Times New Roman" w:hAnsiTheme="minorHAnsi" w:cstheme="minorHAnsi"/>
          <w:b/>
          <w:bCs/>
          <w:color w:val="767171" w:themeColor="background2" w:themeShade="80"/>
          <w:sz w:val="24"/>
          <w:szCs w:val="24"/>
        </w:rPr>
      </w:pPr>
      <w:r w:rsidRPr="00E769C4">
        <w:rPr>
          <w:rFonts w:asciiTheme="minorHAnsi" w:eastAsia="Times New Roman" w:hAnsiTheme="minorHAnsi" w:cstheme="minorHAnsi"/>
          <w:b/>
          <w:bCs/>
          <w:color w:val="767171" w:themeColor="background2" w:themeShade="80"/>
          <w:sz w:val="24"/>
          <w:szCs w:val="24"/>
        </w:rPr>
        <w:t>Sírvase proporcionar ejemplos de buenas prácticas con respecto a la integración de los derechos humanos en el sector extractivo en el contexto de la transición energética.</w:t>
      </w:r>
    </w:p>
    <w:p w14:paraId="2920FBA3" w14:textId="77777777" w:rsidR="00DA7114" w:rsidRPr="00DF6BC1" w:rsidRDefault="00DA7114" w:rsidP="00830104">
      <w:pPr>
        <w:spacing w:after="0" w:line="240" w:lineRule="auto"/>
        <w:jc w:val="both"/>
        <w:rPr>
          <w:rFonts w:asciiTheme="minorHAnsi" w:eastAsia="Times New Roman" w:hAnsiTheme="minorHAnsi" w:cstheme="minorHAnsi"/>
          <w:sz w:val="24"/>
          <w:szCs w:val="24"/>
        </w:rPr>
      </w:pPr>
    </w:p>
    <w:p w14:paraId="11660ADD" w14:textId="481C7096" w:rsidR="007115E4" w:rsidRPr="00DF6BC1" w:rsidRDefault="007115E4" w:rsidP="007115E4">
      <w:pPr>
        <w:pStyle w:val="NormalWeb"/>
        <w:spacing w:before="0" w:beforeAutospacing="0" w:after="0" w:afterAutospacing="0"/>
        <w:jc w:val="both"/>
        <w:rPr>
          <w:rFonts w:asciiTheme="minorHAnsi" w:hAnsiTheme="minorHAnsi" w:cstheme="minorHAnsi"/>
          <w:color w:val="000000"/>
        </w:rPr>
      </w:pPr>
      <w:r w:rsidRPr="00E36DB4">
        <w:rPr>
          <w:rFonts w:asciiTheme="minorHAnsi" w:hAnsiTheme="minorHAnsi" w:cstheme="minorHAnsi"/>
          <w:color w:val="000000"/>
        </w:rPr>
        <w:t xml:space="preserve">Con base en </w:t>
      </w:r>
      <w:r w:rsidRPr="00DF6BC1">
        <w:rPr>
          <w:rFonts w:asciiTheme="minorHAnsi" w:hAnsiTheme="minorHAnsi" w:cstheme="minorHAnsi"/>
          <w:color w:val="000000"/>
        </w:rPr>
        <w:t xml:space="preserve">evidencia empírica, la </w:t>
      </w:r>
      <w:r w:rsidRPr="00E36DB4">
        <w:rPr>
          <w:rFonts w:asciiTheme="minorHAnsi" w:hAnsiTheme="minorHAnsi" w:cstheme="minorHAnsi"/>
          <w:color w:val="000000"/>
        </w:rPr>
        <w:t>revisión de buenas prácticas internacionales codificados en instrumentos</w:t>
      </w:r>
      <w:r w:rsidRPr="00DF6BC1">
        <w:rPr>
          <w:rFonts w:asciiTheme="minorHAnsi" w:hAnsiTheme="minorHAnsi" w:cstheme="minorHAnsi"/>
          <w:color w:val="000000"/>
        </w:rPr>
        <w:t xml:space="preserve"> </w:t>
      </w:r>
      <w:r w:rsidRPr="00E36DB4">
        <w:rPr>
          <w:rFonts w:asciiTheme="minorHAnsi" w:hAnsiTheme="minorHAnsi" w:cstheme="minorHAnsi"/>
          <w:color w:val="000000"/>
        </w:rPr>
        <w:t>internacionales, así como diversas guías metodológicas, literatura existente</w:t>
      </w:r>
      <w:r w:rsidRPr="00DF6BC1">
        <w:rPr>
          <w:rFonts w:asciiTheme="minorHAnsi" w:hAnsiTheme="minorHAnsi" w:cstheme="minorHAnsi"/>
          <w:color w:val="000000"/>
        </w:rPr>
        <w:t xml:space="preserve">, hemos identificado que destacan algunos hallazgos </w:t>
      </w:r>
      <w:r w:rsidR="009D1DC6">
        <w:rPr>
          <w:rFonts w:asciiTheme="minorHAnsi" w:hAnsiTheme="minorHAnsi" w:cstheme="minorHAnsi"/>
          <w:color w:val="000000"/>
        </w:rPr>
        <w:t>g</w:t>
      </w:r>
      <w:r w:rsidRPr="00DF6BC1">
        <w:rPr>
          <w:rFonts w:asciiTheme="minorHAnsi" w:hAnsiTheme="minorHAnsi" w:cstheme="minorHAnsi"/>
          <w:color w:val="000000"/>
        </w:rPr>
        <w:t>eneralizables, diez buenas prácticas que se consideran centrales para una gestión justa, garante de Derechos y efectiva de conflictos relacionados con la minería:</w:t>
      </w:r>
    </w:p>
    <w:p w14:paraId="12BB74AA" w14:textId="77777777" w:rsidR="007115E4" w:rsidRPr="00DF6BC1" w:rsidRDefault="007115E4" w:rsidP="007115E4">
      <w:pPr>
        <w:pStyle w:val="NormalWeb"/>
        <w:spacing w:before="0" w:beforeAutospacing="0" w:after="0" w:afterAutospacing="0"/>
        <w:jc w:val="both"/>
        <w:rPr>
          <w:rFonts w:asciiTheme="minorHAnsi" w:hAnsiTheme="minorHAnsi" w:cstheme="minorHAnsi"/>
          <w:color w:val="000000"/>
        </w:rPr>
      </w:pPr>
    </w:p>
    <w:p w14:paraId="3C774FF6" w14:textId="77777777" w:rsidR="007115E4" w:rsidRPr="00DF6BC1" w:rsidRDefault="007115E4" w:rsidP="007115E4">
      <w:pPr>
        <w:pStyle w:val="NormalWeb"/>
        <w:spacing w:after="0"/>
        <w:jc w:val="both"/>
        <w:rPr>
          <w:rFonts w:asciiTheme="minorHAnsi" w:hAnsiTheme="minorHAnsi" w:cstheme="minorHAnsi"/>
          <w:color w:val="000000"/>
        </w:rPr>
      </w:pPr>
      <w:r w:rsidRPr="00DF6BC1">
        <w:rPr>
          <w:rFonts w:asciiTheme="minorHAnsi" w:hAnsiTheme="minorHAnsi" w:cstheme="minorHAnsi"/>
          <w:color w:val="000000"/>
        </w:rPr>
        <w:t xml:space="preserve">I. </w:t>
      </w:r>
      <w:r w:rsidRPr="00DF6BC1">
        <w:rPr>
          <w:rFonts w:asciiTheme="minorHAnsi" w:hAnsiTheme="minorHAnsi" w:cstheme="minorHAnsi"/>
          <w:b/>
          <w:bCs/>
          <w:color w:val="000000"/>
        </w:rPr>
        <w:t>Diálogo y participación desde las etapas más tempranas de los proyectos mineros y a lo largo del ciclo de vida de los mismos, en distintos espacios y niveles</w:t>
      </w:r>
      <w:r w:rsidRPr="00DF6BC1">
        <w:rPr>
          <w:rFonts w:asciiTheme="minorHAnsi" w:hAnsiTheme="minorHAnsi" w:cstheme="minorHAnsi"/>
          <w:color w:val="000000"/>
        </w:rPr>
        <w:t xml:space="preserve"> para la garantizar la participación efectiva de los distintos actores en la toma de decisiones (Hilson, 2002; Rees, 2009; Aín y Bilbao, 2014, Prno y Scolombe, 2014; Triscritti, 2013). La Asociación Internacional para la Participación Pública (IAP2) ha elaborado un conjunto de principios y directrices que pueden servir de guía para normar, diseñar y conducir procesos de participación efectiva. </w:t>
      </w:r>
    </w:p>
    <w:p w14:paraId="48435EAB" w14:textId="77777777" w:rsidR="007115E4" w:rsidRPr="00DF6BC1" w:rsidRDefault="007115E4" w:rsidP="007115E4">
      <w:pPr>
        <w:pStyle w:val="NormalWeb"/>
        <w:spacing w:after="0"/>
        <w:jc w:val="both"/>
        <w:rPr>
          <w:rFonts w:asciiTheme="minorHAnsi" w:hAnsiTheme="minorHAnsi" w:cstheme="minorHAnsi"/>
          <w:color w:val="000000"/>
        </w:rPr>
      </w:pPr>
      <w:r w:rsidRPr="00DF6BC1">
        <w:rPr>
          <w:rFonts w:asciiTheme="minorHAnsi" w:hAnsiTheme="minorHAnsi" w:cstheme="minorHAnsi"/>
          <w:color w:val="000000"/>
        </w:rPr>
        <w:t xml:space="preserve">II. </w:t>
      </w:r>
      <w:r w:rsidRPr="00DF6BC1">
        <w:rPr>
          <w:rFonts w:asciiTheme="minorHAnsi" w:hAnsiTheme="minorHAnsi" w:cstheme="minorHAnsi"/>
          <w:b/>
          <w:bCs/>
          <w:color w:val="000000"/>
        </w:rPr>
        <w:t>Acceso y participación en la generación de información</w:t>
      </w:r>
      <w:r w:rsidRPr="00DF6BC1">
        <w:rPr>
          <w:rFonts w:asciiTheme="minorHAnsi" w:hAnsiTheme="minorHAnsi" w:cstheme="minorHAnsi"/>
          <w:color w:val="000000"/>
        </w:rPr>
        <w:t xml:space="preserve"> relativa a líneas de base, impactos, estrategias de prevención y mitigación, monitoreo y seguimiento a los acuerdos. El acceso a información técnica en lenguaje accesible es fundamental pero ésta debe ser generada mediante procesos confiables, idealmente acordados entre las partes, y que incluyan espacios de participación. </w:t>
      </w:r>
    </w:p>
    <w:p w14:paraId="5B9398D7" w14:textId="77777777" w:rsidR="007115E4" w:rsidRPr="00DF6BC1" w:rsidRDefault="007115E4" w:rsidP="007115E4">
      <w:pPr>
        <w:pStyle w:val="NormalWeb"/>
        <w:spacing w:after="0"/>
        <w:jc w:val="both"/>
        <w:rPr>
          <w:rFonts w:asciiTheme="minorHAnsi" w:hAnsiTheme="minorHAnsi" w:cstheme="minorHAnsi"/>
          <w:color w:val="000000"/>
        </w:rPr>
      </w:pPr>
      <w:r w:rsidRPr="00DF6BC1">
        <w:rPr>
          <w:rFonts w:asciiTheme="minorHAnsi" w:hAnsiTheme="minorHAnsi" w:cstheme="minorHAnsi"/>
          <w:color w:val="000000"/>
        </w:rPr>
        <w:t xml:space="preserve">III. </w:t>
      </w:r>
      <w:r w:rsidRPr="00DF6BC1">
        <w:rPr>
          <w:rFonts w:asciiTheme="minorHAnsi" w:hAnsiTheme="minorHAnsi" w:cstheme="minorHAnsi"/>
          <w:b/>
          <w:bCs/>
          <w:color w:val="000000"/>
        </w:rPr>
        <w:t xml:space="preserve">Priorización de la reducción de la violencia en las intervenciones y en los modos de relacionamiento entre actores </w:t>
      </w:r>
      <w:r w:rsidRPr="00DF6BC1">
        <w:rPr>
          <w:rFonts w:asciiTheme="minorHAnsi" w:hAnsiTheme="minorHAnsi" w:cstheme="minorHAnsi"/>
          <w:color w:val="000000"/>
        </w:rPr>
        <w:t xml:space="preserve">(Ganson y Wennmann, 2016).  </w:t>
      </w:r>
    </w:p>
    <w:p w14:paraId="485B5E53" w14:textId="77777777" w:rsidR="007115E4" w:rsidRPr="00DF6BC1" w:rsidRDefault="007115E4" w:rsidP="007115E4">
      <w:pPr>
        <w:pStyle w:val="NormalWeb"/>
        <w:spacing w:after="0"/>
        <w:jc w:val="both"/>
        <w:rPr>
          <w:rFonts w:asciiTheme="minorHAnsi" w:hAnsiTheme="minorHAnsi" w:cstheme="minorHAnsi"/>
          <w:color w:val="000000"/>
        </w:rPr>
      </w:pPr>
      <w:r w:rsidRPr="00DF6BC1">
        <w:rPr>
          <w:rFonts w:asciiTheme="minorHAnsi" w:hAnsiTheme="minorHAnsi" w:cstheme="minorHAnsi"/>
          <w:color w:val="000000"/>
        </w:rPr>
        <w:t xml:space="preserve">IV. </w:t>
      </w:r>
      <w:r w:rsidRPr="00DF6BC1">
        <w:rPr>
          <w:rFonts w:asciiTheme="minorHAnsi" w:hAnsiTheme="minorHAnsi" w:cstheme="minorHAnsi"/>
          <w:b/>
          <w:bCs/>
          <w:color w:val="000000"/>
        </w:rPr>
        <w:t>Análisis de contexto para garantizar sensibilidad al conflicto y acción sin daño</w:t>
      </w:r>
      <w:r w:rsidRPr="00DF6BC1">
        <w:rPr>
          <w:rFonts w:asciiTheme="minorHAnsi" w:hAnsiTheme="minorHAnsi" w:cstheme="minorHAnsi"/>
          <w:color w:val="000000"/>
        </w:rPr>
        <w:t xml:space="preserve"> (Ganson &amp; Wennmann, 2016; Anderson, 1999; Aín, 2019). Este principio es fundamental para la instrumentación del anterior. Implica analizar y considerar en toda actuación: (i) factores que generan división o tensión entre los PICL para evitar acciones que incrementen estas tensiones y puedan detonar conflicto intracomunitario; así como (ii) factores que son fuente de resiliencia y debieran ser aprovechados, o no debilitados, por el proyecto y/o el proceso de diálogo.  </w:t>
      </w:r>
    </w:p>
    <w:p w14:paraId="743E7768" w14:textId="77777777" w:rsidR="007115E4" w:rsidRPr="00DF6BC1" w:rsidRDefault="007115E4" w:rsidP="007115E4">
      <w:pPr>
        <w:pStyle w:val="NormalWeb"/>
        <w:spacing w:after="0"/>
        <w:jc w:val="both"/>
        <w:rPr>
          <w:rFonts w:asciiTheme="minorHAnsi" w:hAnsiTheme="minorHAnsi" w:cstheme="minorHAnsi"/>
          <w:color w:val="000000"/>
        </w:rPr>
      </w:pPr>
      <w:r w:rsidRPr="00DF6BC1">
        <w:rPr>
          <w:rFonts w:asciiTheme="minorHAnsi" w:hAnsiTheme="minorHAnsi" w:cstheme="minorHAnsi"/>
          <w:color w:val="000000"/>
        </w:rPr>
        <w:t xml:space="preserve">V. </w:t>
      </w:r>
      <w:r w:rsidRPr="00DF6BC1">
        <w:rPr>
          <w:rFonts w:asciiTheme="minorHAnsi" w:hAnsiTheme="minorHAnsi" w:cstheme="minorHAnsi"/>
          <w:b/>
          <w:bCs/>
          <w:color w:val="000000"/>
        </w:rPr>
        <w:t>Distribución equitativa, transparente y participativa de los ingresos públicos/privados que genera la minería</w:t>
      </w:r>
      <w:r w:rsidRPr="00DF6BC1">
        <w:rPr>
          <w:rFonts w:asciiTheme="minorHAnsi" w:hAnsiTheme="minorHAnsi" w:cstheme="minorHAnsi"/>
          <w:color w:val="000000"/>
        </w:rPr>
        <w:t xml:space="preserve"> como un elemento relevante para evitar la escalada de conflictos (Andrews et al., 2017).</w:t>
      </w:r>
    </w:p>
    <w:p w14:paraId="1B77C825" w14:textId="77777777" w:rsidR="007115E4" w:rsidRPr="00DF6BC1" w:rsidRDefault="007115E4" w:rsidP="007115E4">
      <w:pPr>
        <w:pStyle w:val="NormalWeb"/>
        <w:spacing w:after="0"/>
        <w:jc w:val="both"/>
        <w:rPr>
          <w:rFonts w:asciiTheme="minorHAnsi" w:hAnsiTheme="minorHAnsi" w:cstheme="minorHAnsi"/>
          <w:color w:val="000000"/>
        </w:rPr>
      </w:pPr>
      <w:r w:rsidRPr="00DF6BC1">
        <w:rPr>
          <w:rFonts w:asciiTheme="minorHAnsi" w:hAnsiTheme="minorHAnsi" w:cstheme="minorHAnsi"/>
          <w:color w:val="000000"/>
        </w:rPr>
        <w:lastRenderedPageBreak/>
        <w:t xml:space="preserve">VI. </w:t>
      </w:r>
      <w:r w:rsidRPr="00DF6BC1">
        <w:rPr>
          <w:rFonts w:asciiTheme="minorHAnsi" w:hAnsiTheme="minorHAnsi" w:cstheme="minorHAnsi"/>
          <w:b/>
          <w:bCs/>
          <w:color w:val="000000"/>
        </w:rPr>
        <w:t>Construcción de visiones compartidas de desarrollo sostenible local y regional</w:t>
      </w:r>
      <w:r w:rsidRPr="00DF6BC1">
        <w:rPr>
          <w:rFonts w:asciiTheme="minorHAnsi" w:hAnsiTheme="minorHAnsi" w:cstheme="minorHAnsi"/>
          <w:color w:val="000000"/>
        </w:rPr>
        <w:t xml:space="preserve">, donde la minería se inserte como socia de los actores sociales y estatales en la construcción de entornos más seguros y pacíficos.  </w:t>
      </w:r>
    </w:p>
    <w:p w14:paraId="5D45F48D" w14:textId="77777777" w:rsidR="007115E4" w:rsidRPr="00DF6BC1" w:rsidRDefault="007115E4" w:rsidP="007115E4">
      <w:pPr>
        <w:pStyle w:val="NormalWeb"/>
        <w:spacing w:after="0"/>
        <w:jc w:val="both"/>
        <w:rPr>
          <w:rFonts w:asciiTheme="minorHAnsi" w:hAnsiTheme="minorHAnsi" w:cstheme="minorHAnsi"/>
          <w:color w:val="000000"/>
        </w:rPr>
      </w:pPr>
      <w:r w:rsidRPr="00DF6BC1">
        <w:rPr>
          <w:rFonts w:asciiTheme="minorHAnsi" w:hAnsiTheme="minorHAnsi" w:cstheme="minorHAnsi"/>
          <w:color w:val="000000"/>
        </w:rPr>
        <w:t xml:space="preserve">VII. </w:t>
      </w:r>
      <w:r w:rsidRPr="00DF6BC1">
        <w:rPr>
          <w:rFonts w:asciiTheme="minorHAnsi" w:hAnsiTheme="minorHAnsi" w:cstheme="minorHAnsi"/>
          <w:b/>
          <w:bCs/>
          <w:color w:val="000000"/>
        </w:rPr>
        <w:t>La participación de terceros imparciales</w:t>
      </w:r>
      <w:r w:rsidRPr="00DF6BC1">
        <w:rPr>
          <w:rFonts w:asciiTheme="minorHAnsi" w:hAnsiTheme="minorHAnsi" w:cstheme="minorHAnsi"/>
          <w:color w:val="000000"/>
        </w:rPr>
        <w:t xml:space="preserve">, externos, que deben contar con la aceptación de todas las partes y cuya participación debe considerarse en función de las necesidades proceso, en al menos tres roles distintos: (i) profesionales facilitadores de un diálogo respetuoso, equitativo y constructivo, (ii) representantes de instancias garantes de derechos que propicien un piso parejo para la negociación, y (iii) expertos confiables para todas la partes que puedan aportar opiniones técnicas para resolver sobre aspectos controversiales. </w:t>
      </w:r>
    </w:p>
    <w:p w14:paraId="5FC3BF81" w14:textId="77777777" w:rsidR="007115E4" w:rsidRPr="00DF6BC1" w:rsidRDefault="007115E4" w:rsidP="007115E4">
      <w:pPr>
        <w:pStyle w:val="NormalWeb"/>
        <w:spacing w:after="0"/>
        <w:jc w:val="both"/>
        <w:rPr>
          <w:rFonts w:asciiTheme="minorHAnsi" w:hAnsiTheme="minorHAnsi" w:cstheme="minorHAnsi"/>
          <w:color w:val="000000"/>
        </w:rPr>
      </w:pPr>
      <w:r w:rsidRPr="00DF6BC1">
        <w:rPr>
          <w:rFonts w:asciiTheme="minorHAnsi" w:hAnsiTheme="minorHAnsi" w:cstheme="minorHAnsi"/>
          <w:color w:val="000000"/>
        </w:rPr>
        <w:t xml:space="preserve">VIII. </w:t>
      </w:r>
      <w:r w:rsidRPr="00DF6BC1">
        <w:rPr>
          <w:rFonts w:asciiTheme="minorHAnsi" w:hAnsiTheme="minorHAnsi" w:cstheme="minorHAnsi"/>
          <w:b/>
          <w:bCs/>
          <w:color w:val="000000"/>
        </w:rPr>
        <w:t>Mecanismos de verificación y gestión de riesgos socioambientales con orientación al cumplimiento de regulaciones y estándares para prevenir y mitigar daños ambientales y sociales</w:t>
      </w:r>
      <w:r w:rsidRPr="00DF6BC1">
        <w:rPr>
          <w:rFonts w:asciiTheme="minorHAnsi" w:hAnsiTheme="minorHAnsi" w:cstheme="minorHAnsi"/>
          <w:color w:val="000000"/>
        </w:rPr>
        <w:t xml:space="preserve"> (Andrews et al., 2017). </w:t>
      </w:r>
    </w:p>
    <w:p w14:paraId="7396A27C" w14:textId="77777777" w:rsidR="007115E4" w:rsidRPr="00DF6BC1" w:rsidRDefault="007115E4" w:rsidP="007115E4">
      <w:pPr>
        <w:pStyle w:val="NormalWeb"/>
        <w:spacing w:after="0"/>
        <w:jc w:val="both"/>
        <w:rPr>
          <w:rFonts w:asciiTheme="minorHAnsi" w:hAnsiTheme="minorHAnsi" w:cstheme="minorHAnsi"/>
          <w:color w:val="000000"/>
        </w:rPr>
      </w:pPr>
      <w:r w:rsidRPr="00DF6BC1">
        <w:rPr>
          <w:rFonts w:asciiTheme="minorHAnsi" w:hAnsiTheme="minorHAnsi" w:cstheme="minorHAnsi"/>
          <w:color w:val="000000"/>
        </w:rPr>
        <w:t xml:space="preserve">IX. </w:t>
      </w:r>
      <w:r w:rsidRPr="00DF6BC1">
        <w:rPr>
          <w:rFonts w:asciiTheme="minorHAnsi" w:hAnsiTheme="minorHAnsi" w:cstheme="minorHAnsi"/>
          <w:b/>
          <w:bCs/>
          <w:color w:val="000000"/>
        </w:rPr>
        <w:t xml:space="preserve">Protección e inclusión de defensores de derechos humanos y medio ambiente, evitando ante todo su estigmatización como personas generadoras de conflicto para prevenir que se conviertan en blanco de agresiones </w:t>
      </w:r>
      <w:r w:rsidRPr="00DF6BC1">
        <w:rPr>
          <w:rFonts w:asciiTheme="minorHAnsi" w:hAnsiTheme="minorHAnsi" w:cstheme="minorHAnsi"/>
          <w:color w:val="000000"/>
        </w:rPr>
        <w:t>(Hernández, 2022).</w:t>
      </w:r>
    </w:p>
    <w:p w14:paraId="74E45B17" w14:textId="77777777" w:rsidR="007115E4" w:rsidRPr="00DF6BC1" w:rsidRDefault="007115E4" w:rsidP="007115E4">
      <w:pPr>
        <w:pStyle w:val="NormalWeb"/>
        <w:spacing w:before="0" w:beforeAutospacing="0" w:after="0" w:afterAutospacing="0"/>
        <w:jc w:val="both"/>
        <w:rPr>
          <w:rFonts w:asciiTheme="minorHAnsi" w:hAnsiTheme="minorHAnsi" w:cstheme="minorHAnsi"/>
          <w:color w:val="000000"/>
        </w:rPr>
      </w:pPr>
      <w:r w:rsidRPr="00DF6BC1">
        <w:rPr>
          <w:rFonts w:asciiTheme="minorHAnsi" w:hAnsiTheme="minorHAnsi" w:cstheme="minorHAnsi"/>
          <w:color w:val="000000"/>
        </w:rPr>
        <w:t xml:space="preserve">X. </w:t>
      </w:r>
      <w:r w:rsidRPr="00DF6BC1">
        <w:rPr>
          <w:rFonts w:asciiTheme="minorHAnsi" w:hAnsiTheme="minorHAnsi" w:cstheme="minorHAnsi"/>
          <w:b/>
          <w:bCs/>
          <w:color w:val="000000"/>
        </w:rPr>
        <w:t>Los mecanismos de reparación y reclamación (MRR),</w:t>
      </w:r>
      <w:r w:rsidRPr="00DF6BC1">
        <w:rPr>
          <w:rFonts w:asciiTheme="minorHAnsi" w:hAnsiTheme="minorHAnsi" w:cstheme="minorHAnsi"/>
          <w:color w:val="000000"/>
        </w:rPr>
        <w:t xml:space="preserve"> cuando son diseñados y operados conforme a principios (legitimidad, accesibilidad, previsibles, equitativos, transparente, compatible con los derechos humanos y una fuente de aprendizaje continuo) y buenas prácticas, han mostrado ser necesarios y efectivos para prevenir escaladas de conflicto (Kemp et al., 2011; Andrews et al., 2017; Rees, 2009).</w:t>
      </w:r>
    </w:p>
    <w:p w14:paraId="77877EDB" w14:textId="77777777" w:rsidR="007115E4" w:rsidRPr="00E36DB4" w:rsidRDefault="007115E4" w:rsidP="007115E4">
      <w:pPr>
        <w:spacing w:after="0" w:line="240" w:lineRule="auto"/>
        <w:rPr>
          <w:rFonts w:asciiTheme="minorHAnsi" w:eastAsia="Times New Roman" w:hAnsiTheme="minorHAnsi" w:cstheme="minorHAnsi"/>
          <w:sz w:val="24"/>
          <w:szCs w:val="24"/>
        </w:rPr>
      </w:pPr>
    </w:p>
    <w:p w14:paraId="5BE6CB18" w14:textId="16E5C2AD" w:rsidR="00E769C4" w:rsidRPr="00DF6BC1" w:rsidRDefault="00E769C4" w:rsidP="00B40187">
      <w:pPr>
        <w:jc w:val="both"/>
        <w:rPr>
          <w:rFonts w:asciiTheme="minorHAnsi" w:hAnsiTheme="minorHAnsi" w:cstheme="minorHAnsi"/>
        </w:rPr>
      </w:pPr>
    </w:p>
    <w:p w14:paraId="4D081817" w14:textId="4A911B92" w:rsidR="00033E65" w:rsidRPr="00DF6BC1" w:rsidRDefault="007115E4" w:rsidP="007115E4">
      <w:pPr>
        <w:spacing w:after="0" w:line="240" w:lineRule="auto"/>
        <w:jc w:val="both"/>
        <w:rPr>
          <w:rFonts w:asciiTheme="minorHAnsi" w:eastAsia="Times New Roman" w:hAnsiTheme="minorHAnsi" w:cstheme="minorHAnsi"/>
          <w:color w:val="000000"/>
          <w:sz w:val="24"/>
          <w:szCs w:val="24"/>
        </w:rPr>
      </w:pPr>
      <w:r w:rsidRPr="00DF6BC1">
        <w:rPr>
          <w:rFonts w:asciiTheme="minorHAnsi" w:eastAsia="Times New Roman" w:hAnsiTheme="minorHAnsi" w:cstheme="minorHAnsi"/>
          <w:color w:val="000000"/>
          <w:sz w:val="24"/>
          <w:szCs w:val="24"/>
        </w:rPr>
        <w:t>Por otro lado, actualmente existe un conjunto vasto de principios, buenas prácticas internacionales e indicadores de desempeño ambiental y social, aplicables al sector minero, cuyo cumplimiento puede contribuir a prevenir la conflictividad y a garantizar la protección de los Derechos Humanos. De entre lo más utilizado destacan los Principios Rectores de Derechos Humanos y Empresas, Los Principios de Ecuador, las normas de desempeño ambiental y social del Banco Interamericano de Desarrollo y otras Instituciones Financieras Internacionales, los indicadores para minería de los Objetivos de Desarrollo Sostenible (ODS)  de las Naciones Unidas, el Índice de Minería Responsable, y los estándares de "Conducta empresarial responsable en América Latina y el Caribe (CERAL)" implementado por la Organización Internacional del Trabajo (OIT), la Organización para la Cooperación y el Desarrollo Económicos (OCDE) y la Oficina del Alto Comisionado de las Naciones Unidas para los Derechos Humanos (ACNUDH). </w:t>
      </w:r>
    </w:p>
    <w:p w14:paraId="59F3C283" w14:textId="3BDB9B7D" w:rsidR="007115E4" w:rsidRPr="00DF6BC1" w:rsidRDefault="007115E4" w:rsidP="007115E4">
      <w:pPr>
        <w:spacing w:after="0" w:line="240" w:lineRule="auto"/>
        <w:ind w:firstLine="567"/>
        <w:jc w:val="both"/>
        <w:rPr>
          <w:rFonts w:asciiTheme="minorHAnsi" w:eastAsia="Times New Roman" w:hAnsiTheme="minorHAnsi" w:cstheme="minorHAnsi"/>
          <w:color w:val="000000"/>
          <w:sz w:val="24"/>
          <w:szCs w:val="24"/>
        </w:rPr>
      </w:pPr>
      <w:r w:rsidRPr="0047174A">
        <w:rPr>
          <w:rFonts w:asciiTheme="minorHAnsi" w:eastAsia="Times New Roman" w:hAnsiTheme="minorHAnsi" w:cstheme="minorHAnsi"/>
          <w:color w:val="000000"/>
          <w:sz w:val="24"/>
          <w:szCs w:val="24"/>
        </w:rPr>
        <w:t xml:space="preserve">Estas iniciativas tienen una gobernanza en la que participan otros actores, como los Estados, organismos e instituciones financieras internacionales, que pueden establecer un mayor contrapeso frente a las iniciativas meramente voluntarias. Además, otro elemento en común en varios de estos mecanismos es que están diseñados para hacer exigibles los estándares ambientales y sociales que establece. Esto último es el rasgo más valorado por los grupos que defienden los derechos ambientales y sociales.  </w:t>
      </w:r>
    </w:p>
    <w:p w14:paraId="6362A8CA" w14:textId="70EBD18D" w:rsidR="00033E65" w:rsidRPr="00DF6BC1" w:rsidRDefault="00033E65" w:rsidP="00033E65">
      <w:pPr>
        <w:pStyle w:val="Prrafodelista"/>
        <w:numPr>
          <w:ilvl w:val="0"/>
          <w:numId w:val="5"/>
        </w:numPr>
        <w:spacing w:after="0" w:line="240" w:lineRule="auto"/>
        <w:rPr>
          <w:rFonts w:asciiTheme="minorHAnsi" w:eastAsia="Times New Roman" w:hAnsiTheme="minorHAnsi" w:cstheme="minorHAnsi"/>
          <w:sz w:val="24"/>
          <w:szCs w:val="24"/>
        </w:rPr>
      </w:pPr>
      <w:r w:rsidRPr="00DF6BC1">
        <w:rPr>
          <w:rFonts w:asciiTheme="minorHAnsi" w:eastAsia="Times New Roman" w:hAnsiTheme="minorHAnsi" w:cstheme="minorHAnsi"/>
          <w:color w:val="000000"/>
          <w:sz w:val="24"/>
          <w:szCs w:val="24"/>
        </w:rPr>
        <w:lastRenderedPageBreak/>
        <w:t xml:space="preserve">Los </w:t>
      </w:r>
      <w:r w:rsidRPr="00DF6BC1">
        <w:rPr>
          <w:rFonts w:asciiTheme="minorHAnsi" w:eastAsia="Times New Roman" w:hAnsiTheme="minorHAnsi" w:cstheme="minorHAnsi"/>
          <w:b/>
          <w:bCs/>
          <w:color w:val="000000"/>
          <w:sz w:val="24"/>
          <w:szCs w:val="24"/>
        </w:rPr>
        <w:t xml:space="preserve">Principios Rectores sobre Empresas y Derechos Humanos </w:t>
      </w:r>
      <w:r w:rsidRPr="00DF6BC1">
        <w:rPr>
          <w:rFonts w:asciiTheme="minorHAnsi" w:eastAsia="Times New Roman" w:hAnsiTheme="minorHAnsi" w:cstheme="minorHAnsi"/>
          <w:color w:val="000000"/>
          <w:sz w:val="24"/>
          <w:szCs w:val="24"/>
        </w:rPr>
        <w:t>son el</w:t>
      </w:r>
      <w:r w:rsidRPr="00DF6BC1">
        <w:rPr>
          <w:rFonts w:asciiTheme="minorHAnsi" w:eastAsia="Times New Roman" w:hAnsiTheme="minorHAnsi" w:cstheme="minorHAnsi"/>
          <w:i/>
          <w:iCs/>
          <w:color w:val="000000"/>
          <w:sz w:val="24"/>
          <w:szCs w:val="24"/>
        </w:rPr>
        <w:t xml:space="preserve"> </w:t>
      </w:r>
      <w:r w:rsidRPr="00DF6BC1">
        <w:rPr>
          <w:rFonts w:asciiTheme="minorHAnsi" w:eastAsia="Times New Roman" w:hAnsiTheme="minorHAnsi" w:cstheme="minorHAnsi"/>
          <w:color w:val="000000"/>
          <w:sz w:val="24"/>
          <w:szCs w:val="24"/>
        </w:rPr>
        <w:t>principal conjunto de principios producidos por la ONU para abordar las obligaciones de las empresas en materia de derechos humanos, basado en tres conceptos fundamentales: proteger, respetar y remediar (Centro de Información sobre Empresas y Derechos Humanos, s/f). Como principal debilidad, no tienen un carácter jurídicamente vinculante, sin embargo, analizan las repercusiones de las prácticas actuales, así como las normas de los Estados hacia las empresas.</w:t>
      </w:r>
    </w:p>
    <w:p w14:paraId="47E1C376" w14:textId="77777777" w:rsidR="00033E65" w:rsidRPr="00DF6BC1" w:rsidRDefault="00033E65" w:rsidP="00033E65">
      <w:pPr>
        <w:pStyle w:val="Prrafodelista"/>
        <w:numPr>
          <w:ilvl w:val="0"/>
          <w:numId w:val="5"/>
        </w:numPr>
        <w:spacing w:after="0" w:line="240" w:lineRule="auto"/>
        <w:rPr>
          <w:rFonts w:asciiTheme="minorHAnsi" w:eastAsia="Times New Roman" w:hAnsiTheme="minorHAnsi" w:cstheme="minorHAnsi"/>
          <w:sz w:val="24"/>
          <w:szCs w:val="24"/>
        </w:rPr>
      </w:pPr>
      <w:r w:rsidRPr="00DF6BC1">
        <w:rPr>
          <w:rFonts w:asciiTheme="minorHAnsi" w:eastAsia="Times New Roman" w:hAnsiTheme="minorHAnsi" w:cstheme="minorHAnsi"/>
          <w:b/>
          <w:bCs/>
          <w:color w:val="000000"/>
          <w:sz w:val="24"/>
          <w:szCs w:val="24"/>
        </w:rPr>
        <w:t xml:space="preserve">Las normas de desempeño ambiental y social del BID, IFC y otras instituciones financieras, </w:t>
      </w:r>
      <w:r w:rsidRPr="00DF6BC1">
        <w:rPr>
          <w:rFonts w:asciiTheme="minorHAnsi" w:eastAsia="Times New Roman" w:hAnsiTheme="minorHAnsi" w:cstheme="minorHAnsi"/>
          <w:color w:val="000000"/>
          <w:sz w:val="24"/>
          <w:szCs w:val="24"/>
        </w:rPr>
        <w:t xml:space="preserve">son un conjunto de normativas para la gestión de riesgos derivados de la conflictividad. Buscan implementar buenas prácticas en el desarrollo de los proyectos financiados y así contribuir a su sostenibilidad social, su buena aplicación y hacer valer los derechos humanos ambientales. Las normas definen las responsabilidades para gestionar riesgos socioambientales y explícitamente describen los requisitos que los prestatarios deben cumplir en la elaboración y ejecución de los proyectos. Si bien IFC y el BID han sido las pioneras en la adopción de estas normas, más corporaciones y entidades financieras han empezado a considerar los riesgos socioambientales dentro de sus operaciones y han adoptado estándares socioambientales de algún tipo. </w:t>
      </w:r>
    </w:p>
    <w:p w14:paraId="21D30CDB" w14:textId="027D19FA" w:rsidR="00033E65" w:rsidRPr="00DF6BC1" w:rsidRDefault="00033E65" w:rsidP="00033E65">
      <w:pPr>
        <w:pStyle w:val="Prrafodelista"/>
        <w:numPr>
          <w:ilvl w:val="0"/>
          <w:numId w:val="5"/>
        </w:numPr>
        <w:spacing w:after="0" w:line="240" w:lineRule="auto"/>
        <w:rPr>
          <w:rFonts w:asciiTheme="minorHAnsi" w:eastAsia="Times New Roman" w:hAnsiTheme="minorHAnsi" w:cstheme="minorHAnsi"/>
          <w:sz w:val="24"/>
          <w:szCs w:val="24"/>
        </w:rPr>
      </w:pPr>
      <w:r w:rsidRPr="00DF6BC1">
        <w:rPr>
          <w:rFonts w:asciiTheme="minorHAnsi" w:eastAsia="Times New Roman" w:hAnsiTheme="minorHAnsi" w:cstheme="minorHAnsi"/>
          <w:color w:val="000000"/>
          <w:sz w:val="24"/>
          <w:szCs w:val="24"/>
        </w:rPr>
        <w:t xml:space="preserve">los </w:t>
      </w:r>
      <w:r w:rsidRPr="00DF6BC1">
        <w:rPr>
          <w:rFonts w:asciiTheme="minorHAnsi" w:eastAsia="Times New Roman" w:hAnsiTheme="minorHAnsi" w:cstheme="minorHAnsi"/>
          <w:b/>
          <w:bCs/>
          <w:color w:val="000000"/>
          <w:sz w:val="24"/>
          <w:szCs w:val="24"/>
        </w:rPr>
        <w:t xml:space="preserve">Principios del Ecuador </w:t>
      </w:r>
      <w:r w:rsidRPr="00DF6BC1">
        <w:rPr>
          <w:rFonts w:asciiTheme="minorHAnsi" w:eastAsia="Times New Roman" w:hAnsiTheme="minorHAnsi" w:cstheme="minorHAnsi"/>
          <w:color w:val="000000"/>
          <w:sz w:val="24"/>
          <w:szCs w:val="24"/>
        </w:rPr>
        <w:t>como una primera versión del marco de referencia para que de manera voluntaria los pudieran utilizar, garantizando “que los proyectos que financiamos y asesoramos se desarrollen de manera socialmente responsable y que reflejen prácticas sólidas de gestión ambiental” (Equator Principles, 2020, pág. 4).</w:t>
      </w:r>
    </w:p>
    <w:p w14:paraId="72E8D004" w14:textId="77777777" w:rsidR="00033E65" w:rsidRPr="0047174A" w:rsidRDefault="00033E65" w:rsidP="007115E4">
      <w:pPr>
        <w:spacing w:after="0" w:line="240" w:lineRule="auto"/>
        <w:ind w:firstLine="567"/>
        <w:jc w:val="both"/>
        <w:rPr>
          <w:rFonts w:asciiTheme="minorHAnsi" w:eastAsia="Times New Roman" w:hAnsiTheme="minorHAnsi" w:cstheme="minorHAnsi"/>
          <w:color w:val="000000"/>
          <w:sz w:val="24"/>
          <w:szCs w:val="24"/>
        </w:rPr>
      </w:pPr>
    </w:p>
    <w:p w14:paraId="777A0709" w14:textId="77777777" w:rsidR="007115E4" w:rsidRPr="00DF6BC1" w:rsidRDefault="007115E4" w:rsidP="007115E4">
      <w:pPr>
        <w:spacing w:after="0" w:line="240" w:lineRule="auto"/>
        <w:jc w:val="both"/>
        <w:rPr>
          <w:rFonts w:asciiTheme="minorHAnsi" w:eastAsia="Times New Roman" w:hAnsiTheme="minorHAnsi" w:cstheme="minorHAnsi"/>
          <w:sz w:val="24"/>
          <w:szCs w:val="24"/>
        </w:rPr>
      </w:pPr>
    </w:p>
    <w:p w14:paraId="1F6CD03E" w14:textId="77777777" w:rsidR="007115E4" w:rsidRPr="00DA7114" w:rsidRDefault="007115E4" w:rsidP="007115E4">
      <w:pPr>
        <w:spacing w:after="0" w:line="240" w:lineRule="auto"/>
        <w:jc w:val="both"/>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24"/>
          <w:szCs w:val="24"/>
        </w:rPr>
        <w:t>El siguiente cuadro comparativo permite visibilizar las principales coincidencias que existen entre los marcos normativos que han adoptado las principales instituciones financieras internacionales con presencia en ALC. Si bien sigue habiendo espacio para una mayor alienación, es claro que la comunidad internacional está convergiendo hacia un marco normativo común. </w:t>
      </w:r>
    </w:p>
    <w:p w14:paraId="2C7DAAA0" w14:textId="77777777" w:rsidR="007115E4" w:rsidRPr="00DA7114" w:rsidRDefault="007115E4" w:rsidP="007115E4">
      <w:pPr>
        <w:spacing w:after="0" w:line="240" w:lineRule="auto"/>
        <w:rPr>
          <w:rFonts w:asciiTheme="minorHAnsi" w:eastAsia="Times New Roman" w:hAnsiTheme="minorHAnsi" w:cstheme="minorHAnsi"/>
          <w:sz w:val="24"/>
          <w:szCs w:val="24"/>
        </w:rPr>
      </w:pPr>
    </w:p>
    <w:p w14:paraId="6C077644" w14:textId="77777777" w:rsidR="007115E4" w:rsidRPr="00DA7114" w:rsidRDefault="007115E4" w:rsidP="007115E4">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color w:val="000000"/>
          <w:sz w:val="24"/>
          <w:szCs w:val="24"/>
        </w:rPr>
        <w:t>Estándares Ambientales y Sociales de los Bancos Multilaterales de Desarrollo</w:t>
      </w:r>
    </w:p>
    <w:p w14:paraId="75510D1B" w14:textId="77777777" w:rsidR="007115E4" w:rsidRPr="00DA7114" w:rsidRDefault="007115E4" w:rsidP="007115E4">
      <w:pPr>
        <w:spacing w:after="0" w:line="240" w:lineRule="auto"/>
        <w:rPr>
          <w:rFonts w:asciiTheme="minorHAnsi" w:eastAsia="Times New Roman" w:hAnsiTheme="minorHAnsi"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52"/>
        <w:gridCol w:w="1342"/>
        <w:gridCol w:w="1522"/>
        <w:gridCol w:w="1547"/>
        <w:gridCol w:w="1498"/>
        <w:gridCol w:w="904"/>
        <w:gridCol w:w="1307"/>
      </w:tblGrid>
      <w:tr w:rsidR="007115E4" w:rsidRPr="00DA7114" w14:paraId="5EAFC642" w14:textId="77777777" w:rsidTr="001C1F8F">
        <w:trPr>
          <w:trHeight w:val="736"/>
        </w:trPr>
        <w:tc>
          <w:tcPr>
            <w:tcW w:w="0" w:type="auto"/>
            <w:tcBorders>
              <w:bottom w:val="single" w:sz="8" w:space="0" w:color="9CC2E5"/>
            </w:tcBorders>
            <w:shd w:val="clear" w:color="auto" w:fill="FFFFFF"/>
            <w:tcMar>
              <w:top w:w="100" w:type="dxa"/>
              <w:left w:w="100" w:type="dxa"/>
              <w:bottom w:w="100" w:type="dxa"/>
              <w:right w:w="100" w:type="dxa"/>
            </w:tcMar>
            <w:hideMark/>
          </w:tcPr>
          <w:p w14:paraId="4170AF22" w14:textId="77777777" w:rsidR="007115E4" w:rsidRPr="00DA7114" w:rsidRDefault="007115E4" w:rsidP="001C1F8F">
            <w:pPr>
              <w:spacing w:after="240" w:line="240" w:lineRule="auto"/>
              <w:jc w:val="right"/>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6"/>
                <w:szCs w:val="16"/>
              </w:rPr>
              <w:t> </w:t>
            </w:r>
          </w:p>
        </w:tc>
        <w:tc>
          <w:tcPr>
            <w:tcW w:w="0" w:type="auto"/>
            <w:tcBorders>
              <w:bottom w:val="single" w:sz="8" w:space="0" w:color="9CC2E5"/>
            </w:tcBorders>
            <w:shd w:val="clear" w:color="auto" w:fill="FFFFFF"/>
            <w:tcMar>
              <w:top w:w="100" w:type="dxa"/>
              <w:left w:w="100" w:type="dxa"/>
              <w:bottom w:w="100" w:type="dxa"/>
              <w:right w:w="100" w:type="dxa"/>
            </w:tcMar>
            <w:hideMark/>
          </w:tcPr>
          <w:p w14:paraId="1AFB7B9A"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color w:val="073763"/>
                <w:sz w:val="16"/>
                <w:szCs w:val="16"/>
              </w:rPr>
              <w:t>Banco Europeo de Inversiones (BEI)</w:t>
            </w:r>
          </w:p>
        </w:tc>
        <w:tc>
          <w:tcPr>
            <w:tcW w:w="0" w:type="auto"/>
            <w:tcBorders>
              <w:bottom w:val="single" w:sz="8" w:space="0" w:color="9CC2E5"/>
            </w:tcBorders>
            <w:shd w:val="clear" w:color="auto" w:fill="FFFFFF"/>
            <w:tcMar>
              <w:top w:w="100" w:type="dxa"/>
              <w:left w:w="100" w:type="dxa"/>
              <w:bottom w:w="100" w:type="dxa"/>
              <w:right w:w="100" w:type="dxa"/>
            </w:tcMar>
            <w:hideMark/>
          </w:tcPr>
          <w:p w14:paraId="3CC18B07"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color w:val="073763"/>
                <w:sz w:val="16"/>
                <w:szCs w:val="16"/>
              </w:rPr>
              <w:t>Fondo Verde para el Clima (FVC)</w:t>
            </w:r>
          </w:p>
        </w:tc>
        <w:tc>
          <w:tcPr>
            <w:tcW w:w="0" w:type="auto"/>
            <w:tcBorders>
              <w:bottom w:val="single" w:sz="8" w:space="0" w:color="9CC2E5"/>
            </w:tcBorders>
            <w:shd w:val="clear" w:color="auto" w:fill="FFFFFF"/>
            <w:tcMar>
              <w:top w:w="100" w:type="dxa"/>
              <w:left w:w="100" w:type="dxa"/>
              <w:bottom w:w="100" w:type="dxa"/>
              <w:right w:w="100" w:type="dxa"/>
            </w:tcMar>
            <w:hideMark/>
          </w:tcPr>
          <w:p w14:paraId="67FF5B57"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color w:val="073763"/>
                <w:sz w:val="16"/>
                <w:szCs w:val="16"/>
              </w:rPr>
              <w:t>Banco Interamericano de Desarrollo (BID)</w:t>
            </w:r>
          </w:p>
        </w:tc>
        <w:tc>
          <w:tcPr>
            <w:tcW w:w="0" w:type="auto"/>
            <w:tcBorders>
              <w:bottom w:val="single" w:sz="8" w:space="0" w:color="9CC2E5"/>
            </w:tcBorders>
            <w:shd w:val="clear" w:color="auto" w:fill="FFFFFF"/>
            <w:tcMar>
              <w:top w:w="100" w:type="dxa"/>
              <w:left w:w="100" w:type="dxa"/>
              <w:bottom w:w="100" w:type="dxa"/>
              <w:right w:w="100" w:type="dxa"/>
            </w:tcMar>
            <w:hideMark/>
          </w:tcPr>
          <w:p w14:paraId="4A60039A"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color w:val="073763"/>
                <w:sz w:val="16"/>
                <w:szCs w:val="16"/>
              </w:rPr>
              <w:t>Corporación Financiera Internacional (CFI)</w:t>
            </w:r>
          </w:p>
        </w:tc>
        <w:tc>
          <w:tcPr>
            <w:tcW w:w="0" w:type="auto"/>
            <w:tcBorders>
              <w:bottom w:val="single" w:sz="8" w:space="0" w:color="9CC2E5"/>
            </w:tcBorders>
            <w:shd w:val="clear" w:color="auto" w:fill="FFFFFF"/>
            <w:tcMar>
              <w:top w:w="100" w:type="dxa"/>
              <w:left w:w="100" w:type="dxa"/>
              <w:bottom w:w="100" w:type="dxa"/>
              <w:right w:w="100" w:type="dxa"/>
            </w:tcMar>
            <w:hideMark/>
          </w:tcPr>
          <w:p w14:paraId="60771378"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color w:val="073763"/>
                <w:sz w:val="16"/>
                <w:szCs w:val="16"/>
              </w:rPr>
              <w:t>Banco Mundial (BM)</w:t>
            </w:r>
          </w:p>
        </w:tc>
        <w:tc>
          <w:tcPr>
            <w:tcW w:w="0" w:type="auto"/>
            <w:tcBorders>
              <w:bottom w:val="single" w:sz="8" w:space="0" w:color="9CC2E5"/>
            </w:tcBorders>
            <w:shd w:val="clear" w:color="auto" w:fill="FFFFFF"/>
            <w:tcMar>
              <w:top w:w="100" w:type="dxa"/>
              <w:left w:w="100" w:type="dxa"/>
              <w:bottom w:w="100" w:type="dxa"/>
              <w:right w:w="100" w:type="dxa"/>
            </w:tcMar>
            <w:hideMark/>
          </w:tcPr>
          <w:p w14:paraId="5332CB58"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color w:val="073763"/>
                <w:sz w:val="16"/>
                <w:szCs w:val="16"/>
              </w:rPr>
              <w:t>Banco de Desarrollo de América Latina (CAF)</w:t>
            </w:r>
          </w:p>
        </w:tc>
      </w:tr>
      <w:tr w:rsidR="007115E4" w:rsidRPr="00DA7114" w14:paraId="54A56526" w14:textId="77777777" w:rsidTr="001C1F8F">
        <w:trPr>
          <w:trHeight w:val="1541"/>
        </w:trPr>
        <w:tc>
          <w:tcPr>
            <w:tcW w:w="0" w:type="auto"/>
            <w:tcBorders>
              <w:top w:val="single" w:sz="8" w:space="0" w:color="9CC2E5"/>
              <w:right w:val="single" w:sz="8" w:space="0" w:color="9CC2E5"/>
            </w:tcBorders>
            <w:shd w:val="clear" w:color="auto" w:fill="FFFFFF"/>
            <w:tcMar>
              <w:top w:w="100" w:type="dxa"/>
              <w:left w:w="100" w:type="dxa"/>
              <w:bottom w:w="100" w:type="dxa"/>
              <w:right w:w="100" w:type="dxa"/>
            </w:tcMar>
            <w:hideMark/>
          </w:tcPr>
          <w:p w14:paraId="1855C345" w14:textId="77777777" w:rsidR="007115E4" w:rsidRPr="00DA7114" w:rsidRDefault="007115E4" w:rsidP="001C1F8F">
            <w:pPr>
              <w:spacing w:after="240" w:line="240" w:lineRule="auto"/>
              <w:jc w:val="right"/>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4"/>
                <w:szCs w:val="14"/>
              </w:rPr>
              <w:t>Mecanismo de salvaguarda ambiental y social</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2D30FA1F"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2"/>
                <w:szCs w:val="12"/>
              </w:rPr>
              <w:t>Marco de sostenibilidad ambiental y social del Grupo BEI</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4AF838C0"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2"/>
                <w:szCs w:val="12"/>
              </w:rPr>
              <w:t>Normas de Desempeño Ambiental y Social de la Corporación Financiera Internacional</w:t>
            </w:r>
          </w:p>
          <w:p w14:paraId="2FA5EE26"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color w:val="000000"/>
                <w:sz w:val="12"/>
                <w:szCs w:val="12"/>
              </w:rPr>
              <w:t>ND CFI</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0BADFDD3"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2"/>
                <w:szCs w:val="12"/>
              </w:rPr>
              <w:t>Marco de Política Ambiental y Social</w:t>
            </w:r>
          </w:p>
          <w:p w14:paraId="2CEF4F36"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color w:val="000000"/>
                <w:sz w:val="12"/>
                <w:szCs w:val="12"/>
              </w:rPr>
              <w:t>MPAS</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73BE8FFF"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2"/>
                <w:szCs w:val="12"/>
              </w:rPr>
              <w:t>Normas de Desempeño sobre Sostenibilidad Ambiental y Social</w:t>
            </w:r>
          </w:p>
          <w:p w14:paraId="70A7317B"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color w:val="000000"/>
                <w:sz w:val="12"/>
                <w:szCs w:val="12"/>
              </w:rPr>
              <w:t>ND CFI</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592221A9"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2"/>
                <w:szCs w:val="12"/>
              </w:rPr>
              <w:t>Marco ambiental y social</w:t>
            </w:r>
          </w:p>
          <w:p w14:paraId="0D72327B"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color w:val="000000"/>
                <w:sz w:val="12"/>
                <w:szCs w:val="12"/>
              </w:rPr>
              <w:t>MAS</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7107433D"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2"/>
                <w:szCs w:val="12"/>
              </w:rPr>
              <w:t>Salvaguardas Ambientales y Sociales </w:t>
            </w:r>
          </w:p>
          <w:p w14:paraId="3EAB81F5"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b/>
                <w:bCs/>
                <w:color w:val="000000"/>
                <w:sz w:val="12"/>
                <w:szCs w:val="12"/>
              </w:rPr>
              <w:t>Salvaguardas</w:t>
            </w:r>
          </w:p>
        </w:tc>
      </w:tr>
      <w:tr w:rsidR="007115E4" w:rsidRPr="00DA7114" w14:paraId="3466C5E4" w14:textId="77777777" w:rsidTr="001C1F8F">
        <w:trPr>
          <w:trHeight w:val="512"/>
        </w:trPr>
        <w:tc>
          <w:tcPr>
            <w:tcW w:w="0" w:type="auto"/>
            <w:tcBorders>
              <w:right w:val="single" w:sz="8" w:space="0" w:color="9CC2E5"/>
            </w:tcBorders>
            <w:shd w:val="clear" w:color="auto" w:fill="FFFFFF"/>
            <w:tcMar>
              <w:top w:w="100" w:type="dxa"/>
              <w:left w:w="100" w:type="dxa"/>
              <w:bottom w:w="100" w:type="dxa"/>
              <w:right w:w="100" w:type="dxa"/>
            </w:tcMar>
            <w:hideMark/>
          </w:tcPr>
          <w:p w14:paraId="68265824" w14:textId="77777777" w:rsidR="007115E4" w:rsidRPr="00DA7114" w:rsidRDefault="007115E4" w:rsidP="001C1F8F">
            <w:pPr>
              <w:spacing w:after="240" w:line="240" w:lineRule="auto"/>
              <w:jc w:val="right"/>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4"/>
                <w:szCs w:val="14"/>
              </w:rPr>
              <w:t>Evaluación y gestión de riesgos e impactos ambientales y sociales</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22104827"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65ACC94C"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30B34D3D"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69A6F4D3"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450B306C"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594D7D0B"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0CC2F8B9"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2ECC9000"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78BD0BB7"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077762C5"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0A14D9A4" w14:textId="77777777" w:rsidR="007115E4" w:rsidRPr="00DA7114" w:rsidRDefault="007115E4" w:rsidP="001C1F8F">
            <w:pPr>
              <w:spacing w:after="240" w:line="240" w:lineRule="auto"/>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5CEE1349"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r>
      <w:tr w:rsidR="007115E4" w:rsidRPr="00DA7114" w14:paraId="75F192A0" w14:textId="77777777" w:rsidTr="001C1F8F">
        <w:trPr>
          <w:trHeight w:val="522"/>
        </w:trPr>
        <w:tc>
          <w:tcPr>
            <w:tcW w:w="0" w:type="auto"/>
            <w:tcBorders>
              <w:right w:val="single" w:sz="8" w:space="0" w:color="9CC2E5"/>
            </w:tcBorders>
            <w:shd w:val="clear" w:color="auto" w:fill="FFFFFF"/>
            <w:tcMar>
              <w:top w:w="100" w:type="dxa"/>
              <w:left w:w="100" w:type="dxa"/>
              <w:bottom w:w="100" w:type="dxa"/>
              <w:right w:w="100" w:type="dxa"/>
            </w:tcMar>
            <w:hideMark/>
          </w:tcPr>
          <w:p w14:paraId="65C284A8" w14:textId="77777777" w:rsidR="007115E4" w:rsidRPr="00DA7114" w:rsidRDefault="007115E4" w:rsidP="001C1F8F">
            <w:pPr>
              <w:spacing w:after="240" w:line="240" w:lineRule="auto"/>
              <w:jc w:val="right"/>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4"/>
                <w:szCs w:val="14"/>
              </w:rPr>
              <w:lastRenderedPageBreak/>
              <w:t>Trabajo y condiciones laborales</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72681026"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1D4069F5"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4B2DA210"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30AF1349"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47839855"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1E77D34A"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r>
      <w:tr w:rsidR="007115E4" w:rsidRPr="00DA7114" w14:paraId="7E4F1D2A" w14:textId="77777777" w:rsidTr="001C1F8F">
        <w:trPr>
          <w:trHeight w:val="414"/>
        </w:trPr>
        <w:tc>
          <w:tcPr>
            <w:tcW w:w="0" w:type="auto"/>
            <w:tcBorders>
              <w:right w:val="single" w:sz="8" w:space="0" w:color="9CC2E5"/>
            </w:tcBorders>
            <w:shd w:val="clear" w:color="auto" w:fill="FFFFFF"/>
            <w:tcMar>
              <w:top w:w="100" w:type="dxa"/>
              <w:left w:w="100" w:type="dxa"/>
              <w:bottom w:w="100" w:type="dxa"/>
              <w:right w:w="100" w:type="dxa"/>
            </w:tcMar>
            <w:hideMark/>
          </w:tcPr>
          <w:p w14:paraId="4F92EEAC" w14:textId="77777777" w:rsidR="007115E4" w:rsidRPr="00DA7114" w:rsidRDefault="007115E4" w:rsidP="001C1F8F">
            <w:pPr>
              <w:spacing w:after="240" w:line="240" w:lineRule="auto"/>
              <w:jc w:val="right"/>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4"/>
                <w:szCs w:val="14"/>
              </w:rPr>
              <w:t>Eficiencia en el uso de los recursos y prevención de la contaminación</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52DB21B6" w14:textId="77777777" w:rsidR="007115E4" w:rsidRPr="00DA7114" w:rsidRDefault="007115E4" w:rsidP="001C1F8F">
            <w:pPr>
              <w:spacing w:after="240" w:line="240" w:lineRule="auto"/>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3BA92C2B"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64103A6C"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5D9E220A"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168CCD8D"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32B64DA0"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16CCBDD5"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479B4B87"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2BAD47E5"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31ABEB77"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2B7514D1"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45AC4E92"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r>
      <w:tr w:rsidR="007115E4" w:rsidRPr="00DA7114" w14:paraId="42E7F115" w14:textId="77777777" w:rsidTr="001C1F8F">
        <w:tc>
          <w:tcPr>
            <w:tcW w:w="0" w:type="auto"/>
            <w:tcBorders>
              <w:right w:val="single" w:sz="8" w:space="0" w:color="9CC2E5"/>
            </w:tcBorders>
            <w:shd w:val="clear" w:color="auto" w:fill="FFFFFF"/>
            <w:tcMar>
              <w:top w:w="100" w:type="dxa"/>
              <w:left w:w="100" w:type="dxa"/>
              <w:bottom w:w="100" w:type="dxa"/>
              <w:right w:w="100" w:type="dxa"/>
            </w:tcMar>
            <w:hideMark/>
          </w:tcPr>
          <w:p w14:paraId="3C1EC434" w14:textId="77777777" w:rsidR="007115E4" w:rsidRPr="00DA7114" w:rsidRDefault="007115E4" w:rsidP="001C1F8F">
            <w:pPr>
              <w:spacing w:after="240" w:line="240" w:lineRule="auto"/>
              <w:jc w:val="right"/>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4"/>
                <w:szCs w:val="14"/>
              </w:rPr>
              <w:t>Salud y seguridad de la comunidad</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0359C0C2"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254478FE"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4EE269AF"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5EFD4E5E"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36B4464A"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3CF94C11" w14:textId="77777777" w:rsidR="007115E4" w:rsidRPr="00DA7114" w:rsidRDefault="007115E4" w:rsidP="001C1F8F">
            <w:pPr>
              <w:spacing w:after="240" w:line="240" w:lineRule="auto"/>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tc>
      </w:tr>
      <w:tr w:rsidR="007115E4" w:rsidRPr="00DA7114" w14:paraId="5EEE66D0" w14:textId="77777777" w:rsidTr="001C1F8F">
        <w:trPr>
          <w:trHeight w:val="496"/>
        </w:trPr>
        <w:tc>
          <w:tcPr>
            <w:tcW w:w="0" w:type="auto"/>
            <w:tcBorders>
              <w:right w:val="single" w:sz="8" w:space="0" w:color="9CC2E5"/>
            </w:tcBorders>
            <w:shd w:val="clear" w:color="auto" w:fill="FFFFFF"/>
            <w:tcMar>
              <w:top w:w="100" w:type="dxa"/>
              <w:left w:w="100" w:type="dxa"/>
              <w:bottom w:w="100" w:type="dxa"/>
              <w:right w:w="100" w:type="dxa"/>
            </w:tcMar>
            <w:hideMark/>
          </w:tcPr>
          <w:p w14:paraId="5718825A" w14:textId="77777777" w:rsidR="007115E4" w:rsidRPr="00DA7114" w:rsidRDefault="007115E4" w:rsidP="001C1F8F">
            <w:pPr>
              <w:spacing w:after="240" w:line="240" w:lineRule="auto"/>
              <w:jc w:val="right"/>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4"/>
                <w:szCs w:val="14"/>
              </w:rPr>
              <w:t>Adquisición de tierras y reasentamiento involuntario</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624D9AB9"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563597DA"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610F6E92"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2811B1DB"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49E0D7BB"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51C0EB1D"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71088AA1"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6FBB2D2F"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7AC15716"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6636E04D"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6247C6CF"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76A2CF0F"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r>
      <w:tr w:rsidR="007115E4" w:rsidRPr="00DA7114" w14:paraId="4ADE5B1C" w14:textId="77777777" w:rsidTr="001C1F8F">
        <w:trPr>
          <w:trHeight w:val="239"/>
        </w:trPr>
        <w:tc>
          <w:tcPr>
            <w:tcW w:w="0" w:type="auto"/>
            <w:tcBorders>
              <w:right w:val="single" w:sz="8" w:space="0" w:color="9CC2E5"/>
            </w:tcBorders>
            <w:shd w:val="clear" w:color="auto" w:fill="FFFFFF"/>
            <w:tcMar>
              <w:top w:w="100" w:type="dxa"/>
              <w:left w:w="100" w:type="dxa"/>
              <w:bottom w:w="100" w:type="dxa"/>
              <w:right w:w="100" w:type="dxa"/>
            </w:tcMar>
            <w:hideMark/>
          </w:tcPr>
          <w:p w14:paraId="7AEB16D8" w14:textId="77777777" w:rsidR="007115E4" w:rsidRPr="00DA7114" w:rsidRDefault="007115E4" w:rsidP="001C1F8F">
            <w:pPr>
              <w:spacing w:after="240" w:line="240" w:lineRule="auto"/>
              <w:jc w:val="right"/>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4"/>
                <w:szCs w:val="14"/>
              </w:rPr>
              <w:t>Conservación de la biodiversidad y gestión sostenible de los recursos naturales vivos</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27D86225" w14:textId="77777777" w:rsidR="007115E4" w:rsidRPr="00DA7114" w:rsidRDefault="007115E4" w:rsidP="001C1F8F">
            <w:pPr>
              <w:spacing w:after="240" w:line="240" w:lineRule="auto"/>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3339DAB7"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4D887DF0"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085449C4"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249E950F" w14:textId="77777777" w:rsidR="007115E4" w:rsidRPr="00DA7114" w:rsidRDefault="007115E4" w:rsidP="001C1F8F">
            <w:pPr>
              <w:spacing w:after="240" w:line="240" w:lineRule="auto"/>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72C92468"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2986A052"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2CC12B0E"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099D7395"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7867D725"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42B5933D"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r>
      <w:tr w:rsidR="007115E4" w:rsidRPr="00DA7114" w14:paraId="12C69FE5" w14:textId="77777777" w:rsidTr="001C1F8F">
        <w:trPr>
          <w:trHeight w:val="270"/>
        </w:trPr>
        <w:tc>
          <w:tcPr>
            <w:tcW w:w="0" w:type="auto"/>
            <w:tcBorders>
              <w:right w:val="single" w:sz="8" w:space="0" w:color="9CC2E5"/>
            </w:tcBorders>
            <w:shd w:val="clear" w:color="auto" w:fill="FFFFFF"/>
            <w:tcMar>
              <w:top w:w="100" w:type="dxa"/>
              <w:left w:w="100" w:type="dxa"/>
              <w:bottom w:w="100" w:type="dxa"/>
              <w:right w:w="100" w:type="dxa"/>
            </w:tcMar>
            <w:hideMark/>
          </w:tcPr>
          <w:p w14:paraId="4F5A13BE" w14:textId="77777777" w:rsidR="007115E4" w:rsidRPr="00DA7114" w:rsidRDefault="007115E4" w:rsidP="001C1F8F">
            <w:pPr>
              <w:spacing w:after="240" w:line="240" w:lineRule="auto"/>
              <w:jc w:val="right"/>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4"/>
                <w:szCs w:val="14"/>
              </w:rPr>
              <w:t>Grupos étnicas y diversidad cultural</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4DB4404E"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1713D9D6"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6F98B6FD"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50B0F65B"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2FE7D102"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6B4A0C4C"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r>
      <w:tr w:rsidR="007115E4" w:rsidRPr="00DA7114" w14:paraId="154DE487" w14:textId="77777777" w:rsidTr="001C1F8F">
        <w:trPr>
          <w:trHeight w:val="510"/>
        </w:trPr>
        <w:tc>
          <w:tcPr>
            <w:tcW w:w="0" w:type="auto"/>
            <w:tcBorders>
              <w:right w:val="single" w:sz="8" w:space="0" w:color="9CC2E5"/>
            </w:tcBorders>
            <w:shd w:val="clear" w:color="auto" w:fill="FFFFFF"/>
            <w:tcMar>
              <w:top w:w="100" w:type="dxa"/>
              <w:left w:w="100" w:type="dxa"/>
              <w:bottom w:w="100" w:type="dxa"/>
              <w:right w:w="100" w:type="dxa"/>
            </w:tcMar>
            <w:hideMark/>
          </w:tcPr>
          <w:p w14:paraId="68F0D766" w14:textId="77777777" w:rsidR="007115E4" w:rsidRPr="00DA7114" w:rsidRDefault="007115E4" w:rsidP="001C1F8F">
            <w:pPr>
              <w:spacing w:after="240" w:line="240" w:lineRule="auto"/>
              <w:jc w:val="right"/>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4"/>
                <w:szCs w:val="14"/>
              </w:rPr>
              <w:t>Patrimonio cultural</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7A8461A2"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43A26E2D"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49698498"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7010A9A9"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4A49AE8E"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07BA68AA"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r>
      <w:tr w:rsidR="007115E4" w:rsidRPr="00DA7114" w14:paraId="6B5EEA8A" w14:textId="77777777" w:rsidTr="001C1F8F">
        <w:tc>
          <w:tcPr>
            <w:tcW w:w="0" w:type="auto"/>
            <w:tcBorders>
              <w:right w:val="single" w:sz="8" w:space="0" w:color="9CC2E5"/>
            </w:tcBorders>
            <w:shd w:val="clear" w:color="auto" w:fill="FFFFFF"/>
            <w:tcMar>
              <w:top w:w="100" w:type="dxa"/>
              <w:left w:w="100" w:type="dxa"/>
              <w:bottom w:w="100" w:type="dxa"/>
              <w:right w:w="100" w:type="dxa"/>
            </w:tcMar>
            <w:hideMark/>
          </w:tcPr>
          <w:p w14:paraId="6844CD4E" w14:textId="77777777" w:rsidR="007115E4" w:rsidRPr="00DA7114" w:rsidRDefault="007115E4" w:rsidP="001C1F8F">
            <w:pPr>
              <w:spacing w:after="240" w:line="240" w:lineRule="auto"/>
              <w:jc w:val="right"/>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4"/>
                <w:szCs w:val="14"/>
              </w:rPr>
              <w:t>Igualdad de género</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3285275E" w14:textId="77777777" w:rsidR="007115E4" w:rsidRPr="00DA7114" w:rsidRDefault="007115E4" w:rsidP="001C1F8F">
            <w:pPr>
              <w:spacing w:after="240" w:line="240" w:lineRule="auto"/>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3944088E" w14:textId="77777777" w:rsidR="007115E4" w:rsidRPr="00DA7114" w:rsidRDefault="007115E4" w:rsidP="001C1F8F">
            <w:pPr>
              <w:spacing w:after="240" w:line="240" w:lineRule="auto"/>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02090D66"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3053C56B"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18C958AB"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7F5B447A"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r>
      <w:tr w:rsidR="007115E4" w:rsidRPr="00DA7114" w14:paraId="5B0E12BA" w14:textId="77777777" w:rsidTr="001C1F8F">
        <w:trPr>
          <w:trHeight w:val="564"/>
        </w:trPr>
        <w:tc>
          <w:tcPr>
            <w:tcW w:w="0" w:type="auto"/>
            <w:tcBorders>
              <w:right w:val="single" w:sz="8" w:space="0" w:color="9CC2E5"/>
            </w:tcBorders>
            <w:shd w:val="clear" w:color="auto" w:fill="FFFFFF"/>
            <w:tcMar>
              <w:top w:w="100" w:type="dxa"/>
              <w:left w:w="100" w:type="dxa"/>
              <w:bottom w:w="100" w:type="dxa"/>
              <w:right w:w="100" w:type="dxa"/>
            </w:tcMar>
            <w:hideMark/>
          </w:tcPr>
          <w:p w14:paraId="33589177" w14:textId="77777777" w:rsidR="007115E4" w:rsidRPr="00DA7114" w:rsidRDefault="007115E4" w:rsidP="001C1F8F">
            <w:pPr>
              <w:spacing w:after="240" w:line="240" w:lineRule="auto"/>
              <w:jc w:val="right"/>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4"/>
                <w:szCs w:val="14"/>
              </w:rPr>
              <w:t>Participación de las partes interesadas y divulgación de información</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67D15A45"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p w14:paraId="6580F350"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1F0333A2" w14:textId="77777777" w:rsidR="007115E4" w:rsidRPr="00DA7114" w:rsidRDefault="007115E4" w:rsidP="001C1F8F">
            <w:pPr>
              <w:spacing w:after="240" w:line="240" w:lineRule="auto"/>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58E09316"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3A77868A" w14:textId="77777777" w:rsidR="007115E4" w:rsidRPr="00DA7114" w:rsidRDefault="007115E4" w:rsidP="001C1F8F">
            <w:pPr>
              <w:spacing w:after="240" w:line="240" w:lineRule="auto"/>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167123EB"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0D7BA24D" w14:textId="77777777" w:rsidR="007115E4" w:rsidRPr="00DA7114" w:rsidRDefault="007115E4" w:rsidP="001C1F8F">
            <w:pPr>
              <w:spacing w:after="240" w:line="240" w:lineRule="auto"/>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tc>
      </w:tr>
      <w:tr w:rsidR="007115E4" w:rsidRPr="00DA7114" w14:paraId="19156861" w14:textId="77777777" w:rsidTr="001C1F8F">
        <w:trPr>
          <w:trHeight w:val="117"/>
        </w:trPr>
        <w:tc>
          <w:tcPr>
            <w:tcW w:w="0" w:type="auto"/>
            <w:tcBorders>
              <w:right w:val="single" w:sz="8" w:space="0" w:color="9CC2E5"/>
            </w:tcBorders>
            <w:shd w:val="clear" w:color="auto" w:fill="FFFFFF"/>
            <w:tcMar>
              <w:top w:w="100" w:type="dxa"/>
              <w:left w:w="100" w:type="dxa"/>
              <w:bottom w:w="100" w:type="dxa"/>
              <w:right w:w="100" w:type="dxa"/>
            </w:tcMar>
            <w:hideMark/>
          </w:tcPr>
          <w:p w14:paraId="45F15099" w14:textId="77777777" w:rsidR="007115E4" w:rsidRPr="00DA7114" w:rsidRDefault="007115E4" w:rsidP="001C1F8F">
            <w:pPr>
              <w:spacing w:after="240" w:line="240" w:lineRule="auto"/>
              <w:jc w:val="right"/>
              <w:rPr>
                <w:rFonts w:asciiTheme="minorHAnsi" w:eastAsia="Times New Roman" w:hAnsiTheme="minorHAnsi" w:cstheme="minorHAnsi"/>
                <w:sz w:val="24"/>
                <w:szCs w:val="24"/>
              </w:rPr>
            </w:pPr>
            <w:r w:rsidRPr="00DA7114">
              <w:rPr>
                <w:rFonts w:asciiTheme="minorHAnsi" w:eastAsia="Times New Roman" w:hAnsiTheme="minorHAnsi" w:cstheme="minorHAnsi"/>
                <w:b/>
                <w:bCs/>
                <w:i/>
                <w:iCs/>
                <w:color w:val="000000"/>
                <w:sz w:val="14"/>
                <w:szCs w:val="14"/>
              </w:rPr>
              <w:t>Financiación intermedia</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55ADCE0E"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07C6CC13" w14:textId="77777777" w:rsidR="007115E4" w:rsidRPr="00DA7114" w:rsidRDefault="007115E4" w:rsidP="001C1F8F">
            <w:pPr>
              <w:spacing w:after="240" w:line="240" w:lineRule="auto"/>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708FB856" w14:textId="77777777" w:rsidR="007115E4" w:rsidRPr="00DA7114" w:rsidRDefault="007115E4" w:rsidP="001C1F8F">
            <w:pPr>
              <w:spacing w:after="240" w:line="240" w:lineRule="auto"/>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549FA75D" w14:textId="77777777" w:rsidR="007115E4" w:rsidRPr="00DA7114" w:rsidRDefault="007115E4" w:rsidP="001C1F8F">
            <w:pPr>
              <w:spacing w:after="240" w:line="240" w:lineRule="auto"/>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0BE478D3" w14:textId="77777777" w:rsidR="007115E4" w:rsidRPr="00DA7114" w:rsidRDefault="007115E4" w:rsidP="001C1F8F">
            <w:pPr>
              <w:spacing w:after="240" w:line="240" w:lineRule="auto"/>
              <w:jc w:val="center"/>
              <w:rPr>
                <w:rFonts w:asciiTheme="minorHAnsi" w:eastAsia="Times New Roman" w:hAnsiTheme="minorHAnsi" w:cstheme="minorHAnsi"/>
                <w:sz w:val="24"/>
                <w:szCs w:val="24"/>
              </w:rPr>
            </w:pPr>
            <w:r w:rsidRPr="00DA7114">
              <w:rPr>
                <w:rFonts w:ascii="Apple Color Emoji" w:eastAsia="Times New Roman" w:hAnsi="Apple Color Emoji" w:cs="Apple Color Emoji"/>
                <w:color w:val="000000"/>
                <w:sz w:val="16"/>
                <w:szCs w:val="16"/>
              </w:rPr>
              <w:t>✔️</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56FBE88E" w14:textId="77777777" w:rsidR="007115E4" w:rsidRPr="00DA7114" w:rsidRDefault="007115E4" w:rsidP="001C1F8F">
            <w:pPr>
              <w:spacing w:after="240" w:line="240" w:lineRule="auto"/>
              <w:rPr>
                <w:rFonts w:asciiTheme="minorHAnsi" w:eastAsia="Times New Roman" w:hAnsiTheme="minorHAnsi" w:cstheme="minorHAnsi"/>
                <w:sz w:val="24"/>
                <w:szCs w:val="24"/>
              </w:rPr>
            </w:pPr>
            <w:r w:rsidRPr="00DA7114">
              <w:rPr>
                <w:rFonts w:asciiTheme="minorHAnsi" w:eastAsia="Times New Roman" w:hAnsiTheme="minorHAnsi" w:cstheme="minorHAnsi"/>
                <w:color w:val="000000"/>
                <w:sz w:val="16"/>
                <w:szCs w:val="16"/>
              </w:rPr>
              <w:t> </w:t>
            </w:r>
          </w:p>
        </w:tc>
      </w:tr>
      <w:tr w:rsidR="00033E65" w:rsidRPr="00DF6BC1" w14:paraId="2E9842EA" w14:textId="77777777" w:rsidTr="001C1F8F">
        <w:trPr>
          <w:trHeight w:val="117"/>
        </w:trPr>
        <w:tc>
          <w:tcPr>
            <w:tcW w:w="0" w:type="auto"/>
            <w:tcBorders>
              <w:right w:val="single" w:sz="8" w:space="0" w:color="9CC2E5"/>
            </w:tcBorders>
            <w:shd w:val="clear" w:color="auto" w:fill="FFFFFF"/>
            <w:tcMar>
              <w:top w:w="100" w:type="dxa"/>
              <w:left w:w="100" w:type="dxa"/>
              <w:bottom w:w="100" w:type="dxa"/>
              <w:right w:w="100" w:type="dxa"/>
            </w:tcMar>
          </w:tcPr>
          <w:p w14:paraId="23F4C839" w14:textId="2D1066FF" w:rsidR="00033E65" w:rsidRPr="00DF6BC1" w:rsidRDefault="00033E65" w:rsidP="00033E65">
            <w:pPr>
              <w:spacing w:after="240" w:line="240" w:lineRule="auto"/>
              <w:rPr>
                <w:rFonts w:asciiTheme="minorHAnsi" w:eastAsia="Times New Roman" w:hAnsiTheme="minorHAnsi" w:cstheme="minorHAnsi"/>
                <w:b/>
                <w:bCs/>
                <w:i/>
                <w:iCs/>
                <w:color w:val="000000"/>
                <w:sz w:val="14"/>
                <w:szCs w:val="14"/>
              </w:rPr>
            </w:pP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tcPr>
          <w:p w14:paraId="00B1F639" w14:textId="77777777" w:rsidR="00033E65" w:rsidRPr="00DF6BC1" w:rsidRDefault="00033E65" w:rsidP="001C1F8F">
            <w:pPr>
              <w:spacing w:after="240" w:line="240" w:lineRule="auto"/>
              <w:jc w:val="center"/>
              <w:rPr>
                <w:rFonts w:asciiTheme="minorHAnsi" w:eastAsia="Times New Roman" w:hAnsiTheme="minorHAnsi" w:cstheme="minorHAnsi"/>
                <w:color w:val="000000"/>
                <w:sz w:val="16"/>
                <w:szCs w:val="16"/>
              </w:rPr>
            </w:pP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tcPr>
          <w:p w14:paraId="463F8F12" w14:textId="77777777" w:rsidR="00033E65" w:rsidRPr="00DF6BC1" w:rsidRDefault="00033E65" w:rsidP="001C1F8F">
            <w:pPr>
              <w:spacing w:after="240" w:line="240" w:lineRule="auto"/>
              <w:rPr>
                <w:rFonts w:asciiTheme="minorHAnsi" w:eastAsia="Times New Roman" w:hAnsiTheme="minorHAnsi" w:cstheme="minorHAnsi"/>
                <w:color w:val="000000"/>
                <w:sz w:val="16"/>
                <w:szCs w:val="16"/>
              </w:rPr>
            </w:pP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tcPr>
          <w:p w14:paraId="0F607F62" w14:textId="77777777" w:rsidR="00033E65" w:rsidRPr="00DF6BC1" w:rsidRDefault="00033E65" w:rsidP="001C1F8F">
            <w:pPr>
              <w:spacing w:after="240" w:line="240" w:lineRule="auto"/>
              <w:rPr>
                <w:rFonts w:asciiTheme="minorHAnsi" w:eastAsia="Times New Roman" w:hAnsiTheme="minorHAnsi" w:cstheme="minorHAnsi"/>
                <w:color w:val="000000"/>
                <w:sz w:val="16"/>
                <w:szCs w:val="16"/>
              </w:rPr>
            </w:pP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tcPr>
          <w:p w14:paraId="04038961" w14:textId="77777777" w:rsidR="00033E65" w:rsidRPr="00DF6BC1" w:rsidRDefault="00033E65" w:rsidP="001C1F8F">
            <w:pPr>
              <w:spacing w:after="240" w:line="240" w:lineRule="auto"/>
              <w:rPr>
                <w:rFonts w:asciiTheme="minorHAnsi" w:eastAsia="Times New Roman" w:hAnsiTheme="minorHAnsi" w:cstheme="minorHAnsi"/>
                <w:color w:val="000000"/>
                <w:sz w:val="16"/>
                <w:szCs w:val="16"/>
              </w:rPr>
            </w:pP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tcPr>
          <w:p w14:paraId="16B9F940" w14:textId="77777777" w:rsidR="00033E65" w:rsidRPr="00DF6BC1" w:rsidRDefault="00033E65" w:rsidP="001C1F8F">
            <w:pPr>
              <w:spacing w:after="240" w:line="240" w:lineRule="auto"/>
              <w:jc w:val="center"/>
              <w:rPr>
                <w:rFonts w:asciiTheme="minorHAnsi" w:eastAsia="Times New Roman" w:hAnsiTheme="minorHAnsi" w:cstheme="minorHAnsi"/>
                <w:color w:val="000000"/>
                <w:sz w:val="16"/>
                <w:szCs w:val="16"/>
              </w:rPr>
            </w:pP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tcPr>
          <w:p w14:paraId="779BC9C3" w14:textId="77777777" w:rsidR="00033E65" w:rsidRPr="00DF6BC1" w:rsidRDefault="00033E65" w:rsidP="001C1F8F">
            <w:pPr>
              <w:spacing w:after="240" w:line="240" w:lineRule="auto"/>
              <w:rPr>
                <w:rFonts w:asciiTheme="minorHAnsi" w:eastAsia="Times New Roman" w:hAnsiTheme="minorHAnsi" w:cstheme="minorHAnsi"/>
                <w:color w:val="000000"/>
                <w:sz w:val="16"/>
                <w:szCs w:val="16"/>
              </w:rPr>
            </w:pPr>
          </w:p>
        </w:tc>
      </w:tr>
    </w:tbl>
    <w:p w14:paraId="076A202C" w14:textId="264E761C" w:rsidR="007115E4" w:rsidRPr="00DF6BC1" w:rsidRDefault="007115E4" w:rsidP="00033E65">
      <w:pPr>
        <w:jc w:val="center"/>
        <w:rPr>
          <w:rFonts w:asciiTheme="minorHAnsi" w:hAnsiTheme="minorHAnsi" w:cstheme="minorHAnsi"/>
        </w:rPr>
      </w:pPr>
    </w:p>
    <w:p w14:paraId="2B15D15C" w14:textId="7F0D914E" w:rsidR="00033E65" w:rsidRPr="00DF6BC1" w:rsidRDefault="00033E65" w:rsidP="00033E65">
      <w:pPr>
        <w:jc w:val="center"/>
        <w:rPr>
          <w:rFonts w:asciiTheme="minorHAnsi" w:hAnsiTheme="minorHAnsi" w:cstheme="minorHAnsi"/>
        </w:rPr>
      </w:pPr>
    </w:p>
    <w:p w14:paraId="0E0BFD5A" w14:textId="77777777" w:rsidR="00033E65" w:rsidRPr="00033E65" w:rsidRDefault="00033E65" w:rsidP="00033E65">
      <w:pPr>
        <w:spacing w:after="0" w:line="240" w:lineRule="auto"/>
        <w:jc w:val="both"/>
        <w:rPr>
          <w:rFonts w:asciiTheme="minorHAnsi" w:eastAsia="Times New Roman" w:hAnsiTheme="minorHAnsi" w:cstheme="minorHAnsi"/>
          <w:sz w:val="24"/>
          <w:szCs w:val="24"/>
        </w:rPr>
      </w:pPr>
      <w:r w:rsidRPr="00033E65">
        <w:rPr>
          <w:rFonts w:asciiTheme="minorHAnsi" w:eastAsia="Times New Roman" w:hAnsiTheme="minorHAnsi" w:cstheme="minorHAnsi"/>
          <w:color w:val="000000"/>
          <w:sz w:val="24"/>
          <w:szCs w:val="24"/>
        </w:rPr>
        <w:t>El surgimiento y evolución de estas normatividades ha ido de la mano del surgimiento de mecanismos de reclamo y reparación (MRR) para la recepción de quejas sobre incumplimiento de estas normas ambientales y sociales. Estos MRR ofrecen un canal abierto a todas las personas de las comunidades potencialmente afectadas por el proyecto, para que puedan presentar una queja. Para procesar la queja, por lo general se habilitan dos vías: (i) el diálogo y la construcción de acuerdos entre las partes; o (ii) un proceso de investigación para verificar si hubo o no incumplimiento. El temor de que se abra una investigación suele ser un poderoso incentivo para que la empresa se siente a dialogar con las comunidades afectadas. </w:t>
      </w:r>
    </w:p>
    <w:p w14:paraId="7D0313C6" w14:textId="77777777" w:rsidR="00033E65" w:rsidRPr="00033E65" w:rsidRDefault="00033E65" w:rsidP="00033E65">
      <w:pPr>
        <w:spacing w:after="0" w:line="240" w:lineRule="auto"/>
        <w:rPr>
          <w:rFonts w:asciiTheme="minorHAnsi" w:eastAsia="Times New Roman" w:hAnsiTheme="minorHAnsi" w:cstheme="minorHAnsi"/>
          <w:sz w:val="24"/>
          <w:szCs w:val="24"/>
        </w:rPr>
      </w:pPr>
    </w:p>
    <w:p w14:paraId="15425E1B" w14:textId="36A4A0F9" w:rsidR="00E94162" w:rsidRPr="00E94162" w:rsidRDefault="00033E65" w:rsidP="00E94162">
      <w:pPr>
        <w:spacing w:after="0" w:line="240" w:lineRule="auto"/>
        <w:jc w:val="both"/>
        <w:rPr>
          <w:rFonts w:asciiTheme="minorHAnsi" w:eastAsia="Times New Roman" w:hAnsiTheme="minorHAnsi" w:cstheme="minorHAnsi"/>
          <w:sz w:val="24"/>
          <w:szCs w:val="24"/>
        </w:rPr>
      </w:pPr>
      <w:r w:rsidRPr="00033E65">
        <w:rPr>
          <w:rFonts w:asciiTheme="minorHAnsi" w:eastAsia="Times New Roman" w:hAnsiTheme="minorHAnsi" w:cstheme="minorHAnsi"/>
          <w:color w:val="000000"/>
          <w:sz w:val="24"/>
          <w:szCs w:val="24"/>
        </w:rPr>
        <w:t>Los MRR de las principales instituciones financieras internacionales (IFI), incluyendo el Grupo del Banco Mundial, el BID y las instituciones bilaterales de financiación del desarrollo, siguen recibiendo y gestionando un importante volumen de reclamaciones relacionadas con la minería en la región de ALC</w:t>
      </w:r>
      <w:r w:rsidR="00E94162" w:rsidRPr="00DF6BC1">
        <w:rPr>
          <w:rFonts w:asciiTheme="minorHAnsi" w:eastAsia="Times New Roman" w:hAnsiTheme="minorHAnsi" w:cstheme="minorHAnsi"/>
          <w:sz w:val="24"/>
          <w:szCs w:val="24"/>
        </w:rPr>
        <w:t xml:space="preserve">. </w:t>
      </w:r>
      <w:r w:rsidR="00E94162" w:rsidRPr="00E94162">
        <w:rPr>
          <w:rFonts w:asciiTheme="minorHAnsi" w:eastAsia="Times New Roman" w:hAnsiTheme="minorHAnsi" w:cstheme="minorHAnsi"/>
          <w:color w:val="000000"/>
          <w:sz w:val="24"/>
          <w:szCs w:val="24"/>
        </w:rPr>
        <w:t xml:space="preserve">Además de estos desarrollos, es importante mencionar al Sistema Interamericano de Derechos Humanos y al Acuerdo Regional para el Acceso a la Información, la Participación y la Justicia en América Latina y el Carible. Finalmente, vale la pena mencionar un mecanismo regional recientemente aprobado. </w:t>
      </w:r>
      <w:r w:rsidR="00E94162" w:rsidRPr="00E94162">
        <w:rPr>
          <w:rFonts w:asciiTheme="minorHAnsi" w:eastAsia="Times New Roman" w:hAnsiTheme="minorHAnsi" w:cstheme="minorHAnsi"/>
          <w:b/>
          <w:bCs/>
          <w:color w:val="000000"/>
          <w:sz w:val="24"/>
          <w:szCs w:val="24"/>
        </w:rPr>
        <w:t>El acuerdo de Escazú</w:t>
      </w:r>
      <w:r w:rsidR="00E94162" w:rsidRPr="00E94162">
        <w:rPr>
          <w:rFonts w:asciiTheme="minorHAnsi" w:eastAsia="Times New Roman" w:hAnsiTheme="minorHAnsi" w:cstheme="minorHAnsi"/>
          <w:color w:val="000000"/>
          <w:sz w:val="24"/>
          <w:szCs w:val="24"/>
        </w:rPr>
        <w:t xml:space="preserve"> es un mecanismo regional para fomentar la buena gobernanza ambiental.</w:t>
      </w:r>
    </w:p>
    <w:p w14:paraId="2AC8358C" w14:textId="395D7964" w:rsidR="00E94162" w:rsidRDefault="00E94162" w:rsidP="00E94162">
      <w:pPr>
        <w:spacing w:after="0" w:line="240" w:lineRule="auto"/>
        <w:rPr>
          <w:rFonts w:asciiTheme="minorHAnsi" w:eastAsia="Times New Roman" w:hAnsiTheme="minorHAnsi" w:cstheme="minorHAnsi"/>
          <w:sz w:val="24"/>
          <w:szCs w:val="24"/>
        </w:rPr>
      </w:pPr>
    </w:p>
    <w:p w14:paraId="67A4B9B3" w14:textId="77777777" w:rsidR="001A5CF9" w:rsidRPr="00DF6BC1" w:rsidRDefault="001A5CF9" w:rsidP="001A5CF9">
      <w:pPr>
        <w:spacing w:before="100" w:beforeAutospacing="1" w:after="100" w:afterAutospacing="1" w:line="240" w:lineRule="auto"/>
        <w:jc w:val="both"/>
        <w:rPr>
          <w:rFonts w:asciiTheme="minorHAnsi" w:eastAsia="Times New Roman" w:hAnsiTheme="minorHAnsi" w:cstheme="minorHAnsi"/>
          <w:b/>
          <w:bCs/>
          <w:color w:val="767171" w:themeColor="background2" w:themeShade="80"/>
          <w:sz w:val="24"/>
          <w:szCs w:val="24"/>
        </w:rPr>
      </w:pPr>
      <w:r w:rsidRPr="00B40187">
        <w:rPr>
          <w:rFonts w:asciiTheme="minorHAnsi" w:eastAsia="Times New Roman" w:hAnsiTheme="minorHAnsi" w:cstheme="minorHAnsi"/>
          <w:b/>
          <w:bCs/>
          <w:color w:val="767171" w:themeColor="background2" w:themeShade="80"/>
          <w:sz w:val="24"/>
          <w:szCs w:val="24"/>
        </w:rPr>
        <w:t>¿Tiene conocimiento de alguna medida, tanto obligatoria como voluntaria, a nivel nacional, regional o internacional para fomentar el respeto de los derechos humanos en el sector extractivo por parte de las empresas, especialmente en el contexto de los planes, programas y actividades de transición energética? En caso afirmativo, ¿se aplican efectivamente estas medidas y proporcionan la cobertura necesaria a la luz de la evolución de las circunstancias, incluidos los planes de transición energética? ¿Es necesaria una mayor claridad en algunas áreas de la ley y las políticas públicas? ¿Qué medidas podrían corregir razonablemente esta situación?</w:t>
      </w:r>
    </w:p>
    <w:p w14:paraId="3574F26D" w14:textId="77777777" w:rsidR="001A5CF9" w:rsidRPr="00DF6BC1" w:rsidRDefault="001A5CF9" w:rsidP="001A5CF9">
      <w:pPr>
        <w:spacing w:before="200" w:after="0" w:line="240" w:lineRule="auto"/>
        <w:ind w:firstLine="720"/>
        <w:jc w:val="both"/>
        <w:rPr>
          <w:rFonts w:asciiTheme="minorHAnsi" w:eastAsia="Times New Roman" w:hAnsiTheme="minorHAnsi" w:cstheme="minorHAnsi"/>
          <w:color w:val="000000"/>
          <w:sz w:val="24"/>
          <w:szCs w:val="24"/>
        </w:rPr>
      </w:pPr>
      <w:r w:rsidRPr="00E769C4">
        <w:rPr>
          <w:rFonts w:asciiTheme="minorHAnsi" w:eastAsia="Times New Roman" w:hAnsiTheme="minorHAnsi" w:cstheme="minorHAnsi"/>
          <w:color w:val="000000"/>
          <w:sz w:val="24"/>
          <w:szCs w:val="24"/>
        </w:rPr>
        <w:t>El siguiente cuadro comparativo enlista algunos de los avances más significativos en materia institucional</w:t>
      </w:r>
      <w:r w:rsidRPr="00DF6BC1">
        <w:rPr>
          <w:rFonts w:asciiTheme="minorHAnsi" w:eastAsia="Times New Roman" w:hAnsiTheme="minorHAnsi" w:cstheme="minorHAnsi"/>
          <w:color w:val="000000"/>
          <w:sz w:val="24"/>
          <w:szCs w:val="24"/>
        </w:rPr>
        <w:t xml:space="preserve"> que fueron identificados en un análisis institucional de siete países de América Latina</w:t>
      </w:r>
      <w:r w:rsidRPr="00E769C4">
        <w:rPr>
          <w:rFonts w:asciiTheme="minorHAnsi" w:eastAsia="Times New Roman" w:hAnsiTheme="minorHAnsi" w:cstheme="minorHAnsi"/>
          <w:color w:val="000000"/>
          <w:sz w:val="24"/>
          <w:szCs w:val="24"/>
        </w:rPr>
        <w:t xml:space="preserve">, con enfoque de derechos humanos y ambientales, que son comunes a varios países y que pueden contribuir a una gestión más efectiva y justa de la conflictividad, así como otros que si bien son deseables están ausentes en la mayoría de los países. </w:t>
      </w:r>
    </w:p>
    <w:p w14:paraId="628516BD" w14:textId="77777777" w:rsidR="001A5CF9" w:rsidRPr="00E769C4" w:rsidRDefault="001A5CF9" w:rsidP="001A5CF9">
      <w:pPr>
        <w:spacing w:before="200" w:after="0" w:line="240" w:lineRule="auto"/>
        <w:ind w:firstLine="720"/>
        <w:jc w:val="both"/>
        <w:rPr>
          <w:rFonts w:asciiTheme="minorHAnsi" w:eastAsia="Times New Roman" w:hAnsiTheme="minorHAnsi" w:cstheme="minorHAnsi"/>
          <w:color w:val="000000"/>
          <w:sz w:val="24"/>
          <w:szCs w:val="24"/>
        </w:rPr>
      </w:pPr>
      <w:r w:rsidRPr="00E769C4">
        <w:rPr>
          <w:rFonts w:asciiTheme="minorHAnsi" w:eastAsia="Times New Roman" w:hAnsiTheme="minorHAnsi" w:cstheme="minorHAnsi"/>
          <w:color w:val="000000"/>
          <w:sz w:val="24"/>
          <w:szCs w:val="24"/>
        </w:rPr>
        <w:t>Destaca el avance en la ratificación de tratados e instrumentos internacionales (consulta indígena, evaluación de impacto, Derechos Humanos y Empresas, y Acuerdo de Escazú), en contraste con el retraso en los planes para implementarlos y las reformas a la legislación secundaria que establezcan pautas para su aplicación. También es notable la falta de tribunales especializados en materia ambiental (salvo Brasil, Chile y Perú); la inexistencia de vías no judiciales especializadas en la gestión de conflictos mineros y/o socio ambientales con base en el diálogo entre las partes (a excepción de Perú y Ecuador); y la ausencia de criterios claros para el reparto (salvo por Ecuador y Perú). Finalmente, destaca que países como Perú muestran mayores avances en la gestión de la conflictividad minera que países como México y Argentina.  </w:t>
      </w:r>
    </w:p>
    <w:p w14:paraId="26C63404" w14:textId="77777777" w:rsidR="001A5CF9" w:rsidRPr="00DF6BC1" w:rsidRDefault="001A5CF9" w:rsidP="001A5CF9">
      <w:pPr>
        <w:spacing w:after="0" w:line="240" w:lineRule="auto"/>
        <w:rPr>
          <w:rFonts w:asciiTheme="minorHAnsi" w:eastAsia="Times New Roman" w:hAnsiTheme="minorHAnsi" w:cstheme="minorHAnsi"/>
          <w:sz w:val="24"/>
          <w:szCs w:val="24"/>
        </w:rPr>
      </w:pPr>
    </w:p>
    <w:p w14:paraId="1CC651C0" w14:textId="77777777" w:rsidR="001A5CF9" w:rsidRPr="00E769C4" w:rsidRDefault="001A5CF9" w:rsidP="001A5CF9">
      <w:pPr>
        <w:spacing w:after="0" w:line="240" w:lineRule="auto"/>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4"/>
          <w:szCs w:val="24"/>
        </w:rPr>
        <w:t>Comparativo de avances institucionales</w:t>
      </w:r>
    </w:p>
    <w:p w14:paraId="7F3AF37C" w14:textId="77777777" w:rsidR="001A5CF9" w:rsidRPr="00DF6BC1" w:rsidRDefault="001A5CF9" w:rsidP="001A5CF9">
      <w:pPr>
        <w:jc w:val="both"/>
        <w:rPr>
          <w:rFonts w:asciiTheme="minorHAnsi"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582"/>
        <w:gridCol w:w="4661"/>
        <w:gridCol w:w="868"/>
        <w:gridCol w:w="754"/>
        <w:gridCol w:w="688"/>
        <w:gridCol w:w="466"/>
        <w:gridCol w:w="900"/>
        <w:gridCol w:w="493"/>
        <w:gridCol w:w="540"/>
      </w:tblGrid>
      <w:tr w:rsidR="001A5CF9" w:rsidRPr="00E769C4" w14:paraId="4FA23683" w14:textId="77777777" w:rsidTr="001C1F8F">
        <w:trPr>
          <w:trHeight w:val="56"/>
          <w:tblHeader/>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139BD9DB" w14:textId="77777777" w:rsidR="001A5CF9" w:rsidRPr="00E769C4" w:rsidRDefault="001A5CF9" w:rsidP="001C1F8F">
            <w:pPr>
              <w:spacing w:after="0" w:line="240" w:lineRule="auto"/>
              <w:jc w:val="both"/>
              <w:rPr>
                <w:rFonts w:asciiTheme="minorHAnsi" w:eastAsia="Times New Roman" w:hAnsiTheme="minorHAnsi" w:cstheme="minorHAnsi"/>
                <w:b/>
                <w:bCs/>
                <w:sz w:val="24"/>
                <w:szCs w:val="24"/>
              </w:rPr>
            </w:pPr>
            <w:r w:rsidRPr="00E769C4">
              <w:rPr>
                <w:rFonts w:asciiTheme="minorHAnsi" w:eastAsia="Times New Roman" w:hAnsiTheme="minorHAnsi" w:cstheme="minorHAnsi"/>
                <w:b/>
                <w:bCs/>
                <w:color w:val="000000"/>
                <w:sz w:val="20"/>
                <w:szCs w:val="20"/>
              </w:rPr>
              <w:t>Índice</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5D015922" w14:textId="77777777" w:rsidR="001A5CF9" w:rsidRPr="00E769C4" w:rsidRDefault="001A5CF9" w:rsidP="001C1F8F">
            <w:pPr>
              <w:spacing w:after="0" w:line="240" w:lineRule="auto"/>
              <w:jc w:val="both"/>
              <w:rPr>
                <w:rFonts w:asciiTheme="minorHAnsi" w:eastAsia="Times New Roman" w:hAnsiTheme="minorHAnsi" w:cstheme="minorHAnsi"/>
                <w:b/>
                <w:bCs/>
                <w:sz w:val="24"/>
                <w:szCs w:val="24"/>
              </w:rPr>
            </w:pPr>
            <w:r w:rsidRPr="00E769C4">
              <w:rPr>
                <w:rFonts w:asciiTheme="minorHAnsi" w:eastAsia="Times New Roman" w:hAnsiTheme="minorHAnsi" w:cstheme="minorHAnsi"/>
                <w:color w:val="000000"/>
                <w:sz w:val="20"/>
                <w:szCs w:val="20"/>
              </w:rPr>
              <w:t>Indicador</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17C55E7F" w14:textId="77777777" w:rsidR="001A5CF9" w:rsidRPr="00E769C4" w:rsidRDefault="001A5CF9" w:rsidP="001C1F8F">
            <w:pPr>
              <w:spacing w:after="0" w:line="240" w:lineRule="auto"/>
              <w:jc w:val="both"/>
              <w:rPr>
                <w:rFonts w:asciiTheme="minorHAnsi" w:eastAsia="Times New Roman" w:hAnsiTheme="minorHAnsi" w:cstheme="minorHAnsi"/>
                <w:b/>
                <w:bCs/>
                <w:sz w:val="24"/>
                <w:szCs w:val="24"/>
              </w:rPr>
            </w:pPr>
            <w:r w:rsidRPr="00E769C4">
              <w:rPr>
                <w:rFonts w:asciiTheme="minorHAnsi" w:eastAsia="Times New Roman" w:hAnsiTheme="minorHAnsi" w:cstheme="minorHAnsi"/>
                <w:b/>
                <w:bCs/>
                <w:color w:val="000000"/>
                <w:sz w:val="20"/>
                <w:szCs w:val="20"/>
              </w:rPr>
              <w:t>Colombia</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09C6EC42" w14:textId="77777777" w:rsidR="001A5CF9" w:rsidRPr="00E769C4" w:rsidRDefault="001A5CF9" w:rsidP="001C1F8F">
            <w:pPr>
              <w:spacing w:after="0" w:line="240" w:lineRule="auto"/>
              <w:jc w:val="both"/>
              <w:rPr>
                <w:rFonts w:asciiTheme="minorHAnsi" w:eastAsia="Times New Roman" w:hAnsiTheme="minorHAnsi" w:cstheme="minorHAnsi"/>
                <w:b/>
                <w:bCs/>
                <w:sz w:val="24"/>
                <w:szCs w:val="24"/>
              </w:rPr>
            </w:pPr>
            <w:r w:rsidRPr="00E769C4">
              <w:rPr>
                <w:rFonts w:asciiTheme="minorHAnsi" w:eastAsia="Times New Roman" w:hAnsiTheme="minorHAnsi" w:cstheme="minorHAnsi"/>
                <w:b/>
                <w:bCs/>
                <w:color w:val="000000"/>
                <w:sz w:val="20"/>
                <w:szCs w:val="20"/>
              </w:rPr>
              <w:t>Ecuador</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2F624358" w14:textId="77777777" w:rsidR="001A5CF9" w:rsidRPr="00E769C4" w:rsidRDefault="001A5CF9" w:rsidP="001C1F8F">
            <w:pPr>
              <w:spacing w:after="0" w:line="240" w:lineRule="auto"/>
              <w:jc w:val="both"/>
              <w:rPr>
                <w:rFonts w:asciiTheme="minorHAnsi" w:eastAsia="Times New Roman" w:hAnsiTheme="minorHAnsi" w:cstheme="minorHAnsi"/>
                <w:b/>
                <w:bCs/>
                <w:sz w:val="24"/>
                <w:szCs w:val="24"/>
              </w:rPr>
            </w:pPr>
            <w:r w:rsidRPr="00E769C4">
              <w:rPr>
                <w:rFonts w:asciiTheme="minorHAnsi" w:eastAsia="Times New Roman" w:hAnsiTheme="minorHAnsi" w:cstheme="minorHAnsi"/>
                <w:b/>
                <w:bCs/>
                <w:color w:val="000000"/>
                <w:sz w:val="20"/>
                <w:szCs w:val="20"/>
              </w:rPr>
              <w:t>México</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67BE569E" w14:textId="77777777" w:rsidR="001A5CF9" w:rsidRPr="00E769C4" w:rsidRDefault="001A5CF9" w:rsidP="001C1F8F">
            <w:pPr>
              <w:spacing w:after="0" w:line="240" w:lineRule="auto"/>
              <w:jc w:val="both"/>
              <w:rPr>
                <w:rFonts w:asciiTheme="minorHAnsi" w:eastAsia="Times New Roman" w:hAnsiTheme="minorHAnsi" w:cstheme="minorHAnsi"/>
                <w:b/>
                <w:bCs/>
                <w:sz w:val="24"/>
                <w:szCs w:val="24"/>
              </w:rPr>
            </w:pPr>
            <w:r w:rsidRPr="00E769C4">
              <w:rPr>
                <w:rFonts w:asciiTheme="minorHAnsi" w:eastAsia="Times New Roman" w:hAnsiTheme="minorHAnsi" w:cstheme="minorHAnsi"/>
                <w:b/>
                <w:bCs/>
                <w:color w:val="000000"/>
                <w:sz w:val="20"/>
                <w:szCs w:val="20"/>
              </w:rPr>
              <w:t>Perú</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0C0DC876" w14:textId="77777777" w:rsidR="001A5CF9" w:rsidRPr="00E769C4" w:rsidRDefault="001A5CF9" w:rsidP="001C1F8F">
            <w:pPr>
              <w:spacing w:after="0" w:line="240" w:lineRule="auto"/>
              <w:jc w:val="both"/>
              <w:rPr>
                <w:rFonts w:asciiTheme="minorHAnsi" w:eastAsia="Times New Roman" w:hAnsiTheme="minorHAnsi" w:cstheme="minorHAnsi"/>
                <w:b/>
                <w:bCs/>
                <w:sz w:val="24"/>
                <w:szCs w:val="24"/>
              </w:rPr>
            </w:pPr>
            <w:r w:rsidRPr="00E769C4">
              <w:rPr>
                <w:rFonts w:asciiTheme="minorHAnsi" w:eastAsia="Times New Roman" w:hAnsiTheme="minorHAnsi" w:cstheme="minorHAnsi"/>
                <w:b/>
                <w:bCs/>
                <w:color w:val="000000"/>
                <w:sz w:val="20"/>
                <w:szCs w:val="20"/>
              </w:rPr>
              <w:t>Argentina</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07D02146" w14:textId="77777777" w:rsidR="001A5CF9" w:rsidRPr="00E769C4" w:rsidRDefault="001A5CF9" w:rsidP="001C1F8F">
            <w:pPr>
              <w:spacing w:after="0" w:line="240" w:lineRule="auto"/>
              <w:jc w:val="both"/>
              <w:rPr>
                <w:rFonts w:asciiTheme="minorHAnsi" w:eastAsia="Times New Roman" w:hAnsiTheme="minorHAnsi" w:cstheme="minorHAnsi"/>
                <w:b/>
                <w:bCs/>
                <w:sz w:val="24"/>
                <w:szCs w:val="24"/>
              </w:rPr>
            </w:pPr>
            <w:r w:rsidRPr="00E769C4">
              <w:rPr>
                <w:rFonts w:asciiTheme="minorHAnsi" w:eastAsia="Times New Roman" w:hAnsiTheme="minorHAnsi" w:cstheme="minorHAnsi"/>
                <w:b/>
                <w:bCs/>
                <w:color w:val="000000"/>
                <w:sz w:val="20"/>
                <w:szCs w:val="20"/>
              </w:rPr>
              <w:t>Chile</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56993C11" w14:textId="77777777" w:rsidR="001A5CF9" w:rsidRPr="00E769C4" w:rsidRDefault="001A5CF9" w:rsidP="001C1F8F">
            <w:pPr>
              <w:spacing w:after="0" w:line="240" w:lineRule="auto"/>
              <w:jc w:val="both"/>
              <w:rPr>
                <w:rFonts w:asciiTheme="minorHAnsi" w:eastAsia="Times New Roman" w:hAnsiTheme="minorHAnsi" w:cstheme="minorHAnsi"/>
                <w:b/>
                <w:bCs/>
                <w:sz w:val="24"/>
                <w:szCs w:val="24"/>
              </w:rPr>
            </w:pPr>
            <w:r w:rsidRPr="00E769C4">
              <w:rPr>
                <w:rFonts w:asciiTheme="minorHAnsi" w:eastAsia="Times New Roman" w:hAnsiTheme="minorHAnsi" w:cstheme="minorHAnsi"/>
                <w:b/>
                <w:bCs/>
                <w:color w:val="000000"/>
                <w:sz w:val="20"/>
                <w:szCs w:val="20"/>
              </w:rPr>
              <w:t>Brasil</w:t>
            </w:r>
          </w:p>
        </w:tc>
      </w:tr>
      <w:tr w:rsidR="001A5CF9" w:rsidRPr="00E769C4" w14:paraId="3A0C76FF" w14:textId="77777777" w:rsidTr="001C1F8F">
        <w:trPr>
          <w:trHeight w:val="42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1D120D5E"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1</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58979774"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Existe un plan nacional de empresas y derechos humanos.</w:t>
            </w:r>
          </w:p>
        </w:tc>
        <w:tc>
          <w:tcPr>
            <w:tcW w:w="0" w:type="auto"/>
            <w:tcBorders>
              <w:top w:val="single" w:sz="8" w:space="0" w:color="B7B7B7"/>
              <w:left w:val="single" w:sz="8" w:space="0" w:color="B7B7B7"/>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4A9A21D8"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B7B7B7"/>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16113A1B"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B7B7B7"/>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2DEEE118"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B7B7B7"/>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403E33E7"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B7B7B7"/>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2D5A0B1F"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B7B7B7"/>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726974CF"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B7B7B7"/>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52B30D27"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6C95B5A3"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0B3DE8B6"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lastRenderedPageBreak/>
              <w:t>2</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611539F3"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La evaluación de Impacto Ambiental está prevista en la legislación.</w:t>
            </w:r>
          </w:p>
        </w:tc>
        <w:tc>
          <w:tcPr>
            <w:tcW w:w="0" w:type="auto"/>
            <w:tcBorders>
              <w:top w:val="single" w:sz="8" w:space="0" w:color="CCCCCC"/>
              <w:left w:val="single" w:sz="8" w:space="0" w:color="B7B7B7"/>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065D0316"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394C145F"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36B64EE3"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0AFD3428"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2EC6A645"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15E56056"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1BAD90B8"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16888785"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46662367"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3</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5769038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La evaluación de Impacto Ambiental es pública.</w:t>
            </w:r>
          </w:p>
        </w:tc>
        <w:tc>
          <w:tcPr>
            <w:tcW w:w="0" w:type="auto"/>
            <w:tcBorders>
              <w:top w:val="single" w:sz="8" w:space="0" w:color="CCCCCC"/>
              <w:left w:val="single" w:sz="8" w:space="0" w:color="B7B7B7"/>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72BA2FF5"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6BCEADE2"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72F195E2"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390FF6C3"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347A73D4"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58BA4F73"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7E86DAE5"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2E6F7850"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0EC3A467"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4</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0286C7E8"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El Acuerdo de Escazú ha sido ratificado.</w:t>
            </w:r>
          </w:p>
        </w:tc>
        <w:tc>
          <w:tcPr>
            <w:tcW w:w="0" w:type="auto"/>
            <w:tcBorders>
              <w:top w:val="single" w:sz="8" w:space="0" w:color="CCCCCC"/>
              <w:left w:val="single" w:sz="8" w:space="0" w:color="B7B7B7"/>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07AFC383"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7CEC1CDB"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091BEB19"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0F16D7DB"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7A63A1C1"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5B4167F7"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773E5C7F"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161204D9"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0567586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5</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68B80C63"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Hay un plan de implementación del acuerdo de Escazú oficialmente presentado.</w:t>
            </w:r>
          </w:p>
        </w:tc>
        <w:tc>
          <w:tcPr>
            <w:tcW w:w="0" w:type="auto"/>
            <w:tcBorders>
              <w:top w:val="single" w:sz="8" w:space="0" w:color="CCCCCC"/>
              <w:left w:val="single" w:sz="8" w:space="0" w:color="B7B7B7"/>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77C0140B"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1ECDE149"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5B486796"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03BADCEF"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32BA5E78"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32C6EA6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141C205B"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0864A891"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4C50BEB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6</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50B2448E"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El Convenio 169 de la OIT ha sido ratificado.</w:t>
            </w:r>
          </w:p>
        </w:tc>
        <w:tc>
          <w:tcPr>
            <w:tcW w:w="0" w:type="auto"/>
            <w:tcBorders>
              <w:top w:val="single" w:sz="8" w:space="0" w:color="CCCCCC"/>
              <w:left w:val="single" w:sz="8" w:space="0" w:color="B7B7B7"/>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61FCEB01"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3ED06306"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5B73B8F7"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018BC921"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6AAFB1F4"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714ADBF8"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5FE5A7D6"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746FEE6C"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18A384C4"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7</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54290E9F"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La consulta libre, previa e informada está prevista en la legislación secundaria que regula a la minería.</w:t>
            </w:r>
          </w:p>
        </w:tc>
        <w:tc>
          <w:tcPr>
            <w:tcW w:w="0" w:type="auto"/>
            <w:tcBorders>
              <w:top w:val="single" w:sz="8" w:space="0" w:color="CCCCCC"/>
              <w:left w:val="single" w:sz="8" w:space="0" w:color="B7B7B7"/>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4622C52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3EF319E7"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0F35827F"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12DBF1DE"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1ADAA02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503F9F9C"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33DB0587"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56CE9D1A"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051A9209"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8</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67610CDA"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Hay legislación nacional que establezca lineamientos claros para la consulta previa, libre e informada en materia de minería. </w:t>
            </w:r>
          </w:p>
        </w:tc>
        <w:tc>
          <w:tcPr>
            <w:tcW w:w="0" w:type="auto"/>
            <w:tcBorders>
              <w:top w:val="single" w:sz="8" w:space="0" w:color="CCCCCC"/>
              <w:left w:val="single" w:sz="8" w:space="0" w:color="B7B7B7"/>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11370022"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060CD246"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34EB8A91"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4B2FACEC"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7F09C82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35515C83"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0D56D24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58AEAB07"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4F6DD313"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9</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43475792"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Existe una institución independiente del titular del poder Ejecutivo  -tipo Ombuds o Defensoría del Pueblo- garante de Derechos Humanos.</w:t>
            </w:r>
          </w:p>
        </w:tc>
        <w:tc>
          <w:tcPr>
            <w:tcW w:w="0" w:type="auto"/>
            <w:tcBorders>
              <w:top w:val="single" w:sz="8" w:space="0" w:color="CCCCCC"/>
              <w:left w:val="single" w:sz="8" w:space="0" w:color="B7B7B7"/>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22F74373"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02E34A3A"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64A3566E"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69379F1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15E0149F"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5083DF9E"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6E2691A7"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46E6EDF1"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3FE41305"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10</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2BBA7AB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Existe una institución independiente del titular del poder Ejecutivo  de procuración ambiental.</w:t>
            </w:r>
          </w:p>
        </w:tc>
        <w:tc>
          <w:tcPr>
            <w:tcW w:w="0" w:type="auto"/>
            <w:tcBorders>
              <w:top w:val="single" w:sz="8" w:space="0" w:color="CCCCCC"/>
              <w:left w:val="single" w:sz="8" w:space="0" w:color="B7B7B7"/>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2C0368EC"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19DCEB6C"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4B403ED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7AB879B3"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r w:rsidRPr="00E769C4">
              <w:rPr>
                <w:rFonts w:asciiTheme="minorHAnsi" w:eastAsia="Times New Roman" w:hAnsiTheme="minorHAnsi" w:cstheme="minorHAnsi"/>
                <w:b/>
                <w:bCs/>
                <w:color w:val="000000"/>
                <w:sz w:val="20"/>
                <w:szCs w:val="20"/>
              </w:rPr>
              <w:t> </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1221CAEE"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3572CC87"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101D1623"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336DE3C0"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24431D5B"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11</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3DC9E7A1"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Existen tribunales de justicia independientes con atribuciones en materia de derechos socioambientales.</w:t>
            </w:r>
          </w:p>
        </w:tc>
        <w:tc>
          <w:tcPr>
            <w:tcW w:w="0" w:type="auto"/>
            <w:tcBorders>
              <w:top w:val="single" w:sz="8" w:space="0" w:color="CCCCCC"/>
              <w:left w:val="single" w:sz="8" w:space="0" w:color="B7B7B7"/>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05C7CE7A"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5D48E0A1"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4FDE772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248EC866"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14AABCBC"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75173D4E"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1797BE58"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0EC7EE68"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19C715EB"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12</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05A091B2"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Existen tribunales de justicia especializados en materia de derechos socioambientales a nivel nacional.</w:t>
            </w:r>
          </w:p>
        </w:tc>
        <w:tc>
          <w:tcPr>
            <w:tcW w:w="0" w:type="auto"/>
            <w:tcBorders>
              <w:top w:val="single" w:sz="8" w:space="0" w:color="CCCCCC"/>
              <w:left w:val="single" w:sz="8" w:space="0" w:color="B7B7B7"/>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7C020B6A"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757CD2B9"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50ACEEBA"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154F4897"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1DA0755E"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2FC34694"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717774C7"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6B71A96C"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2711C5DA"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13</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6FE00D44"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Existen instancias no judiciales estatales especializadas en conflictividad socioambiental o minera a través de procedimientos alternativos (mediación, conciliación, diálogo multiactor, etc.).</w:t>
            </w:r>
          </w:p>
        </w:tc>
        <w:tc>
          <w:tcPr>
            <w:tcW w:w="0" w:type="auto"/>
            <w:tcBorders>
              <w:top w:val="single" w:sz="8" w:space="0" w:color="CCCCCC"/>
              <w:left w:val="single" w:sz="8" w:space="0" w:color="B7B7B7"/>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0169D814"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r w:rsidRPr="00E769C4">
              <w:rPr>
                <w:rFonts w:asciiTheme="minorHAnsi" w:eastAsia="Times New Roman" w:hAnsiTheme="minorHAnsi" w:cstheme="minorHAnsi"/>
                <w:b/>
                <w:bCs/>
                <w:color w:val="000000"/>
                <w:sz w:val="20"/>
                <w:szCs w:val="20"/>
              </w:rPr>
              <w:t> </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549319CF"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2A51E9E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2387F23B"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31647FB3"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7783CDB1"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r w:rsidRPr="00E769C4">
              <w:rPr>
                <w:rFonts w:asciiTheme="minorHAnsi" w:eastAsia="Times New Roman" w:hAnsiTheme="minorHAnsi" w:cstheme="minorHAnsi"/>
                <w:b/>
                <w:bCs/>
                <w:color w:val="000000"/>
                <w:sz w:val="20"/>
                <w:szCs w:val="20"/>
              </w:rPr>
              <w:t> </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1676ED13"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18B81386" w14:textId="77777777" w:rsidTr="001C1F8F">
        <w:trPr>
          <w:trHeight w:val="1052"/>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027D84EE"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lastRenderedPageBreak/>
              <w:t>14</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24615922"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Existe una instancia de coordinación interinstitucional para gestión de la conflictividad y/o regulación del sector minero.</w:t>
            </w:r>
          </w:p>
        </w:tc>
        <w:tc>
          <w:tcPr>
            <w:tcW w:w="0" w:type="auto"/>
            <w:tcBorders>
              <w:top w:val="single" w:sz="8" w:space="0" w:color="CCCCCC"/>
              <w:left w:val="single" w:sz="8" w:space="0" w:color="B7B7B7"/>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45A52972"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6C33DED1"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1CF7E10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6C818391"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3FA13555"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B7B7B7"/>
              <w:right w:val="single" w:sz="8" w:space="0" w:color="CCCCCC"/>
            </w:tcBorders>
            <w:shd w:val="clear" w:color="auto" w:fill="A8D08D"/>
            <w:tcMar>
              <w:top w:w="100" w:type="dxa"/>
              <w:left w:w="40" w:type="dxa"/>
              <w:bottom w:w="100" w:type="dxa"/>
              <w:right w:w="40" w:type="dxa"/>
            </w:tcMar>
            <w:vAlign w:val="bottom"/>
            <w:hideMark/>
          </w:tcPr>
          <w:p w14:paraId="2687C7D6"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B7B7B7"/>
              <w:right w:val="single" w:sz="8" w:space="0" w:color="CCCCCC"/>
            </w:tcBorders>
            <w:shd w:val="clear" w:color="auto" w:fill="A8D08D"/>
            <w:tcMar>
              <w:top w:w="100" w:type="dxa"/>
              <w:left w:w="40" w:type="dxa"/>
              <w:bottom w:w="100" w:type="dxa"/>
              <w:right w:w="40" w:type="dxa"/>
            </w:tcMar>
            <w:vAlign w:val="bottom"/>
            <w:hideMark/>
          </w:tcPr>
          <w:p w14:paraId="420A1AEF"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1FD6DFB0"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68D1C735"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15</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52D419B0"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Existen reportes periódicos, oficiales y públicos sobre los ingresos públicos que genera la minería.</w:t>
            </w:r>
          </w:p>
        </w:tc>
        <w:tc>
          <w:tcPr>
            <w:tcW w:w="0" w:type="auto"/>
            <w:tcBorders>
              <w:top w:val="single" w:sz="8" w:space="0" w:color="CCCCCC"/>
              <w:left w:val="single" w:sz="8" w:space="0" w:color="B7B7B7"/>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2DEA622F"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13C57879"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19AB73CE"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61866200"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B7B7B7"/>
            </w:tcBorders>
            <w:shd w:val="clear" w:color="auto" w:fill="A8D08D"/>
            <w:tcMar>
              <w:top w:w="100" w:type="dxa"/>
              <w:left w:w="40" w:type="dxa"/>
              <w:bottom w:w="100" w:type="dxa"/>
              <w:right w:w="40" w:type="dxa"/>
            </w:tcMar>
            <w:vAlign w:val="bottom"/>
            <w:hideMark/>
          </w:tcPr>
          <w:p w14:paraId="7B6A94BB"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B7B7B7"/>
              <w:left w:val="single" w:sz="8" w:space="0" w:color="B7B7B7"/>
              <w:bottom w:val="single" w:sz="8" w:space="0" w:color="B7B7B7"/>
              <w:right w:val="single" w:sz="8" w:space="0" w:color="B7B7B7"/>
            </w:tcBorders>
            <w:shd w:val="clear" w:color="auto" w:fill="A8D08D"/>
            <w:tcMar>
              <w:top w:w="100" w:type="dxa"/>
              <w:left w:w="40" w:type="dxa"/>
              <w:bottom w:w="100" w:type="dxa"/>
              <w:right w:w="40" w:type="dxa"/>
            </w:tcMar>
            <w:vAlign w:val="bottom"/>
            <w:hideMark/>
          </w:tcPr>
          <w:p w14:paraId="42D8B801"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B7B7B7"/>
              <w:left w:val="single" w:sz="8" w:space="0" w:color="B7B7B7"/>
              <w:bottom w:val="single" w:sz="8" w:space="0" w:color="B7B7B7"/>
              <w:right w:val="single" w:sz="8" w:space="0" w:color="B7B7B7"/>
            </w:tcBorders>
            <w:shd w:val="clear" w:color="auto" w:fill="A8D08D"/>
            <w:tcMar>
              <w:top w:w="100" w:type="dxa"/>
              <w:left w:w="40" w:type="dxa"/>
              <w:bottom w:w="100" w:type="dxa"/>
              <w:right w:w="40" w:type="dxa"/>
            </w:tcMar>
            <w:vAlign w:val="bottom"/>
            <w:hideMark/>
          </w:tcPr>
          <w:p w14:paraId="0F17D1C3"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55C77DFC"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11501F1C"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16</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49C6232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Existen reportes periódicos, oficiales, públicos y estandarizados sobre los ingresos privados que genera la minería.</w:t>
            </w:r>
          </w:p>
        </w:tc>
        <w:tc>
          <w:tcPr>
            <w:tcW w:w="0" w:type="auto"/>
            <w:tcBorders>
              <w:top w:val="single" w:sz="8" w:space="0" w:color="CCCCCC"/>
              <w:left w:val="single" w:sz="8" w:space="0" w:color="B7B7B7"/>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5140636B"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2E32D331"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6EDCD80A"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2958DE49"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B7B7B7"/>
            </w:tcBorders>
            <w:shd w:val="clear" w:color="auto" w:fill="FF7E79"/>
            <w:tcMar>
              <w:top w:w="100" w:type="dxa"/>
              <w:left w:w="40" w:type="dxa"/>
              <w:bottom w:w="100" w:type="dxa"/>
              <w:right w:w="40" w:type="dxa"/>
            </w:tcMar>
            <w:vAlign w:val="bottom"/>
            <w:hideMark/>
          </w:tcPr>
          <w:p w14:paraId="51546AAA"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B7B7B7"/>
              <w:left w:val="single" w:sz="8" w:space="0" w:color="B7B7B7"/>
              <w:bottom w:val="single" w:sz="8" w:space="0" w:color="B7B7B7"/>
              <w:right w:val="single" w:sz="8" w:space="0" w:color="B7B7B7"/>
            </w:tcBorders>
            <w:shd w:val="clear" w:color="auto" w:fill="A8D08D"/>
            <w:tcMar>
              <w:top w:w="100" w:type="dxa"/>
              <w:left w:w="40" w:type="dxa"/>
              <w:bottom w:w="100" w:type="dxa"/>
              <w:right w:w="40" w:type="dxa"/>
            </w:tcMar>
            <w:vAlign w:val="bottom"/>
            <w:hideMark/>
          </w:tcPr>
          <w:p w14:paraId="2E8CD4E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B7B7B7"/>
              <w:left w:val="single" w:sz="8" w:space="0" w:color="B7B7B7"/>
              <w:bottom w:val="single" w:sz="8" w:space="0" w:color="B7B7B7"/>
              <w:right w:val="single" w:sz="8" w:space="0" w:color="B7B7B7"/>
            </w:tcBorders>
            <w:shd w:val="clear" w:color="auto" w:fill="A8D08D"/>
            <w:tcMar>
              <w:top w:w="100" w:type="dxa"/>
              <w:left w:w="40" w:type="dxa"/>
              <w:bottom w:w="100" w:type="dxa"/>
              <w:right w:w="40" w:type="dxa"/>
            </w:tcMar>
            <w:vAlign w:val="bottom"/>
            <w:hideMark/>
          </w:tcPr>
          <w:p w14:paraId="6BD1416A"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37BFAC90"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61391DC3"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17</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6737AD49"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La normatividad establece el porcentaje de los ingresos público destinados al desarrollo local de las comunidades impactadas por la minería*</w:t>
            </w:r>
          </w:p>
        </w:tc>
        <w:tc>
          <w:tcPr>
            <w:tcW w:w="0" w:type="auto"/>
            <w:tcBorders>
              <w:top w:val="single" w:sz="8" w:space="0" w:color="CCCCCC"/>
              <w:left w:val="single" w:sz="8" w:space="0" w:color="B7B7B7"/>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5DFFB57D"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hideMark/>
          </w:tcPr>
          <w:p w14:paraId="35E272CC" w14:textId="77777777" w:rsidR="001A5CF9" w:rsidRPr="00E769C4" w:rsidRDefault="001A5CF9" w:rsidP="001C1F8F">
            <w:pPr>
              <w:spacing w:after="0" w:line="240" w:lineRule="auto"/>
              <w:rPr>
                <w:rFonts w:asciiTheme="minorHAnsi" w:eastAsia="Times New Roman" w:hAnsiTheme="minorHAnsi" w:cstheme="minorHAnsi"/>
                <w:sz w:val="24"/>
                <w:szCs w:val="24"/>
              </w:rPr>
            </w:pPr>
          </w:p>
          <w:p w14:paraId="4B5AD5A6"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76C31D77"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364E481B"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B7B7B7"/>
            </w:tcBorders>
            <w:shd w:val="clear" w:color="auto" w:fill="FF7E79"/>
            <w:tcMar>
              <w:top w:w="100" w:type="dxa"/>
              <w:left w:w="40" w:type="dxa"/>
              <w:bottom w:w="100" w:type="dxa"/>
              <w:right w:w="40" w:type="dxa"/>
            </w:tcMar>
            <w:vAlign w:val="bottom"/>
            <w:hideMark/>
          </w:tcPr>
          <w:p w14:paraId="7431009B"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B7B7B7"/>
              <w:left w:val="single" w:sz="8" w:space="0" w:color="B7B7B7"/>
              <w:bottom w:val="single" w:sz="8" w:space="0" w:color="B7B7B7"/>
              <w:right w:val="single" w:sz="8" w:space="0" w:color="B7B7B7"/>
            </w:tcBorders>
            <w:shd w:val="clear" w:color="auto" w:fill="FF7E79"/>
            <w:tcMar>
              <w:top w:w="100" w:type="dxa"/>
              <w:left w:w="40" w:type="dxa"/>
              <w:bottom w:w="100" w:type="dxa"/>
              <w:right w:w="40" w:type="dxa"/>
            </w:tcMar>
            <w:vAlign w:val="bottom"/>
            <w:hideMark/>
          </w:tcPr>
          <w:p w14:paraId="16F1417B"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B7B7B7"/>
              <w:left w:val="single" w:sz="8" w:space="0" w:color="B7B7B7"/>
              <w:bottom w:val="single" w:sz="8" w:space="0" w:color="B7B7B7"/>
              <w:right w:val="single" w:sz="8" w:space="0" w:color="B7B7B7"/>
            </w:tcBorders>
            <w:shd w:val="clear" w:color="auto" w:fill="A8D08D"/>
            <w:tcMar>
              <w:top w:w="100" w:type="dxa"/>
              <w:left w:w="40" w:type="dxa"/>
              <w:bottom w:w="100" w:type="dxa"/>
              <w:right w:w="40" w:type="dxa"/>
            </w:tcMar>
            <w:vAlign w:val="bottom"/>
            <w:hideMark/>
          </w:tcPr>
          <w:p w14:paraId="4069D93C"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r w:rsidR="001A5CF9" w:rsidRPr="00E769C4" w14:paraId="77FAE393" w14:textId="77777777" w:rsidTr="001C1F8F">
        <w:trPr>
          <w:trHeight w:val="283"/>
        </w:trPr>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4F4BDB04"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b/>
                <w:bCs/>
                <w:color w:val="000000"/>
                <w:sz w:val="20"/>
                <w:szCs w:val="20"/>
              </w:rPr>
              <w:t>18</w:t>
            </w:r>
          </w:p>
        </w:tc>
        <w:tc>
          <w:tcPr>
            <w:tcW w:w="0" w:type="auto"/>
            <w:tcBorders>
              <w:top w:val="single" w:sz="8" w:space="0" w:color="B7B7B7"/>
              <w:left w:val="single" w:sz="8" w:space="0" w:color="B7B7B7"/>
              <w:bottom w:val="single" w:sz="8" w:space="0" w:color="B7B7B7"/>
              <w:right w:val="single" w:sz="8" w:space="0" w:color="B7B7B7"/>
            </w:tcBorders>
            <w:tcMar>
              <w:top w:w="100" w:type="dxa"/>
              <w:left w:w="40" w:type="dxa"/>
              <w:bottom w:w="100" w:type="dxa"/>
              <w:right w:w="40" w:type="dxa"/>
            </w:tcMar>
            <w:vAlign w:val="bottom"/>
            <w:hideMark/>
          </w:tcPr>
          <w:p w14:paraId="2C1E05F7"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20"/>
                <w:szCs w:val="20"/>
              </w:rPr>
              <w:t>La normatividad establece mecanismos de participación para la asignación de fondos para el desarrollo local impactadas por la minería*</w:t>
            </w:r>
          </w:p>
        </w:tc>
        <w:tc>
          <w:tcPr>
            <w:tcW w:w="0" w:type="auto"/>
            <w:tcBorders>
              <w:top w:val="single" w:sz="8" w:space="0" w:color="CCCCCC"/>
              <w:left w:val="single" w:sz="8" w:space="0" w:color="B7B7B7"/>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16D7A295"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6984FD67"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F7E79"/>
            <w:tcMar>
              <w:top w:w="100" w:type="dxa"/>
              <w:left w:w="40" w:type="dxa"/>
              <w:bottom w:w="100" w:type="dxa"/>
              <w:right w:w="40" w:type="dxa"/>
            </w:tcMar>
            <w:vAlign w:val="bottom"/>
            <w:hideMark/>
          </w:tcPr>
          <w:p w14:paraId="2DFA3901"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A8D08D"/>
            <w:tcMar>
              <w:top w:w="100" w:type="dxa"/>
              <w:left w:w="40" w:type="dxa"/>
              <w:bottom w:w="100" w:type="dxa"/>
              <w:right w:w="40" w:type="dxa"/>
            </w:tcMar>
            <w:vAlign w:val="bottom"/>
            <w:hideMark/>
          </w:tcPr>
          <w:p w14:paraId="73699402"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rPr>
              <w:t>✔️</w:t>
            </w:r>
          </w:p>
        </w:tc>
        <w:tc>
          <w:tcPr>
            <w:tcW w:w="0" w:type="auto"/>
            <w:tcBorders>
              <w:top w:val="single" w:sz="8" w:space="0" w:color="CCCCCC"/>
              <w:left w:val="single" w:sz="8" w:space="0" w:color="CCCCCC"/>
              <w:bottom w:val="single" w:sz="8" w:space="0" w:color="CCCCCC"/>
              <w:right w:val="single" w:sz="8" w:space="0" w:color="B7B7B7"/>
            </w:tcBorders>
            <w:shd w:val="clear" w:color="auto" w:fill="FF7E79"/>
            <w:tcMar>
              <w:top w:w="100" w:type="dxa"/>
              <w:left w:w="40" w:type="dxa"/>
              <w:bottom w:w="100" w:type="dxa"/>
              <w:right w:w="40" w:type="dxa"/>
            </w:tcMar>
            <w:vAlign w:val="bottom"/>
            <w:hideMark/>
          </w:tcPr>
          <w:p w14:paraId="345FF6DB"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B7B7B7"/>
              <w:left w:val="single" w:sz="8" w:space="0" w:color="B7B7B7"/>
              <w:bottom w:val="single" w:sz="8" w:space="0" w:color="B7B7B7"/>
              <w:right w:val="single" w:sz="8" w:space="0" w:color="B7B7B7"/>
            </w:tcBorders>
            <w:shd w:val="clear" w:color="auto" w:fill="FF7E79"/>
            <w:tcMar>
              <w:top w:w="100" w:type="dxa"/>
              <w:left w:w="40" w:type="dxa"/>
              <w:bottom w:w="100" w:type="dxa"/>
              <w:right w:w="40" w:type="dxa"/>
            </w:tcMar>
            <w:vAlign w:val="bottom"/>
            <w:hideMark/>
          </w:tcPr>
          <w:p w14:paraId="608DF936"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c>
          <w:tcPr>
            <w:tcW w:w="0" w:type="auto"/>
            <w:tcBorders>
              <w:top w:val="single" w:sz="8" w:space="0" w:color="B7B7B7"/>
              <w:left w:val="single" w:sz="8" w:space="0" w:color="B7B7B7"/>
              <w:bottom w:val="single" w:sz="8" w:space="0" w:color="B7B7B7"/>
              <w:right w:val="single" w:sz="8" w:space="0" w:color="B7B7B7"/>
            </w:tcBorders>
            <w:shd w:val="clear" w:color="auto" w:fill="FF7E79"/>
            <w:tcMar>
              <w:top w:w="100" w:type="dxa"/>
              <w:left w:w="40" w:type="dxa"/>
              <w:bottom w:w="100" w:type="dxa"/>
              <w:right w:w="40" w:type="dxa"/>
            </w:tcMar>
            <w:vAlign w:val="bottom"/>
            <w:hideMark/>
          </w:tcPr>
          <w:p w14:paraId="419E7BA9" w14:textId="77777777" w:rsidR="001A5CF9" w:rsidRPr="00E769C4" w:rsidRDefault="001A5CF9" w:rsidP="001C1F8F">
            <w:pPr>
              <w:spacing w:before="200" w:after="0" w:line="240" w:lineRule="auto"/>
              <w:jc w:val="both"/>
              <w:rPr>
                <w:rFonts w:asciiTheme="minorHAnsi" w:eastAsia="Times New Roman" w:hAnsiTheme="minorHAnsi" w:cstheme="minorHAnsi"/>
                <w:sz w:val="24"/>
                <w:szCs w:val="24"/>
              </w:rPr>
            </w:pPr>
            <w:r w:rsidRPr="00E769C4">
              <w:rPr>
                <w:rFonts w:ascii="Apple Color Emoji" w:eastAsia="Times New Roman" w:hAnsi="Apple Color Emoji" w:cs="Apple Color Emoji"/>
                <w:b/>
                <w:bCs/>
                <w:color w:val="000000"/>
                <w:sz w:val="20"/>
                <w:szCs w:val="20"/>
              </w:rPr>
              <w:t>✖️</w:t>
            </w:r>
          </w:p>
        </w:tc>
      </w:tr>
    </w:tbl>
    <w:p w14:paraId="6EF96ECB" w14:textId="77777777" w:rsidR="001A5CF9" w:rsidRPr="00E769C4" w:rsidRDefault="001A5CF9" w:rsidP="001A5CF9">
      <w:pPr>
        <w:spacing w:before="200" w:after="0" w:line="240" w:lineRule="auto"/>
        <w:jc w:val="both"/>
        <w:rPr>
          <w:rFonts w:asciiTheme="minorHAnsi" w:eastAsia="Times New Roman" w:hAnsiTheme="minorHAnsi" w:cstheme="minorHAnsi"/>
          <w:sz w:val="24"/>
          <w:szCs w:val="24"/>
        </w:rPr>
      </w:pPr>
      <w:r w:rsidRPr="00E769C4">
        <w:rPr>
          <w:rFonts w:asciiTheme="minorHAnsi" w:eastAsia="Times New Roman" w:hAnsiTheme="minorHAnsi" w:cstheme="minorHAnsi"/>
          <w:color w:val="000000"/>
          <w:sz w:val="18"/>
          <w:szCs w:val="18"/>
        </w:rPr>
        <w:t>Fuente: elaboración propia (noviembre 2022)</w:t>
      </w:r>
      <w:r w:rsidRPr="00DF6BC1">
        <w:rPr>
          <w:rFonts w:asciiTheme="minorHAnsi" w:eastAsia="Times New Roman" w:hAnsiTheme="minorHAnsi" w:cstheme="minorHAnsi"/>
          <w:color w:val="000000"/>
          <w:sz w:val="18"/>
          <w:szCs w:val="18"/>
        </w:rPr>
        <w:t xml:space="preserve">. </w:t>
      </w:r>
    </w:p>
    <w:p w14:paraId="5206BD9B" w14:textId="77777777" w:rsidR="001A5CF9" w:rsidRPr="00E94162" w:rsidRDefault="001A5CF9" w:rsidP="00E94162">
      <w:pPr>
        <w:spacing w:after="0" w:line="240" w:lineRule="auto"/>
        <w:rPr>
          <w:rFonts w:asciiTheme="minorHAnsi" w:eastAsia="Times New Roman" w:hAnsiTheme="minorHAnsi" w:cstheme="minorHAnsi"/>
          <w:sz w:val="24"/>
          <w:szCs w:val="24"/>
        </w:rPr>
      </w:pPr>
    </w:p>
    <w:p w14:paraId="4BA761A1" w14:textId="77777777" w:rsidR="00E94162" w:rsidRPr="00E94162" w:rsidRDefault="00E94162" w:rsidP="00E94162">
      <w:pPr>
        <w:spacing w:after="0" w:line="240" w:lineRule="auto"/>
        <w:rPr>
          <w:rFonts w:asciiTheme="minorHAnsi" w:eastAsia="Times New Roman" w:hAnsiTheme="minorHAnsi" w:cstheme="minorHAnsi"/>
          <w:sz w:val="24"/>
          <w:szCs w:val="24"/>
        </w:rPr>
      </w:pPr>
    </w:p>
    <w:p w14:paraId="468C6A33" w14:textId="77777777" w:rsidR="00033E65" w:rsidRPr="00DF6BC1" w:rsidRDefault="00033E65" w:rsidP="00033E65">
      <w:pPr>
        <w:jc w:val="center"/>
        <w:rPr>
          <w:rFonts w:asciiTheme="minorHAnsi" w:hAnsiTheme="minorHAnsi" w:cstheme="minorHAnsi"/>
        </w:rPr>
      </w:pPr>
    </w:p>
    <w:sectPr w:rsidR="00033E65" w:rsidRPr="00DF6BC1">
      <w:headerReference w:type="default" r:id="rId8"/>
      <w:footerReference w:type="default" r:id="rId9"/>
      <w:pgSz w:w="12240" w:h="15840"/>
      <w:pgMar w:top="737" w:right="1134" w:bottom="680" w:left="1134" w:header="340" w:footer="10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8C30" w14:textId="77777777" w:rsidR="000669FD" w:rsidRDefault="000669FD">
      <w:pPr>
        <w:spacing w:after="0" w:line="240" w:lineRule="auto"/>
      </w:pPr>
      <w:r>
        <w:separator/>
      </w:r>
    </w:p>
  </w:endnote>
  <w:endnote w:type="continuationSeparator" w:id="0">
    <w:p w14:paraId="2E799462" w14:textId="77777777" w:rsidR="000669FD" w:rsidRDefault="0006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A5DC" w14:textId="77777777" w:rsidR="007718AD" w:rsidRDefault="007718AD">
    <w:pPr>
      <w:pBdr>
        <w:top w:val="nil"/>
        <w:left w:val="nil"/>
        <w:bottom w:val="nil"/>
        <w:right w:val="nil"/>
        <w:between w:val="nil"/>
      </w:pBdr>
      <w:tabs>
        <w:tab w:val="center" w:pos="4419"/>
        <w:tab w:val="right" w:pos="8838"/>
      </w:tabs>
      <w:spacing w:after="0" w:line="240" w:lineRule="auto"/>
      <w:rPr>
        <w:color w:val="000000"/>
      </w:rPr>
    </w:pPr>
  </w:p>
  <w:p w14:paraId="174BE275" w14:textId="77777777" w:rsidR="007718AD" w:rsidRDefault="00F31B67">
    <w:pPr>
      <w:pBdr>
        <w:top w:val="nil"/>
        <w:left w:val="nil"/>
        <w:bottom w:val="nil"/>
        <w:right w:val="nil"/>
        <w:between w:val="nil"/>
      </w:pBdr>
      <w:tabs>
        <w:tab w:val="center" w:pos="4419"/>
        <w:tab w:val="right" w:pos="8838"/>
      </w:tabs>
      <w:spacing w:after="0" w:line="240" w:lineRule="auto"/>
      <w:rPr>
        <w:color w:val="000000"/>
        <w:sz w:val="13"/>
        <w:szCs w:val="13"/>
      </w:rPr>
    </w:pPr>
    <w:r>
      <w:rPr>
        <w:noProof/>
      </w:rPr>
      <mc:AlternateContent>
        <mc:Choice Requires="wps">
          <w:drawing>
            <wp:anchor distT="0" distB="0" distL="114300" distR="114300" simplePos="0" relativeHeight="251658240" behindDoc="0" locked="0" layoutInCell="1" hidden="0" allowOverlap="1" wp14:anchorId="234AB3B2" wp14:editId="03DC8471">
              <wp:simplePos x="0" y="0"/>
              <wp:positionH relativeFrom="column">
                <wp:posOffset>-723899</wp:posOffset>
              </wp:positionH>
              <wp:positionV relativeFrom="paragraph">
                <wp:posOffset>76200</wp:posOffset>
              </wp:positionV>
              <wp:extent cx="7858125" cy="932361"/>
              <wp:effectExtent l="0" t="0" r="0" b="0"/>
              <wp:wrapNone/>
              <wp:docPr id="28" name="Rectángulo 28"/>
              <wp:cNvGraphicFramePr/>
              <a:graphic xmlns:a="http://schemas.openxmlformats.org/drawingml/2006/main">
                <a:graphicData uri="http://schemas.microsoft.com/office/word/2010/wordprocessingShape">
                  <wps:wsp>
                    <wps:cNvSpPr/>
                    <wps:spPr>
                      <a:xfrm>
                        <a:off x="1440750" y="3343350"/>
                        <a:ext cx="7810500" cy="873300"/>
                      </a:xfrm>
                      <a:prstGeom prst="rect">
                        <a:avLst/>
                      </a:prstGeom>
                      <a:solidFill>
                        <a:srgbClr val="68BBE4"/>
                      </a:solidFill>
                      <a:ln>
                        <a:noFill/>
                      </a:ln>
                    </wps:spPr>
                    <wps:txbx>
                      <w:txbxContent>
                        <w:p w14:paraId="3DD18F2F" w14:textId="77777777" w:rsidR="007718AD" w:rsidRDefault="00F31B67">
                          <w:pPr>
                            <w:spacing w:after="0" w:line="240" w:lineRule="auto"/>
                            <w:jc w:val="center"/>
                            <w:textDirection w:val="btLr"/>
                          </w:pPr>
                          <w:r>
                            <w:rPr>
                              <w:rFonts w:ascii="Arial" w:eastAsia="Arial" w:hAnsi="Arial" w:cs="Arial"/>
                              <w:color w:val="1F3864"/>
                              <w:sz w:val="17"/>
                            </w:rPr>
                            <w:t>Dialógica / Diálogo, Innovación y Cambio S.C.</w:t>
                          </w:r>
                        </w:p>
                        <w:p w14:paraId="2B6ED764" w14:textId="77777777" w:rsidR="007718AD" w:rsidRDefault="00F31B67">
                          <w:pPr>
                            <w:spacing w:after="0" w:line="240" w:lineRule="auto"/>
                            <w:jc w:val="center"/>
                            <w:textDirection w:val="btLr"/>
                          </w:pPr>
                          <w:r>
                            <w:rPr>
                              <w:rFonts w:ascii="Arial" w:eastAsia="Arial" w:hAnsi="Arial" w:cs="Arial"/>
                              <w:color w:val="1F3864"/>
                              <w:sz w:val="17"/>
                            </w:rPr>
                            <w:t>Corregidora 19 casa 6, Colonia Campestre, CP 01040, Álvaro Obregón, CDMX.</w:t>
                          </w:r>
                        </w:p>
                        <w:p w14:paraId="5649DE95" w14:textId="77777777" w:rsidR="007718AD" w:rsidRDefault="00F31B67">
                          <w:pPr>
                            <w:spacing w:after="0" w:line="240" w:lineRule="auto"/>
                            <w:jc w:val="center"/>
                            <w:textDirection w:val="btLr"/>
                          </w:pPr>
                          <w:r>
                            <w:rPr>
                              <w:rFonts w:ascii="Arial" w:eastAsia="Arial" w:hAnsi="Arial" w:cs="Arial"/>
                              <w:color w:val="1F3864"/>
                              <w:sz w:val="17"/>
                            </w:rPr>
                            <w:t>Tel. 55 29 55 7179 correo: direccion@correodialogica.org</w:t>
                          </w:r>
                        </w:p>
                        <w:p w14:paraId="6AECF05D" w14:textId="77777777" w:rsidR="007718AD" w:rsidRDefault="00F31B67">
                          <w:pPr>
                            <w:spacing w:after="0" w:line="240" w:lineRule="auto"/>
                            <w:jc w:val="center"/>
                            <w:textDirection w:val="btLr"/>
                          </w:pPr>
                          <w:r>
                            <w:rPr>
                              <w:rFonts w:ascii="Arial" w:eastAsia="Arial" w:hAnsi="Arial" w:cs="Arial"/>
                              <w:color w:val="1F3864"/>
                              <w:sz w:val="17"/>
                            </w:rPr>
                            <w:t>www.dialogica.com.mx</w:t>
                          </w:r>
                        </w:p>
                        <w:p w14:paraId="1ECE11C1" w14:textId="77777777" w:rsidR="007718AD" w:rsidRDefault="007718AD">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234AB3B2" id="Rectángulo 28" o:spid="_x0000_s1026" style="position:absolute;margin-left:-57pt;margin-top:6pt;width:618.75pt;height:73.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" fillcolor="#68bbe4" stroked="f">
              <v:textbox inset="2.53958mm,1.2694mm,2.53958mm,1.2694mm">
                <w:txbxContent>
                  <w:p w14:paraId="3DD18F2F" w14:textId="77777777" w:rsidR="007718AD" w:rsidRDefault="00F31B67">
                    <w:pPr>
                      <w:spacing w:after="0" w:line="240" w:lineRule="auto"/>
                      <w:jc w:val="center"/>
                      <w:textDirection w:val="btLr"/>
                    </w:pPr>
                    <w:r>
                      <w:rPr>
                        <w:rFonts w:ascii="Arial" w:eastAsia="Arial" w:hAnsi="Arial" w:cs="Arial"/>
                        <w:color w:val="1F3864"/>
                        <w:sz w:val="17"/>
                      </w:rPr>
                      <w:t>Dialógica / Diálogo, Innovación y Cambio S.C.</w:t>
                    </w:r>
                  </w:p>
                  <w:p w14:paraId="2B6ED764" w14:textId="77777777" w:rsidR="007718AD" w:rsidRDefault="00F31B67">
                    <w:pPr>
                      <w:spacing w:after="0" w:line="240" w:lineRule="auto"/>
                      <w:jc w:val="center"/>
                      <w:textDirection w:val="btLr"/>
                    </w:pPr>
                    <w:r>
                      <w:rPr>
                        <w:rFonts w:ascii="Arial" w:eastAsia="Arial" w:hAnsi="Arial" w:cs="Arial"/>
                        <w:color w:val="1F3864"/>
                        <w:sz w:val="17"/>
                      </w:rPr>
                      <w:t>Corregidora 19 casa 6, Colonia Campestre, CP 01040, Álvaro Obregón, CDMX.</w:t>
                    </w:r>
                  </w:p>
                  <w:p w14:paraId="5649DE95" w14:textId="77777777" w:rsidR="007718AD" w:rsidRDefault="00F31B67">
                    <w:pPr>
                      <w:spacing w:after="0" w:line="240" w:lineRule="auto"/>
                      <w:jc w:val="center"/>
                      <w:textDirection w:val="btLr"/>
                    </w:pPr>
                    <w:r>
                      <w:rPr>
                        <w:rFonts w:ascii="Arial" w:eastAsia="Arial" w:hAnsi="Arial" w:cs="Arial"/>
                        <w:color w:val="1F3864"/>
                        <w:sz w:val="17"/>
                      </w:rPr>
                      <w:t>Tel. 55 29 55 7179 correo: direccion@correodialogica.org</w:t>
                    </w:r>
                  </w:p>
                  <w:p w14:paraId="6AECF05D" w14:textId="77777777" w:rsidR="007718AD" w:rsidRDefault="00F31B67">
                    <w:pPr>
                      <w:spacing w:after="0" w:line="240" w:lineRule="auto"/>
                      <w:jc w:val="center"/>
                      <w:textDirection w:val="btLr"/>
                    </w:pPr>
                    <w:r>
                      <w:rPr>
                        <w:rFonts w:ascii="Arial" w:eastAsia="Arial" w:hAnsi="Arial" w:cs="Arial"/>
                        <w:color w:val="1F3864"/>
                        <w:sz w:val="17"/>
                      </w:rPr>
                      <w:t>www.dialogica.com.mx</w:t>
                    </w:r>
                  </w:p>
                  <w:p w14:paraId="1ECE11C1" w14:textId="77777777" w:rsidR="007718AD" w:rsidRDefault="007718AD">
                    <w:pPr>
                      <w:spacing w:line="258"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7792" w14:textId="77777777" w:rsidR="000669FD" w:rsidRDefault="000669FD">
      <w:pPr>
        <w:spacing w:after="0" w:line="240" w:lineRule="auto"/>
      </w:pPr>
      <w:r>
        <w:separator/>
      </w:r>
    </w:p>
  </w:footnote>
  <w:footnote w:type="continuationSeparator" w:id="0">
    <w:p w14:paraId="54DECEDD" w14:textId="77777777" w:rsidR="000669FD" w:rsidRDefault="00066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A753" w14:textId="77777777" w:rsidR="007718AD" w:rsidRDefault="00F31B67">
    <w:pPr>
      <w:pBdr>
        <w:top w:val="nil"/>
        <w:left w:val="nil"/>
        <w:bottom w:val="nil"/>
        <w:right w:val="nil"/>
        <w:between w:val="nil"/>
      </w:pBdr>
      <w:tabs>
        <w:tab w:val="center" w:pos="4419"/>
        <w:tab w:val="right" w:pos="8838"/>
        <w:tab w:val="left" w:pos="1716"/>
      </w:tabs>
      <w:spacing w:after="0" w:line="240" w:lineRule="auto"/>
      <w:ind w:right="-801"/>
      <w:jc w:val="right"/>
    </w:pPr>
    <w:r>
      <w:rPr>
        <w:noProof/>
        <w:color w:val="000000"/>
      </w:rPr>
      <w:drawing>
        <wp:inline distT="0" distB="0" distL="0" distR="0" wp14:anchorId="752EBAF5" wp14:editId="1CC74264">
          <wp:extent cx="1308229" cy="506787"/>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8229" cy="506787"/>
                  </a:xfrm>
                  <a:prstGeom prst="rect">
                    <a:avLst/>
                  </a:prstGeom>
                  <a:ln/>
                </pic:spPr>
              </pic:pic>
            </a:graphicData>
          </a:graphic>
        </wp:inline>
      </w:drawing>
    </w:r>
  </w:p>
  <w:p w14:paraId="3B518411" w14:textId="77777777" w:rsidR="007718AD" w:rsidRDefault="00F31B67">
    <w:pPr>
      <w:pBdr>
        <w:top w:val="nil"/>
        <w:left w:val="nil"/>
        <w:bottom w:val="nil"/>
        <w:right w:val="nil"/>
        <w:between w:val="nil"/>
      </w:pBdr>
      <w:tabs>
        <w:tab w:val="center" w:pos="4419"/>
        <w:tab w:val="right" w:pos="8838"/>
        <w:tab w:val="left" w:pos="1716"/>
      </w:tabs>
      <w:spacing w:after="0" w:line="240" w:lineRule="auto"/>
      <w:ind w:right="-1368"/>
      <w:jc w:val="right"/>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7F13"/>
    <w:multiLevelType w:val="hybridMultilevel"/>
    <w:tmpl w:val="93CEC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E6CBC"/>
    <w:multiLevelType w:val="multilevel"/>
    <w:tmpl w:val="51B6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E03FFA"/>
    <w:multiLevelType w:val="multilevel"/>
    <w:tmpl w:val="4C583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A35A0D"/>
    <w:multiLevelType w:val="multilevel"/>
    <w:tmpl w:val="BD261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C33597"/>
    <w:multiLevelType w:val="multilevel"/>
    <w:tmpl w:val="3BFEE78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D"/>
    <w:rsid w:val="00033E65"/>
    <w:rsid w:val="000669FD"/>
    <w:rsid w:val="001A5CF9"/>
    <w:rsid w:val="002A23D7"/>
    <w:rsid w:val="00354DBF"/>
    <w:rsid w:val="0047174A"/>
    <w:rsid w:val="007115E4"/>
    <w:rsid w:val="007718AD"/>
    <w:rsid w:val="0081383F"/>
    <w:rsid w:val="00830104"/>
    <w:rsid w:val="009D1DC6"/>
    <w:rsid w:val="00B40187"/>
    <w:rsid w:val="00CC0E30"/>
    <w:rsid w:val="00DA7114"/>
    <w:rsid w:val="00DF6BC1"/>
    <w:rsid w:val="00E36DB4"/>
    <w:rsid w:val="00E769C4"/>
    <w:rsid w:val="00E94162"/>
    <w:rsid w:val="00F31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387AF59"/>
  <w15:docId w15:val="{1B3B4263-D2C3-FF43-94FB-85668E33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rrafodelista">
    <w:name w:val="List Paragraph"/>
    <w:basedOn w:val="Normal"/>
    <w:uiPriority w:val="34"/>
    <w:qFormat/>
    <w:rsid w:val="00776230"/>
    <w:pPr>
      <w:ind w:left="720"/>
      <w:contextualSpacing/>
    </w:pPr>
  </w:style>
  <w:style w:type="paragraph" w:styleId="Encabezado">
    <w:name w:val="header"/>
    <w:basedOn w:val="Normal"/>
    <w:link w:val="EncabezadoCar"/>
    <w:uiPriority w:val="99"/>
    <w:unhideWhenUsed/>
    <w:rsid w:val="004C6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9DC"/>
  </w:style>
  <w:style w:type="paragraph" w:styleId="Piedepgina">
    <w:name w:val="footer"/>
    <w:basedOn w:val="Normal"/>
    <w:link w:val="PiedepginaCar"/>
    <w:uiPriority w:val="99"/>
    <w:unhideWhenUsed/>
    <w:rsid w:val="004C6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9DC"/>
  </w:style>
  <w:style w:type="character" w:styleId="Hipervnculo">
    <w:name w:val="Hyperlink"/>
    <w:basedOn w:val="Fuentedeprrafopredeter"/>
    <w:uiPriority w:val="99"/>
    <w:unhideWhenUsed/>
    <w:rsid w:val="004C69DC"/>
    <w:rPr>
      <w:color w:val="0563C1" w:themeColor="hyperlink"/>
      <w:u w:val="single"/>
    </w:rPr>
  </w:style>
  <w:style w:type="character" w:styleId="Mencinsinresolver">
    <w:name w:val="Unresolved Mention"/>
    <w:basedOn w:val="Fuentedeprrafopredeter"/>
    <w:uiPriority w:val="99"/>
    <w:semiHidden/>
    <w:unhideWhenUsed/>
    <w:rsid w:val="004C69DC"/>
    <w:rPr>
      <w:color w:val="605E5C"/>
      <w:shd w:val="clear" w:color="auto" w:fill="E1DFDD"/>
    </w:rPr>
  </w:style>
  <w:style w:type="paragraph" w:customStyle="1" w:styleId="04xlpa">
    <w:name w:val="_04xlpa"/>
    <w:basedOn w:val="Normal"/>
    <w:rsid w:val="005B1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Fuentedeprrafopredeter"/>
    <w:rsid w:val="005B1A47"/>
  </w:style>
  <w:style w:type="paragraph" w:styleId="Sinespaciado">
    <w:name w:val="No Spacing"/>
    <w:uiPriority w:val="1"/>
    <w:qFormat/>
    <w:rsid w:val="005B1A47"/>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76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0840">
      <w:bodyDiv w:val="1"/>
      <w:marLeft w:val="0"/>
      <w:marRight w:val="0"/>
      <w:marTop w:val="0"/>
      <w:marBottom w:val="0"/>
      <w:divBdr>
        <w:top w:val="none" w:sz="0" w:space="0" w:color="auto"/>
        <w:left w:val="none" w:sz="0" w:space="0" w:color="auto"/>
        <w:bottom w:val="none" w:sz="0" w:space="0" w:color="auto"/>
        <w:right w:val="none" w:sz="0" w:space="0" w:color="auto"/>
      </w:divBdr>
    </w:div>
    <w:div w:id="210772637">
      <w:bodyDiv w:val="1"/>
      <w:marLeft w:val="0"/>
      <w:marRight w:val="0"/>
      <w:marTop w:val="0"/>
      <w:marBottom w:val="0"/>
      <w:divBdr>
        <w:top w:val="none" w:sz="0" w:space="0" w:color="auto"/>
        <w:left w:val="none" w:sz="0" w:space="0" w:color="auto"/>
        <w:bottom w:val="none" w:sz="0" w:space="0" w:color="auto"/>
        <w:right w:val="none" w:sz="0" w:space="0" w:color="auto"/>
      </w:divBdr>
    </w:div>
    <w:div w:id="218637118">
      <w:bodyDiv w:val="1"/>
      <w:marLeft w:val="0"/>
      <w:marRight w:val="0"/>
      <w:marTop w:val="0"/>
      <w:marBottom w:val="0"/>
      <w:divBdr>
        <w:top w:val="none" w:sz="0" w:space="0" w:color="auto"/>
        <w:left w:val="none" w:sz="0" w:space="0" w:color="auto"/>
        <w:bottom w:val="none" w:sz="0" w:space="0" w:color="auto"/>
        <w:right w:val="none" w:sz="0" w:space="0" w:color="auto"/>
      </w:divBdr>
    </w:div>
    <w:div w:id="253131778">
      <w:bodyDiv w:val="1"/>
      <w:marLeft w:val="0"/>
      <w:marRight w:val="0"/>
      <w:marTop w:val="0"/>
      <w:marBottom w:val="0"/>
      <w:divBdr>
        <w:top w:val="none" w:sz="0" w:space="0" w:color="auto"/>
        <w:left w:val="none" w:sz="0" w:space="0" w:color="auto"/>
        <w:bottom w:val="none" w:sz="0" w:space="0" w:color="auto"/>
        <w:right w:val="none" w:sz="0" w:space="0" w:color="auto"/>
      </w:divBdr>
    </w:div>
    <w:div w:id="294868429">
      <w:bodyDiv w:val="1"/>
      <w:marLeft w:val="0"/>
      <w:marRight w:val="0"/>
      <w:marTop w:val="0"/>
      <w:marBottom w:val="0"/>
      <w:divBdr>
        <w:top w:val="none" w:sz="0" w:space="0" w:color="auto"/>
        <w:left w:val="none" w:sz="0" w:space="0" w:color="auto"/>
        <w:bottom w:val="none" w:sz="0" w:space="0" w:color="auto"/>
        <w:right w:val="none" w:sz="0" w:space="0" w:color="auto"/>
      </w:divBdr>
    </w:div>
    <w:div w:id="501623918">
      <w:bodyDiv w:val="1"/>
      <w:marLeft w:val="0"/>
      <w:marRight w:val="0"/>
      <w:marTop w:val="0"/>
      <w:marBottom w:val="0"/>
      <w:divBdr>
        <w:top w:val="none" w:sz="0" w:space="0" w:color="auto"/>
        <w:left w:val="none" w:sz="0" w:space="0" w:color="auto"/>
        <w:bottom w:val="none" w:sz="0" w:space="0" w:color="auto"/>
        <w:right w:val="none" w:sz="0" w:space="0" w:color="auto"/>
      </w:divBdr>
    </w:div>
    <w:div w:id="505247997">
      <w:bodyDiv w:val="1"/>
      <w:marLeft w:val="0"/>
      <w:marRight w:val="0"/>
      <w:marTop w:val="0"/>
      <w:marBottom w:val="0"/>
      <w:divBdr>
        <w:top w:val="none" w:sz="0" w:space="0" w:color="auto"/>
        <w:left w:val="none" w:sz="0" w:space="0" w:color="auto"/>
        <w:bottom w:val="none" w:sz="0" w:space="0" w:color="auto"/>
        <w:right w:val="none" w:sz="0" w:space="0" w:color="auto"/>
      </w:divBdr>
    </w:div>
    <w:div w:id="528685521">
      <w:bodyDiv w:val="1"/>
      <w:marLeft w:val="0"/>
      <w:marRight w:val="0"/>
      <w:marTop w:val="0"/>
      <w:marBottom w:val="0"/>
      <w:divBdr>
        <w:top w:val="none" w:sz="0" w:space="0" w:color="auto"/>
        <w:left w:val="none" w:sz="0" w:space="0" w:color="auto"/>
        <w:bottom w:val="none" w:sz="0" w:space="0" w:color="auto"/>
        <w:right w:val="none" w:sz="0" w:space="0" w:color="auto"/>
      </w:divBdr>
    </w:div>
    <w:div w:id="760106665">
      <w:bodyDiv w:val="1"/>
      <w:marLeft w:val="0"/>
      <w:marRight w:val="0"/>
      <w:marTop w:val="0"/>
      <w:marBottom w:val="0"/>
      <w:divBdr>
        <w:top w:val="none" w:sz="0" w:space="0" w:color="auto"/>
        <w:left w:val="none" w:sz="0" w:space="0" w:color="auto"/>
        <w:bottom w:val="none" w:sz="0" w:space="0" w:color="auto"/>
        <w:right w:val="none" w:sz="0" w:space="0" w:color="auto"/>
      </w:divBdr>
    </w:div>
    <w:div w:id="870149220">
      <w:bodyDiv w:val="1"/>
      <w:marLeft w:val="0"/>
      <w:marRight w:val="0"/>
      <w:marTop w:val="0"/>
      <w:marBottom w:val="0"/>
      <w:divBdr>
        <w:top w:val="none" w:sz="0" w:space="0" w:color="auto"/>
        <w:left w:val="none" w:sz="0" w:space="0" w:color="auto"/>
        <w:bottom w:val="none" w:sz="0" w:space="0" w:color="auto"/>
        <w:right w:val="none" w:sz="0" w:space="0" w:color="auto"/>
      </w:divBdr>
    </w:div>
    <w:div w:id="898634641">
      <w:bodyDiv w:val="1"/>
      <w:marLeft w:val="0"/>
      <w:marRight w:val="0"/>
      <w:marTop w:val="0"/>
      <w:marBottom w:val="0"/>
      <w:divBdr>
        <w:top w:val="none" w:sz="0" w:space="0" w:color="auto"/>
        <w:left w:val="none" w:sz="0" w:space="0" w:color="auto"/>
        <w:bottom w:val="none" w:sz="0" w:space="0" w:color="auto"/>
        <w:right w:val="none" w:sz="0" w:space="0" w:color="auto"/>
      </w:divBdr>
    </w:div>
    <w:div w:id="1136067573">
      <w:bodyDiv w:val="1"/>
      <w:marLeft w:val="0"/>
      <w:marRight w:val="0"/>
      <w:marTop w:val="0"/>
      <w:marBottom w:val="0"/>
      <w:divBdr>
        <w:top w:val="none" w:sz="0" w:space="0" w:color="auto"/>
        <w:left w:val="none" w:sz="0" w:space="0" w:color="auto"/>
        <w:bottom w:val="none" w:sz="0" w:space="0" w:color="auto"/>
        <w:right w:val="none" w:sz="0" w:space="0" w:color="auto"/>
      </w:divBdr>
    </w:div>
    <w:div w:id="1170801842">
      <w:bodyDiv w:val="1"/>
      <w:marLeft w:val="0"/>
      <w:marRight w:val="0"/>
      <w:marTop w:val="0"/>
      <w:marBottom w:val="0"/>
      <w:divBdr>
        <w:top w:val="none" w:sz="0" w:space="0" w:color="auto"/>
        <w:left w:val="none" w:sz="0" w:space="0" w:color="auto"/>
        <w:bottom w:val="none" w:sz="0" w:space="0" w:color="auto"/>
        <w:right w:val="none" w:sz="0" w:space="0" w:color="auto"/>
      </w:divBdr>
    </w:div>
    <w:div w:id="1273318083">
      <w:bodyDiv w:val="1"/>
      <w:marLeft w:val="0"/>
      <w:marRight w:val="0"/>
      <w:marTop w:val="0"/>
      <w:marBottom w:val="0"/>
      <w:divBdr>
        <w:top w:val="none" w:sz="0" w:space="0" w:color="auto"/>
        <w:left w:val="none" w:sz="0" w:space="0" w:color="auto"/>
        <w:bottom w:val="none" w:sz="0" w:space="0" w:color="auto"/>
        <w:right w:val="none" w:sz="0" w:space="0" w:color="auto"/>
      </w:divBdr>
    </w:div>
    <w:div w:id="1358041112">
      <w:bodyDiv w:val="1"/>
      <w:marLeft w:val="0"/>
      <w:marRight w:val="0"/>
      <w:marTop w:val="0"/>
      <w:marBottom w:val="0"/>
      <w:divBdr>
        <w:top w:val="none" w:sz="0" w:space="0" w:color="auto"/>
        <w:left w:val="none" w:sz="0" w:space="0" w:color="auto"/>
        <w:bottom w:val="none" w:sz="0" w:space="0" w:color="auto"/>
        <w:right w:val="none" w:sz="0" w:space="0" w:color="auto"/>
      </w:divBdr>
    </w:div>
    <w:div w:id="1513570764">
      <w:bodyDiv w:val="1"/>
      <w:marLeft w:val="0"/>
      <w:marRight w:val="0"/>
      <w:marTop w:val="0"/>
      <w:marBottom w:val="0"/>
      <w:divBdr>
        <w:top w:val="none" w:sz="0" w:space="0" w:color="auto"/>
        <w:left w:val="none" w:sz="0" w:space="0" w:color="auto"/>
        <w:bottom w:val="none" w:sz="0" w:space="0" w:color="auto"/>
        <w:right w:val="none" w:sz="0" w:space="0" w:color="auto"/>
      </w:divBdr>
      <w:divsChild>
        <w:div w:id="2076270214">
          <w:marLeft w:val="-505"/>
          <w:marRight w:val="0"/>
          <w:marTop w:val="0"/>
          <w:marBottom w:val="0"/>
          <w:divBdr>
            <w:top w:val="none" w:sz="0" w:space="0" w:color="auto"/>
            <w:left w:val="none" w:sz="0" w:space="0" w:color="auto"/>
            <w:bottom w:val="none" w:sz="0" w:space="0" w:color="auto"/>
            <w:right w:val="none" w:sz="0" w:space="0" w:color="auto"/>
          </w:divBdr>
        </w:div>
      </w:divsChild>
    </w:div>
    <w:div w:id="1834177360">
      <w:bodyDiv w:val="1"/>
      <w:marLeft w:val="0"/>
      <w:marRight w:val="0"/>
      <w:marTop w:val="0"/>
      <w:marBottom w:val="0"/>
      <w:divBdr>
        <w:top w:val="none" w:sz="0" w:space="0" w:color="auto"/>
        <w:left w:val="none" w:sz="0" w:space="0" w:color="auto"/>
        <w:bottom w:val="none" w:sz="0" w:space="0" w:color="auto"/>
        <w:right w:val="none" w:sz="0" w:space="0" w:color="auto"/>
      </w:divBdr>
    </w:div>
    <w:div w:id="1888687850">
      <w:bodyDiv w:val="1"/>
      <w:marLeft w:val="0"/>
      <w:marRight w:val="0"/>
      <w:marTop w:val="0"/>
      <w:marBottom w:val="0"/>
      <w:divBdr>
        <w:top w:val="none" w:sz="0" w:space="0" w:color="auto"/>
        <w:left w:val="none" w:sz="0" w:space="0" w:color="auto"/>
        <w:bottom w:val="none" w:sz="0" w:space="0" w:color="auto"/>
        <w:right w:val="none" w:sz="0" w:space="0" w:color="auto"/>
      </w:divBdr>
    </w:div>
    <w:div w:id="1970629551">
      <w:bodyDiv w:val="1"/>
      <w:marLeft w:val="0"/>
      <w:marRight w:val="0"/>
      <w:marTop w:val="0"/>
      <w:marBottom w:val="0"/>
      <w:divBdr>
        <w:top w:val="none" w:sz="0" w:space="0" w:color="auto"/>
        <w:left w:val="none" w:sz="0" w:space="0" w:color="auto"/>
        <w:bottom w:val="none" w:sz="0" w:space="0" w:color="auto"/>
        <w:right w:val="none" w:sz="0" w:space="0" w:color="auto"/>
      </w:divBdr>
    </w:div>
    <w:div w:id="2041667576">
      <w:bodyDiv w:val="1"/>
      <w:marLeft w:val="0"/>
      <w:marRight w:val="0"/>
      <w:marTop w:val="0"/>
      <w:marBottom w:val="0"/>
      <w:divBdr>
        <w:top w:val="none" w:sz="0" w:space="0" w:color="auto"/>
        <w:left w:val="none" w:sz="0" w:space="0" w:color="auto"/>
        <w:bottom w:val="none" w:sz="0" w:space="0" w:color="auto"/>
        <w:right w:val="none" w:sz="0" w:space="0" w:color="auto"/>
      </w:divBdr>
    </w:div>
    <w:div w:id="2053768818">
      <w:bodyDiv w:val="1"/>
      <w:marLeft w:val="0"/>
      <w:marRight w:val="0"/>
      <w:marTop w:val="0"/>
      <w:marBottom w:val="0"/>
      <w:divBdr>
        <w:top w:val="none" w:sz="0" w:space="0" w:color="auto"/>
        <w:left w:val="none" w:sz="0" w:space="0" w:color="auto"/>
        <w:bottom w:val="none" w:sz="0" w:space="0" w:color="auto"/>
        <w:right w:val="none" w:sz="0" w:space="0" w:color="auto"/>
      </w:divBdr>
    </w:div>
    <w:div w:id="2068409611">
      <w:bodyDiv w:val="1"/>
      <w:marLeft w:val="0"/>
      <w:marRight w:val="0"/>
      <w:marTop w:val="0"/>
      <w:marBottom w:val="0"/>
      <w:divBdr>
        <w:top w:val="none" w:sz="0" w:space="0" w:color="auto"/>
        <w:left w:val="none" w:sz="0" w:space="0" w:color="auto"/>
        <w:bottom w:val="none" w:sz="0" w:space="0" w:color="auto"/>
        <w:right w:val="none" w:sz="0" w:space="0" w:color="auto"/>
      </w:divBdr>
    </w:div>
    <w:div w:id="210476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CuzylVn8yMsZGY/pji3/3sNrA==">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85A795C-36A9-49EB-908C-2D0D79629E7D}"/>
</file>

<file path=customXml/itemProps2.xml><?xml version="1.0" encoding="utf-8"?>
<ds:datastoreItem xmlns:ds="http://schemas.openxmlformats.org/officeDocument/2006/customXml" ds:itemID="{1E98FBB3-DC9C-40C8-B997-0FD19ECE052D}"/>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8C7F6B2C-3B4E-4BC9-B91E-85B760F31AD5}"/>
</file>

<file path=docProps/app.xml><?xml version="1.0" encoding="utf-8"?>
<Properties xmlns="http://schemas.openxmlformats.org/officeDocument/2006/extended-properties" xmlns:vt="http://schemas.openxmlformats.org/officeDocument/2006/docPropsVTypes">
  <Template>Normal.dotm</Template>
  <TotalTime>3</TotalTime>
  <Pages>8</Pages>
  <Words>2594</Words>
  <Characters>14269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kq333</dc:creator>
  <cp:lastModifiedBy>Nicole Altamirano Bahena</cp:lastModifiedBy>
  <cp:revision>5</cp:revision>
  <dcterms:created xsi:type="dcterms:W3CDTF">2023-05-30T02:09:00Z</dcterms:created>
  <dcterms:modified xsi:type="dcterms:W3CDTF">2023-05-31T15:41:00Z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