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9FB35" w14:textId="7FAF8DD9" w:rsidR="000D2ACA" w:rsidRPr="001518CE" w:rsidRDefault="000D2ACA" w:rsidP="006459C1">
      <w:pPr>
        <w:spacing w:after="0" w:line="240" w:lineRule="auto"/>
        <w:rPr>
          <w:rFonts w:cstheme="minorHAnsi"/>
          <w:noProof/>
        </w:rPr>
      </w:pPr>
    </w:p>
    <w:p w14:paraId="50B4F563" w14:textId="3C396B35" w:rsidR="000D2ACA" w:rsidRPr="001518CE" w:rsidRDefault="00684EE9" w:rsidP="006459C1">
      <w:pPr>
        <w:spacing w:after="0" w:line="240" w:lineRule="auto"/>
        <w:rPr>
          <w:rFonts w:cstheme="minorHAnsi"/>
          <w:noProof/>
        </w:rPr>
      </w:pPr>
      <w:r w:rsidRPr="001518CE">
        <w:rPr>
          <w:rFonts w:cstheme="minorHAnsi"/>
          <w:noProof/>
        </w:rPr>
        <mc:AlternateContent>
          <mc:Choice Requires="wps">
            <w:drawing>
              <wp:anchor distT="0" distB="0" distL="114300" distR="114300" simplePos="0" relativeHeight="251662336" behindDoc="0" locked="0" layoutInCell="1" allowOverlap="1" wp14:anchorId="1D11B9FD" wp14:editId="4C50E0E8">
                <wp:simplePos x="0" y="0"/>
                <wp:positionH relativeFrom="margin">
                  <wp:posOffset>-317500</wp:posOffset>
                </wp:positionH>
                <wp:positionV relativeFrom="paragraph">
                  <wp:posOffset>3155950</wp:posOffset>
                </wp:positionV>
                <wp:extent cx="6768465" cy="4372610"/>
                <wp:effectExtent l="0" t="0" r="0" b="8890"/>
                <wp:wrapNone/>
                <wp:docPr id="1" name="Text Box 1"/>
                <wp:cNvGraphicFramePr/>
                <a:graphic xmlns:a="http://schemas.openxmlformats.org/drawingml/2006/main">
                  <a:graphicData uri="http://schemas.microsoft.com/office/word/2010/wordprocessingShape">
                    <wps:wsp>
                      <wps:cNvSpPr txBox="1"/>
                      <wps:spPr>
                        <a:xfrm>
                          <a:off x="0" y="0"/>
                          <a:ext cx="6768465" cy="4372610"/>
                        </a:xfrm>
                        <a:prstGeom prst="rect">
                          <a:avLst/>
                        </a:prstGeom>
                        <a:noFill/>
                        <a:ln>
                          <a:noFill/>
                        </a:ln>
                      </wps:spPr>
                      <wps:txbx>
                        <w:txbxContent>
                          <w:p w14:paraId="0466214B" w14:textId="0B3BED9E" w:rsidR="000C5AF8" w:rsidRDefault="000C5AF8" w:rsidP="0013483D">
                            <w:pPr>
                              <w:spacing w:after="0" w:line="240" w:lineRule="auto"/>
                              <w:rPr>
                                <w:b/>
                                <w:bCs/>
                                <w:sz w:val="28"/>
                                <w:szCs w:val="28"/>
                              </w:rPr>
                            </w:pPr>
                            <w:r w:rsidRPr="001518CE">
                              <w:rPr>
                                <w:b/>
                                <w:bCs/>
                                <w:sz w:val="28"/>
                                <w:szCs w:val="28"/>
                              </w:rPr>
                              <w:t>UN Working Group on Business and Human Rights</w:t>
                            </w:r>
                          </w:p>
                          <w:p w14:paraId="1517772E" w14:textId="77777777" w:rsidR="001518CE" w:rsidRPr="001518CE" w:rsidRDefault="001518CE" w:rsidP="0013483D">
                            <w:pPr>
                              <w:spacing w:after="0" w:line="240" w:lineRule="auto"/>
                              <w:rPr>
                                <w:b/>
                                <w:bCs/>
                                <w:sz w:val="28"/>
                                <w:szCs w:val="28"/>
                              </w:rPr>
                            </w:pPr>
                          </w:p>
                          <w:p w14:paraId="2B02B095" w14:textId="7FD2BE8A" w:rsidR="00107553" w:rsidRDefault="000C5AF8" w:rsidP="0013483D">
                            <w:pPr>
                              <w:spacing w:after="0" w:line="240" w:lineRule="auto"/>
                            </w:pPr>
                            <w:r w:rsidRPr="00107553">
                              <w:rPr>
                                <w:sz w:val="28"/>
                                <w:szCs w:val="28"/>
                              </w:rPr>
                              <w:t>Call for Inputs to information note</w:t>
                            </w:r>
                            <w:r w:rsidR="00107553" w:rsidRPr="00107553">
                              <w:rPr>
                                <w:sz w:val="28"/>
                                <w:szCs w:val="28"/>
                              </w:rPr>
                              <w:t>: “‘Ensuring business respect for human rights in the political and regulatory sphere and preventing ‘corporate capture</w:t>
                            </w:r>
                            <w:r w:rsidR="00A0660A" w:rsidRPr="00107553">
                              <w:rPr>
                                <w:sz w:val="28"/>
                                <w:szCs w:val="28"/>
                              </w:rPr>
                              <w:t>’</w:t>
                            </w:r>
                            <w:r w:rsidR="00A0660A">
                              <w:t>”</w:t>
                            </w:r>
                          </w:p>
                          <w:p w14:paraId="392C9952" w14:textId="77777777" w:rsidR="00107553" w:rsidRPr="007D177E" w:rsidRDefault="00107553" w:rsidP="0013483D">
                            <w:pPr>
                              <w:spacing w:after="0" w:line="240" w:lineRule="auto"/>
                              <w:rPr>
                                <w:b/>
                              </w:rPr>
                            </w:pPr>
                          </w:p>
                          <w:p w14:paraId="08AAEABA" w14:textId="1B190181" w:rsidR="00587789" w:rsidRPr="007D177E" w:rsidRDefault="00587789" w:rsidP="0013483D">
                            <w:pPr>
                              <w:spacing w:after="0" w:line="240" w:lineRule="auto"/>
                              <w:rPr>
                                <w:rFonts w:asciiTheme="majorHAnsi" w:hAnsiTheme="majorHAnsi" w:cstheme="majorHAnsi"/>
                                <w:b/>
                                <w:noProof/>
                                <w:color w:val="000000" w:themeColor="text1"/>
                                <w:sz w:val="28"/>
                                <w:szCs w:val="28"/>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177E">
                              <w:rPr>
                                <w:rFonts w:asciiTheme="majorHAnsi" w:hAnsiTheme="majorHAnsi" w:cstheme="majorHAnsi"/>
                                <w:b/>
                                <w:noProof/>
                                <w:color w:val="000000" w:themeColor="text1"/>
                                <w:sz w:val="28"/>
                                <w:szCs w:val="28"/>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Submission by Professor Justine Nolan</w:t>
                            </w:r>
                            <w:r w:rsidR="00063535" w:rsidRPr="007D177E">
                              <w:rPr>
                                <w:rFonts w:asciiTheme="majorHAnsi" w:hAnsiTheme="majorHAnsi" w:cstheme="majorHAnsi"/>
                                <w:b/>
                                <w:noProof/>
                                <w:color w:val="000000" w:themeColor="text1"/>
                                <w:sz w:val="28"/>
                                <w:szCs w:val="28"/>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Dr Martijn Boersma</w:t>
                            </w:r>
                          </w:p>
                          <w:p w14:paraId="6EBD0234" w14:textId="640A74E8" w:rsidR="00D60369" w:rsidRPr="00107553" w:rsidRDefault="00D60369" w:rsidP="0013483D">
                            <w:pPr>
                              <w:spacing w:after="0" w:line="240" w:lineRule="auto"/>
                              <w:rPr>
                                <w:rFonts w:asciiTheme="majorHAnsi" w:hAnsiTheme="majorHAnsi" w:cstheme="majorHAnsi"/>
                                <w:bCs/>
                                <w:noProof/>
                                <w:color w:val="000000" w:themeColor="text1"/>
                                <w:sz w:val="28"/>
                                <w:szCs w:val="28"/>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33D767" w14:textId="060E6C6A" w:rsidR="00D60369" w:rsidRPr="00107553" w:rsidRDefault="00364768" w:rsidP="0013483D">
                            <w:pPr>
                              <w:spacing w:after="0" w:line="240" w:lineRule="auto"/>
                              <w:rPr>
                                <w:rFonts w:asciiTheme="majorHAnsi" w:hAnsiTheme="majorHAnsi" w:cstheme="majorHAnsi"/>
                                <w:bCs/>
                                <w:noProof/>
                                <w:color w:val="000000" w:themeColor="text1"/>
                                <w:sz w:val="28"/>
                                <w:szCs w:val="28"/>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7553">
                              <w:rPr>
                                <w:rFonts w:asciiTheme="majorHAnsi" w:hAnsiTheme="majorHAnsi" w:cstheme="majorHAnsi"/>
                                <w:bCs/>
                                <w:noProof/>
                                <w:color w:val="000000" w:themeColor="text1"/>
                                <w:sz w:val="28"/>
                                <w:szCs w:val="28"/>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November 18</w:t>
                            </w:r>
                            <w:r w:rsidR="004D1ABF" w:rsidRPr="00107553">
                              <w:rPr>
                                <w:rFonts w:asciiTheme="majorHAnsi" w:hAnsiTheme="majorHAnsi" w:cstheme="majorHAnsi"/>
                                <w:bCs/>
                                <w:noProof/>
                                <w:color w:val="000000" w:themeColor="text1"/>
                                <w:sz w:val="28"/>
                                <w:szCs w:val="28"/>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2021</w:t>
                            </w:r>
                          </w:p>
                          <w:p w14:paraId="5AF146C4" w14:textId="7534A83D" w:rsidR="00063535" w:rsidRDefault="00063535" w:rsidP="0013483D">
                            <w:pPr>
                              <w:spacing w:after="0" w:line="240" w:lineRule="auto"/>
                              <w:rPr>
                                <w:rFonts w:asciiTheme="majorHAnsi" w:hAnsiTheme="majorHAnsi" w:cstheme="majorHAnsi"/>
                                <w:bCs/>
                                <w:noProof/>
                                <w:color w:val="000000" w:themeColor="text1"/>
                                <w:sz w:val="32"/>
                                <w:szCs w:val="32"/>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27209A" w14:textId="2C668480" w:rsidR="00063535" w:rsidRPr="00684EE9" w:rsidRDefault="00063535" w:rsidP="0013483D">
                            <w:pPr>
                              <w:spacing w:after="0" w:line="240" w:lineRule="auto"/>
                              <w:rPr>
                                <w:rFonts w:asciiTheme="majorHAnsi" w:hAnsiTheme="majorHAnsi" w:cstheme="majorHAnsi"/>
                                <w:bCs/>
                                <w:noProof/>
                                <w:color w:val="000000" w:themeColor="text1"/>
                                <w:sz w:val="32"/>
                                <w:szCs w:val="32"/>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1B9FD" id="_x0000_t202" coordsize="21600,21600" o:spt="202" path="m,l,21600r21600,l21600,xe">
                <v:stroke joinstyle="miter"/>
                <v:path gradientshapeok="t" o:connecttype="rect"/>
              </v:shapetype>
              <v:shape id="Text Box 1" o:spid="_x0000_s1026" type="#_x0000_t202" style="position:absolute;margin-left:-25pt;margin-top:248.5pt;width:532.95pt;height:344.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" filled="f" stroked="f">
                <v:textbox>
                  <w:txbxContent>
                    <w:p w14:paraId="0466214B" w14:textId="0B3BED9E" w:rsidR="000C5AF8" w:rsidRDefault="000C5AF8" w:rsidP="0013483D">
                      <w:pPr>
                        <w:spacing w:after="0" w:line="240" w:lineRule="auto"/>
                        <w:rPr>
                          <w:b/>
                          <w:bCs/>
                          <w:sz w:val="28"/>
                          <w:szCs w:val="28"/>
                        </w:rPr>
                      </w:pPr>
                      <w:r w:rsidRPr="001518CE">
                        <w:rPr>
                          <w:b/>
                          <w:bCs/>
                          <w:sz w:val="28"/>
                          <w:szCs w:val="28"/>
                        </w:rPr>
                        <w:t>UN Working Group on Business and Human Rights</w:t>
                      </w:r>
                    </w:p>
                    <w:p w14:paraId="1517772E" w14:textId="77777777" w:rsidR="001518CE" w:rsidRPr="001518CE" w:rsidRDefault="001518CE" w:rsidP="0013483D">
                      <w:pPr>
                        <w:spacing w:after="0" w:line="240" w:lineRule="auto"/>
                        <w:rPr>
                          <w:b/>
                          <w:bCs/>
                          <w:sz w:val="28"/>
                          <w:szCs w:val="28"/>
                        </w:rPr>
                      </w:pPr>
                    </w:p>
                    <w:p w14:paraId="2B02B095" w14:textId="7FD2BE8A" w:rsidR="00107553" w:rsidRDefault="000C5AF8" w:rsidP="0013483D">
                      <w:pPr>
                        <w:spacing w:after="0" w:line="240" w:lineRule="auto"/>
                      </w:pPr>
                      <w:r w:rsidRPr="00107553">
                        <w:rPr>
                          <w:sz w:val="28"/>
                          <w:szCs w:val="28"/>
                        </w:rPr>
                        <w:t>Call for Inputs to information note</w:t>
                      </w:r>
                      <w:r w:rsidR="00107553" w:rsidRPr="00107553">
                        <w:rPr>
                          <w:sz w:val="28"/>
                          <w:szCs w:val="28"/>
                        </w:rPr>
                        <w:t>: “‘Ensuring business respect for human rights in the political and regulatory sphere and preventing ‘corporate capture</w:t>
                      </w:r>
                      <w:r w:rsidR="00A0660A" w:rsidRPr="00107553">
                        <w:rPr>
                          <w:sz w:val="28"/>
                          <w:szCs w:val="28"/>
                        </w:rPr>
                        <w:t>’</w:t>
                      </w:r>
                      <w:r w:rsidR="00A0660A">
                        <w:t>”</w:t>
                      </w:r>
                    </w:p>
                    <w:p w14:paraId="392C9952" w14:textId="77777777" w:rsidR="00107553" w:rsidRPr="007D177E" w:rsidRDefault="00107553" w:rsidP="0013483D">
                      <w:pPr>
                        <w:spacing w:after="0" w:line="240" w:lineRule="auto"/>
                        <w:rPr>
                          <w:b/>
                        </w:rPr>
                      </w:pPr>
                    </w:p>
                    <w:p w14:paraId="08AAEABA" w14:textId="1B190181" w:rsidR="00587789" w:rsidRPr="007D177E" w:rsidRDefault="00587789" w:rsidP="0013483D">
                      <w:pPr>
                        <w:spacing w:after="0" w:line="240" w:lineRule="auto"/>
                        <w:rPr>
                          <w:rFonts w:asciiTheme="majorHAnsi" w:hAnsiTheme="majorHAnsi" w:cstheme="majorHAnsi"/>
                          <w:b/>
                          <w:noProof/>
                          <w:color w:val="000000" w:themeColor="text1"/>
                          <w:sz w:val="28"/>
                          <w:szCs w:val="28"/>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177E">
                        <w:rPr>
                          <w:rFonts w:asciiTheme="majorHAnsi" w:hAnsiTheme="majorHAnsi" w:cstheme="majorHAnsi"/>
                          <w:b/>
                          <w:noProof/>
                          <w:color w:val="000000" w:themeColor="text1"/>
                          <w:sz w:val="28"/>
                          <w:szCs w:val="28"/>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Submission by Professor Justine Nolan</w:t>
                      </w:r>
                      <w:r w:rsidR="00063535" w:rsidRPr="007D177E">
                        <w:rPr>
                          <w:rFonts w:asciiTheme="majorHAnsi" w:hAnsiTheme="majorHAnsi" w:cstheme="majorHAnsi"/>
                          <w:b/>
                          <w:noProof/>
                          <w:color w:val="000000" w:themeColor="text1"/>
                          <w:sz w:val="28"/>
                          <w:szCs w:val="28"/>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Dr Martijn Boersma</w:t>
                      </w:r>
                    </w:p>
                    <w:p w14:paraId="6EBD0234" w14:textId="640A74E8" w:rsidR="00D60369" w:rsidRPr="00107553" w:rsidRDefault="00D60369" w:rsidP="0013483D">
                      <w:pPr>
                        <w:spacing w:after="0" w:line="240" w:lineRule="auto"/>
                        <w:rPr>
                          <w:rFonts w:asciiTheme="majorHAnsi" w:hAnsiTheme="majorHAnsi" w:cstheme="majorHAnsi"/>
                          <w:bCs/>
                          <w:noProof/>
                          <w:color w:val="000000" w:themeColor="text1"/>
                          <w:sz w:val="28"/>
                          <w:szCs w:val="28"/>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33D767" w14:textId="060E6C6A" w:rsidR="00D60369" w:rsidRPr="00107553" w:rsidRDefault="00364768" w:rsidP="0013483D">
                      <w:pPr>
                        <w:spacing w:after="0" w:line="240" w:lineRule="auto"/>
                        <w:rPr>
                          <w:rFonts w:asciiTheme="majorHAnsi" w:hAnsiTheme="majorHAnsi" w:cstheme="majorHAnsi"/>
                          <w:bCs/>
                          <w:noProof/>
                          <w:color w:val="000000" w:themeColor="text1"/>
                          <w:sz w:val="28"/>
                          <w:szCs w:val="28"/>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7553">
                        <w:rPr>
                          <w:rFonts w:asciiTheme="majorHAnsi" w:hAnsiTheme="majorHAnsi" w:cstheme="majorHAnsi"/>
                          <w:bCs/>
                          <w:noProof/>
                          <w:color w:val="000000" w:themeColor="text1"/>
                          <w:sz w:val="28"/>
                          <w:szCs w:val="28"/>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November 18</w:t>
                      </w:r>
                      <w:r w:rsidR="004D1ABF" w:rsidRPr="00107553">
                        <w:rPr>
                          <w:rFonts w:asciiTheme="majorHAnsi" w:hAnsiTheme="majorHAnsi" w:cstheme="majorHAnsi"/>
                          <w:bCs/>
                          <w:noProof/>
                          <w:color w:val="000000" w:themeColor="text1"/>
                          <w:sz w:val="28"/>
                          <w:szCs w:val="28"/>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2021</w:t>
                      </w:r>
                    </w:p>
                    <w:p w14:paraId="5AF146C4" w14:textId="7534A83D" w:rsidR="00063535" w:rsidRDefault="00063535" w:rsidP="0013483D">
                      <w:pPr>
                        <w:spacing w:after="0" w:line="240" w:lineRule="auto"/>
                        <w:rPr>
                          <w:rFonts w:asciiTheme="majorHAnsi" w:hAnsiTheme="majorHAnsi" w:cstheme="majorHAnsi"/>
                          <w:bCs/>
                          <w:noProof/>
                          <w:color w:val="000000" w:themeColor="text1"/>
                          <w:sz w:val="32"/>
                          <w:szCs w:val="32"/>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27209A" w14:textId="2C668480" w:rsidR="00063535" w:rsidRPr="00684EE9" w:rsidRDefault="00063535" w:rsidP="0013483D">
                      <w:pPr>
                        <w:spacing w:after="0" w:line="240" w:lineRule="auto"/>
                        <w:rPr>
                          <w:rFonts w:asciiTheme="majorHAnsi" w:hAnsiTheme="majorHAnsi" w:cstheme="majorHAnsi"/>
                          <w:bCs/>
                          <w:noProof/>
                          <w:color w:val="000000" w:themeColor="text1"/>
                          <w:sz w:val="32"/>
                          <w:szCs w:val="32"/>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13483D" w:rsidRPr="001518CE">
        <w:rPr>
          <w:rFonts w:cstheme="minorHAnsi"/>
          <w:noProof/>
        </w:rPr>
        <mc:AlternateContent>
          <mc:Choice Requires="wps">
            <w:drawing>
              <wp:anchor distT="0" distB="0" distL="114300" distR="114300" simplePos="0" relativeHeight="251672576" behindDoc="0" locked="0" layoutInCell="1" allowOverlap="1" wp14:anchorId="2E4A69AA" wp14:editId="01D2AAD9">
                <wp:simplePos x="0" y="0"/>
                <wp:positionH relativeFrom="column">
                  <wp:posOffset>-120650</wp:posOffset>
                </wp:positionH>
                <wp:positionV relativeFrom="paragraph">
                  <wp:posOffset>7745379</wp:posOffset>
                </wp:positionV>
                <wp:extent cx="3725838" cy="613903"/>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725838" cy="613903"/>
                        </a:xfrm>
                        <a:prstGeom prst="rect">
                          <a:avLst/>
                        </a:prstGeom>
                        <a:noFill/>
                        <a:ln>
                          <a:noFill/>
                        </a:ln>
                        <a:effectLst/>
                      </wps:spPr>
                      <wps:txbx>
                        <w:txbxContent>
                          <w:p w14:paraId="7CA3AE37" w14:textId="25F2A1E2" w:rsidR="00587789" w:rsidRPr="00726CAF" w:rsidRDefault="00587789" w:rsidP="0013483D">
                            <w:pPr>
                              <w:rPr>
                                <w:noProof/>
                                <w:color w:val="FFFFFF" w:themeColor="background1"/>
                                <w:sz w:val="44"/>
                                <w:szCs w:val="44"/>
                                <w:lang w:val="en-AU"/>
                              </w:rPr>
                            </w:pPr>
                            <w:r>
                              <w:rPr>
                                <w:noProof/>
                                <w:color w:val="FFFFFF" w:themeColor="background1"/>
                                <w:sz w:val="28"/>
                                <w:szCs w:val="28"/>
                                <w:lang w:val="en-AU"/>
                              </w:rPr>
                              <w:t>January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A69AA" id="Text Box 16" o:spid="_x0000_s1027" type="#_x0000_t202" style="position:absolute;margin-left:-9.5pt;margin-top:609.85pt;width:293.35pt;height:4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" filled="f" stroked="f">
                <v:textbox>
                  <w:txbxContent>
                    <w:p w14:paraId="7CA3AE37" w14:textId="25F2A1E2" w:rsidR="00587789" w:rsidRPr="00726CAF" w:rsidRDefault="00587789" w:rsidP="0013483D">
                      <w:pPr>
                        <w:rPr>
                          <w:noProof/>
                          <w:color w:val="FFFFFF" w:themeColor="background1"/>
                          <w:sz w:val="44"/>
                          <w:szCs w:val="44"/>
                          <w:lang w:val="en-AU"/>
                        </w:rPr>
                      </w:pPr>
                      <w:r>
                        <w:rPr>
                          <w:noProof/>
                          <w:color w:val="FFFFFF" w:themeColor="background1"/>
                          <w:sz w:val="28"/>
                          <w:szCs w:val="28"/>
                          <w:lang w:val="en-AU"/>
                        </w:rPr>
                        <w:t>January 2020</w:t>
                      </w:r>
                    </w:p>
                  </w:txbxContent>
                </v:textbox>
              </v:shape>
            </w:pict>
          </mc:Fallback>
        </mc:AlternateContent>
      </w:r>
      <w:r w:rsidR="000D2ACA" w:rsidRPr="001518CE">
        <w:rPr>
          <w:rFonts w:cstheme="minorHAnsi"/>
          <w:noProof/>
        </w:rPr>
        <w:br w:type="page"/>
      </w:r>
    </w:p>
    <w:p w14:paraId="77D95062" w14:textId="372B8C04" w:rsidR="00206754" w:rsidRPr="001518CE" w:rsidRDefault="00206754" w:rsidP="006459C1">
      <w:pPr>
        <w:tabs>
          <w:tab w:val="left" w:pos="6469"/>
        </w:tabs>
        <w:spacing w:after="0" w:line="240" w:lineRule="auto"/>
        <w:rPr>
          <w:rFonts w:cstheme="minorHAnsi"/>
        </w:rPr>
      </w:pPr>
    </w:p>
    <w:p w14:paraId="58B37168" w14:textId="771296B1" w:rsidR="00206754" w:rsidRPr="001518CE" w:rsidRDefault="00206754" w:rsidP="006459C1">
      <w:pPr>
        <w:tabs>
          <w:tab w:val="left" w:pos="6469"/>
        </w:tabs>
        <w:spacing w:after="0" w:line="240" w:lineRule="auto"/>
        <w:rPr>
          <w:rFonts w:cstheme="minorHAnsi"/>
        </w:rPr>
      </w:pPr>
    </w:p>
    <w:p w14:paraId="03F83D1B" w14:textId="77777777" w:rsidR="006F1F3C" w:rsidRDefault="006F1F3C" w:rsidP="006459C1">
      <w:pPr>
        <w:pStyle w:val="Heading1"/>
        <w:spacing w:after="0" w:line="240" w:lineRule="auto"/>
        <w:rPr>
          <w:rFonts w:asciiTheme="minorHAnsi" w:hAnsiTheme="minorHAnsi" w:cstheme="minorHAnsi"/>
          <w:color w:val="000000" w:themeColor="text1"/>
          <w:sz w:val="22"/>
          <w:szCs w:val="22"/>
        </w:rPr>
      </w:pPr>
      <w:bookmarkStart w:id="0" w:name="_Toc63335651"/>
    </w:p>
    <w:p w14:paraId="5D430BB3" w14:textId="77777777" w:rsidR="006F1F3C" w:rsidRDefault="006F1F3C" w:rsidP="006459C1">
      <w:pPr>
        <w:pStyle w:val="Heading1"/>
        <w:spacing w:after="0" w:line="240" w:lineRule="auto"/>
        <w:rPr>
          <w:rFonts w:asciiTheme="minorHAnsi" w:hAnsiTheme="minorHAnsi" w:cstheme="minorHAnsi"/>
          <w:color w:val="000000" w:themeColor="text1"/>
          <w:sz w:val="22"/>
          <w:szCs w:val="22"/>
        </w:rPr>
      </w:pPr>
    </w:p>
    <w:p w14:paraId="49F3748B" w14:textId="77777777" w:rsidR="006F1F3C" w:rsidRDefault="006F1F3C" w:rsidP="006459C1">
      <w:pPr>
        <w:pStyle w:val="Heading1"/>
        <w:spacing w:after="0" w:line="240" w:lineRule="auto"/>
        <w:rPr>
          <w:rFonts w:asciiTheme="minorHAnsi" w:hAnsiTheme="minorHAnsi" w:cstheme="minorHAnsi"/>
          <w:color w:val="000000" w:themeColor="text1"/>
          <w:sz w:val="22"/>
          <w:szCs w:val="22"/>
        </w:rPr>
      </w:pPr>
    </w:p>
    <w:p w14:paraId="50EDE827" w14:textId="77777777" w:rsidR="006F1F3C" w:rsidRDefault="006F1F3C" w:rsidP="006459C1">
      <w:pPr>
        <w:pStyle w:val="Heading1"/>
        <w:spacing w:after="0" w:line="240" w:lineRule="auto"/>
        <w:rPr>
          <w:rFonts w:asciiTheme="minorHAnsi" w:hAnsiTheme="minorHAnsi" w:cstheme="minorHAnsi"/>
          <w:color w:val="000000" w:themeColor="text1"/>
          <w:sz w:val="22"/>
          <w:szCs w:val="22"/>
        </w:rPr>
      </w:pPr>
    </w:p>
    <w:p w14:paraId="7ECFAAF7" w14:textId="77777777" w:rsidR="006F1F3C" w:rsidRDefault="006F1F3C" w:rsidP="006459C1">
      <w:pPr>
        <w:pStyle w:val="Heading1"/>
        <w:spacing w:after="0" w:line="240" w:lineRule="auto"/>
        <w:rPr>
          <w:rFonts w:asciiTheme="minorHAnsi" w:hAnsiTheme="minorHAnsi" w:cstheme="minorHAnsi"/>
          <w:color w:val="000000" w:themeColor="text1"/>
          <w:sz w:val="22"/>
          <w:szCs w:val="22"/>
        </w:rPr>
      </w:pPr>
    </w:p>
    <w:p w14:paraId="1D59D63C" w14:textId="77777777" w:rsidR="006F1F3C" w:rsidRDefault="006F1F3C" w:rsidP="006459C1">
      <w:pPr>
        <w:pStyle w:val="Heading1"/>
        <w:spacing w:after="0" w:line="240" w:lineRule="auto"/>
        <w:rPr>
          <w:rFonts w:asciiTheme="minorHAnsi" w:hAnsiTheme="minorHAnsi" w:cstheme="minorHAnsi"/>
          <w:color w:val="000000" w:themeColor="text1"/>
          <w:sz w:val="22"/>
          <w:szCs w:val="22"/>
        </w:rPr>
      </w:pPr>
    </w:p>
    <w:p w14:paraId="328C24B0" w14:textId="77777777" w:rsidR="006F1F3C" w:rsidRDefault="006F1F3C" w:rsidP="006459C1">
      <w:pPr>
        <w:pStyle w:val="Heading1"/>
        <w:spacing w:after="0" w:line="240" w:lineRule="auto"/>
        <w:rPr>
          <w:rFonts w:asciiTheme="minorHAnsi" w:hAnsiTheme="minorHAnsi" w:cstheme="minorHAnsi"/>
          <w:color w:val="000000" w:themeColor="text1"/>
          <w:sz w:val="22"/>
          <w:szCs w:val="22"/>
        </w:rPr>
      </w:pPr>
    </w:p>
    <w:p w14:paraId="4E45D3E9" w14:textId="77777777" w:rsidR="006F1F3C" w:rsidRDefault="006F1F3C" w:rsidP="006459C1">
      <w:pPr>
        <w:pStyle w:val="Heading1"/>
        <w:spacing w:after="0" w:line="240" w:lineRule="auto"/>
        <w:rPr>
          <w:rFonts w:asciiTheme="minorHAnsi" w:hAnsiTheme="minorHAnsi" w:cstheme="minorHAnsi"/>
          <w:color w:val="000000" w:themeColor="text1"/>
          <w:sz w:val="22"/>
          <w:szCs w:val="22"/>
        </w:rPr>
      </w:pPr>
    </w:p>
    <w:p w14:paraId="03DD26AF" w14:textId="77777777" w:rsidR="006F1F3C" w:rsidRDefault="006F1F3C" w:rsidP="006459C1">
      <w:pPr>
        <w:pStyle w:val="Heading1"/>
        <w:spacing w:after="0" w:line="240" w:lineRule="auto"/>
        <w:rPr>
          <w:rFonts w:asciiTheme="minorHAnsi" w:hAnsiTheme="minorHAnsi" w:cstheme="minorHAnsi"/>
          <w:color w:val="000000" w:themeColor="text1"/>
          <w:sz w:val="22"/>
          <w:szCs w:val="22"/>
        </w:rPr>
      </w:pPr>
    </w:p>
    <w:p w14:paraId="684265AF" w14:textId="77777777" w:rsidR="006F1F3C" w:rsidRDefault="006F1F3C" w:rsidP="006459C1">
      <w:pPr>
        <w:pStyle w:val="Heading1"/>
        <w:spacing w:after="0" w:line="240" w:lineRule="auto"/>
        <w:rPr>
          <w:rFonts w:asciiTheme="minorHAnsi" w:hAnsiTheme="minorHAnsi" w:cstheme="minorHAnsi"/>
          <w:color w:val="000000" w:themeColor="text1"/>
          <w:sz w:val="22"/>
          <w:szCs w:val="22"/>
        </w:rPr>
      </w:pPr>
    </w:p>
    <w:p w14:paraId="0448405A" w14:textId="77777777" w:rsidR="006F1F3C" w:rsidRDefault="006F1F3C" w:rsidP="006459C1">
      <w:pPr>
        <w:pStyle w:val="Heading1"/>
        <w:spacing w:after="0" w:line="240" w:lineRule="auto"/>
        <w:rPr>
          <w:rFonts w:asciiTheme="minorHAnsi" w:hAnsiTheme="minorHAnsi" w:cstheme="minorHAnsi"/>
          <w:color w:val="000000" w:themeColor="text1"/>
          <w:sz w:val="22"/>
          <w:szCs w:val="22"/>
        </w:rPr>
      </w:pPr>
    </w:p>
    <w:p w14:paraId="6005760E" w14:textId="31C690CA" w:rsidR="008F6433" w:rsidRDefault="006C1745" w:rsidP="006459C1">
      <w:pPr>
        <w:pStyle w:val="Heading1"/>
        <w:spacing w:after="0" w:line="240" w:lineRule="auto"/>
        <w:rPr>
          <w:rFonts w:asciiTheme="minorHAnsi" w:hAnsiTheme="minorHAnsi" w:cstheme="minorHAnsi"/>
          <w:color w:val="000000" w:themeColor="text1"/>
          <w:sz w:val="22"/>
          <w:szCs w:val="22"/>
        </w:rPr>
      </w:pPr>
      <w:r w:rsidRPr="001518CE">
        <w:rPr>
          <w:rFonts w:asciiTheme="minorHAnsi" w:hAnsiTheme="minorHAnsi" w:cstheme="minorHAnsi"/>
          <w:color w:val="000000" w:themeColor="text1"/>
          <w:sz w:val="22"/>
          <w:szCs w:val="22"/>
        </w:rPr>
        <w:t>A</w:t>
      </w:r>
      <w:r w:rsidR="00726CAF" w:rsidRPr="001518CE">
        <w:rPr>
          <w:rFonts w:asciiTheme="minorHAnsi" w:hAnsiTheme="minorHAnsi" w:cstheme="minorHAnsi"/>
          <w:color w:val="000000" w:themeColor="text1"/>
          <w:sz w:val="22"/>
          <w:szCs w:val="22"/>
        </w:rPr>
        <w:t xml:space="preserve">bout the </w:t>
      </w:r>
      <w:r w:rsidR="00684EE9" w:rsidRPr="001518CE">
        <w:rPr>
          <w:rFonts w:asciiTheme="minorHAnsi" w:hAnsiTheme="minorHAnsi" w:cstheme="minorHAnsi"/>
          <w:color w:val="000000" w:themeColor="text1"/>
          <w:sz w:val="22"/>
          <w:szCs w:val="22"/>
        </w:rPr>
        <w:t>Authors of the Submission</w:t>
      </w:r>
      <w:bookmarkEnd w:id="0"/>
    </w:p>
    <w:p w14:paraId="1E3B73DF" w14:textId="77777777" w:rsidR="00F43B31" w:rsidRPr="00F43B31" w:rsidRDefault="00F43B31" w:rsidP="00F43B31">
      <w:pPr>
        <w:rPr>
          <w:lang w:val="en-US"/>
        </w:rPr>
      </w:pPr>
    </w:p>
    <w:p w14:paraId="47D217E7" w14:textId="78AD330B" w:rsidR="00950648" w:rsidRPr="001518CE" w:rsidRDefault="001C2BA0" w:rsidP="006459C1">
      <w:pPr>
        <w:spacing w:after="0" w:line="240" w:lineRule="auto"/>
        <w:rPr>
          <w:rFonts w:cstheme="minorHAnsi"/>
        </w:rPr>
      </w:pPr>
      <w:r w:rsidRPr="001518CE">
        <w:rPr>
          <w:rFonts w:cstheme="minorHAnsi"/>
        </w:rPr>
        <w:t>Justine Nolan is</w:t>
      </w:r>
      <w:r w:rsidR="0010014B" w:rsidRPr="001518CE">
        <w:rPr>
          <w:rFonts w:cstheme="minorHAnsi"/>
        </w:rPr>
        <w:t xml:space="preserve"> the Director of the Australian Human Rights Institute (UNSW) </w:t>
      </w:r>
      <w:r w:rsidR="00C57E9E" w:rsidRPr="001518CE">
        <w:rPr>
          <w:rFonts w:cstheme="minorHAnsi"/>
        </w:rPr>
        <w:t>and a</w:t>
      </w:r>
      <w:r w:rsidRPr="001518CE">
        <w:rPr>
          <w:rFonts w:cstheme="minorHAnsi"/>
        </w:rPr>
        <w:t xml:space="preserve"> Professor in the Faculty of Law</w:t>
      </w:r>
      <w:r w:rsidR="0010014B" w:rsidRPr="001518CE">
        <w:rPr>
          <w:rFonts w:cstheme="minorHAnsi"/>
        </w:rPr>
        <w:t xml:space="preserve"> and Justice</w:t>
      </w:r>
      <w:r w:rsidRPr="001518CE">
        <w:rPr>
          <w:rFonts w:cstheme="minorHAnsi"/>
        </w:rPr>
        <w:t xml:space="preserve"> at UNSW Sydney. Justine's research focuses on the intersection of business and human rights, i</w:t>
      </w:r>
      <w:r w:rsidR="00706D84" w:rsidRPr="001518CE">
        <w:rPr>
          <w:rFonts w:cstheme="minorHAnsi"/>
        </w:rPr>
        <w:t xml:space="preserve">ncluding </w:t>
      </w:r>
      <w:r w:rsidRPr="001518CE">
        <w:rPr>
          <w:rFonts w:cstheme="minorHAnsi"/>
        </w:rPr>
        <w:t xml:space="preserve">modern slavery. Justine works closely with business and civil society and has been a key driver of the Australian business and human rights movement. </w:t>
      </w:r>
      <w:r w:rsidR="00D748DB" w:rsidRPr="001518CE">
        <w:rPr>
          <w:rFonts w:cstheme="minorHAnsi"/>
        </w:rPr>
        <w:t>She has held various expert advisory roles including currently as a member of the  </w:t>
      </w:r>
      <w:hyperlink r:id="rId11" w:history="1">
        <w:r w:rsidR="00D748DB" w:rsidRPr="001518CE">
          <w:rPr>
            <w:rStyle w:val="Hyperlink"/>
            <w:rFonts w:cstheme="minorHAnsi"/>
            <w:color w:val="auto"/>
            <w:bdr w:val="none" w:sz="0" w:space="0" w:color="auto" w:frame="1"/>
          </w:rPr>
          <w:t>Australian Government's </w:t>
        </w:r>
      </w:hyperlink>
      <w:r w:rsidR="00D748DB" w:rsidRPr="001518CE">
        <w:rPr>
          <w:rFonts w:cstheme="minorHAnsi"/>
        </w:rPr>
        <w:t xml:space="preserve">Modern Slavery Expert Advisory Group. </w:t>
      </w:r>
      <w:r w:rsidRPr="001518CE">
        <w:rPr>
          <w:rFonts w:cstheme="minorHAnsi"/>
        </w:rPr>
        <w:t>Prior to joining UNSW in 2004, she worked as the Director of the Business and Human Rights program at the Lawyers Committee for Human Rights (now Human Rights First) in the USA</w:t>
      </w:r>
      <w:r w:rsidR="00D748DB" w:rsidRPr="001518CE">
        <w:rPr>
          <w:rFonts w:cstheme="minorHAnsi"/>
        </w:rPr>
        <w:t>.</w:t>
      </w:r>
      <w:r w:rsidRPr="001518CE">
        <w:rPr>
          <w:rFonts w:cstheme="minorHAnsi"/>
        </w:rPr>
        <w:t xml:space="preserve"> </w:t>
      </w:r>
      <w:r w:rsidR="00667C87" w:rsidRPr="001518CE">
        <w:rPr>
          <w:rFonts w:cstheme="minorHAnsi"/>
        </w:rPr>
        <w:t xml:space="preserve">Her 2019 co-authored book </w:t>
      </w:r>
      <w:r w:rsidR="00667C87" w:rsidRPr="001518CE">
        <w:rPr>
          <w:rFonts w:cstheme="minorHAnsi"/>
          <w:i/>
          <w:iCs/>
        </w:rPr>
        <w:t>Addressing Modern Slavery</w:t>
      </w:r>
      <w:r w:rsidR="00667C87" w:rsidRPr="001518CE">
        <w:rPr>
          <w:rFonts w:cstheme="minorHAnsi"/>
        </w:rPr>
        <w:t xml:space="preserve"> </w:t>
      </w:r>
      <w:r w:rsidR="00B62DFE" w:rsidRPr="001518CE">
        <w:rPr>
          <w:rFonts w:cstheme="minorHAnsi"/>
        </w:rPr>
        <w:t xml:space="preserve">(with M Boersma) </w:t>
      </w:r>
      <w:r w:rsidR="00667C87" w:rsidRPr="001518CE">
        <w:rPr>
          <w:rFonts w:cstheme="minorHAnsi"/>
        </w:rPr>
        <w:t>examines how consumers, business and government are both part of the problem and the solution in curbing modern slavery in global supply chains.</w:t>
      </w:r>
    </w:p>
    <w:p w14:paraId="2FD800FA" w14:textId="3EDE7E6C" w:rsidR="00937F17" w:rsidRPr="001518CE" w:rsidRDefault="00C322E3" w:rsidP="006459C1">
      <w:pPr>
        <w:spacing w:after="0" w:line="240" w:lineRule="auto"/>
        <w:rPr>
          <w:rFonts w:cstheme="minorHAnsi"/>
        </w:rPr>
      </w:pPr>
      <w:hyperlink r:id="rId12" w:history="1">
        <w:r w:rsidR="00B443CD" w:rsidRPr="001518CE">
          <w:rPr>
            <w:rStyle w:val="Hyperlink"/>
            <w:rFonts w:cstheme="minorHAnsi"/>
          </w:rPr>
          <w:t>Justine.nolan@unsw.edu.au</w:t>
        </w:r>
      </w:hyperlink>
      <w:r w:rsidR="00B443CD" w:rsidRPr="001518CE">
        <w:rPr>
          <w:rFonts w:cstheme="minorHAnsi"/>
        </w:rPr>
        <w:t xml:space="preserve"> </w:t>
      </w:r>
    </w:p>
    <w:p w14:paraId="78A4B991" w14:textId="626FE2B0" w:rsidR="0058314F" w:rsidRPr="001518CE" w:rsidRDefault="0058314F" w:rsidP="006459C1">
      <w:pPr>
        <w:spacing w:after="0" w:line="240" w:lineRule="auto"/>
        <w:rPr>
          <w:rFonts w:cstheme="minorHAnsi"/>
        </w:rPr>
      </w:pPr>
    </w:p>
    <w:p w14:paraId="514A14A6" w14:textId="77777777" w:rsidR="0058314F" w:rsidRPr="001518CE" w:rsidRDefault="0058314F" w:rsidP="006459C1">
      <w:pPr>
        <w:spacing w:after="0" w:line="240" w:lineRule="auto"/>
        <w:rPr>
          <w:rFonts w:cstheme="minorHAnsi"/>
        </w:rPr>
      </w:pPr>
      <w:r w:rsidRPr="001518CE">
        <w:rPr>
          <w:rFonts w:cstheme="minorHAnsi"/>
        </w:rPr>
        <w:t xml:space="preserve">Martijn Boersma is a senior lecturer at the University of Technology Sydney Business School. He is interested in the intersection of business and society and has extensively published on these topics. Martijn became in the trade union movement since 2012, when he joined Catalyst Australia, a progressive policy institute and think tank, which worked closely with trade unions, non-governmental organisations and academics to promote policy solutions for pressing social and economic issues. He has also worked as a researcher for United Voice, a trade union that represents over 120,000 Australian workers in various industries. Previously, throughout his seven-year career with Greenpeace International in Amsterdam, his interest has been the socio-economic impact of global campaign work by civil society organisations. Current projects focus on multistakeholder efforts to improve working conditions in the Australian commercial real estate cleaning supply chain, and strategies to improve labor conditions within the Australian cotton value chain. Together with Justine Nolan he published the book </w:t>
      </w:r>
      <w:r w:rsidRPr="001518CE">
        <w:rPr>
          <w:rFonts w:cstheme="minorHAnsi"/>
          <w:i/>
          <w:iCs/>
        </w:rPr>
        <w:t>Addressing Modern Slavery</w:t>
      </w:r>
      <w:r w:rsidRPr="001518CE">
        <w:rPr>
          <w:rFonts w:cstheme="minorHAnsi"/>
        </w:rPr>
        <w:t xml:space="preserve"> (2019).</w:t>
      </w:r>
    </w:p>
    <w:p w14:paraId="6BB61C03" w14:textId="69D8F405" w:rsidR="00F43B31" w:rsidRDefault="00C322E3" w:rsidP="006459C1">
      <w:pPr>
        <w:spacing w:after="0" w:line="240" w:lineRule="auto"/>
        <w:rPr>
          <w:rFonts w:cstheme="minorHAnsi"/>
        </w:rPr>
      </w:pPr>
      <w:hyperlink r:id="rId13" w:history="1">
        <w:r w:rsidR="0058314F" w:rsidRPr="001518CE">
          <w:rPr>
            <w:rStyle w:val="Hyperlink"/>
            <w:rFonts w:cstheme="minorHAnsi"/>
          </w:rPr>
          <w:t>Martijn.Boersma@uts.edu.au</w:t>
        </w:r>
      </w:hyperlink>
      <w:r w:rsidR="0058314F" w:rsidRPr="001518CE">
        <w:rPr>
          <w:rFonts w:cstheme="minorHAnsi"/>
        </w:rPr>
        <w:t xml:space="preserve"> </w:t>
      </w:r>
      <w:r w:rsidR="008F6433" w:rsidRPr="001518CE">
        <w:rPr>
          <w:rFonts w:cstheme="minorHAnsi"/>
        </w:rPr>
        <w:br w:type="page"/>
      </w:r>
    </w:p>
    <w:p w14:paraId="59A362DD" w14:textId="66F41177" w:rsidR="005D0D9A" w:rsidRPr="00F43B31" w:rsidRDefault="00D751E7" w:rsidP="006459C1">
      <w:pPr>
        <w:spacing w:after="0" w:line="240" w:lineRule="auto"/>
        <w:jc w:val="both"/>
        <w:rPr>
          <w:rFonts w:cstheme="minorHAnsi"/>
          <w:b/>
          <w:bCs/>
          <w:sz w:val="28"/>
          <w:szCs w:val="28"/>
        </w:rPr>
      </w:pPr>
      <w:r w:rsidRPr="00F43B31">
        <w:rPr>
          <w:rFonts w:cstheme="minorHAnsi"/>
          <w:b/>
          <w:bCs/>
          <w:color w:val="000000" w:themeColor="text1"/>
          <w:sz w:val="28"/>
          <w:szCs w:val="28"/>
        </w:rPr>
        <w:lastRenderedPageBreak/>
        <w:t>Infl</w:t>
      </w:r>
      <w:r w:rsidR="00341B5B" w:rsidRPr="00F43B31">
        <w:rPr>
          <w:rFonts w:cstheme="minorHAnsi"/>
          <w:b/>
          <w:bCs/>
          <w:color w:val="000000" w:themeColor="text1"/>
          <w:sz w:val="28"/>
          <w:szCs w:val="28"/>
        </w:rPr>
        <w:t>uence and corporate capture: background and</w:t>
      </w:r>
      <w:r w:rsidR="0030235A" w:rsidRPr="00F43B31">
        <w:rPr>
          <w:rFonts w:cstheme="minorHAnsi"/>
          <w:b/>
          <w:bCs/>
          <w:color w:val="000000" w:themeColor="text1"/>
          <w:sz w:val="28"/>
          <w:szCs w:val="28"/>
        </w:rPr>
        <w:t xml:space="preserve"> </w:t>
      </w:r>
      <w:r w:rsidR="005D0D9A" w:rsidRPr="00F43B31">
        <w:rPr>
          <w:rFonts w:cstheme="minorHAnsi"/>
          <w:b/>
          <w:bCs/>
          <w:color w:val="000000" w:themeColor="text1"/>
          <w:sz w:val="28"/>
          <w:szCs w:val="28"/>
        </w:rPr>
        <w:t xml:space="preserve">examples in </w:t>
      </w:r>
      <w:r w:rsidR="005D0D9A" w:rsidRPr="00F43B31">
        <w:rPr>
          <w:rFonts w:cstheme="minorHAnsi"/>
          <w:b/>
          <w:bCs/>
          <w:sz w:val="28"/>
          <w:szCs w:val="28"/>
        </w:rPr>
        <w:t>the business and human rights field</w:t>
      </w:r>
    </w:p>
    <w:p w14:paraId="4548C893" w14:textId="3924E994" w:rsidR="00FC31A5" w:rsidRPr="001518CE" w:rsidRDefault="00C65C9F" w:rsidP="006459C1">
      <w:pPr>
        <w:spacing w:after="0" w:line="240" w:lineRule="auto"/>
        <w:jc w:val="both"/>
        <w:rPr>
          <w:rFonts w:cstheme="minorHAnsi"/>
          <w:lang w:eastAsia="en-AU"/>
        </w:rPr>
      </w:pPr>
      <w:r w:rsidRPr="001518CE">
        <w:rPr>
          <w:rFonts w:cstheme="minorHAnsi"/>
        </w:rPr>
        <w:t>Since the mid-1970s</w:t>
      </w:r>
      <w:r w:rsidR="0030235A" w:rsidRPr="001518CE">
        <w:rPr>
          <w:rFonts w:cstheme="minorHAnsi"/>
        </w:rPr>
        <w:t>, there has been increasing international interest in</w:t>
      </w:r>
      <w:r w:rsidRPr="001518CE">
        <w:rPr>
          <w:rFonts w:cstheme="minorHAnsi"/>
        </w:rPr>
        <w:t xml:space="preserve"> the approach</w:t>
      </w:r>
      <w:r w:rsidR="000149D3" w:rsidRPr="001518CE">
        <w:rPr>
          <w:rFonts w:cstheme="minorHAnsi"/>
        </w:rPr>
        <w:t>es adopted by business in ‘addressing</w:t>
      </w:r>
      <w:r w:rsidR="00F43B31" w:rsidRPr="001518CE">
        <w:rPr>
          <w:rFonts w:cstheme="minorHAnsi"/>
        </w:rPr>
        <w:t>’ or</w:t>
      </w:r>
      <w:r w:rsidR="003A76B1" w:rsidRPr="001518CE">
        <w:rPr>
          <w:rFonts w:cstheme="minorHAnsi"/>
        </w:rPr>
        <w:t xml:space="preserve"> ‘influencing’ </w:t>
      </w:r>
      <w:r w:rsidR="000149D3" w:rsidRPr="001518CE">
        <w:rPr>
          <w:rFonts w:cstheme="minorHAnsi"/>
        </w:rPr>
        <w:t>social policy issues.</w:t>
      </w:r>
      <w:r w:rsidR="0030235A" w:rsidRPr="001518CE">
        <w:rPr>
          <w:rFonts w:cstheme="minorHAnsi"/>
        </w:rPr>
        <w:t xml:space="preserve"> </w:t>
      </w:r>
      <w:r w:rsidR="0003742F" w:rsidRPr="001518CE">
        <w:rPr>
          <w:rFonts w:cstheme="minorHAnsi"/>
        </w:rPr>
        <w:t>This can be attributed in part to the US Congress passing “</w:t>
      </w:r>
      <w:r w:rsidR="0003742F" w:rsidRPr="001518CE">
        <w:rPr>
          <w:rFonts w:cstheme="minorHAnsi"/>
          <w:lang w:eastAsia="en-AU"/>
        </w:rPr>
        <w:t>a series of new social regulations to address a range of environmental and consumer safety concerns… These new regulations, combined with the declining economy, awoke the sleeping political giant of American business. Hundreds of companies hired lobbyists for the first time in the mid-1970s, and corporate managers began paying attention to politics much more than they ever did before.”</w:t>
      </w:r>
      <w:r w:rsidR="0003742F" w:rsidRPr="001518CE">
        <w:rPr>
          <w:rStyle w:val="FootnoteReference"/>
          <w:rFonts w:cstheme="minorHAnsi"/>
          <w:lang w:eastAsia="en-AU"/>
        </w:rPr>
        <w:footnoteReference w:id="1"/>
      </w:r>
      <w:r w:rsidR="0003742F" w:rsidRPr="001518CE">
        <w:rPr>
          <w:rFonts w:cstheme="minorHAnsi"/>
          <w:lang w:eastAsia="en-AU"/>
        </w:rPr>
        <w:t xml:space="preserve"> </w:t>
      </w:r>
    </w:p>
    <w:p w14:paraId="005C0586" w14:textId="362E24E0" w:rsidR="00FC31A5" w:rsidRPr="001518CE" w:rsidRDefault="00FC31A5" w:rsidP="006459C1">
      <w:pPr>
        <w:spacing w:after="0" w:line="240" w:lineRule="auto"/>
        <w:jc w:val="both"/>
        <w:rPr>
          <w:rFonts w:cstheme="minorHAnsi"/>
          <w:lang w:eastAsia="en-AU"/>
        </w:rPr>
      </w:pPr>
    </w:p>
    <w:p w14:paraId="73A4E33A" w14:textId="39E97831" w:rsidR="00D751E7" w:rsidRPr="001518CE" w:rsidRDefault="003104B8" w:rsidP="006459C1">
      <w:pPr>
        <w:spacing w:after="0" w:line="240" w:lineRule="auto"/>
        <w:jc w:val="both"/>
        <w:rPr>
          <w:rFonts w:cstheme="minorHAnsi"/>
          <w:color w:val="202124"/>
          <w:shd w:val="clear" w:color="auto" w:fill="FFFFFF"/>
        </w:rPr>
      </w:pPr>
      <w:r w:rsidRPr="001518CE">
        <w:rPr>
          <w:rFonts w:cstheme="minorHAnsi"/>
          <w:lang w:eastAsia="en-AU"/>
        </w:rPr>
        <w:t xml:space="preserve">We suggest there is a distinction in businesses </w:t>
      </w:r>
      <w:r w:rsidR="005B08A3" w:rsidRPr="001518CE">
        <w:rPr>
          <w:rFonts w:cstheme="minorHAnsi"/>
          <w:lang w:eastAsia="en-AU"/>
        </w:rPr>
        <w:t xml:space="preserve">addressing or </w:t>
      </w:r>
      <w:r w:rsidR="00CE2AE7" w:rsidRPr="001518CE">
        <w:rPr>
          <w:rFonts w:cstheme="minorHAnsi"/>
          <w:lang w:eastAsia="en-AU"/>
        </w:rPr>
        <w:t>influencing policy development on</w:t>
      </w:r>
      <w:r w:rsidR="005B08A3" w:rsidRPr="001518CE">
        <w:rPr>
          <w:rFonts w:cstheme="minorHAnsi"/>
          <w:lang w:eastAsia="en-AU"/>
        </w:rPr>
        <w:t xml:space="preserve"> social issues </w:t>
      </w:r>
      <w:r w:rsidR="00CE2AE7" w:rsidRPr="001518CE">
        <w:rPr>
          <w:rFonts w:cstheme="minorHAnsi"/>
          <w:lang w:eastAsia="en-AU"/>
        </w:rPr>
        <w:t>vs</w:t>
      </w:r>
      <w:r w:rsidR="005B08A3" w:rsidRPr="001518CE">
        <w:rPr>
          <w:rFonts w:cstheme="minorHAnsi"/>
          <w:lang w:eastAsia="en-AU"/>
        </w:rPr>
        <w:t xml:space="preserve"> corporate capture. The Center for Constitutional Rights defines corporate capture as a </w:t>
      </w:r>
      <w:r w:rsidR="00D751E7" w:rsidRPr="001518CE">
        <w:rPr>
          <w:rFonts w:cstheme="minorHAnsi"/>
          <w:lang w:eastAsia="en-AU"/>
        </w:rPr>
        <w:t>“</w:t>
      </w:r>
      <w:r w:rsidR="00D751E7" w:rsidRPr="001518CE">
        <w:rPr>
          <w:rFonts w:cstheme="minorHAnsi"/>
          <w:color w:val="202124"/>
          <w:shd w:val="clear" w:color="auto" w:fill="FFFFFF"/>
        </w:rPr>
        <w:t xml:space="preserve">phenomenon where private industry uses its political influence to take </w:t>
      </w:r>
      <w:r w:rsidR="00D751E7" w:rsidRPr="00E50DA7">
        <w:rPr>
          <w:rFonts w:cstheme="minorHAnsi"/>
          <w:i/>
          <w:iCs/>
          <w:color w:val="202124"/>
          <w:shd w:val="clear" w:color="auto" w:fill="FFFFFF"/>
        </w:rPr>
        <w:t>control</w:t>
      </w:r>
      <w:r w:rsidR="00D751E7" w:rsidRPr="001518CE">
        <w:rPr>
          <w:rFonts w:cstheme="minorHAnsi"/>
          <w:color w:val="202124"/>
          <w:shd w:val="clear" w:color="auto" w:fill="FFFFFF"/>
        </w:rPr>
        <w:t xml:space="preserve"> of the decision-making apparatus of the state, such as regulatory agencies, law enforcement entities, and legislatures.” The key issue</w:t>
      </w:r>
      <w:r w:rsidR="00E50DA7">
        <w:rPr>
          <w:rFonts w:cstheme="minorHAnsi"/>
          <w:color w:val="202124"/>
          <w:shd w:val="clear" w:color="auto" w:fill="FFFFFF"/>
        </w:rPr>
        <w:t xml:space="preserve"> here in distinguishing influence from corporate capture is </w:t>
      </w:r>
      <w:r w:rsidR="007400CD" w:rsidRPr="001518CE">
        <w:rPr>
          <w:rFonts w:cstheme="minorHAnsi"/>
          <w:color w:val="202124"/>
          <w:shd w:val="clear" w:color="auto" w:fill="FFFFFF"/>
        </w:rPr>
        <w:t>determining what constitutes</w:t>
      </w:r>
      <w:r w:rsidR="00D751E7" w:rsidRPr="001518CE">
        <w:rPr>
          <w:rFonts w:cstheme="minorHAnsi"/>
          <w:color w:val="202124"/>
          <w:shd w:val="clear" w:color="auto" w:fill="FFFFFF"/>
        </w:rPr>
        <w:t xml:space="preserve"> ‘control’</w:t>
      </w:r>
      <w:r w:rsidR="00E50DA7">
        <w:rPr>
          <w:rFonts w:cstheme="minorHAnsi"/>
          <w:color w:val="202124"/>
          <w:shd w:val="clear" w:color="auto" w:fill="FFFFFF"/>
        </w:rPr>
        <w:t xml:space="preserve"> and having sufficient information to make that assessment.</w:t>
      </w:r>
      <w:r w:rsidR="007400CD" w:rsidRPr="001518CE">
        <w:rPr>
          <w:rFonts w:cstheme="minorHAnsi"/>
          <w:color w:val="202124"/>
          <w:shd w:val="clear" w:color="auto" w:fill="FFFFFF"/>
        </w:rPr>
        <w:t xml:space="preserve"> Mandating human rights due diligence (HRDD) which could increase the</w:t>
      </w:r>
      <w:r w:rsidR="00D751E7" w:rsidRPr="001518CE">
        <w:rPr>
          <w:rFonts w:cstheme="minorHAnsi"/>
          <w:color w:val="202124"/>
          <w:shd w:val="clear" w:color="auto" w:fill="FFFFFF"/>
        </w:rPr>
        <w:t xml:space="preserve"> transparency around </w:t>
      </w:r>
      <w:r w:rsidR="007400CD" w:rsidRPr="001518CE">
        <w:rPr>
          <w:rFonts w:cstheme="minorHAnsi"/>
          <w:color w:val="202124"/>
          <w:shd w:val="clear" w:color="auto" w:fill="FFFFFF"/>
        </w:rPr>
        <w:t>such interventions may be a useful mechanism to address this issue.</w:t>
      </w:r>
    </w:p>
    <w:p w14:paraId="00388B8E" w14:textId="77777777" w:rsidR="007400CD" w:rsidRPr="001518CE" w:rsidRDefault="007400CD" w:rsidP="006459C1">
      <w:pPr>
        <w:spacing w:after="0" w:line="240" w:lineRule="auto"/>
        <w:jc w:val="both"/>
        <w:rPr>
          <w:rFonts w:cstheme="minorHAnsi"/>
          <w:lang w:eastAsia="en-AU"/>
        </w:rPr>
      </w:pPr>
    </w:p>
    <w:p w14:paraId="40A214F6" w14:textId="0DE19274" w:rsidR="00FB4A46" w:rsidRPr="001518CE" w:rsidRDefault="0003742F" w:rsidP="006459C1">
      <w:pPr>
        <w:spacing w:after="0" w:line="240" w:lineRule="auto"/>
        <w:jc w:val="both"/>
        <w:rPr>
          <w:rFonts w:cstheme="minorHAnsi"/>
        </w:rPr>
      </w:pPr>
      <w:r w:rsidRPr="001518CE">
        <w:rPr>
          <w:rFonts w:cstheme="minorHAnsi"/>
          <w:lang w:eastAsia="en-AU"/>
        </w:rPr>
        <w:t xml:space="preserve">Today, big business is acutely aware of its potential in shaping social policy, which can be used to enhance its brand. </w:t>
      </w:r>
      <w:r w:rsidR="00CE2AE7" w:rsidRPr="001518CE">
        <w:rPr>
          <w:rFonts w:cstheme="minorHAnsi"/>
        </w:rPr>
        <w:t xml:space="preserve">Tying social issues and actions to brand reputation has long been a critical strategy in co-opting a corporate response. </w:t>
      </w:r>
      <w:r w:rsidRPr="001518CE">
        <w:rPr>
          <w:rFonts w:cstheme="minorHAnsi"/>
        </w:rPr>
        <w:t>The 20</w:t>
      </w:r>
      <w:r w:rsidR="00BB47EF" w:rsidRPr="001518CE">
        <w:rPr>
          <w:rFonts w:cstheme="minorHAnsi"/>
        </w:rPr>
        <w:t>21</w:t>
      </w:r>
      <w:r w:rsidRPr="001518CE">
        <w:rPr>
          <w:rFonts w:cstheme="minorHAnsi"/>
        </w:rPr>
        <w:t xml:space="preserve"> Edelman Trust Barometer supports this by noting that </w:t>
      </w:r>
      <w:r w:rsidR="00BB47EF" w:rsidRPr="001518CE">
        <w:rPr>
          <w:rFonts w:cstheme="minorHAnsi"/>
        </w:rPr>
        <w:t>71</w:t>
      </w:r>
      <w:r w:rsidRPr="001518CE">
        <w:rPr>
          <w:rFonts w:cstheme="minorHAnsi"/>
        </w:rPr>
        <w:t xml:space="preserve"> per cent of employees surveyed expected that employers would join them in taking action on societal issues.</w:t>
      </w:r>
      <w:r w:rsidRPr="001518CE">
        <w:rPr>
          <w:rStyle w:val="Notereference"/>
          <w:rFonts w:asciiTheme="minorHAnsi" w:hAnsiTheme="minorHAnsi" w:cstheme="minorHAnsi"/>
          <w:color w:val="auto"/>
          <w:sz w:val="22"/>
        </w:rPr>
        <w:footnoteReference w:id="2"/>
      </w:r>
      <w:r w:rsidRPr="001518CE">
        <w:rPr>
          <w:rFonts w:cstheme="minorHAnsi"/>
        </w:rPr>
        <w:t xml:space="preserve"> </w:t>
      </w:r>
      <w:r w:rsidR="0030235A" w:rsidRPr="001518CE">
        <w:rPr>
          <w:rFonts w:cstheme="minorHAnsi"/>
        </w:rPr>
        <w:t xml:space="preserve"> </w:t>
      </w:r>
    </w:p>
    <w:p w14:paraId="21BC16C7" w14:textId="7B13439B" w:rsidR="00FB4A46" w:rsidRPr="001518CE" w:rsidRDefault="00FB4A46" w:rsidP="006459C1">
      <w:pPr>
        <w:spacing w:after="0" w:line="240" w:lineRule="auto"/>
        <w:jc w:val="both"/>
        <w:rPr>
          <w:rFonts w:cstheme="minorHAnsi"/>
        </w:rPr>
      </w:pPr>
    </w:p>
    <w:p w14:paraId="2B04092E" w14:textId="0868BF0B" w:rsidR="0081322A" w:rsidRPr="001518CE" w:rsidRDefault="00531331" w:rsidP="006459C1">
      <w:pPr>
        <w:spacing w:after="0" w:line="240" w:lineRule="auto"/>
        <w:jc w:val="both"/>
        <w:rPr>
          <w:rFonts w:cstheme="minorHAnsi"/>
        </w:rPr>
      </w:pPr>
      <w:r w:rsidRPr="001518CE">
        <w:rPr>
          <w:rFonts w:cstheme="minorHAnsi"/>
        </w:rPr>
        <w:t>For</w:t>
      </w:r>
      <w:r w:rsidR="00FB4A46" w:rsidRPr="001518CE">
        <w:rPr>
          <w:rFonts w:cstheme="minorHAnsi"/>
        </w:rPr>
        <w:t xml:space="preserve"> example</w:t>
      </w:r>
      <w:r w:rsidRPr="001518CE">
        <w:rPr>
          <w:rFonts w:cstheme="minorHAnsi"/>
        </w:rPr>
        <w:t>,</w:t>
      </w:r>
      <w:r w:rsidR="00FB4A46" w:rsidRPr="001518CE">
        <w:rPr>
          <w:rFonts w:cstheme="minorHAnsi"/>
        </w:rPr>
        <w:t xml:space="preserve"> </w:t>
      </w:r>
      <w:r w:rsidRPr="001518CE">
        <w:rPr>
          <w:rFonts w:cstheme="minorHAnsi"/>
        </w:rPr>
        <w:t>s</w:t>
      </w:r>
      <w:r w:rsidR="000E3FF5" w:rsidRPr="001518CE">
        <w:rPr>
          <w:rFonts w:cstheme="minorHAnsi"/>
        </w:rPr>
        <w:t>ome</w:t>
      </w:r>
      <w:r w:rsidR="0081322A" w:rsidRPr="001518CE">
        <w:rPr>
          <w:rFonts w:cstheme="minorHAnsi"/>
        </w:rPr>
        <w:t xml:space="preserve"> companies have adopted public stances on contemporary social and political issues. Well-known brands - including Nike, Pepsi and Apple</w:t>
      </w:r>
      <w:r w:rsidR="0081322A" w:rsidRPr="001518CE">
        <w:rPr>
          <w:rStyle w:val="FootnoteReference"/>
          <w:rFonts w:cstheme="minorHAnsi"/>
        </w:rPr>
        <w:footnoteReference w:id="3"/>
      </w:r>
      <w:r w:rsidR="0081322A" w:rsidRPr="001518CE">
        <w:rPr>
          <w:rFonts w:cstheme="minorHAnsi"/>
        </w:rPr>
        <w:t>- have spoken up in support of the Black Lives Matter (BLM) movement in 2020 aligning their brand with the movement against racial injustice. However, at the same time, such public stances have also been put under the microscope to examine how much of this interest in supporting or changing public policy is substantive or merely cosmetic and brand aligned. While companies have been quick to support BLM, they have not shown the same enthusiasm for addressing diversity deficits in their boardroom or in senior management.</w:t>
      </w:r>
      <w:r w:rsidR="0081322A" w:rsidRPr="001518CE">
        <w:rPr>
          <w:rStyle w:val="FootnoteReference"/>
          <w:rFonts w:cstheme="minorHAnsi"/>
        </w:rPr>
        <w:footnoteReference w:id="4"/>
      </w:r>
      <w:r w:rsidR="0081322A" w:rsidRPr="001518CE">
        <w:rPr>
          <w:rFonts w:cstheme="minorHAnsi"/>
        </w:rPr>
        <w:t xml:space="preserve"> Logically, business is most likely to take a public stance on social issues when it has a connection with its brand, but how this translates into substantive action – whether external or internal – is a more difficult question. </w:t>
      </w:r>
    </w:p>
    <w:p w14:paraId="4F109A66" w14:textId="77777777" w:rsidR="008937F7" w:rsidRPr="001518CE" w:rsidRDefault="008937F7" w:rsidP="006459C1">
      <w:pPr>
        <w:pStyle w:val="NormalWeb"/>
        <w:shd w:val="clear" w:color="auto" w:fill="FFFFFF"/>
        <w:spacing w:before="0" w:beforeAutospacing="0" w:after="0" w:afterAutospacing="0"/>
        <w:contextualSpacing/>
        <w:jc w:val="both"/>
        <w:rPr>
          <w:rFonts w:asciiTheme="minorHAnsi" w:hAnsiTheme="minorHAnsi" w:cstheme="minorHAnsi"/>
          <w:sz w:val="22"/>
          <w:szCs w:val="22"/>
        </w:rPr>
      </w:pPr>
    </w:p>
    <w:p w14:paraId="777D7383" w14:textId="77777777" w:rsidR="005D0D9A" w:rsidRPr="001518CE" w:rsidRDefault="0081322A" w:rsidP="006459C1">
      <w:pPr>
        <w:pStyle w:val="NormalWeb"/>
        <w:shd w:val="clear" w:color="auto" w:fill="FFFFFF"/>
        <w:spacing w:before="0" w:beforeAutospacing="0" w:after="0" w:afterAutospacing="0"/>
        <w:contextualSpacing/>
        <w:jc w:val="both"/>
        <w:rPr>
          <w:rFonts w:asciiTheme="minorHAnsi" w:hAnsiTheme="minorHAnsi" w:cstheme="minorHAnsi"/>
          <w:sz w:val="22"/>
          <w:szCs w:val="22"/>
        </w:rPr>
      </w:pPr>
      <w:r w:rsidRPr="001518CE">
        <w:rPr>
          <w:rFonts w:asciiTheme="minorHAnsi" w:hAnsiTheme="minorHAnsi" w:cstheme="minorHAnsi"/>
          <w:sz w:val="22"/>
          <w:szCs w:val="22"/>
        </w:rPr>
        <w:t xml:space="preserve">Companies have a history of working both publicly and quietly to address public policies. In 2017, when the Trump administration announced it would be acting on immigration by rescinding the </w:t>
      </w:r>
      <w:r w:rsidRPr="001518CE">
        <w:rPr>
          <w:rFonts w:asciiTheme="minorHAnsi" w:hAnsiTheme="minorHAnsi" w:cstheme="minorHAnsi"/>
          <w:sz w:val="22"/>
          <w:szCs w:val="22"/>
        </w:rPr>
        <w:lastRenderedPageBreak/>
        <w:t>Deferred Action on Childhood Arrivals Program (DACA) in the United States, companies such as Microsoft, Facebook and Google spoke out.</w:t>
      </w:r>
      <w:r w:rsidRPr="001518CE">
        <w:rPr>
          <w:rStyle w:val="FootnoteReference"/>
          <w:rFonts w:asciiTheme="minorHAnsi" w:hAnsiTheme="minorHAnsi" w:cstheme="minorHAnsi"/>
          <w:sz w:val="22"/>
          <w:szCs w:val="22"/>
        </w:rPr>
        <w:footnoteReference w:id="5"/>
      </w:r>
      <w:r w:rsidRPr="001518CE">
        <w:rPr>
          <w:rFonts w:asciiTheme="minorHAnsi" w:hAnsiTheme="minorHAnsi" w:cstheme="minorHAnsi"/>
          <w:sz w:val="22"/>
          <w:szCs w:val="22"/>
        </w:rPr>
        <w:t xml:space="preserve"> </w:t>
      </w:r>
    </w:p>
    <w:p w14:paraId="0B409AD6" w14:textId="77777777" w:rsidR="005D0D9A" w:rsidRPr="001518CE" w:rsidRDefault="005D0D9A" w:rsidP="006459C1">
      <w:pPr>
        <w:pStyle w:val="NormalWeb"/>
        <w:shd w:val="clear" w:color="auto" w:fill="FFFFFF"/>
        <w:spacing w:before="0" w:beforeAutospacing="0" w:after="0" w:afterAutospacing="0"/>
        <w:contextualSpacing/>
        <w:jc w:val="both"/>
        <w:rPr>
          <w:rFonts w:asciiTheme="minorHAnsi" w:hAnsiTheme="minorHAnsi" w:cstheme="minorHAnsi"/>
          <w:sz w:val="22"/>
          <w:szCs w:val="22"/>
        </w:rPr>
      </w:pPr>
    </w:p>
    <w:p w14:paraId="54E0EB0C" w14:textId="22C56F03" w:rsidR="0081322A" w:rsidRPr="001518CE" w:rsidRDefault="0081322A" w:rsidP="006459C1">
      <w:pPr>
        <w:pStyle w:val="NormalWeb"/>
        <w:shd w:val="clear" w:color="auto" w:fill="FFFFFF"/>
        <w:spacing w:before="0" w:beforeAutospacing="0" w:after="0" w:afterAutospacing="0"/>
        <w:contextualSpacing/>
        <w:jc w:val="both"/>
        <w:rPr>
          <w:rFonts w:asciiTheme="minorHAnsi" w:hAnsiTheme="minorHAnsi" w:cstheme="minorHAnsi"/>
          <w:sz w:val="22"/>
          <w:szCs w:val="22"/>
        </w:rPr>
      </w:pPr>
      <w:r w:rsidRPr="001518CE">
        <w:rPr>
          <w:rFonts w:asciiTheme="minorHAnsi" w:hAnsiTheme="minorHAnsi" w:cstheme="minorHAnsi"/>
          <w:sz w:val="22"/>
          <w:szCs w:val="22"/>
        </w:rPr>
        <w:t>However, for every example where companies have adopted progressive pro-rights public policy stances, there are numerous negative examples. The story of US telecommunications company, ITT’s involvement in the 1970 election of Chile’s Socialist Party candidate Salvador Allende, is often used as such an example.</w:t>
      </w:r>
      <w:r w:rsidRPr="001518CE">
        <w:rPr>
          <w:rStyle w:val="FootnoteReference"/>
          <w:rFonts w:asciiTheme="minorHAnsi" w:hAnsiTheme="minorHAnsi" w:cstheme="minorHAnsi"/>
          <w:sz w:val="22"/>
          <w:szCs w:val="22"/>
        </w:rPr>
        <w:footnoteReference w:id="6"/>
      </w:r>
      <w:r w:rsidRPr="001518CE">
        <w:rPr>
          <w:rFonts w:asciiTheme="minorHAnsi" w:hAnsiTheme="minorHAnsi" w:cstheme="minorHAnsi"/>
          <w:sz w:val="22"/>
          <w:szCs w:val="22"/>
        </w:rPr>
        <w:t xml:space="preserve"> More recently, social media has come under the spotlight in adversely influencing elections</w:t>
      </w:r>
      <w:r w:rsidRPr="001518CE">
        <w:rPr>
          <w:rStyle w:val="FootnoteReference"/>
          <w:rFonts w:asciiTheme="minorHAnsi" w:hAnsiTheme="minorHAnsi" w:cstheme="minorHAnsi"/>
          <w:sz w:val="22"/>
          <w:szCs w:val="22"/>
        </w:rPr>
        <w:footnoteReference w:id="7"/>
      </w:r>
      <w:r w:rsidRPr="001518CE">
        <w:rPr>
          <w:rFonts w:asciiTheme="minorHAnsi" w:hAnsiTheme="minorHAnsi" w:cstheme="minorHAnsi"/>
          <w:sz w:val="22"/>
          <w:szCs w:val="22"/>
        </w:rPr>
        <w:t xml:space="preserve"> and inciting genocide</w:t>
      </w:r>
      <w:r w:rsidRPr="001518CE">
        <w:rPr>
          <w:rStyle w:val="FootnoteReference"/>
          <w:rFonts w:asciiTheme="minorHAnsi" w:hAnsiTheme="minorHAnsi" w:cstheme="minorHAnsi"/>
          <w:sz w:val="22"/>
          <w:szCs w:val="22"/>
        </w:rPr>
        <w:footnoteReference w:id="8"/>
      </w:r>
      <w:r w:rsidRPr="001518CE">
        <w:rPr>
          <w:rFonts w:asciiTheme="minorHAnsi" w:hAnsiTheme="minorHAnsi" w:cstheme="minorHAnsi"/>
          <w:sz w:val="22"/>
          <w:szCs w:val="22"/>
        </w:rPr>
        <w:t xml:space="preserve"> where companies have been accused of responding slowly and ineffectively. Tales of corporate capture are plentiful from issues as diverse as climate change</w:t>
      </w:r>
      <w:r w:rsidRPr="001518CE">
        <w:rPr>
          <w:rStyle w:val="FootnoteReference"/>
          <w:rFonts w:asciiTheme="minorHAnsi" w:hAnsiTheme="minorHAnsi" w:cstheme="minorHAnsi"/>
          <w:sz w:val="22"/>
          <w:szCs w:val="22"/>
        </w:rPr>
        <w:footnoteReference w:id="9"/>
      </w:r>
      <w:r w:rsidRPr="001518CE">
        <w:rPr>
          <w:rFonts w:asciiTheme="minorHAnsi" w:hAnsiTheme="minorHAnsi" w:cstheme="minorHAnsi"/>
          <w:sz w:val="22"/>
          <w:szCs w:val="22"/>
        </w:rPr>
        <w:t xml:space="preserve"> to food manufacturing</w:t>
      </w:r>
      <w:r w:rsidRPr="001518CE">
        <w:rPr>
          <w:rStyle w:val="FootnoteReference"/>
          <w:rFonts w:asciiTheme="minorHAnsi" w:hAnsiTheme="minorHAnsi" w:cstheme="minorHAnsi"/>
          <w:sz w:val="22"/>
          <w:szCs w:val="22"/>
        </w:rPr>
        <w:footnoteReference w:id="10"/>
      </w:r>
      <w:r w:rsidRPr="001518CE">
        <w:rPr>
          <w:rFonts w:asciiTheme="minorHAnsi" w:hAnsiTheme="minorHAnsi" w:cstheme="minorHAnsi"/>
          <w:sz w:val="22"/>
          <w:szCs w:val="22"/>
        </w:rPr>
        <w:t xml:space="preserve"> to shaping child consumers.</w:t>
      </w:r>
      <w:r w:rsidRPr="001518CE">
        <w:rPr>
          <w:rStyle w:val="FootnoteReference"/>
          <w:rFonts w:asciiTheme="minorHAnsi" w:hAnsiTheme="minorHAnsi" w:cstheme="minorHAnsi"/>
          <w:sz w:val="22"/>
          <w:szCs w:val="22"/>
        </w:rPr>
        <w:footnoteReference w:id="11"/>
      </w:r>
      <w:r w:rsidRPr="001518CE">
        <w:rPr>
          <w:rFonts w:asciiTheme="minorHAnsi" w:hAnsiTheme="minorHAnsi" w:cstheme="minorHAnsi"/>
          <w:sz w:val="22"/>
          <w:szCs w:val="22"/>
        </w:rPr>
        <w:t xml:space="preserve"> </w:t>
      </w:r>
    </w:p>
    <w:p w14:paraId="2BE4C013" w14:textId="01A9579F" w:rsidR="0030235A" w:rsidRPr="001518CE" w:rsidRDefault="0030235A" w:rsidP="006459C1">
      <w:pPr>
        <w:tabs>
          <w:tab w:val="num" w:pos="720"/>
        </w:tabs>
        <w:spacing w:after="0" w:line="240" w:lineRule="auto"/>
        <w:rPr>
          <w:rFonts w:cstheme="minorHAnsi"/>
          <w:lang w:val="en-US"/>
        </w:rPr>
      </w:pPr>
    </w:p>
    <w:p w14:paraId="455D9051" w14:textId="77777777" w:rsidR="004271E7" w:rsidRDefault="00B62DFE" w:rsidP="004271E7">
      <w:pPr>
        <w:pStyle w:val="Heading1"/>
        <w:spacing w:after="0" w:line="240" w:lineRule="auto"/>
        <w:rPr>
          <w:rFonts w:asciiTheme="minorHAnsi" w:hAnsiTheme="minorHAnsi" w:cstheme="minorHAnsi"/>
          <w:color w:val="000000" w:themeColor="text1"/>
          <w:szCs w:val="28"/>
          <w:lang w:val="en-GB"/>
        </w:rPr>
      </w:pPr>
      <w:r w:rsidRPr="00C00486">
        <w:rPr>
          <w:rFonts w:asciiTheme="minorHAnsi" w:hAnsiTheme="minorHAnsi" w:cstheme="minorHAnsi"/>
          <w:color w:val="000000" w:themeColor="text1"/>
          <w:szCs w:val="28"/>
          <w:lang w:val="en-GB"/>
        </w:rPr>
        <w:t>Can human rights due diligence be effective in addressing this issue?</w:t>
      </w:r>
    </w:p>
    <w:p w14:paraId="6DC23DDA" w14:textId="77777777" w:rsidR="004271E7" w:rsidRDefault="0030235A" w:rsidP="004271E7">
      <w:pPr>
        <w:pStyle w:val="Heading1"/>
        <w:spacing w:after="0" w:line="240" w:lineRule="auto"/>
        <w:rPr>
          <w:rFonts w:asciiTheme="minorHAnsi" w:hAnsiTheme="minorHAnsi" w:cstheme="minorHAnsi"/>
          <w:b w:val="0"/>
          <w:bCs w:val="0"/>
          <w:color w:val="auto"/>
          <w:sz w:val="22"/>
          <w:szCs w:val="22"/>
        </w:rPr>
      </w:pPr>
      <w:r w:rsidRPr="001518CE">
        <w:rPr>
          <w:rFonts w:asciiTheme="minorHAnsi" w:hAnsiTheme="minorHAnsi" w:cstheme="minorHAnsi"/>
          <w:b w:val="0"/>
          <w:color w:val="000000" w:themeColor="text1"/>
          <w:sz w:val="22"/>
          <w:szCs w:val="22"/>
          <w:shd w:val="clear" w:color="auto" w:fill="FFFFFF"/>
        </w:rPr>
        <w:t xml:space="preserve">In considering how best to </w:t>
      </w:r>
      <w:r w:rsidR="00824A50" w:rsidRPr="001518CE">
        <w:rPr>
          <w:rFonts w:asciiTheme="minorHAnsi" w:hAnsiTheme="minorHAnsi" w:cstheme="minorHAnsi"/>
          <w:b w:val="0"/>
          <w:bCs w:val="0"/>
          <w:color w:val="000000" w:themeColor="text1"/>
          <w:sz w:val="22"/>
          <w:szCs w:val="22"/>
          <w:shd w:val="clear" w:color="auto" w:fill="FFFFFF"/>
        </w:rPr>
        <w:t xml:space="preserve">prevent or mitigate corporate capture impacting the development of social policies, human rights due diligence (HRDD) has a role to play. </w:t>
      </w:r>
      <w:r w:rsidR="002648E7" w:rsidRPr="004271E7">
        <w:rPr>
          <w:rFonts w:asciiTheme="minorHAnsi" w:hAnsiTheme="minorHAnsi" w:cstheme="minorHAnsi"/>
          <w:b w:val="0"/>
          <w:bCs w:val="0"/>
          <w:color w:val="auto"/>
          <w:sz w:val="22"/>
          <w:szCs w:val="22"/>
        </w:rPr>
        <w:t xml:space="preserve">HRDD was crafted in the UN Guiding Principles on Business and Human Rights (UNGPs) as </w:t>
      </w:r>
      <w:bookmarkStart w:id="1" w:name="_Hlk80793827"/>
      <w:r w:rsidR="002648E7" w:rsidRPr="004271E7">
        <w:rPr>
          <w:rFonts w:asciiTheme="minorHAnsi" w:hAnsiTheme="minorHAnsi" w:cstheme="minorHAnsi"/>
          <w:b w:val="0"/>
          <w:bCs w:val="0"/>
          <w:color w:val="auto"/>
          <w:sz w:val="22"/>
          <w:szCs w:val="22"/>
        </w:rPr>
        <w:t>the method by which businesses are to prevent adverse human rights impacts and also for business to mitigate, and where relevant, to remediate these impacts</w:t>
      </w:r>
      <w:bookmarkEnd w:id="1"/>
      <w:r w:rsidR="002648E7" w:rsidRPr="004271E7">
        <w:rPr>
          <w:rFonts w:asciiTheme="minorHAnsi" w:hAnsiTheme="minorHAnsi" w:cstheme="minorHAnsi"/>
          <w:b w:val="0"/>
          <w:bCs w:val="0"/>
          <w:color w:val="auto"/>
          <w:sz w:val="22"/>
          <w:szCs w:val="22"/>
        </w:rPr>
        <w:t xml:space="preserve">, however for HRDD to be effective there </w:t>
      </w:r>
      <w:r w:rsidR="00807BCF" w:rsidRPr="004271E7">
        <w:rPr>
          <w:rFonts w:asciiTheme="minorHAnsi" w:hAnsiTheme="minorHAnsi" w:cstheme="minorHAnsi"/>
          <w:b w:val="0"/>
          <w:bCs w:val="0"/>
          <w:color w:val="auto"/>
          <w:sz w:val="22"/>
          <w:szCs w:val="22"/>
        </w:rPr>
        <w:t>must</w:t>
      </w:r>
      <w:r w:rsidR="002648E7" w:rsidRPr="004271E7">
        <w:rPr>
          <w:rFonts w:asciiTheme="minorHAnsi" w:hAnsiTheme="minorHAnsi" w:cstheme="minorHAnsi"/>
          <w:b w:val="0"/>
          <w:bCs w:val="0"/>
          <w:color w:val="auto"/>
          <w:sz w:val="22"/>
          <w:szCs w:val="22"/>
        </w:rPr>
        <w:t xml:space="preserve"> also </w:t>
      </w:r>
      <w:r w:rsidR="00807BCF" w:rsidRPr="004271E7">
        <w:rPr>
          <w:rFonts w:asciiTheme="minorHAnsi" w:hAnsiTheme="minorHAnsi" w:cstheme="minorHAnsi"/>
          <w:b w:val="0"/>
          <w:bCs w:val="0"/>
          <w:color w:val="auto"/>
          <w:sz w:val="22"/>
          <w:szCs w:val="22"/>
        </w:rPr>
        <w:t xml:space="preserve">be </w:t>
      </w:r>
      <w:r w:rsidR="002648E7" w:rsidRPr="004271E7">
        <w:rPr>
          <w:rFonts w:asciiTheme="minorHAnsi" w:hAnsiTheme="minorHAnsi" w:cstheme="minorHAnsi"/>
          <w:b w:val="0"/>
          <w:bCs w:val="0"/>
          <w:color w:val="auto"/>
          <w:sz w:val="22"/>
          <w:szCs w:val="22"/>
        </w:rPr>
        <w:t>a clear role for the stat</w:t>
      </w:r>
      <w:r w:rsidR="00993A8B" w:rsidRPr="004271E7">
        <w:rPr>
          <w:rFonts w:asciiTheme="minorHAnsi" w:hAnsiTheme="minorHAnsi" w:cstheme="minorHAnsi"/>
          <w:b w:val="0"/>
          <w:bCs w:val="0"/>
          <w:color w:val="auto"/>
          <w:sz w:val="22"/>
          <w:szCs w:val="22"/>
        </w:rPr>
        <w:t>e.</w:t>
      </w:r>
    </w:p>
    <w:p w14:paraId="58F6865B" w14:textId="77777777" w:rsidR="004271E7" w:rsidRDefault="004271E7" w:rsidP="004271E7">
      <w:pPr>
        <w:pStyle w:val="Heading1"/>
        <w:spacing w:after="0" w:line="240" w:lineRule="auto"/>
        <w:rPr>
          <w:rFonts w:asciiTheme="minorHAnsi" w:hAnsiTheme="minorHAnsi" w:cstheme="minorHAnsi"/>
          <w:b w:val="0"/>
          <w:bCs w:val="0"/>
          <w:color w:val="auto"/>
          <w:sz w:val="22"/>
          <w:szCs w:val="22"/>
        </w:rPr>
      </w:pPr>
    </w:p>
    <w:p w14:paraId="56FE7617" w14:textId="4FCBCFFA" w:rsidR="00824A50" w:rsidRPr="004271E7" w:rsidRDefault="00993A8B" w:rsidP="004271E7">
      <w:pPr>
        <w:pStyle w:val="Heading1"/>
        <w:spacing w:after="0" w:line="240" w:lineRule="auto"/>
        <w:rPr>
          <w:rFonts w:asciiTheme="minorHAnsi" w:hAnsiTheme="minorHAnsi" w:cstheme="minorHAnsi"/>
          <w:b w:val="0"/>
          <w:bCs w:val="0"/>
          <w:color w:val="auto"/>
          <w:sz w:val="22"/>
          <w:szCs w:val="22"/>
        </w:rPr>
      </w:pPr>
      <w:r w:rsidRPr="004271E7">
        <w:rPr>
          <w:rFonts w:asciiTheme="minorHAnsi" w:hAnsiTheme="minorHAnsi" w:cstheme="minorHAnsi"/>
          <w:b w:val="0"/>
          <w:bCs w:val="0"/>
          <w:color w:val="auto"/>
          <w:sz w:val="22"/>
          <w:szCs w:val="22"/>
        </w:rPr>
        <w:t xml:space="preserve">While </w:t>
      </w:r>
      <w:r w:rsidR="007D03A4" w:rsidRPr="004271E7">
        <w:rPr>
          <w:rFonts w:asciiTheme="minorHAnsi" w:eastAsia="Georgia" w:hAnsiTheme="minorHAnsi" w:cstheme="minorHAnsi"/>
          <w:b w:val="0"/>
          <w:bCs w:val="0"/>
          <w:color w:val="auto"/>
          <w:sz w:val="22"/>
          <w:szCs w:val="22"/>
        </w:rPr>
        <w:t xml:space="preserve">there is </w:t>
      </w:r>
      <w:r w:rsidR="004271E7" w:rsidRPr="004271E7">
        <w:rPr>
          <w:rFonts w:asciiTheme="minorHAnsi" w:eastAsia="Georgia" w:hAnsiTheme="minorHAnsi" w:cstheme="minorHAnsi"/>
          <w:b w:val="0"/>
          <w:bCs w:val="0"/>
          <w:color w:val="auto"/>
          <w:sz w:val="22"/>
          <w:szCs w:val="22"/>
        </w:rPr>
        <w:t xml:space="preserve">currently </w:t>
      </w:r>
      <w:r w:rsidR="007D03A4" w:rsidRPr="004271E7">
        <w:rPr>
          <w:rFonts w:asciiTheme="minorHAnsi" w:eastAsia="Georgia" w:hAnsiTheme="minorHAnsi" w:cstheme="minorHAnsi"/>
          <w:b w:val="0"/>
          <w:bCs w:val="0"/>
          <w:color w:val="auto"/>
          <w:sz w:val="22"/>
          <w:szCs w:val="22"/>
        </w:rPr>
        <w:t>a strong momentum towards more national and regional legislation on mandatory HRDD, at least within parts of the Global North,</w:t>
      </w:r>
      <w:r w:rsidR="007D03A4" w:rsidRPr="004271E7">
        <w:rPr>
          <w:rStyle w:val="FootnoteReference"/>
          <w:rFonts w:asciiTheme="minorHAnsi" w:eastAsia="Georgia" w:hAnsiTheme="minorHAnsi" w:cstheme="minorHAnsi"/>
          <w:b w:val="0"/>
          <w:bCs w:val="0"/>
          <w:color w:val="auto"/>
          <w:sz w:val="22"/>
          <w:szCs w:val="22"/>
        </w:rPr>
        <w:footnoteReference w:id="12"/>
      </w:r>
      <w:r w:rsidR="000842CD" w:rsidRPr="004271E7">
        <w:rPr>
          <w:rFonts w:asciiTheme="minorHAnsi" w:eastAsia="Georgia" w:hAnsiTheme="minorHAnsi" w:cstheme="minorHAnsi"/>
          <w:b w:val="0"/>
          <w:bCs w:val="0"/>
          <w:color w:val="auto"/>
          <w:sz w:val="22"/>
          <w:szCs w:val="22"/>
        </w:rPr>
        <w:t xml:space="preserve"> at the moment, these initiatives are </w:t>
      </w:r>
      <w:r w:rsidR="000842CD" w:rsidRPr="004271E7">
        <w:rPr>
          <w:rFonts w:asciiTheme="minorHAnsi" w:eastAsia="Georgia" w:hAnsiTheme="minorHAnsi" w:cstheme="minorHAnsi"/>
          <w:b w:val="0"/>
          <w:bCs w:val="0"/>
          <w:color w:val="auto"/>
          <w:sz w:val="22"/>
          <w:szCs w:val="22"/>
        </w:rPr>
        <w:lastRenderedPageBreak/>
        <w:t>somewhat piecemeal in terms of the scope of human rights, businesses covered, the nature of the HRDD duties and in consequences.</w:t>
      </w:r>
      <w:r w:rsidR="00E61F14" w:rsidRPr="004271E7">
        <w:rPr>
          <w:rFonts w:asciiTheme="minorHAnsi" w:eastAsia="Georgia" w:hAnsiTheme="minorHAnsi" w:cstheme="minorHAnsi"/>
          <w:b w:val="0"/>
          <w:bCs w:val="0"/>
          <w:color w:val="auto"/>
          <w:sz w:val="22"/>
          <w:szCs w:val="22"/>
        </w:rPr>
        <w:t xml:space="preserve"> For HRDD to be effective in addressing corporate capture we suggest attention should be focused on the following three issues.</w:t>
      </w:r>
    </w:p>
    <w:p w14:paraId="04E15579" w14:textId="77777777" w:rsidR="00FD7274" w:rsidRPr="001518CE" w:rsidRDefault="00FD7274" w:rsidP="00FD7274">
      <w:pPr>
        <w:pStyle w:val="subsection"/>
        <w:rPr>
          <w:rFonts w:asciiTheme="minorHAnsi" w:eastAsia="Georgia" w:hAnsiTheme="minorHAnsi" w:cstheme="minorHAnsi"/>
          <w:szCs w:val="22"/>
        </w:rPr>
      </w:pPr>
    </w:p>
    <w:p w14:paraId="40717983" w14:textId="5A78D814" w:rsidR="009B1334" w:rsidRPr="001518CE" w:rsidRDefault="009B1334" w:rsidP="006459C1">
      <w:pPr>
        <w:pStyle w:val="subsection"/>
        <w:numPr>
          <w:ilvl w:val="0"/>
          <w:numId w:val="5"/>
        </w:numPr>
        <w:spacing w:before="0"/>
        <w:rPr>
          <w:rFonts w:asciiTheme="minorHAnsi" w:hAnsiTheme="minorHAnsi" w:cstheme="minorHAnsi"/>
          <w:b/>
          <w:bCs/>
          <w:szCs w:val="22"/>
        </w:rPr>
      </w:pPr>
      <w:r w:rsidRPr="001518CE">
        <w:rPr>
          <w:rFonts w:asciiTheme="minorHAnsi" w:hAnsiTheme="minorHAnsi" w:cstheme="minorHAnsi"/>
          <w:b/>
          <w:bCs/>
          <w:szCs w:val="22"/>
        </w:rPr>
        <w:t>Increased transparency</w:t>
      </w:r>
      <w:r w:rsidR="00FD7274" w:rsidRPr="001518CE">
        <w:rPr>
          <w:rFonts w:asciiTheme="minorHAnsi" w:hAnsiTheme="minorHAnsi" w:cstheme="minorHAnsi"/>
          <w:b/>
          <w:bCs/>
          <w:szCs w:val="22"/>
        </w:rPr>
        <w:t xml:space="preserve"> and cla</w:t>
      </w:r>
      <w:r w:rsidR="007D58E6" w:rsidRPr="001518CE">
        <w:rPr>
          <w:rFonts w:asciiTheme="minorHAnsi" w:hAnsiTheme="minorHAnsi" w:cstheme="minorHAnsi"/>
          <w:b/>
          <w:bCs/>
          <w:szCs w:val="22"/>
        </w:rPr>
        <w:t>rity</w:t>
      </w:r>
      <w:r w:rsidR="002C6B9D" w:rsidRPr="001518CE">
        <w:rPr>
          <w:rFonts w:asciiTheme="minorHAnsi" w:hAnsiTheme="minorHAnsi" w:cstheme="minorHAnsi"/>
          <w:b/>
          <w:bCs/>
          <w:szCs w:val="22"/>
        </w:rPr>
        <w:t xml:space="preserve"> </w:t>
      </w:r>
      <w:r w:rsidR="008E133E" w:rsidRPr="001518CE">
        <w:rPr>
          <w:rFonts w:asciiTheme="minorHAnsi" w:hAnsiTheme="minorHAnsi" w:cstheme="minorHAnsi"/>
          <w:b/>
          <w:bCs/>
          <w:szCs w:val="22"/>
        </w:rPr>
        <w:t>around the nature of HRDD requirements</w:t>
      </w:r>
    </w:p>
    <w:p w14:paraId="69064F87" w14:textId="77777777" w:rsidR="001533CC" w:rsidRPr="001518CE" w:rsidRDefault="001533CC" w:rsidP="001533CC">
      <w:pPr>
        <w:pStyle w:val="subsection"/>
        <w:spacing w:before="0"/>
        <w:ind w:left="720" w:firstLine="0"/>
        <w:rPr>
          <w:rFonts w:asciiTheme="minorHAnsi" w:hAnsiTheme="minorHAnsi" w:cstheme="minorHAnsi"/>
          <w:szCs w:val="22"/>
        </w:rPr>
      </w:pPr>
    </w:p>
    <w:p w14:paraId="35662C58" w14:textId="77777777" w:rsidR="001518CE" w:rsidRPr="001518CE" w:rsidRDefault="006E006D" w:rsidP="006E006D">
      <w:pPr>
        <w:pStyle w:val="subsection"/>
        <w:spacing w:before="0"/>
        <w:ind w:left="0" w:firstLine="0"/>
        <w:rPr>
          <w:rFonts w:asciiTheme="minorHAnsi" w:hAnsiTheme="minorHAnsi" w:cstheme="minorHAnsi"/>
          <w:szCs w:val="22"/>
        </w:rPr>
      </w:pPr>
      <w:r w:rsidRPr="001518CE">
        <w:rPr>
          <w:rFonts w:asciiTheme="minorHAnsi" w:eastAsia="Georgia" w:hAnsiTheme="minorHAnsi" w:cstheme="minorHAnsi"/>
          <w:szCs w:val="22"/>
        </w:rPr>
        <w:t xml:space="preserve">There is currently incoherence between differing legislative approaches, business practices and the demands of workers and their representatives with respect to HRDD. While </w:t>
      </w:r>
      <w:r w:rsidR="007400CD" w:rsidRPr="001518CE">
        <w:rPr>
          <w:rFonts w:asciiTheme="minorHAnsi" w:eastAsia="Georgia" w:hAnsiTheme="minorHAnsi" w:cstheme="minorHAnsi"/>
          <w:szCs w:val="22"/>
        </w:rPr>
        <w:t xml:space="preserve">HRDD retains the </w:t>
      </w:r>
      <w:r w:rsidRPr="001518CE">
        <w:rPr>
          <w:rFonts w:asciiTheme="minorHAnsi" w:eastAsia="Georgia" w:hAnsiTheme="minorHAnsi" w:cstheme="minorHAnsi"/>
          <w:szCs w:val="22"/>
        </w:rPr>
        <w:t xml:space="preserve">potential to reshape preventative approaches to addressing human rights harms, including those instigated by corporate capture, </w:t>
      </w:r>
      <w:r w:rsidR="00F075DA" w:rsidRPr="001518CE">
        <w:rPr>
          <w:rFonts w:asciiTheme="minorHAnsi" w:eastAsia="Georgia" w:hAnsiTheme="minorHAnsi" w:cstheme="minorHAnsi"/>
          <w:szCs w:val="22"/>
        </w:rPr>
        <w:t>there is the need for greater clarity around what is required and ensuring there is transparency on activities undertaken in the name of implementing HRDD.</w:t>
      </w:r>
      <w:r w:rsidR="00BF7FA8" w:rsidRPr="001518CE">
        <w:rPr>
          <w:rFonts w:asciiTheme="minorHAnsi" w:eastAsia="Georgia" w:hAnsiTheme="minorHAnsi" w:cstheme="minorHAnsi"/>
          <w:szCs w:val="22"/>
        </w:rPr>
        <w:t xml:space="preserve"> For example, a primary focus on reporting</w:t>
      </w:r>
      <w:r w:rsidR="00D931D7" w:rsidRPr="001518CE">
        <w:rPr>
          <w:rFonts w:asciiTheme="minorHAnsi" w:eastAsia="Georgia" w:hAnsiTheme="minorHAnsi" w:cstheme="minorHAnsi"/>
          <w:szCs w:val="22"/>
        </w:rPr>
        <w:t xml:space="preserve"> (rather than the activities which underpin reporting) </w:t>
      </w:r>
      <w:r w:rsidR="005850BB" w:rsidRPr="001518CE">
        <w:rPr>
          <w:rFonts w:asciiTheme="minorHAnsi" w:eastAsia="Georgia" w:hAnsiTheme="minorHAnsi" w:cstheme="minorHAnsi"/>
          <w:szCs w:val="22"/>
        </w:rPr>
        <w:t xml:space="preserve">will have </w:t>
      </w:r>
      <w:r w:rsidR="005850BB" w:rsidRPr="001518CE">
        <w:rPr>
          <w:rFonts w:asciiTheme="minorHAnsi" w:hAnsiTheme="minorHAnsi" w:cstheme="minorHAnsi"/>
          <w:szCs w:val="22"/>
        </w:rPr>
        <w:t>limited success in improving business practices or providing accountability for impacted rights holders.</w:t>
      </w:r>
      <w:r w:rsidR="005850BB" w:rsidRPr="001518CE">
        <w:rPr>
          <w:rStyle w:val="FootnoteReference"/>
          <w:rFonts w:asciiTheme="minorHAnsi" w:hAnsiTheme="minorHAnsi" w:cstheme="minorHAnsi"/>
          <w:szCs w:val="22"/>
        </w:rPr>
        <w:footnoteReference w:id="13"/>
      </w:r>
      <w:r w:rsidR="00246EF1" w:rsidRPr="001518CE">
        <w:rPr>
          <w:rFonts w:asciiTheme="minorHAnsi" w:hAnsiTheme="minorHAnsi" w:cstheme="minorHAnsi"/>
          <w:szCs w:val="22"/>
        </w:rPr>
        <w:t xml:space="preserve"> HRDD must be a holistic and ongoing process and the development of legal frameworks that provide clarity on the obligations inherent in HRDD are key to increasing its effectiveness. </w:t>
      </w:r>
    </w:p>
    <w:p w14:paraId="7F6116BD" w14:textId="77777777" w:rsidR="001518CE" w:rsidRPr="001518CE" w:rsidRDefault="001518CE" w:rsidP="006E006D">
      <w:pPr>
        <w:pStyle w:val="subsection"/>
        <w:spacing w:before="0"/>
        <w:ind w:left="0" w:firstLine="0"/>
        <w:rPr>
          <w:rFonts w:asciiTheme="minorHAnsi" w:hAnsiTheme="minorHAnsi" w:cstheme="minorHAnsi"/>
          <w:szCs w:val="22"/>
        </w:rPr>
      </w:pPr>
    </w:p>
    <w:p w14:paraId="587EC697" w14:textId="7D8C3CF7" w:rsidR="00246EF1" w:rsidRPr="001518CE" w:rsidRDefault="001518CE" w:rsidP="006E006D">
      <w:pPr>
        <w:pStyle w:val="subsection"/>
        <w:spacing w:before="0"/>
        <w:ind w:left="0" w:firstLine="0"/>
        <w:rPr>
          <w:rFonts w:asciiTheme="minorHAnsi" w:hAnsiTheme="minorHAnsi" w:cstheme="minorHAnsi"/>
          <w:szCs w:val="22"/>
        </w:rPr>
      </w:pPr>
      <w:r w:rsidRPr="001518CE">
        <w:rPr>
          <w:rFonts w:asciiTheme="minorHAnsi" w:hAnsiTheme="minorHAnsi" w:cstheme="minorHAnsi"/>
          <w:szCs w:val="22"/>
        </w:rPr>
        <w:t>For example, t</w:t>
      </w:r>
      <w:r w:rsidR="00B92E8B" w:rsidRPr="001518CE">
        <w:rPr>
          <w:rFonts w:asciiTheme="minorHAnsi" w:hAnsiTheme="minorHAnsi" w:cstheme="minorHAnsi"/>
          <w:szCs w:val="22"/>
        </w:rPr>
        <w:t>he Australian Illegal Logging Prohibition Act 2012</w:t>
      </w:r>
      <w:r w:rsidRPr="001518CE">
        <w:rPr>
          <w:rFonts w:asciiTheme="minorHAnsi" w:hAnsiTheme="minorHAnsi" w:cstheme="minorHAnsi"/>
          <w:szCs w:val="22"/>
        </w:rPr>
        <w:t xml:space="preserve"> incorporates due diligence requirements that obligate the importers and processors of timber into Australia to initiate verification and certification processes aimed at ensuring the imported timber had not been illegally logged.</w:t>
      </w:r>
      <w:r w:rsidRPr="001518CE">
        <w:rPr>
          <w:rStyle w:val="FootnoteReference"/>
          <w:rFonts w:asciiTheme="minorHAnsi" w:hAnsiTheme="minorHAnsi" w:cstheme="minorHAnsi"/>
          <w:szCs w:val="22"/>
        </w:rPr>
        <w:footnoteReference w:id="14"/>
      </w:r>
      <w:r w:rsidRPr="001518CE">
        <w:rPr>
          <w:rFonts w:asciiTheme="minorHAnsi" w:hAnsiTheme="minorHAnsi" w:cstheme="minorHAnsi"/>
          <w:szCs w:val="22"/>
        </w:rPr>
        <w:t xml:space="preserve"> The regulations attached to the Act provide clear guidance as to what will constitute compliance with the due diligence requirements.</w:t>
      </w:r>
      <w:r w:rsidRPr="001518CE">
        <w:rPr>
          <w:rStyle w:val="FootnoteReference"/>
          <w:rFonts w:asciiTheme="minorHAnsi" w:hAnsiTheme="minorHAnsi" w:cstheme="minorHAnsi"/>
          <w:szCs w:val="22"/>
        </w:rPr>
        <w:footnoteReference w:id="15"/>
      </w:r>
    </w:p>
    <w:p w14:paraId="0BC3F5D5" w14:textId="77777777" w:rsidR="00246EF1" w:rsidRPr="001518CE" w:rsidRDefault="00246EF1" w:rsidP="006E006D">
      <w:pPr>
        <w:pStyle w:val="subsection"/>
        <w:spacing w:before="0"/>
        <w:ind w:left="0" w:firstLine="0"/>
        <w:rPr>
          <w:rFonts w:asciiTheme="minorHAnsi" w:hAnsiTheme="minorHAnsi" w:cstheme="minorHAnsi"/>
          <w:szCs w:val="22"/>
        </w:rPr>
      </w:pPr>
    </w:p>
    <w:p w14:paraId="7DFAD60B" w14:textId="65EB763B" w:rsidR="000F748F" w:rsidRPr="001518CE" w:rsidRDefault="009B1334" w:rsidP="000F748F">
      <w:pPr>
        <w:pStyle w:val="subsection"/>
        <w:numPr>
          <w:ilvl w:val="0"/>
          <w:numId w:val="5"/>
        </w:numPr>
        <w:spacing w:before="0"/>
        <w:rPr>
          <w:rFonts w:asciiTheme="minorHAnsi" w:hAnsiTheme="minorHAnsi" w:cstheme="minorHAnsi"/>
          <w:b/>
          <w:bCs/>
          <w:szCs w:val="22"/>
        </w:rPr>
      </w:pPr>
      <w:r w:rsidRPr="001518CE">
        <w:rPr>
          <w:rFonts w:asciiTheme="minorHAnsi" w:hAnsiTheme="minorHAnsi" w:cstheme="minorHAnsi"/>
          <w:b/>
          <w:bCs/>
          <w:szCs w:val="22"/>
        </w:rPr>
        <w:t>Mandate consultation with rights holders in HRDD</w:t>
      </w:r>
    </w:p>
    <w:p w14:paraId="675DA2EF" w14:textId="77777777" w:rsidR="00AB5D5B" w:rsidRPr="001518CE" w:rsidRDefault="00AB5D5B" w:rsidP="00AB5D5B">
      <w:pPr>
        <w:pStyle w:val="subsection"/>
        <w:spacing w:before="0"/>
        <w:rPr>
          <w:rFonts w:asciiTheme="minorHAnsi" w:hAnsiTheme="minorHAnsi" w:cstheme="minorHAnsi"/>
          <w:szCs w:val="22"/>
        </w:rPr>
      </w:pPr>
    </w:p>
    <w:p w14:paraId="05783738" w14:textId="77777777" w:rsidR="00565ED5" w:rsidRDefault="00AB5D5B" w:rsidP="00AB5D5B">
      <w:pPr>
        <w:pStyle w:val="subsection"/>
        <w:spacing w:before="0"/>
        <w:ind w:left="0" w:firstLine="0"/>
        <w:rPr>
          <w:rFonts w:asciiTheme="minorHAnsi" w:hAnsiTheme="minorHAnsi" w:cstheme="minorHAnsi"/>
          <w:szCs w:val="22"/>
        </w:rPr>
      </w:pPr>
      <w:r w:rsidRPr="001518CE">
        <w:rPr>
          <w:rFonts w:asciiTheme="minorHAnsi" w:hAnsiTheme="minorHAnsi" w:cstheme="minorHAnsi"/>
          <w:szCs w:val="22"/>
        </w:rPr>
        <w:t xml:space="preserve">HRDD has both preventative and remedial elements to it and ensuring the participation of rights holders in the process is a key aspect. </w:t>
      </w:r>
      <w:r w:rsidR="00434ABD" w:rsidRPr="001518CE">
        <w:rPr>
          <w:rFonts w:asciiTheme="minorHAnsi" w:hAnsiTheme="minorHAnsi" w:cstheme="minorHAnsi"/>
          <w:szCs w:val="22"/>
        </w:rPr>
        <w:t>In developing HRDD processes that might be effective in addressing corporate capture it is essential to</w:t>
      </w:r>
      <w:r w:rsidR="00FF58C2" w:rsidRPr="001518CE">
        <w:rPr>
          <w:rFonts w:asciiTheme="minorHAnsi" w:hAnsiTheme="minorHAnsi" w:cstheme="minorHAnsi"/>
          <w:szCs w:val="22"/>
        </w:rPr>
        <w:t xml:space="preserve"> ensure that</w:t>
      </w:r>
      <w:r w:rsidR="00434ABD" w:rsidRPr="001518CE">
        <w:rPr>
          <w:rFonts w:asciiTheme="minorHAnsi" w:hAnsiTheme="minorHAnsi" w:cstheme="minorHAnsi"/>
          <w:szCs w:val="22"/>
        </w:rPr>
        <w:t xml:space="preserve"> </w:t>
      </w:r>
      <w:r w:rsidR="00FF58C2" w:rsidRPr="001518CE">
        <w:rPr>
          <w:rFonts w:asciiTheme="minorHAnsi" w:hAnsiTheme="minorHAnsi" w:cstheme="minorHAnsi"/>
          <w:szCs w:val="22"/>
        </w:rPr>
        <w:t>HRDD is designed and implemented in a manner that is sufficiently flexible to cater for its application in a variety of sectors but not so flexible that it is overly deferential to business practices and discounts the participation of rights holders.</w:t>
      </w:r>
      <w:r w:rsidR="00033025" w:rsidRPr="001518CE">
        <w:rPr>
          <w:rFonts w:asciiTheme="minorHAnsi" w:hAnsiTheme="minorHAnsi" w:cstheme="minorHAnsi"/>
          <w:szCs w:val="22"/>
        </w:rPr>
        <w:t xml:space="preserve"> While the UNGPs encourage such participation in HRDD, mandatory HRDD legislation that requires rights holders to be part of that process is more likely to ensure HRDD is effective.</w:t>
      </w:r>
      <w:r w:rsidR="00A65D59" w:rsidRPr="001518CE">
        <w:rPr>
          <w:rFonts w:asciiTheme="minorHAnsi" w:hAnsiTheme="minorHAnsi" w:cstheme="minorHAnsi"/>
          <w:szCs w:val="22"/>
        </w:rPr>
        <w:t xml:space="preserve"> </w:t>
      </w:r>
    </w:p>
    <w:p w14:paraId="61B19FEE" w14:textId="613D3DC9" w:rsidR="00AB5D5B" w:rsidRPr="001518CE" w:rsidRDefault="00A65D59" w:rsidP="00AB5D5B">
      <w:pPr>
        <w:pStyle w:val="subsection"/>
        <w:spacing w:before="0"/>
        <w:ind w:left="0" w:firstLine="0"/>
        <w:rPr>
          <w:rFonts w:asciiTheme="minorHAnsi" w:hAnsiTheme="minorHAnsi" w:cstheme="minorHAnsi"/>
          <w:szCs w:val="22"/>
        </w:rPr>
      </w:pPr>
      <w:r w:rsidRPr="001518CE">
        <w:rPr>
          <w:rFonts w:asciiTheme="minorHAnsi" w:hAnsiTheme="minorHAnsi" w:cstheme="minorHAnsi"/>
          <w:szCs w:val="22"/>
        </w:rPr>
        <w:t xml:space="preserve">For example, while the French Duty of Vigilance Act requires consultation with worker representatives when business is developing a process to identify risks and undertake consultation </w:t>
      </w:r>
      <w:r w:rsidRPr="001518CE">
        <w:rPr>
          <w:rFonts w:asciiTheme="minorHAnsi" w:hAnsiTheme="minorHAnsi" w:cstheme="minorHAnsi"/>
          <w:szCs w:val="22"/>
        </w:rPr>
        <w:lastRenderedPageBreak/>
        <w:t>with stakeholders in implementing their vigilance plans, the process lacks clarity around that consultation process</w:t>
      </w:r>
      <w:r w:rsidR="002C6B9D" w:rsidRPr="001518CE">
        <w:rPr>
          <w:rFonts w:asciiTheme="minorHAnsi" w:hAnsiTheme="minorHAnsi" w:cstheme="minorHAnsi"/>
          <w:szCs w:val="22"/>
        </w:rPr>
        <w:t xml:space="preserve"> and may result in any ‘engagement’ with rights holders being temporary rather than ongoing.</w:t>
      </w:r>
      <w:r w:rsidR="00B92E8B" w:rsidRPr="001518CE">
        <w:rPr>
          <w:rFonts w:asciiTheme="minorHAnsi" w:hAnsiTheme="minorHAnsi" w:cstheme="minorHAnsi"/>
          <w:szCs w:val="22"/>
        </w:rPr>
        <w:t xml:space="preserve"> </w:t>
      </w:r>
    </w:p>
    <w:p w14:paraId="2890767B" w14:textId="77777777" w:rsidR="00AB5D5B" w:rsidRPr="001518CE" w:rsidRDefault="00AB5D5B" w:rsidP="00AB5D5B">
      <w:pPr>
        <w:pStyle w:val="subsection"/>
        <w:spacing w:before="0"/>
        <w:ind w:left="0" w:firstLine="0"/>
        <w:rPr>
          <w:rFonts w:asciiTheme="minorHAnsi" w:hAnsiTheme="minorHAnsi" w:cstheme="minorHAnsi"/>
          <w:szCs w:val="22"/>
        </w:rPr>
      </w:pPr>
    </w:p>
    <w:p w14:paraId="4C3587B3" w14:textId="2D26EBEB" w:rsidR="009B1334" w:rsidRPr="001518CE" w:rsidRDefault="009B1334" w:rsidP="001518CE">
      <w:pPr>
        <w:pStyle w:val="subsection"/>
        <w:numPr>
          <w:ilvl w:val="0"/>
          <w:numId w:val="5"/>
        </w:numPr>
        <w:spacing w:before="0"/>
        <w:rPr>
          <w:rFonts w:asciiTheme="minorHAnsi" w:hAnsiTheme="minorHAnsi" w:cstheme="minorHAnsi"/>
          <w:b/>
          <w:bCs/>
          <w:szCs w:val="22"/>
        </w:rPr>
      </w:pPr>
      <w:r w:rsidRPr="001518CE">
        <w:rPr>
          <w:rFonts w:asciiTheme="minorHAnsi" w:hAnsiTheme="minorHAnsi" w:cstheme="minorHAnsi"/>
          <w:b/>
          <w:bCs/>
          <w:szCs w:val="22"/>
        </w:rPr>
        <w:t>Focus on the role of investors and their leverage.</w:t>
      </w:r>
    </w:p>
    <w:p w14:paraId="3EF53A65" w14:textId="77777777" w:rsidR="00F719F4" w:rsidRPr="001518CE" w:rsidRDefault="00F719F4" w:rsidP="006459C1">
      <w:pPr>
        <w:spacing w:after="0" w:line="240" w:lineRule="auto"/>
        <w:ind w:left="567" w:right="403"/>
        <w:rPr>
          <w:rFonts w:cstheme="minorHAnsi"/>
          <w:shd w:val="clear" w:color="auto" w:fill="FFFFFF"/>
        </w:rPr>
      </w:pPr>
    </w:p>
    <w:p w14:paraId="49369BB5" w14:textId="0D6E1555" w:rsidR="004D61CA" w:rsidRDefault="00F719F4" w:rsidP="007D177E">
      <w:pPr>
        <w:pStyle w:val="NormalWeb"/>
        <w:shd w:val="clear" w:color="auto" w:fill="FFFFFF"/>
        <w:spacing w:before="0" w:beforeAutospacing="0" w:after="0" w:afterAutospacing="0"/>
        <w:contextualSpacing/>
        <w:jc w:val="both"/>
        <w:rPr>
          <w:rFonts w:asciiTheme="minorHAnsi" w:hAnsiTheme="minorHAnsi" w:cstheme="minorHAnsi"/>
          <w:sz w:val="22"/>
          <w:szCs w:val="22"/>
        </w:rPr>
      </w:pPr>
      <w:r w:rsidRPr="001518CE">
        <w:rPr>
          <w:rFonts w:asciiTheme="minorHAnsi" w:hAnsiTheme="minorHAnsi" w:cstheme="minorHAnsi"/>
          <w:sz w:val="22"/>
          <w:szCs w:val="22"/>
        </w:rPr>
        <w:t>The extent to which investors can play a key role to play in using their leverage</w:t>
      </w:r>
      <w:r w:rsidRPr="001518CE">
        <w:rPr>
          <w:rStyle w:val="FootnoteReference"/>
          <w:rFonts w:asciiTheme="minorHAnsi" w:hAnsiTheme="minorHAnsi" w:cstheme="minorHAnsi"/>
          <w:sz w:val="22"/>
          <w:szCs w:val="22"/>
        </w:rPr>
        <w:footnoteReference w:id="16"/>
      </w:r>
      <w:r w:rsidRPr="001518CE">
        <w:rPr>
          <w:rFonts w:asciiTheme="minorHAnsi" w:hAnsiTheme="minorHAnsi" w:cstheme="minorHAnsi"/>
          <w:sz w:val="22"/>
          <w:szCs w:val="22"/>
        </w:rPr>
        <w:t xml:space="preserve"> to develop and implement HRDD as a preventative tool for addressing business impacts on human rights remains an open question. However, investors, as shareholders of corporations, can, in effect, become the ‘regulators’ of business with respect to human rights</w:t>
      </w:r>
      <w:r w:rsidR="00CE1CB5" w:rsidRPr="001518CE">
        <w:rPr>
          <w:rFonts w:asciiTheme="minorHAnsi" w:hAnsiTheme="minorHAnsi" w:cstheme="minorHAnsi"/>
          <w:sz w:val="22"/>
          <w:szCs w:val="22"/>
        </w:rPr>
        <w:t xml:space="preserve"> and can use their leverage to raise questions about </w:t>
      </w:r>
      <w:r w:rsidR="006700A9" w:rsidRPr="001518CE">
        <w:rPr>
          <w:rFonts w:asciiTheme="minorHAnsi" w:hAnsiTheme="minorHAnsi" w:cstheme="minorHAnsi"/>
          <w:sz w:val="22"/>
          <w:szCs w:val="22"/>
        </w:rPr>
        <w:t>the extent to which business is capturing government policy</w:t>
      </w:r>
      <w:r w:rsidRPr="001518CE">
        <w:rPr>
          <w:rFonts w:asciiTheme="minorHAnsi" w:hAnsiTheme="minorHAnsi" w:cstheme="minorHAnsi"/>
          <w:sz w:val="22"/>
          <w:szCs w:val="22"/>
        </w:rPr>
        <w:t xml:space="preserve">. </w:t>
      </w:r>
      <w:r w:rsidR="00B12732" w:rsidRPr="001518CE">
        <w:rPr>
          <w:rFonts w:asciiTheme="minorHAnsi" w:hAnsiTheme="minorHAnsi" w:cstheme="minorHAnsi"/>
          <w:sz w:val="22"/>
          <w:szCs w:val="22"/>
        </w:rPr>
        <w:t xml:space="preserve">Investors have been active in supporting calls for the development of mandatory </w:t>
      </w:r>
      <w:r w:rsidR="006700A9" w:rsidRPr="001518CE">
        <w:rPr>
          <w:rFonts w:asciiTheme="minorHAnsi" w:hAnsiTheme="minorHAnsi" w:cstheme="minorHAnsi"/>
          <w:sz w:val="22"/>
          <w:szCs w:val="22"/>
        </w:rPr>
        <w:t>HRDD</w:t>
      </w:r>
      <w:r w:rsidR="00B12732" w:rsidRPr="001518CE">
        <w:rPr>
          <w:rFonts w:asciiTheme="minorHAnsi" w:hAnsiTheme="minorHAnsi" w:cstheme="minorHAnsi"/>
          <w:sz w:val="22"/>
          <w:szCs w:val="22"/>
        </w:rPr>
        <w:t xml:space="preserve"> to ensure greater corporate attention is given to sustainable development</w:t>
      </w:r>
      <w:r w:rsidR="00B12732" w:rsidRPr="001518CE">
        <w:rPr>
          <w:rStyle w:val="FootnoteReference"/>
          <w:rFonts w:asciiTheme="minorHAnsi" w:hAnsiTheme="minorHAnsi" w:cstheme="minorHAnsi"/>
          <w:sz w:val="22"/>
          <w:szCs w:val="22"/>
        </w:rPr>
        <w:t xml:space="preserve"> </w:t>
      </w:r>
      <w:r w:rsidR="006459C1" w:rsidRPr="001518CE">
        <w:rPr>
          <w:rFonts w:asciiTheme="minorHAnsi" w:hAnsiTheme="minorHAnsi" w:cstheme="minorHAnsi"/>
          <w:sz w:val="22"/>
          <w:szCs w:val="22"/>
        </w:rPr>
        <w:t xml:space="preserve"> and such focus and leverage may also be useful in developing clearer standards around HRDD and its relevance to corporate capture.</w:t>
      </w:r>
      <w:r w:rsidR="00B12732" w:rsidRPr="001518CE">
        <w:rPr>
          <w:rStyle w:val="FootnoteReference"/>
          <w:rFonts w:asciiTheme="minorHAnsi" w:hAnsiTheme="minorHAnsi" w:cstheme="minorHAnsi"/>
          <w:sz w:val="22"/>
          <w:szCs w:val="22"/>
        </w:rPr>
        <w:footnoteReference w:id="17"/>
      </w:r>
    </w:p>
    <w:p w14:paraId="533504C4" w14:textId="6D74FACC" w:rsidR="006F1F3C" w:rsidRPr="00AF575B" w:rsidRDefault="006F1F3C" w:rsidP="007D177E">
      <w:pPr>
        <w:pStyle w:val="NormalWeb"/>
        <w:shd w:val="clear" w:color="auto" w:fill="FFFFFF"/>
        <w:spacing w:before="0" w:beforeAutospacing="0" w:after="0" w:afterAutospacing="0"/>
        <w:contextualSpacing/>
        <w:jc w:val="both"/>
        <w:rPr>
          <w:rFonts w:asciiTheme="minorHAnsi" w:hAnsiTheme="minorHAnsi" w:cstheme="minorHAnsi"/>
          <w:sz w:val="22"/>
          <w:szCs w:val="22"/>
        </w:rPr>
      </w:pPr>
    </w:p>
    <w:p w14:paraId="113C0973" w14:textId="0EAFE702" w:rsidR="00AF575B" w:rsidRPr="00C322E3" w:rsidRDefault="00AF575B" w:rsidP="00C322E3">
      <w:pPr>
        <w:spacing w:line="240" w:lineRule="auto"/>
        <w:contextualSpacing/>
        <w:jc w:val="both"/>
        <w:rPr>
          <w:rFonts w:cstheme="minorHAnsi"/>
          <w:b/>
          <w:bCs/>
          <w:sz w:val="28"/>
          <w:szCs w:val="28"/>
        </w:rPr>
      </w:pPr>
      <w:r w:rsidRPr="00C322E3">
        <w:rPr>
          <w:rFonts w:cstheme="minorHAnsi"/>
          <w:b/>
          <w:bCs/>
          <w:sz w:val="28"/>
          <w:szCs w:val="28"/>
        </w:rPr>
        <w:t>Concerns about “Corporate Capture”</w:t>
      </w:r>
      <w:r w:rsidR="0094044B">
        <w:rPr>
          <w:rFonts w:cstheme="minorHAnsi"/>
          <w:b/>
          <w:bCs/>
          <w:sz w:val="28"/>
          <w:szCs w:val="28"/>
        </w:rPr>
        <w:t xml:space="preserve"> using “progressive” concepts</w:t>
      </w:r>
    </w:p>
    <w:p w14:paraId="7CEB6674" w14:textId="3D8A25DD" w:rsidR="006F1F3C" w:rsidRDefault="006F1F3C" w:rsidP="00AF575B">
      <w:pPr>
        <w:spacing w:line="240" w:lineRule="auto"/>
        <w:contextualSpacing/>
        <w:jc w:val="both"/>
        <w:rPr>
          <w:rFonts w:ascii="Calibri" w:hAnsi="Calibri" w:cs="Calibri"/>
        </w:rPr>
      </w:pPr>
      <w:r w:rsidRPr="00216683">
        <w:rPr>
          <w:rFonts w:ascii="Calibri" w:hAnsi="Calibri" w:cs="Calibri"/>
        </w:rPr>
        <w:t xml:space="preserve">The biggest threat to communities is not posed by economic globalisation, </w:t>
      </w:r>
      <w:r>
        <w:rPr>
          <w:rFonts w:ascii="Calibri" w:hAnsi="Calibri" w:cs="Calibri"/>
        </w:rPr>
        <w:t>but</w:t>
      </w:r>
      <w:r w:rsidRPr="00216683">
        <w:rPr>
          <w:rFonts w:ascii="Calibri" w:hAnsi="Calibri" w:cs="Calibri"/>
        </w:rPr>
        <w:t xml:space="preserve"> by the withdrawal of the state as the guardian of the public interest.</w:t>
      </w:r>
      <w:r>
        <w:rPr>
          <w:rFonts w:ascii="Calibri" w:hAnsi="Calibri" w:cs="Calibri"/>
        </w:rPr>
        <w:t xml:space="preserve"> </w:t>
      </w:r>
      <w:r w:rsidRPr="00216683">
        <w:rPr>
          <w:rFonts w:ascii="Calibri" w:hAnsi="Calibri" w:cs="Calibri"/>
        </w:rPr>
        <w:t xml:space="preserve">In the words of Bernie Fraser, former governor of the Reserve Bank of Australia, neoliberalism </w:t>
      </w:r>
      <w:r>
        <w:rPr>
          <w:rFonts w:ascii="Calibri" w:hAnsi="Calibri" w:cs="Calibri"/>
        </w:rPr>
        <w:t>“</w:t>
      </w:r>
      <w:r w:rsidRPr="00216683">
        <w:rPr>
          <w:rFonts w:ascii="Calibri" w:hAnsi="Calibri" w:cs="Calibri"/>
        </w:rPr>
        <w:t>[favours] the market system ahead of the state system, and individual interests ahead of community interests, [which] can lead to profoundly unfair social outcomes</w:t>
      </w:r>
      <w:r>
        <w:rPr>
          <w:rFonts w:ascii="Calibri" w:hAnsi="Calibri" w:cs="Calibri"/>
        </w:rPr>
        <w:t>”</w:t>
      </w:r>
      <w:r w:rsidRPr="00216683">
        <w:rPr>
          <w:rFonts w:ascii="Calibri" w:hAnsi="Calibri" w:cs="Calibri"/>
        </w:rPr>
        <w:t>.</w:t>
      </w:r>
      <w:r w:rsidRPr="00216683">
        <w:rPr>
          <w:rStyle w:val="FootnoteReference"/>
          <w:rFonts w:ascii="Calibri" w:hAnsi="Calibri" w:cs="Calibri"/>
        </w:rPr>
        <w:footnoteReference w:id="18"/>
      </w:r>
      <w:r>
        <w:rPr>
          <w:rFonts w:ascii="Calibri" w:hAnsi="Calibri" w:cs="Calibri"/>
        </w:rPr>
        <w:t xml:space="preserve"> </w:t>
      </w:r>
      <w:r w:rsidRPr="00216683">
        <w:rPr>
          <w:rFonts w:ascii="Calibri" w:hAnsi="Calibri" w:cs="Calibri"/>
        </w:rPr>
        <w:t>Capitalism, the operating model of the world economy, is widely regarded as being in crisis.</w:t>
      </w:r>
      <w:r w:rsidRPr="00216683">
        <w:rPr>
          <w:rStyle w:val="FootnoteReference"/>
          <w:rFonts w:ascii="Calibri" w:hAnsi="Calibri" w:cs="Calibri"/>
        </w:rPr>
        <w:footnoteReference w:id="19"/>
      </w:r>
      <w:r w:rsidRPr="00216683">
        <w:rPr>
          <w:rFonts w:ascii="Calibri" w:hAnsi="Calibri" w:cs="Calibri"/>
        </w:rPr>
        <w:t xml:space="preserve"> In the face of this, attempts are</w:t>
      </w:r>
      <w:r>
        <w:rPr>
          <w:rFonts w:ascii="Calibri" w:hAnsi="Calibri" w:cs="Calibri"/>
        </w:rPr>
        <w:t xml:space="preserve"> being</w:t>
      </w:r>
      <w:r w:rsidRPr="00216683">
        <w:rPr>
          <w:rFonts w:ascii="Calibri" w:hAnsi="Calibri" w:cs="Calibri"/>
        </w:rPr>
        <w:t xml:space="preserve"> made </w:t>
      </w:r>
      <w:r>
        <w:rPr>
          <w:rFonts w:ascii="Calibri" w:hAnsi="Calibri" w:cs="Calibri"/>
        </w:rPr>
        <w:t>t</w:t>
      </w:r>
      <w:r w:rsidRPr="00216683">
        <w:rPr>
          <w:rFonts w:ascii="Calibri" w:hAnsi="Calibri" w:cs="Calibri"/>
        </w:rPr>
        <w:t>o revisit the</w:t>
      </w:r>
      <w:r>
        <w:rPr>
          <w:rFonts w:ascii="Calibri" w:hAnsi="Calibri" w:cs="Calibri"/>
        </w:rPr>
        <w:t xml:space="preserve"> foundational</w:t>
      </w:r>
      <w:r w:rsidRPr="00216683">
        <w:rPr>
          <w:rFonts w:ascii="Calibri" w:hAnsi="Calibri" w:cs="Calibri"/>
        </w:rPr>
        <w:t xml:space="preserve"> theses of capitalism</w:t>
      </w:r>
      <w:r>
        <w:rPr>
          <w:rFonts w:ascii="Calibri" w:hAnsi="Calibri" w:cs="Calibri"/>
        </w:rPr>
        <w:t xml:space="preserve"> and neoliberalism</w:t>
      </w:r>
      <w:r w:rsidRPr="00216683">
        <w:rPr>
          <w:rFonts w:ascii="Calibri" w:hAnsi="Calibri" w:cs="Calibri"/>
        </w:rPr>
        <w:t>.</w:t>
      </w:r>
      <w:r w:rsidRPr="00216683" w:rsidDel="00845A2A">
        <w:rPr>
          <w:rFonts w:ascii="Calibri" w:hAnsi="Calibri" w:cs="Calibri"/>
        </w:rPr>
        <w:t xml:space="preserve"> </w:t>
      </w:r>
      <w:r>
        <w:rPr>
          <w:rFonts w:ascii="Calibri" w:hAnsi="Calibri" w:cs="Calibri"/>
        </w:rPr>
        <w:t>In this context, t</w:t>
      </w:r>
      <w:r w:rsidRPr="00216683">
        <w:rPr>
          <w:rFonts w:ascii="Calibri" w:hAnsi="Calibri" w:cs="Calibri"/>
        </w:rPr>
        <w:t>he following paragraphs</w:t>
      </w:r>
      <w:r>
        <w:rPr>
          <w:rFonts w:ascii="Calibri" w:hAnsi="Calibri" w:cs="Calibri"/>
        </w:rPr>
        <w:t xml:space="preserve"> examine the advent of</w:t>
      </w:r>
      <w:r w:rsidRPr="00216683" w:rsidDel="00BE6782">
        <w:rPr>
          <w:rFonts w:ascii="Calibri" w:hAnsi="Calibri" w:cs="Calibri"/>
        </w:rPr>
        <w:t xml:space="preserve"> </w:t>
      </w:r>
      <w:r w:rsidDel="003E2CC9">
        <w:rPr>
          <w:rFonts w:ascii="Calibri" w:hAnsi="Calibri" w:cs="Calibri"/>
        </w:rPr>
        <w:t>the</w:t>
      </w:r>
      <w:r>
        <w:rPr>
          <w:rFonts w:ascii="Calibri" w:hAnsi="Calibri" w:cs="Calibri"/>
        </w:rPr>
        <w:t xml:space="preserve"> </w:t>
      </w:r>
      <w:r w:rsidRPr="00216683">
        <w:rPr>
          <w:rFonts w:ascii="Calibri" w:hAnsi="Calibri" w:cs="Calibri"/>
        </w:rPr>
        <w:t>“Social License to Operate”, “Corporate Purpose” and “Stakeholder Capitalism”</w:t>
      </w:r>
      <w:r w:rsidR="00AF575B">
        <w:rPr>
          <w:rFonts w:ascii="Calibri" w:hAnsi="Calibri" w:cs="Calibri"/>
        </w:rPr>
        <w:t>.</w:t>
      </w:r>
    </w:p>
    <w:p w14:paraId="0816E282" w14:textId="77777777" w:rsidR="00AF575B" w:rsidRPr="00C322E3" w:rsidRDefault="00AF575B" w:rsidP="00C322E3">
      <w:pPr>
        <w:spacing w:line="240" w:lineRule="auto"/>
        <w:contextualSpacing/>
        <w:jc w:val="both"/>
        <w:rPr>
          <w:rFonts w:ascii="Calibri" w:hAnsi="Calibri" w:cs="Calibri"/>
        </w:rPr>
      </w:pPr>
    </w:p>
    <w:p w14:paraId="6DC665DA" w14:textId="6EA62ABF" w:rsidR="006F1F3C" w:rsidRPr="00C322E3" w:rsidRDefault="006F1F3C" w:rsidP="00C322E3">
      <w:pPr>
        <w:pStyle w:val="ListParagraph"/>
        <w:numPr>
          <w:ilvl w:val="0"/>
          <w:numId w:val="8"/>
        </w:numPr>
        <w:rPr>
          <w:b/>
          <w:bCs/>
        </w:rPr>
      </w:pPr>
      <w:bookmarkStart w:id="4" w:name="_Toc48660267"/>
      <w:bookmarkStart w:id="5" w:name="_Toc49766479"/>
      <w:r w:rsidRPr="00C322E3">
        <w:rPr>
          <w:b/>
          <w:bCs/>
        </w:rPr>
        <w:t>The Social License to Operate</w:t>
      </w:r>
      <w:bookmarkEnd w:id="4"/>
      <w:bookmarkEnd w:id="5"/>
    </w:p>
    <w:p w14:paraId="6F3E43D2" w14:textId="77777777" w:rsidR="006F1F3C" w:rsidRPr="00216683" w:rsidRDefault="006F1F3C" w:rsidP="00C322E3">
      <w:pPr>
        <w:tabs>
          <w:tab w:val="left" w:pos="961"/>
        </w:tabs>
        <w:autoSpaceDE w:val="0"/>
        <w:autoSpaceDN w:val="0"/>
        <w:adjustRightInd w:val="0"/>
        <w:spacing w:line="240" w:lineRule="auto"/>
        <w:ind w:right="-51"/>
        <w:contextualSpacing/>
        <w:jc w:val="both"/>
        <w:rPr>
          <w:rFonts w:ascii="Calibri" w:hAnsi="Calibri" w:cs="Calibri"/>
          <w:spacing w:val="30"/>
          <w:kern w:val="1"/>
        </w:rPr>
      </w:pPr>
      <w:r w:rsidRPr="00216683">
        <w:rPr>
          <w:rFonts w:ascii="Calibri" w:hAnsi="Calibri" w:cs="Calibri"/>
          <w:kern w:val="2"/>
        </w:rPr>
        <w:t xml:space="preserve">The notion of the “social license to operate” was popularised in the 2000s and remains prevalent today. It emerged in the resource industry, which was "distrusted by many of the people </w:t>
      </w:r>
      <w:r w:rsidRPr="00216683">
        <w:rPr>
          <w:rFonts w:ascii="Calibri" w:hAnsi="Calibri" w:cs="Calibri"/>
          <w:spacing w:val="-4"/>
          <w:kern w:val="2"/>
        </w:rPr>
        <w:t xml:space="preserve">it </w:t>
      </w:r>
      <w:r w:rsidRPr="00216683">
        <w:rPr>
          <w:rFonts w:ascii="Calibri" w:hAnsi="Calibri" w:cs="Calibri"/>
          <w:kern w:val="2"/>
        </w:rPr>
        <w:t xml:space="preserve">deals with </w:t>
      </w:r>
      <w:r w:rsidRPr="00216683">
        <w:rPr>
          <w:rFonts w:ascii="Calibri" w:hAnsi="Calibri" w:cs="Calibri"/>
          <w:spacing w:val="2"/>
          <w:kern w:val="2"/>
        </w:rPr>
        <w:t xml:space="preserve">day </w:t>
      </w:r>
      <w:r w:rsidRPr="00216683">
        <w:rPr>
          <w:rFonts w:ascii="Calibri" w:hAnsi="Calibri" w:cs="Calibri"/>
          <w:kern w:val="2"/>
        </w:rPr>
        <w:t xml:space="preserve">to day" and </w:t>
      </w:r>
      <w:r w:rsidRPr="00216683">
        <w:rPr>
          <w:rFonts w:ascii="Calibri" w:hAnsi="Calibri" w:cs="Calibri"/>
          <w:spacing w:val="-3"/>
          <w:kern w:val="2"/>
        </w:rPr>
        <w:t xml:space="preserve">has </w:t>
      </w:r>
      <w:r w:rsidRPr="00216683">
        <w:rPr>
          <w:rFonts w:ascii="Calibri" w:hAnsi="Calibri" w:cs="Calibri"/>
          <w:kern w:val="2"/>
        </w:rPr>
        <w:t xml:space="preserve">been "failing to convince some of </w:t>
      </w:r>
      <w:r w:rsidRPr="00216683">
        <w:rPr>
          <w:rFonts w:ascii="Calibri" w:hAnsi="Calibri" w:cs="Calibri"/>
          <w:spacing w:val="-3"/>
          <w:kern w:val="2"/>
        </w:rPr>
        <w:t xml:space="preserve">its </w:t>
      </w:r>
      <w:r w:rsidRPr="00216683">
        <w:rPr>
          <w:rFonts w:ascii="Calibri" w:hAnsi="Calibri" w:cs="Calibri"/>
          <w:kern w:val="2"/>
        </w:rPr>
        <w:t xml:space="preserve">constituents </w:t>
      </w:r>
      <w:r w:rsidRPr="00216683">
        <w:rPr>
          <w:rFonts w:ascii="Calibri" w:hAnsi="Calibri" w:cs="Calibri"/>
          <w:spacing w:val="-3"/>
          <w:kern w:val="2"/>
        </w:rPr>
        <w:t xml:space="preserve">and </w:t>
      </w:r>
      <w:r w:rsidRPr="00216683">
        <w:rPr>
          <w:rFonts w:ascii="Calibri" w:hAnsi="Calibri" w:cs="Calibri"/>
          <w:kern w:val="2"/>
        </w:rPr>
        <w:t xml:space="preserve">stakeholders that </w:t>
      </w:r>
      <w:r w:rsidRPr="00216683">
        <w:rPr>
          <w:rFonts w:ascii="Calibri" w:hAnsi="Calibri" w:cs="Calibri"/>
          <w:spacing w:val="-4"/>
          <w:kern w:val="2"/>
        </w:rPr>
        <w:t xml:space="preserve">it </w:t>
      </w:r>
      <w:r w:rsidRPr="00216683">
        <w:rPr>
          <w:rFonts w:ascii="Calibri" w:hAnsi="Calibri" w:cs="Calibri"/>
          <w:kern w:val="2"/>
        </w:rPr>
        <w:t>has the “social license to operate”.</w:t>
      </w:r>
      <w:r w:rsidRPr="00216683">
        <w:rPr>
          <w:rStyle w:val="FootnoteReference"/>
          <w:rFonts w:ascii="Calibri" w:hAnsi="Calibri" w:cs="Calibri"/>
          <w:kern w:val="2"/>
        </w:rPr>
        <w:footnoteReference w:id="20"/>
      </w:r>
      <w:r w:rsidRPr="00216683">
        <w:rPr>
          <w:rFonts w:ascii="Calibri" w:hAnsi="Calibri" w:cs="Calibri"/>
          <w:kern w:val="2"/>
        </w:rPr>
        <w:t xml:space="preserve"> </w:t>
      </w:r>
      <w:r w:rsidRPr="00216683">
        <w:rPr>
          <w:rFonts w:ascii="Calibri" w:hAnsi="Calibri" w:cs="Calibri"/>
          <w:kern w:val="1"/>
        </w:rPr>
        <w:t>The social license to operate is related to the idea of “organisational legitimacy” and has also been called "legitimacy by another name".</w:t>
      </w:r>
      <w:r w:rsidRPr="00216683">
        <w:rPr>
          <w:rStyle w:val="FootnoteReference"/>
          <w:rFonts w:ascii="Calibri" w:hAnsi="Calibri" w:cs="Calibri"/>
          <w:kern w:val="1"/>
        </w:rPr>
        <w:footnoteReference w:id="21"/>
      </w:r>
      <w:r w:rsidRPr="00216683">
        <w:rPr>
          <w:rFonts w:ascii="Calibri" w:hAnsi="Calibri" w:cs="Calibri"/>
          <w:kern w:val="1"/>
        </w:rPr>
        <w:t xml:space="preserve"> The central</w:t>
      </w:r>
      <w:r w:rsidRPr="00216683">
        <w:rPr>
          <w:rFonts w:ascii="Calibri" w:hAnsi="Calibri" w:cs="Calibri"/>
          <w:spacing w:val="-4"/>
          <w:kern w:val="1"/>
        </w:rPr>
        <w:t xml:space="preserve"> </w:t>
      </w:r>
      <w:r w:rsidRPr="00216683">
        <w:rPr>
          <w:rFonts w:ascii="Calibri" w:hAnsi="Calibri" w:cs="Calibri"/>
          <w:spacing w:val="-3"/>
          <w:kern w:val="1"/>
        </w:rPr>
        <w:t>idea</w:t>
      </w:r>
      <w:r w:rsidRPr="00216683">
        <w:rPr>
          <w:rFonts w:ascii="Calibri" w:hAnsi="Calibri" w:cs="Calibri"/>
          <w:spacing w:val="-7"/>
          <w:kern w:val="1"/>
        </w:rPr>
        <w:t xml:space="preserve"> </w:t>
      </w:r>
      <w:r w:rsidRPr="00216683">
        <w:rPr>
          <w:rFonts w:ascii="Calibri" w:hAnsi="Calibri" w:cs="Calibri"/>
          <w:spacing w:val="-4"/>
          <w:kern w:val="1"/>
        </w:rPr>
        <w:t>is</w:t>
      </w:r>
      <w:r w:rsidRPr="00216683">
        <w:rPr>
          <w:rFonts w:ascii="Calibri" w:hAnsi="Calibri" w:cs="Calibri"/>
          <w:spacing w:val="-5"/>
          <w:kern w:val="1"/>
        </w:rPr>
        <w:t xml:space="preserve"> </w:t>
      </w:r>
      <w:r w:rsidRPr="00216683">
        <w:rPr>
          <w:rFonts w:ascii="Calibri" w:hAnsi="Calibri" w:cs="Calibri"/>
          <w:kern w:val="1"/>
        </w:rPr>
        <w:t>that</w:t>
      </w:r>
      <w:r w:rsidRPr="00216683">
        <w:rPr>
          <w:rFonts w:ascii="Calibri" w:hAnsi="Calibri" w:cs="Calibri"/>
          <w:spacing w:val="-8"/>
          <w:kern w:val="1"/>
        </w:rPr>
        <w:t xml:space="preserve"> </w:t>
      </w:r>
      <w:r w:rsidRPr="00216683">
        <w:rPr>
          <w:rFonts w:ascii="Calibri" w:hAnsi="Calibri" w:cs="Calibri"/>
          <w:kern w:val="1"/>
        </w:rPr>
        <w:t>companies</w:t>
      </w:r>
      <w:r w:rsidRPr="00216683">
        <w:rPr>
          <w:rFonts w:ascii="Calibri" w:hAnsi="Calibri" w:cs="Calibri"/>
          <w:spacing w:val="-5"/>
          <w:kern w:val="1"/>
        </w:rPr>
        <w:t xml:space="preserve"> </w:t>
      </w:r>
      <w:r w:rsidRPr="00216683">
        <w:rPr>
          <w:rFonts w:ascii="Calibri" w:hAnsi="Calibri" w:cs="Calibri"/>
          <w:kern w:val="1"/>
        </w:rPr>
        <w:t>need</w:t>
      </w:r>
      <w:r w:rsidRPr="00216683">
        <w:rPr>
          <w:rFonts w:ascii="Calibri" w:hAnsi="Calibri" w:cs="Calibri"/>
          <w:spacing w:val="-7"/>
          <w:kern w:val="1"/>
        </w:rPr>
        <w:t xml:space="preserve"> </w:t>
      </w:r>
      <w:r w:rsidRPr="00216683">
        <w:rPr>
          <w:rFonts w:ascii="Calibri" w:hAnsi="Calibri" w:cs="Calibri"/>
          <w:kern w:val="1"/>
        </w:rPr>
        <w:t>to</w:t>
      </w:r>
      <w:r w:rsidRPr="00216683">
        <w:rPr>
          <w:rFonts w:ascii="Calibri" w:hAnsi="Calibri" w:cs="Calibri"/>
          <w:spacing w:val="-12"/>
          <w:kern w:val="1"/>
        </w:rPr>
        <w:t xml:space="preserve"> </w:t>
      </w:r>
      <w:r w:rsidRPr="00216683">
        <w:rPr>
          <w:rFonts w:ascii="Calibri" w:hAnsi="Calibri" w:cs="Calibri"/>
          <w:kern w:val="1"/>
        </w:rPr>
        <w:t>consider</w:t>
      </w:r>
      <w:r w:rsidRPr="00216683">
        <w:rPr>
          <w:rFonts w:ascii="Calibri" w:hAnsi="Calibri" w:cs="Calibri"/>
          <w:spacing w:val="-7"/>
          <w:kern w:val="1"/>
        </w:rPr>
        <w:t xml:space="preserve"> </w:t>
      </w:r>
      <w:r w:rsidRPr="00216683">
        <w:rPr>
          <w:rFonts w:ascii="Calibri" w:hAnsi="Calibri" w:cs="Calibri"/>
          <w:kern w:val="1"/>
        </w:rPr>
        <w:t>pressures</w:t>
      </w:r>
      <w:r w:rsidRPr="00216683">
        <w:rPr>
          <w:rFonts w:ascii="Calibri" w:hAnsi="Calibri" w:cs="Calibri"/>
          <w:spacing w:val="-14"/>
          <w:kern w:val="1"/>
        </w:rPr>
        <w:t xml:space="preserve"> </w:t>
      </w:r>
      <w:r w:rsidRPr="00216683">
        <w:rPr>
          <w:rFonts w:ascii="Calibri" w:hAnsi="Calibri" w:cs="Calibri"/>
          <w:kern w:val="1"/>
        </w:rPr>
        <w:t>emanating</w:t>
      </w:r>
      <w:r w:rsidRPr="00216683">
        <w:rPr>
          <w:rFonts w:ascii="Calibri" w:hAnsi="Calibri" w:cs="Calibri"/>
          <w:spacing w:val="-14"/>
          <w:kern w:val="1"/>
        </w:rPr>
        <w:t xml:space="preserve"> </w:t>
      </w:r>
      <w:r w:rsidRPr="00216683">
        <w:rPr>
          <w:rFonts w:ascii="Calibri" w:hAnsi="Calibri" w:cs="Calibri"/>
          <w:kern w:val="1"/>
        </w:rPr>
        <w:t>from</w:t>
      </w:r>
      <w:r w:rsidRPr="00216683">
        <w:rPr>
          <w:rFonts w:ascii="Calibri" w:hAnsi="Calibri" w:cs="Calibri"/>
          <w:spacing w:val="-14"/>
          <w:kern w:val="1"/>
        </w:rPr>
        <w:t xml:space="preserve"> </w:t>
      </w:r>
      <w:r w:rsidRPr="00216683">
        <w:rPr>
          <w:rFonts w:ascii="Calibri" w:hAnsi="Calibri" w:cs="Calibri"/>
          <w:kern w:val="1"/>
        </w:rPr>
        <w:t>society,</w:t>
      </w:r>
      <w:r w:rsidRPr="00216683">
        <w:rPr>
          <w:rFonts w:ascii="Calibri" w:hAnsi="Calibri" w:cs="Calibri"/>
          <w:spacing w:val="-13"/>
          <w:kern w:val="1"/>
        </w:rPr>
        <w:t xml:space="preserve"> </w:t>
      </w:r>
      <w:r w:rsidRPr="00216683">
        <w:rPr>
          <w:rFonts w:ascii="Calibri" w:hAnsi="Calibri" w:cs="Calibri"/>
          <w:kern w:val="1"/>
        </w:rPr>
        <w:t>and</w:t>
      </w:r>
      <w:r w:rsidRPr="00216683">
        <w:rPr>
          <w:rFonts w:ascii="Calibri" w:hAnsi="Calibri" w:cs="Calibri"/>
          <w:spacing w:val="-19"/>
          <w:kern w:val="1"/>
        </w:rPr>
        <w:t xml:space="preserve"> </w:t>
      </w:r>
      <w:r w:rsidRPr="00216683">
        <w:rPr>
          <w:rFonts w:ascii="Calibri" w:hAnsi="Calibri" w:cs="Calibri"/>
          <w:kern w:val="1"/>
        </w:rPr>
        <w:t>deal</w:t>
      </w:r>
      <w:r w:rsidRPr="00216683">
        <w:rPr>
          <w:rFonts w:ascii="Calibri" w:hAnsi="Calibri" w:cs="Calibri"/>
          <w:spacing w:val="-24"/>
          <w:kern w:val="1"/>
        </w:rPr>
        <w:t xml:space="preserve"> </w:t>
      </w:r>
      <w:r w:rsidRPr="00216683">
        <w:rPr>
          <w:rFonts w:ascii="Calibri" w:hAnsi="Calibri" w:cs="Calibri"/>
          <w:kern w:val="1"/>
        </w:rPr>
        <w:t>with</w:t>
      </w:r>
      <w:r w:rsidRPr="00216683">
        <w:rPr>
          <w:rFonts w:ascii="Calibri" w:hAnsi="Calibri" w:cs="Calibri"/>
          <w:spacing w:val="-18"/>
          <w:kern w:val="1"/>
        </w:rPr>
        <w:t xml:space="preserve"> </w:t>
      </w:r>
      <w:r w:rsidRPr="00216683">
        <w:rPr>
          <w:rFonts w:ascii="Calibri" w:hAnsi="Calibri" w:cs="Calibri"/>
          <w:kern w:val="1"/>
        </w:rPr>
        <w:t>these</w:t>
      </w:r>
      <w:r w:rsidRPr="00216683">
        <w:rPr>
          <w:rFonts w:ascii="Calibri" w:hAnsi="Calibri" w:cs="Calibri"/>
          <w:spacing w:val="-14"/>
          <w:kern w:val="1"/>
        </w:rPr>
        <w:t xml:space="preserve"> </w:t>
      </w:r>
      <w:r w:rsidRPr="00216683">
        <w:rPr>
          <w:rFonts w:ascii="Calibri" w:hAnsi="Calibri" w:cs="Calibri"/>
          <w:kern w:val="1"/>
        </w:rPr>
        <w:t>factors</w:t>
      </w:r>
      <w:r w:rsidRPr="00216683">
        <w:rPr>
          <w:rFonts w:ascii="Calibri" w:hAnsi="Calibri" w:cs="Calibri"/>
          <w:spacing w:val="-16"/>
          <w:kern w:val="1"/>
        </w:rPr>
        <w:t xml:space="preserve"> </w:t>
      </w:r>
      <w:r w:rsidRPr="00216683">
        <w:rPr>
          <w:rFonts w:ascii="Calibri" w:hAnsi="Calibri" w:cs="Calibri"/>
          <w:kern w:val="1"/>
        </w:rPr>
        <w:t>accordingly,</w:t>
      </w:r>
      <w:r w:rsidRPr="00216683">
        <w:rPr>
          <w:rFonts w:ascii="Calibri" w:hAnsi="Calibri" w:cs="Calibri"/>
          <w:spacing w:val="-14"/>
          <w:kern w:val="1"/>
        </w:rPr>
        <w:t xml:space="preserve"> </w:t>
      </w:r>
      <w:r w:rsidRPr="00216683">
        <w:rPr>
          <w:rFonts w:ascii="Calibri" w:hAnsi="Calibri" w:cs="Calibri"/>
          <w:kern w:val="1"/>
        </w:rPr>
        <w:t>in</w:t>
      </w:r>
      <w:r w:rsidRPr="00216683">
        <w:rPr>
          <w:rFonts w:ascii="Calibri" w:hAnsi="Calibri" w:cs="Calibri"/>
          <w:spacing w:val="-18"/>
          <w:kern w:val="1"/>
        </w:rPr>
        <w:t xml:space="preserve"> </w:t>
      </w:r>
      <w:r w:rsidRPr="00216683">
        <w:rPr>
          <w:rFonts w:ascii="Calibri" w:hAnsi="Calibri" w:cs="Calibri"/>
          <w:kern w:val="1"/>
        </w:rPr>
        <w:t>order</w:t>
      </w:r>
      <w:r w:rsidRPr="00216683">
        <w:rPr>
          <w:rFonts w:ascii="Calibri" w:hAnsi="Calibri" w:cs="Calibri"/>
          <w:spacing w:val="-14"/>
          <w:kern w:val="1"/>
        </w:rPr>
        <w:t xml:space="preserve"> </w:t>
      </w:r>
      <w:r w:rsidRPr="00216683">
        <w:rPr>
          <w:rFonts w:ascii="Calibri" w:hAnsi="Calibri" w:cs="Calibri"/>
          <w:kern w:val="1"/>
        </w:rPr>
        <w:t>to</w:t>
      </w:r>
      <w:r w:rsidRPr="00216683">
        <w:rPr>
          <w:rFonts w:ascii="Calibri" w:hAnsi="Calibri" w:cs="Calibri"/>
          <w:spacing w:val="-22"/>
          <w:kern w:val="1"/>
        </w:rPr>
        <w:t xml:space="preserve"> </w:t>
      </w:r>
      <w:r w:rsidRPr="00216683">
        <w:rPr>
          <w:rFonts w:ascii="Calibri" w:hAnsi="Calibri" w:cs="Calibri"/>
          <w:kern w:val="1"/>
        </w:rPr>
        <w:t>retain legitimacy and continue their enterprise.</w:t>
      </w:r>
      <w:r w:rsidRPr="00216683">
        <w:rPr>
          <w:rStyle w:val="FootnoteReference"/>
          <w:rFonts w:ascii="Calibri" w:hAnsi="Calibri" w:cs="Calibri"/>
          <w:kern w:val="1"/>
        </w:rPr>
        <w:footnoteReference w:id="22"/>
      </w:r>
      <w:r w:rsidRPr="00216683">
        <w:rPr>
          <w:rFonts w:ascii="Calibri" w:hAnsi="Calibri" w:cs="Calibri"/>
          <w:kern w:val="1"/>
        </w:rPr>
        <w:t xml:space="preserve"> This means companies should not only consider the </w:t>
      </w:r>
      <w:r w:rsidRPr="00216683">
        <w:rPr>
          <w:rFonts w:ascii="Calibri" w:hAnsi="Calibri" w:cs="Calibri"/>
          <w:kern w:val="1"/>
        </w:rPr>
        <w:lastRenderedPageBreak/>
        <w:t xml:space="preserve">dynamics of the market and the interests of shareholders, but they should also consider community concerns. </w:t>
      </w:r>
    </w:p>
    <w:p w14:paraId="07997121" w14:textId="77777777" w:rsidR="0094044B" w:rsidRDefault="0094044B" w:rsidP="00AF575B">
      <w:pPr>
        <w:tabs>
          <w:tab w:val="left" w:pos="961"/>
        </w:tabs>
        <w:autoSpaceDE w:val="0"/>
        <w:autoSpaceDN w:val="0"/>
        <w:adjustRightInd w:val="0"/>
        <w:spacing w:line="240" w:lineRule="auto"/>
        <w:ind w:right="-52"/>
        <w:contextualSpacing/>
        <w:jc w:val="both"/>
        <w:rPr>
          <w:rFonts w:ascii="Calibri" w:hAnsi="Calibri" w:cs="Calibri"/>
          <w:kern w:val="1"/>
        </w:rPr>
      </w:pPr>
    </w:p>
    <w:p w14:paraId="42BCB138" w14:textId="4A17A172" w:rsidR="006F1F3C" w:rsidRPr="00216683" w:rsidRDefault="006F1F3C" w:rsidP="00C322E3">
      <w:pPr>
        <w:tabs>
          <w:tab w:val="left" w:pos="961"/>
        </w:tabs>
        <w:autoSpaceDE w:val="0"/>
        <w:autoSpaceDN w:val="0"/>
        <w:adjustRightInd w:val="0"/>
        <w:spacing w:line="240" w:lineRule="auto"/>
        <w:ind w:right="-52"/>
        <w:contextualSpacing/>
        <w:jc w:val="both"/>
        <w:rPr>
          <w:rFonts w:ascii="Calibri" w:hAnsi="Calibri" w:cs="Calibri"/>
          <w:kern w:val="1"/>
        </w:rPr>
      </w:pPr>
      <w:r w:rsidRPr="00216683">
        <w:rPr>
          <w:rFonts w:ascii="Calibri" w:hAnsi="Calibri" w:cs="Calibri"/>
          <w:kern w:val="1"/>
        </w:rPr>
        <w:t xml:space="preserve">Definitions of the social license to operate include having "the approval, the broad acceptance of society to conduct </w:t>
      </w:r>
      <w:r w:rsidRPr="00216683">
        <w:rPr>
          <w:rFonts w:ascii="Calibri" w:hAnsi="Calibri" w:cs="Calibri"/>
          <w:spacing w:val="-3"/>
          <w:kern w:val="1"/>
        </w:rPr>
        <w:t xml:space="preserve">its </w:t>
      </w:r>
      <w:r w:rsidRPr="00216683">
        <w:rPr>
          <w:rFonts w:ascii="Calibri" w:hAnsi="Calibri" w:cs="Calibri"/>
          <w:kern w:val="1"/>
        </w:rPr>
        <w:t>activities"</w:t>
      </w:r>
      <w:r w:rsidRPr="00216683">
        <w:rPr>
          <w:rStyle w:val="FootnoteReference"/>
          <w:rFonts w:ascii="Calibri" w:hAnsi="Calibri" w:cs="Calibri"/>
          <w:kern w:val="1"/>
        </w:rPr>
        <w:footnoteReference w:id="23"/>
      </w:r>
      <w:r w:rsidRPr="00216683">
        <w:rPr>
          <w:rFonts w:ascii="Calibri" w:hAnsi="Calibri" w:cs="Calibri"/>
          <w:kern w:val="1"/>
        </w:rPr>
        <w:t>, being responsive to the demands "that emerge from neighbo</w:t>
      </w:r>
      <w:r>
        <w:rPr>
          <w:rFonts w:ascii="Calibri" w:hAnsi="Calibri" w:cs="Calibri"/>
          <w:kern w:val="1"/>
        </w:rPr>
        <w:t>u</w:t>
      </w:r>
      <w:r w:rsidRPr="00216683">
        <w:rPr>
          <w:rFonts w:ascii="Calibri" w:hAnsi="Calibri" w:cs="Calibri"/>
          <w:kern w:val="1"/>
        </w:rPr>
        <w:t>rhoods, environmental groups, community members, and other elements of the surrounding civil society"</w:t>
      </w:r>
      <w:r w:rsidRPr="00216683">
        <w:rPr>
          <w:rStyle w:val="FootnoteReference"/>
          <w:rFonts w:ascii="Calibri" w:hAnsi="Calibri" w:cs="Calibri"/>
          <w:kern w:val="1"/>
        </w:rPr>
        <w:footnoteReference w:id="24"/>
      </w:r>
      <w:r w:rsidRPr="00216683">
        <w:rPr>
          <w:rFonts w:ascii="Calibri" w:hAnsi="Calibri" w:cs="Calibri"/>
          <w:kern w:val="1"/>
        </w:rPr>
        <w:t xml:space="preserve"> </w:t>
      </w:r>
      <w:r w:rsidRPr="00216683">
        <w:rPr>
          <w:rFonts w:ascii="Calibri" w:hAnsi="Calibri" w:cs="Calibri"/>
          <w:spacing w:val="-3"/>
          <w:kern w:val="1"/>
        </w:rPr>
        <w:t xml:space="preserve">and </w:t>
      </w:r>
      <w:r w:rsidRPr="00216683">
        <w:rPr>
          <w:rFonts w:ascii="Calibri" w:hAnsi="Calibri" w:cs="Calibri"/>
          <w:kern w:val="1"/>
        </w:rPr>
        <w:t xml:space="preserve">as a sign of "social acceptance </w:t>
      </w:r>
      <w:r w:rsidRPr="00216683">
        <w:rPr>
          <w:rFonts w:ascii="Calibri" w:hAnsi="Calibri" w:cs="Calibri"/>
          <w:spacing w:val="-3"/>
          <w:kern w:val="1"/>
        </w:rPr>
        <w:t xml:space="preserve">or </w:t>
      </w:r>
      <w:r w:rsidRPr="00216683">
        <w:rPr>
          <w:rFonts w:ascii="Calibri" w:hAnsi="Calibri" w:cs="Calibri"/>
          <w:kern w:val="1"/>
        </w:rPr>
        <w:t xml:space="preserve">approval […] a socially constructed perception that your company </w:t>
      </w:r>
      <w:r w:rsidRPr="00216683">
        <w:rPr>
          <w:rFonts w:ascii="Calibri" w:hAnsi="Calibri" w:cs="Calibri"/>
          <w:spacing w:val="-3"/>
          <w:kern w:val="1"/>
        </w:rPr>
        <w:t xml:space="preserve">or </w:t>
      </w:r>
      <w:r w:rsidRPr="00216683">
        <w:rPr>
          <w:rFonts w:ascii="Calibri" w:hAnsi="Calibri" w:cs="Calibri"/>
          <w:kern w:val="1"/>
        </w:rPr>
        <w:t>project has a legitimate place in the community."</w:t>
      </w:r>
      <w:r w:rsidRPr="00216683">
        <w:rPr>
          <w:rStyle w:val="FootnoteReference"/>
          <w:rFonts w:ascii="Calibri" w:hAnsi="Calibri" w:cs="Calibri"/>
          <w:kern w:val="1"/>
        </w:rPr>
        <w:footnoteReference w:id="25"/>
      </w:r>
      <w:r w:rsidRPr="00216683">
        <w:rPr>
          <w:rFonts w:ascii="Calibri" w:hAnsi="Calibri" w:cs="Calibri"/>
          <w:kern w:val="1"/>
        </w:rPr>
        <w:t xml:space="preserve"> The social license to operate </w:t>
      </w:r>
      <w:r w:rsidRPr="00216683">
        <w:rPr>
          <w:rFonts w:ascii="Calibri" w:hAnsi="Calibri" w:cs="Calibri"/>
          <w:spacing w:val="-3"/>
          <w:kern w:val="1"/>
        </w:rPr>
        <w:t xml:space="preserve">has </w:t>
      </w:r>
      <w:r w:rsidRPr="00216683">
        <w:rPr>
          <w:rFonts w:ascii="Calibri" w:hAnsi="Calibri" w:cs="Calibri"/>
          <w:kern w:val="1"/>
        </w:rPr>
        <w:t>become embedded in corporate sustainability</w:t>
      </w:r>
      <w:r w:rsidRPr="00216683">
        <w:rPr>
          <w:rFonts w:ascii="Calibri" w:hAnsi="Calibri" w:cs="Calibri"/>
          <w:spacing w:val="-39"/>
          <w:kern w:val="1"/>
        </w:rPr>
        <w:t xml:space="preserve"> </w:t>
      </w:r>
      <w:r w:rsidRPr="00216683">
        <w:rPr>
          <w:rFonts w:ascii="Calibri" w:hAnsi="Calibri" w:cs="Calibri"/>
          <w:kern w:val="1"/>
        </w:rPr>
        <w:t>reports, as</w:t>
      </w:r>
      <w:r w:rsidRPr="00216683">
        <w:rPr>
          <w:rFonts w:ascii="Calibri" w:hAnsi="Calibri" w:cs="Calibri"/>
          <w:spacing w:val="-12"/>
          <w:kern w:val="1"/>
        </w:rPr>
        <w:t xml:space="preserve"> </w:t>
      </w:r>
      <w:r w:rsidRPr="00216683">
        <w:rPr>
          <w:rFonts w:ascii="Calibri" w:hAnsi="Calibri" w:cs="Calibri"/>
          <w:kern w:val="1"/>
        </w:rPr>
        <w:t>well</w:t>
      </w:r>
      <w:r w:rsidRPr="00216683">
        <w:rPr>
          <w:rFonts w:ascii="Calibri" w:hAnsi="Calibri" w:cs="Calibri"/>
          <w:spacing w:val="-20"/>
          <w:kern w:val="1"/>
        </w:rPr>
        <w:t xml:space="preserve"> </w:t>
      </w:r>
      <w:r w:rsidRPr="00216683">
        <w:rPr>
          <w:rFonts w:ascii="Calibri" w:hAnsi="Calibri" w:cs="Calibri"/>
          <w:kern w:val="1"/>
        </w:rPr>
        <w:t>as</w:t>
      </w:r>
      <w:r w:rsidRPr="00216683">
        <w:rPr>
          <w:rFonts w:ascii="Calibri" w:hAnsi="Calibri" w:cs="Calibri"/>
          <w:spacing w:val="-7"/>
          <w:kern w:val="1"/>
        </w:rPr>
        <w:t xml:space="preserve"> </w:t>
      </w:r>
      <w:r w:rsidRPr="00216683">
        <w:rPr>
          <w:rFonts w:ascii="Calibri" w:hAnsi="Calibri" w:cs="Calibri"/>
          <w:kern w:val="1"/>
        </w:rPr>
        <w:t>in</w:t>
      </w:r>
      <w:r w:rsidRPr="00216683">
        <w:rPr>
          <w:rFonts w:ascii="Calibri" w:hAnsi="Calibri" w:cs="Calibri"/>
          <w:spacing w:val="-16"/>
          <w:kern w:val="1"/>
        </w:rPr>
        <w:t xml:space="preserve"> </w:t>
      </w:r>
      <w:r w:rsidRPr="00216683">
        <w:rPr>
          <w:rFonts w:ascii="Calibri" w:hAnsi="Calibri" w:cs="Calibri"/>
          <w:kern w:val="1"/>
        </w:rPr>
        <w:t>company</w:t>
      </w:r>
      <w:r w:rsidRPr="00216683">
        <w:rPr>
          <w:rFonts w:ascii="Calibri" w:hAnsi="Calibri" w:cs="Calibri"/>
          <w:spacing w:val="-19"/>
          <w:kern w:val="1"/>
        </w:rPr>
        <w:t xml:space="preserve"> </w:t>
      </w:r>
      <w:r w:rsidRPr="00216683">
        <w:rPr>
          <w:rFonts w:ascii="Calibri" w:hAnsi="Calibri" w:cs="Calibri"/>
          <w:kern w:val="1"/>
        </w:rPr>
        <w:t>and</w:t>
      </w:r>
      <w:r w:rsidRPr="00216683">
        <w:rPr>
          <w:rFonts w:ascii="Calibri" w:hAnsi="Calibri" w:cs="Calibri"/>
          <w:spacing w:val="-9"/>
          <w:kern w:val="1"/>
        </w:rPr>
        <w:t xml:space="preserve"> </w:t>
      </w:r>
      <w:r w:rsidRPr="00216683">
        <w:rPr>
          <w:rFonts w:ascii="Calibri" w:hAnsi="Calibri" w:cs="Calibri"/>
          <w:kern w:val="1"/>
        </w:rPr>
        <w:t>industry</w:t>
      </w:r>
      <w:r w:rsidRPr="00216683">
        <w:rPr>
          <w:rFonts w:ascii="Calibri" w:hAnsi="Calibri" w:cs="Calibri"/>
          <w:spacing w:val="-18"/>
          <w:kern w:val="1"/>
        </w:rPr>
        <w:t xml:space="preserve"> </w:t>
      </w:r>
      <w:r w:rsidRPr="00216683">
        <w:rPr>
          <w:rFonts w:ascii="Calibri" w:hAnsi="Calibri" w:cs="Calibri"/>
          <w:kern w:val="1"/>
        </w:rPr>
        <w:t>policies</w:t>
      </w:r>
      <w:r w:rsidRPr="00216683">
        <w:rPr>
          <w:rFonts w:ascii="Calibri" w:hAnsi="Calibri" w:cs="Calibri"/>
          <w:spacing w:val="-12"/>
          <w:kern w:val="1"/>
        </w:rPr>
        <w:t xml:space="preserve"> </w:t>
      </w:r>
      <w:r w:rsidRPr="00216683">
        <w:rPr>
          <w:rFonts w:ascii="Calibri" w:hAnsi="Calibri" w:cs="Calibri"/>
          <w:spacing w:val="-3"/>
          <w:kern w:val="1"/>
        </w:rPr>
        <w:t>and</w:t>
      </w:r>
      <w:r w:rsidRPr="00216683">
        <w:rPr>
          <w:rFonts w:ascii="Calibri" w:hAnsi="Calibri" w:cs="Calibri"/>
          <w:spacing w:val="-14"/>
          <w:kern w:val="1"/>
        </w:rPr>
        <w:t xml:space="preserve"> </w:t>
      </w:r>
      <w:r w:rsidRPr="00216683">
        <w:rPr>
          <w:rFonts w:ascii="Calibri" w:hAnsi="Calibri" w:cs="Calibri"/>
          <w:kern w:val="1"/>
        </w:rPr>
        <w:t>standards,</w:t>
      </w:r>
      <w:r w:rsidRPr="00216683">
        <w:rPr>
          <w:rFonts w:ascii="Calibri" w:hAnsi="Calibri" w:cs="Calibri"/>
          <w:spacing w:val="-7"/>
          <w:kern w:val="1"/>
        </w:rPr>
        <w:t xml:space="preserve"> </w:t>
      </w:r>
      <w:r w:rsidRPr="00216683">
        <w:rPr>
          <w:rFonts w:ascii="Calibri" w:hAnsi="Calibri" w:cs="Calibri"/>
          <w:kern w:val="1"/>
        </w:rPr>
        <w:t>in</w:t>
      </w:r>
      <w:r w:rsidRPr="00216683">
        <w:rPr>
          <w:rFonts w:ascii="Calibri" w:hAnsi="Calibri" w:cs="Calibri"/>
          <w:spacing w:val="-17"/>
          <w:kern w:val="1"/>
        </w:rPr>
        <w:t xml:space="preserve"> </w:t>
      </w:r>
      <w:r w:rsidRPr="00216683">
        <w:rPr>
          <w:rFonts w:ascii="Calibri" w:hAnsi="Calibri" w:cs="Calibri"/>
          <w:kern w:val="1"/>
        </w:rPr>
        <w:t>CEO</w:t>
      </w:r>
      <w:r w:rsidRPr="00216683">
        <w:rPr>
          <w:rFonts w:ascii="Calibri" w:hAnsi="Calibri" w:cs="Calibri"/>
          <w:spacing w:val="-12"/>
          <w:kern w:val="1"/>
        </w:rPr>
        <w:t xml:space="preserve"> </w:t>
      </w:r>
      <w:r w:rsidRPr="00216683">
        <w:rPr>
          <w:rFonts w:ascii="Calibri" w:hAnsi="Calibri" w:cs="Calibri"/>
          <w:kern w:val="1"/>
        </w:rPr>
        <w:t>speeches</w:t>
      </w:r>
      <w:r w:rsidRPr="00216683">
        <w:rPr>
          <w:rFonts w:ascii="Calibri" w:hAnsi="Calibri" w:cs="Calibri"/>
          <w:spacing w:val="-9"/>
          <w:kern w:val="1"/>
        </w:rPr>
        <w:t xml:space="preserve">, </w:t>
      </w:r>
      <w:r w:rsidRPr="00216683">
        <w:rPr>
          <w:rFonts w:ascii="Calibri" w:hAnsi="Calibri" w:cs="Calibri"/>
          <w:kern w:val="1"/>
        </w:rPr>
        <w:t>and</w:t>
      </w:r>
      <w:r w:rsidRPr="00216683">
        <w:rPr>
          <w:rFonts w:ascii="Calibri" w:hAnsi="Calibri" w:cs="Calibri"/>
          <w:spacing w:val="-14"/>
          <w:kern w:val="1"/>
        </w:rPr>
        <w:t xml:space="preserve"> in </w:t>
      </w:r>
      <w:r w:rsidRPr="00216683">
        <w:rPr>
          <w:rFonts w:ascii="Calibri" w:hAnsi="Calibri" w:cs="Calibri"/>
          <w:kern w:val="1"/>
        </w:rPr>
        <w:t>statements by peak industry bodies: "[…] the concept of a social license to operate has been widely accepted</w:t>
      </w:r>
      <w:r w:rsidRPr="00216683">
        <w:rPr>
          <w:rFonts w:ascii="Calibri" w:hAnsi="Calibri" w:cs="Calibri"/>
          <w:spacing w:val="-8"/>
          <w:kern w:val="1"/>
        </w:rPr>
        <w:t xml:space="preserve"> </w:t>
      </w:r>
      <w:r w:rsidRPr="00216683">
        <w:rPr>
          <w:rFonts w:ascii="Calibri" w:hAnsi="Calibri" w:cs="Calibri"/>
          <w:kern w:val="1"/>
        </w:rPr>
        <w:t>by</w:t>
      </w:r>
      <w:r w:rsidRPr="00216683">
        <w:rPr>
          <w:rFonts w:ascii="Calibri" w:hAnsi="Calibri" w:cs="Calibri"/>
          <w:spacing w:val="-13"/>
          <w:kern w:val="1"/>
        </w:rPr>
        <w:t xml:space="preserve"> </w:t>
      </w:r>
      <w:r w:rsidRPr="00216683">
        <w:rPr>
          <w:rFonts w:ascii="Calibri" w:hAnsi="Calibri" w:cs="Calibri"/>
          <w:kern w:val="1"/>
        </w:rPr>
        <w:t>the</w:t>
      </w:r>
      <w:r w:rsidRPr="00216683">
        <w:rPr>
          <w:rFonts w:ascii="Calibri" w:hAnsi="Calibri" w:cs="Calibri"/>
          <w:spacing w:val="-4"/>
          <w:kern w:val="1"/>
        </w:rPr>
        <w:t xml:space="preserve"> </w:t>
      </w:r>
      <w:r w:rsidRPr="00216683">
        <w:rPr>
          <w:rFonts w:ascii="Calibri" w:hAnsi="Calibri" w:cs="Calibri"/>
          <w:kern w:val="1"/>
        </w:rPr>
        <w:t>industry</w:t>
      </w:r>
      <w:r w:rsidRPr="00216683">
        <w:rPr>
          <w:rFonts w:ascii="Calibri" w:hAnsi="Calibri" w:cs="Calibri"/>
          <w:spacing w:val="-13"/>
          <w:kern w:val="1"/>
        </w:rPr>
        <w:t xml:space="preserve"> </w:t>
      </w:r>
      <w:r w:rsidRPr="00216683">
        <w:rPr>
          <w:rFonts w:ascii="Calibri" w:hAnsi="Calibri" w:cs="Calibri"/>
          <w:kern w:val="1"/>
        </w:rPr>
        <w:t>as</w:t>
      </w:r>
      <w:r w:rsidRPr="00216683">
        <w:rPr>
          <w:rFonts w:ascii="Calibri" w:hAnsi="Calibri" w:cs="Calibri"/>
          <w:spacing w:val="-6"/>
          <w:kern w:val="1"/>
        </w:rPr>
        <w:t xml:space="preserve"> </w:t>
      </w:r>
      <w:r w:rsidRPr="00216683">
        <w:rPr>
          <w:rFonts w:ascii="Calibri" w:hAnsi="Calibri" w:cs="Calibri"/>
          <w:kern w:val="1"/>
        </w:rPr>
        <w:t>an</w:t>
      </w:r>
      <w:r w:rsidRPr="00216683">
        <w:rPr>
          <w:rFonts w:ascii="Calibri" w:hAnsi="Calibri" w:cs="Calibri"/>
          <w:spacing w:val="-13"/>
          <w:kern w:val="1"/>
        </w:rPr>
        <w:t xml:space="preserve"> </w:t>
      </w:r>
      <w:r w:rsidRPr="00216683">
        <w:rPr>
          <w:rFonts w:ascii="Calibri" w:hAnsi="Calibri" w:cs="Calibri"/>
          <w:kern w:val="1"/>
        </w:rPr>
        <w:t>essential</w:t>
      </w:r>
      <w:r w:rsidRPr="00216683">
        <w:rPr>
          <w:rFonts w:ascii="Calibri" w:hAnsi="Calibri" w:cs="Calibri"/>
          <w:spacing w:val="-9"/>
          <w:kern w:val="1"/>
        </w:rPr>
        <w:t xml:space="preserve"> </w:t>
      </w:r>
      <w:r w:rsidRPr="00216683">
        <w:rPr>
          <w:rFonts w:ascii="Calibri" w:hAnsi="Calibri" w:cs="Calibri"/>
          <w:kern w:val="1"/>
        </w:rPr>
        <w:t>attribute</w:t>
      </w:r>
      <w:r w:rsidRPr="00216683">
        <w:rPr>
          <w:rFonts w:ascii="Calibri" w:hAnsi="Calibri" w:cs="Calibri"/>
          <w:spacing w:val="-4"/>
          <w:kern w:val="1"/>
        </w:rPr>
        <w:t xml:space="preserve"> </w:t>
      </w:r>
      <w:r w:rsidRPr="00216683">
        <w:rPr>
          <w:rFonts w:ascii="Calibri" w:hAnsi="Calibri" w:cs="Calibri"/>
          <w:kern w:val="1"/>
        </w:rPr>
        <w:t>of</w:t>
      </w:r>
      <w:r w:rsidRPr="00216683">
        <w:rPr>
          <w:rFonts w:ascii="Calibri" w:hAnsi="Calibri" w:cs="Calibri"/>
          <w:spacing w:val="-11"/>
          <w:kern w:val="1"/>
        </w:rPr>
        <w:t xml:space="preserve"> </w:t>
      </w:r>
      <w:r w:rsidRPr="00216683">
        <w:rPr>
          <w:rFonts w:ascii="Calibri" w:hAnsi="Calibri" w:cs="Calibri"/>
          <w:kern w:val="1"/>
        </w:rPr>
        <w:t>success.</w:t>
      </w:r>
      <w:r w:rsidRPr="00216683">
        <w:rPr>
          <w:rFonts w:ascii="Calibri" w:hAnsi="Calibri" w:cs="Calibri"/>
          <w:spacing w:val="-8"/>
          <w:kern w:val="1"/>
        </w:rPr>
        <w:t xml:space="preserve"> </w:t>
      </w:r>
      <w:r w:rsidRPr="00216683">
        <w:rPr>
          <w:rFonts w:ascii="Calibri" w:hAnsi="Calibri" w:cs="Calibri"/>
          <w:spacing w:val="-3"/>
          <w:kern w:val="1"/>
        </w:rPr>
        <w:t>It</w:t>
      </w:r>
      <w:r w:rsidRPr="00216683">
        <w:rPr>
          <w:rFonts w:ascii="Calibri" w:hAnsi="Calibri" w:cs="Calibri"/>
          <w:spacing w:val="-4"/>
          <w:kern w:val="1"/>
        </w:rPr>
        <w:t xml:space="preserve"> </w:t>
      </w:r>
      <w:r w:rsidRPr="00216683">
        <w:rPr>
          <w:rFonts w:ascii="Calibri" w:hAnsi="Calibri" w:cs="Calibri"/>
          <w:spacing w:val="-3"/>
          <w:kern w:val="1"/>
        </w:rPr>
        <w:t>has</w:t>
      </w:r>
      <w:r w:rsidRPr="00216683">
        <w:rPr>
          <w:rFonts w:ascii="Calibri" w:hAnsi="Calibri" w:cs="Calibri"/>
          <w:spacing w:val="-6"/>
          <w:kern w:val="1"/>
        </w:rPr>
        <w:t xml:space="preserve"> </w:t>
      </w:r>
      <w:r w:rsidRPr="00216683">
        <w:rPr>
          <w:rFonts w:ascii="Calibri" w:hAnsi="Calibri" w:cs="Calibri"/>
          <w:kern w:val="1"/>
        </w:rPr>
        <w:t>prompted</w:t>
      </w:r>
      <w:r w:rsidRPr="00216683">
        <w:rPr>
          <w:rFonts w:ascii="Calibri" w:hAnsi="Calibri" w:cs="Calibri"/>
          <w:spacing w:val="-8"/>
          <w:kern w:val="1"/>
        </w:rPr>
        <w:t xml:space="preserve"> </w:t>
      </w:r>
      <w:r w:rsidRPr="00216683">
        <w:rPr>
          <w:rFonts w:ascii="Calibri" w:hAnsi="Calibri" w:cs="Calibri"/>
          <w:kern w:val="1"/>
        </w:rPr>
        <w:t>companies</w:t>
      </w:r>
      <w:r w:rsidRPr="00216683">
        <w:rPr>
          <w:rFonts w:ascii="Calibri" w:hAnsi="Calibri" w:cs="Calibri"/>
          <w:spacing w:val="-6"/>
          <w:kern w:val="1"/>
        </w:rPr>
        <w:t xml:space="preserve"> </w:t>
      </w:r>
      <w:r w:rsidRPr="00216683">
        <w:rPr>
          <w:rFonts w:ascii="Calibri" w:hAnsi="Calibri" w:cs="Calibri"/>
          <w:kern w:val="1"/>
        </w:rPr>
        <w:t>to</w:t>
      </w:r>
      <w:r w:rsidRPr="00216683">
        <w:rPr>
          <w:rFonts w:ascii="Calibri" w:hAnsi="Calibri" w:cs="Calibri"/>
          <w:spacing w:val="-8"/>
          <w:kern w:val="1"/>
        </w:rPr>
        <w:t xml:space="preserve"> </w:t>
      </w:r>
      <w:r w:rsidRPr="00216683">
        <w:rPr>
          <w:rFonts w:ascii="Calibri" w:hAnsi="Calibri" w:cs="Calibri"/>
          <w:kern w:val="1"/>
        </w:rPr>
        <w:t>look well beyond their self-interest."</w:t>
      </w:r>
      <w:r w:rsidRPr="00216683">
        <w:rPr>
          <w:rStyle w:val="FootnoteReference"/>
          <w:rFonts w:ascii="Calibri" w:hAnsi="Calibri" w:cs="Calibri"/>
          <w:kern w:val="1"/>
        </w:rPr>
        <w:footnoteReference w:id="26"/>
      </w:r>
      <w:r w:rsidRPr="00216683">
        <w:rPr>
          <w:rFonts w:ascii="Calibri" w:hAnsi="Calibri" w:cs="Calibri"/>
          <w:spacing w:val="2"/>
          <w:kern w:val="1"/>
        </w:rPr>
        <w:t xml:space="preserve"> </w:t>
      </w:r>
      <w:r w:rsidRPr="00216683">
        <w:rPr>
          <w:rFonts w:ascii="Calibri" w:hAnsi="Calibri" w:cs="Calibri"/>
          <w:kern w:val="1"/>
        </w:rPr>
        <w:t xml:space="preserve">The concept </w:t>
      </w:r>
      <w:r w:rsidRPr="00216683">
        <w:rPr>
          <w:rFonts w:ascii="Calibri" w:hAnsi="Calibri" w:cs="Calibri"/>
          <w:spacing w:val="-3"/>
          <w:kern w:val="1"/>
        </w:rPr>
        <w:t xml:space="preserve">has </w:t>
      </w:r>
      <w:r w:rsidRPr="00216683">
        <w:rPr>
          <w:rFonts w:ascii="Calibri" w:hAnsi="Calibri" w:cs="Calibri"/>
          <w:kern w:val="1"/>
        </w:rPr>
        <w:t>also been embraced</w:t>
      </w:r>
      <w:r w:rsidRPr="00216683">
        <w:rPr>
          <w:rFonts w:ascii="Calibri" w:hAnsi="Calibri" w:cs="Calibri"/>
          <w:spacing w:val="-2"/>
          <w:kern w:val="1"/>
        </w:rPr>
        <w:t xml:space="preserve"> </w:t>
      </w:r>
      <w:r w:rsidRPr="00216683">
        <w:rPr>
          <w:rFonts w:ascii="Calibri" w:hAnsi="Calibri" w:cs="Calibri"/>
          <w:kern w:val="1"/>
        </w:rPr>
        <w:t>by</w:t>
      </w:r>
      <w:r w:rsidRPr="00216683">
        <w:rPr>
          <w:rFonts w:ascii="Calibri" w:hAnsi="Calibri" w:cs="Calibri"/>
          <w:spacing w:val="-12"/>
          <w:kern w:val="1"/>
        </w:rPr>
        <w:t xml:space="preserve"> </w:t>
      </w:r>
      <w:r w:rsidRPr="00216683">
        <w:rPr>
          <w:rFonts w:ascii="Calibri" w:hAnsi="Calibri" w:cs="Calibri"/>
          <w:kern w:val="1"/>
        </w:rPr>
        <w:t>civil</w:t>
      </w:r>
      <w:r w:rsidRPr="00216683">
        <w:rPr>
          <w:rFonts w:ascii="Calibri" w:hAnsi="Calibri" w:cs="Calibri"/>
          <w:spacing w:val="-3"/>
          <w:kern w:val="1"/>
        </w:rPr>
        <w:t xml:space="preserve"> </w:t>
      </w:r>
      <w:r w:rsidRPr="00216683">
        <w:rPr>
          <w:rFonts w:ascii="Calibri" w:hAnsi="Calibri" w:cs="Calibri"/>
          <w:kern w:val="1"/>
        </w:rPr>
        <w:t>society:</w:t>
      </w:r>
      <w:r w:rsidRPr="00216683">
        <w:rPr>
          <w:rFonts w:ascii="Calibri" w:hAnsi="Calibri" w:cs="Calibri"/>
          <w:spacing w:val="-3"/>
          <w:kern w:val="1"/>
        </w:rPr>
        <w:t xml:space="preserve"> </w:t>
      </w:r>
      <w:r w:rsidRPr="00216683">
        <w:rPr>
          <w:rFonts w:ascii="Calibri" w:hAnsi="Calibri" w:cs="Calibri"/>
          <w:kern w:val="1"/>
        </w:rPr>
        <w:t>"[t]he</w:t>
      </w:r>
      <w:r w:rsidRPr="00216683">
        <w:rPr>
          <w:rFonts w:ascii="Calibri" w:hAnsi="Calibri" w:cs="Calibri"/>
          <w:spacing w:val="-4"/>
          <w:kern w:val="1"/>
        </w:rPr>
        <w:t xml:space="preserve"> </w:t>
      </w:r>
      <w:r w:rsidRPr="00216683">
        <w:rPr>
          <w:rFonts w:ascii="Calibri" w:hAnsi="Calibri" w:cs="Calibri"/>
          <w:kern w:val="1"/>
        </w:rPr>
        <w:t>social</w:t>
      </w:r>
      <w:r w:rsidRPr="00216683">
        <w:rPr>
          <w:rFonts w:ascii="Calibri" w:hAnsi="Calibri" w:cs="Calibri"/>
          <w:spacing w:val="-3"/>
          <w:kern w:val="1"/>
        </w:rPr>
        <w:t xml:space="preserve"> </w:t>
      </w:r>
      <w:r w:rsidRPr="00216683">
        <w:rPr>
          <w:rFonts w:ascii="Calibri" w:hAnsi="Calibri" w:cs="Calibri"/>
          <w:kern w:val="1"/>
        </w:rPr>
        <w:t>license</w:t>
      </w:r>
      <w:r w:rsidRPr="00216683">
        <w:rPr>
          <w:rFonts w:ascii="Calibri" w:hAnsi="Calibri" w:cs="Calibri"/>
          <w:spacing w:val="2"/>
          <w:kern w:val="1"/>
        </w:rPr>
        <w:t xml:space="preserve"> </w:t>
      </w:r>
      <w:r w:rsidRPr="00216683">
        <w:rPr>
          <w:rFonts w:ascii="Calibri" w:hAnsi="Calibri" w:cs="Calibri"/>
          <w:spacing w:val="-4"/>
          <w:kern w:val="1"/>
        </w:rPr>
        <w:t>is</w:t>
      </w:r>
      <w:r w:rsidRPr="00216683">
        <w:rPr>
          <w:rFonts w:ascii="Calibri" w:hAnsi="Calibri" w:cs="Calibri"/>
          <w:spacing w:val="-1"/>
          <w:kern w:val="1"/>
        </w:rPr>
        <w:t xml:space="preserve"> </w:t>
      </w:r>
      <w:r w:rsidRPr="00216683">
        <w:rPr>
          <w:rFonts w:ascii="Calibri" w:hAnsi="Calibri" w:cs="Calibri"/>
          <w:kern w:val="1"/>
        </w:rPr>
        <w:t>fundamentally</w:t>
      </w:r>
      <w:r w:rsidRPr="00216683">
        <w:rPr>
          <w:rFonts w:ascii="Calibri" w:hAnsi="Calibri" w:cs="Calibri"/>
          <w:spacing w:val="-7"/>
          <w:kern w:val="1"/>
        </w:rPr>
        <w:t xml:space="preserve"> </w:t>
      </w:r>
      <w:r w:rsidRPr="00216683">
        <w:rPr>
          <w:rFonts w:ascii="Calibri" w:hAnsi="Calibri" w:cs="Calibri"/>
          <w:kern w:val="1"/>
        </w:rPr>
        <w:t>about</w:t>
      </w:r>
      <w:r w:rsidRPr="00216683">
        <w:rPr>
          <w:rFonts w:ascii="Calibri" w:hAnsi="Calibri" w:cs="Calibri"/>
          <w:spacing w:val="-3"/>
          <w:kern w:val="1"/>
        </w:rPr>
        <w:t xml:space="preserve"> </w:t>
      </w:r>
      <w:r w:rsidRPr="00216683">
        <w:rPr>
          <w:rFonts w:ascii="Calibri" w:hAnsi="Calibri" w:cs="Calibri"/>
          <w:kern w:val="1"/>
        </w:rPr>
        <w:t>accountability</w:t>
      </w:r>
      <w:r w:rsidRPr="00216683">
        <w:rPr>
          <w:rFonts w:ascii="Calibri" w:hAnsi="Calibri" w:cs="Calibri"/>
          <w:spacing w:val="-7"/>
          <w:kern w:val="1"/>
        </w:rPr>
        <w:t xml:space="preserve"> </w:t>
      </w:r>
      <w:r w:rsidRPr="00216683">
        <w:rPr>
          <w:rFonts w:ascii="Calibri" w:hAnsi="Calibri" w:cs="Calibri"/>
          <w:kern w:val="1"/>
        </w:rPr>
        <w:t>to</w:t>
      </w:r>
      <w:r w:rsidRPr="00216683">
        <w:rPr>
          <w:rFonts w:ascii="Calibri" w:hAnsi="Calibri" w:cs="Calibri"/>
          <w:spacing w:val="-8"/>
          <w:kern w:val="1"/>
        </w:rPr>
        <w:t xml:space="preserve"> </w:t>
      </w:r>
      <w:r w:rsidRPr="00216683">
        <w:rPr>
          <w:rFonts w:ascii="Calibri" w:hAnsi="Calibri" w:cs="Calibri"/>
          <w:kern w:val="1"/>
        </w:rPr>
        <w:t xml:space="preserve">people </w:t>
      </w:r>
      <w:r w:rsidRPr="00216683">
        <w:rPr>
          <w:rFonts w:ascii="Calibri" w:hAnsi="Calibri" w:cs="Calibri"/>
          <w:spacing w:val="-3"/>
          <w:kern w:val="1"/>
        </w:rPr>
        <w:t xml:space="preserve">and </w:t>
      </w:r>
      <w:r w:rsidRPr="00216683">
        <w:rPr>
          <w:rFonts w:ascii="Calibri" w:hAnsi="Calibri" w:cs="Calibri"/>
          <w:kern w:val="1"/>
        </w:rPr>
        <w:t>not just powerful interests" according to Kumi Naidoo, former Executive Director of Greenpeace International and former Secretary General of Amnesty International.</w:t>
      </w:r>
      <w:r w:rsidRPr="00216683">
        <w:rPr>
          <w:rStyle w:val="FootnoteReference"/>
          <w:rFonts w:ascii="Calibri" w:hAnsi="Calibri" w:cs="Calibri"/>
          <w:kern w:val="1"/>
        </w:rPr>
        <w:footnoteReference w:id="27"/>
      </w:r>
      <w:r w:rsidRPr="00216683">
        <w:rPr>
          <w:rFonts w:ascii="Calibri" w:hAnsi="Calibri" w:cs="Calibri"/>
          <w:kern w:val="1"/>
        </w:rPr>
        <w:t xml:space="preserve"> </w:t>
      </w:r>
    </w:p>
    <w:p w14:paraId="1A9A200A" w14:textId="77777777" w:rsidR="0094044B" w:rsidRDefault="0094044B" w:rsidP="00AF575B">
      <w:pPr>
        <w:tabs>
          <w:tab w:val="left" w:pos="961"/>
        </w:tabs>
        <w:autoSpaceDE w:val="0"/>
        <w:autoSpaceDN w:val="0"/>
        <w:adjustRightInd w:val="0"/>
        <w:spacing w:line="240" w:lineRule="auto"/>
        <w:ind w:right="-52"/>
        <w:contextualSpacing/>
        <w:jc w:val="both"/>
        <w:rPr>
          <w:rFonts w:ascii="Calibri" w:hAnsi="Calibri" w:cs="Calibri"/>
          <w:kern w:val="1"/>
        </w:rPr>
      </w:pPr>
    </w:p>
    <w:p w14:paraId="5BE79AC4" w14:textId="5B95BDAB" w:rsidR="006F1F3C" w:rsidRPr="00216683" w:rsidRDefault="006F1F3C" w:rsidP="00C322E3">
      <w:pPr>
        <w:tabs>
          <w:tab w:val="left" w:pos="961"/>
        </w:tabs>
        <w:autoSpaceDE w:val="0"/>
        <w:autoSpaceDN w:val="0"/>
        <w:adjustRightInd w:val="0"/>
        <w:spacing w:line="240" w:lineRule="auto"/>
        <w:ind w:right="-52"/>
        <w:contextualSpacing/>
        <w:jc w:val="both"/>
        <w:rPr>
          <w:rFonts w:ascii="Calibri" w:hAnsi="Calibri" w:cs="Calibri"/>
          <w:kern w:val="1"/>
        </w:rPr>
      </w:pPr>
      <w:r w:rsidRPr="00216683">
        <w:rPr>
          <w:rFonts w:ascii="Calibri" w:hAnsi="Calibri" w:cs="Calibri"/>
          <w:kern w:val="1"/>
        </w:rPr>
        <w:t xml:space="preserve">Despite </w:t>
      </w:r>
      <w:r w:rsidRPr="00216683">
        <w:rPr>
          <w:rFonts w:ascii="Calibri" w:hAnsi="Calibri" w:cs="Calibri"/>
          <w:spacing w:val="-3"/>
          <w:kern w:val="1"/>
        </w:rPr>
        <w:t xml:space="preserve">its </w:t>
      </w:r>
      <w:r w:rsidRPr="00216683">
        <w:rPr>
          <w:rFonts w:ascii="Calibri" w:hAnsi="Calibri" w:cs="Calibri"/>
          <w:kern w:val="1"/>
        </w:rPr>
        <w:t>common acceptance, the social license "exists" on the basis of an</w:t>
      </w:r>
      <w:r w:rsidRPr="00216683">
        <w:rPr>
          <w:rFonts w:ascii="Calibri" w:hAnsi="Calibri" w:cs="Calibri"/>
          <w:spacing w:val="22"/>
          <w:kern w:val="1"/>
        </w:rPr>
        <w:t xml:space="preserve"> </w:t>
      </w:r>
      <w:r w:rsidRPr="00216683">
        <w:rPr>
          <w:rFonts w:ascii="Calibri" w:hAnsi="Calibri" w:cs="Calibri"/>
          <w:kern w:val="1"/>
        </w:rPr>
        <w:t xml:space="preserve">unwritten agreement between business and society. Problematically, while an actual regulatory license has precise conditions, the social license to operate is intangible with conditions that are not universally defined, in addition to being subject to continuous change. </w:t>
      </w:r>
      <w:r>
        <w:rPr>
          <w:rFonts w:ascii="Calibri" w:hAnsi="Calibri" w:cs="Calibri"/>
          <w:kern w:val="1"/>
        </w:rPr>
        <w:t>T</w:t>
      </w:r>
      <w:r w:rsidRPr="00216683">
        <w:rPr>
          <w:rFonts w:ascii="Calibri" w:hAnsi="Calibri" w:cs="Calibri"/>
          <w:kern w:val="1"/>
        </w:rPr>
        <w:t xml:space="preserve">he </w:t>
      </w:r>
      <w:r w:rsidRPr="00216683">
        <w:rPr>
          <w:rFonts w:ascii="Calibri" w:hAnsi="Calibri" w:cs="Calibri"/>
          <w:spacing w:val="-3"/>
          <w:kern w:val="1"/>
        </w:rPr>
        <w:t xml:space="preserve">idea </w:t>
      </w:r>
      <w:r w:rsidRPr="00216683">
        <w:rPr>
          <w:rFonts w:ascii="Calibri" w:hAnsi="Calibri" w:cs="Calibri"/>
          <w:kern w:val="1"/>
        </w:rPr>
        <w:t xml:space="preserve">of the social license suggests that </w:t>
      </w:r>
      <w:r w:rsidRPr="00216683">
        <w:rPr>
          <w:rFonts w:ascii="Calibri" w:hAnsi="Calibri" w:cs="Calibri"/>
          <w:spacing w:val="-4"/>
          <w:kern w:val="1"/>
        </w:rPr>
        <w:t xml:space="preserve">it </w:t>
      </w:r>
      <w:r w:rsidRPr="00216683">
        <w:rPr>
          <w:rFonts w:ascii="Calibri" w:hAnsi="Calibri" w:cs="Calibri"/>
          <w:kern w:val="1"/>
        </w:rPr>
        <w:t>can be granted and revoked, propositions which are questionable. It has also been</w:t>
      </w:r>
      <w:r w:rsidRPr="00216683">
        <w:rPr>
          <w:rFonts w:ascii="Calibri" w:hAnsi="Calibri" w:cs="Calibri"/>
          <w:spacing w:val="-8"/>
          <w:kern w:val="1"/>
        </w:rPr>
        <w:t xml:space="preserve"> </w:t>
      </w:r>
      <w:r w:rsidRPr="00216683">
        <w:rPr>
          <w:rFonts w:ascii="Calibri" w:hAnsi="Calibri" w:cs="Calibri"/>
          <w:kern w:val="1"/>
        </w:rPr>
        <w:t>pointed</w:t>
      </w:r>
      <w:r w:rsidRPr="00216683">
        <w:rPr>
          <w:rFonts w:ascii="Calibri" w:hAnsi="Calibri" w:cs="Calibri"/>
          <w:spacing w:val="1"/>
          <w:kern w:val="1"/>
        </w:rPr>
        <w:t xml:space="preserve"> </w:t>
      </w:r>
      <w:r w:rsidRPr="00216683">
        <w:rPr>
          <w:rFonts w:ascii="Calibri" w:hAnsi="Calibri" w:cs="Calibri"/>
          <w:kern w:val="1"/>
        </w:rPr>
        <w:t>out</w:t>
      </w:r>
      <w:r w:rsidRPr="00216683">
        <w:rPr>
          <w:rFonts w:ascii="Calibri" w:hAnsi="Calibri" w:cs="Calibri"/>
          <w:spacing w:val="-3"/>
          <w:kern w:val="1"/>
        </w:rPr>
        <w:t xml:space="preserve"> </w:t>
      </w:r>
      <w:r w:rsidRPr="00216683">
        <w:rPr>
          <w:rFonts w:ascii="Calibri" w:hAnsi="Calibri" w:cs="Calibri"/>
          <w:kern w:val="1"/>
        </w:rPr>
        <w:t>that</w:t>
      </w:r>
      <w:r w:rsidRPr="00216683">
        <w:rPr>
          <w:rFonts w:ascii="Calibri" w:hAnsi="Calibri" w:cs="Calibri"/>
          <w:spacing w:val="-3"/>
          <w:kern w:val="1"/>
        </w:rPr>
        <w:t xml:space="preserve"> </w:t>
      </w:r>
      <w:r w:rsidRPr="00216683">
        <w:rPr>
          <w:rFonts w:ascii="Calibri" w:hAnsi="Calibri" w:cs="Calibri"/>
          <w:kern w:val="1"/>
        </w:rPr>
        <w:t>"it</w:t>
      </w:r>
      <w:r w:rsidRPr="00216683">
        <w:rPr>
          <w:rFonts w:ascii="Calibri" w:hAnsi="Calibri" w:cs="Calibri"/>
          <w:spacing w:val="1"/>
          <w:kern w:val="1"/>
        </w:rPr>
        <w:t xml:space="preserve"> </w:t>
      </w:r>
      <w:r w:rsidRPr="00216683">
        <w:rPr>
          <w:rFonts w:ascii="Calibri" w:hAnsi="Calibri" w:cs="Calibri"/>
          <w:spacing w:val="-4"/>
          <w:kern w:val="1"/>
        </w:rPr>
        <w:t>is</w:t>
      </w:r>
      <w:r w:rsidRPr="00216683">
        <w:rPr>
          <w:rFonts w:ascii="Calibri" w:hAnsi="Calibri" w:cs="Calibri"/>
          <w:spacing w:val="-1"/>
          <w:kern w:val="1"/>
        </w:rPr>
        <w:t xml:space="preserve"> </w:t>
      </w:r>
      <w:r w:rsidRPr="00216683">
        <w:rPr>
          <w:rFonts w:ascii="Calibri" w:hAnsi="Calibri" w:cs="Calibri"/>
          <w:kern w:val="1"/>
        </w:rPr>
        <w:t>easier</w:t>
      </w:r>
      <w:r w:rsidRPr="00216683">
        <w:rPr>
          <w:rFonts w:ascii="Calibri" w:hAnsi="Calibri" w:cs="Calibri"/>
          <w:spacing w:val="-2"/>
          <w:kern w:val="1"/>
        </w:rPr>
        <w:t xml:space="preserve"> </w:t>
      </w:r>
      <w:r w:rsidRPr="00216683">
        <w:rPr>
          <w:rFonts w:ascii="Calibri" w:hAnsi="Calibri" w:cs="Calibri"/>
          <w:kern w:val="1"/>
        </w:rPr>
        <w:t>to</w:t>
      </w:r>
      <w:r w:rsidRPr="00216683">
        <w:rPr>
          <w:rFonts w:ascii="Calibri" w:hAnsi="Calibri" w:cs="Calibri"/>
          <w:spacing w:val="-8"/>
          <w:kern w:val="1"/>
        </w:rPr>
        <w:t xml:space="preserve"> </w:t>
      </w:r>
      <w:r w:rsidRPr="00216683">
        <w:rPr>
          <w:rFonts w:ascii="Calibri" w:hAnsi="Calibri" w:cs="Calibri"/>
          <w:kern w:val="1"/>
        </w:rPr>
        <w:t>point</w:t>
      </w:r>
      <w:r w:rsidRPr="00216683">
        <w:rPr>
          <w:rFonts w:ascii="Calibri" w:hAnsi="Calibri" w:cs="Calibri"/>
          <w:spacing w:val="-4"/>
          <w:kern w:val="1"/>
        </w:rPr>
        <w:t xml:space="preserve"> </w:t>
      </w:r>
      <w:r w:rsidRPr="00216683">
        <w:rPr>
          <w:rFonts w:ascii="Calibri" w:hAnsi="Calibri" w:cs="Calibri"/>
          <w:kern w:val="1"/>
        </w:rPr>
        <w:t>to</w:t>
      </w:r>
      <w:r w:rsidRPr="00216683">
        <w:rPr>
          <w:rFonts w:ascii="Calibri" w:hAnsi="Calibri" w:cs="Calibri"/>
          <w:spacing w:val="-7"/>
          <w:kern w:val="1"/>
        </w:rPr>
        <w:t xml:space="preserve"> </w:t>
      </w:r>
      <w:r w:rsidRPr="00216683">
        <w:rPr>
          <w:rFonts w:ascii="Calibri" w:hAnsi="Calibri" w:cs="Calibri"/>
          <w:kern w:val="1"/>
        </w:rPr>
        <w:t>an</w:t>
      </w:r>
      <w:r w:rsidRPr="00216683">
        <w:rPr>
          <w:rFonts w:ascii="Calibri" w:hAnsi="Calibri" w:cs="Calibri"/>
          <w:spacing w:val="-8"/>
          <w:kern w:val="1"/>
        </w:rPr>
        <w:t xml:space="preserve"> </w:t>
      </w:r>
      <w:r w:rsidRPr="00216683">
        <w:rPr>
          <w:rFonts w:ascii="Calibri" w:hAnsi="Calibri" w:cs="Calibri"/>
          <w:kern w:val="1"/>
        </w:rPr>
        <w:t>absence</w:t>
      </w:r>
      <w:r w:rsidRPr="00216683">
        <w:rPr>
          <w:rFonts w:ascii="Calibri" w:hAnsi="Calibri" w:cs="Calibri"/>
          <w:spacing w:val="-4"/>
          <w:kern w:val="1"/>
        </w:rPr>
        <w:t xml:space="preserve"> </w:t>
      </w:r>
      <w:r w:rsidRPr="00216683">
        <w:rPr>
          <w:rFonts w:ascii="Calibri" w:hAnsi="Calibri" w:cs="Calibri"/>
          <w:kern w:val="1"/>
        </w:rPr>
        <w:t>of</w:t>
      </w:r>
      <w:r w:rsidRPr="00216683">
        <w:rPr>
          <w:rFonts w:ascii="Calibri" w:hAnsi="Calibri" w:cs="Calibri"/>
          <w:spacing w:val="-7"/>
          <w:kern w:val="1"/>
        </w:rPr>
        <w:t xml:space="preserve"> </w:t>
      </w:r>
      <w:r w:rsidRPr="00216683">
        <w:rPr>
          <w:rFonts w:ascii="Calibri" w:hAnsi="Calibri" w:cs="Calibri"/>
          <w:kern w:val="1"/>
        </w:rPr>
        <w:t>particular</w:t>
      </w:r>
      <w:r w:rsidRPr="00216683">
        <w:rPr>
          <w:rFonts w:ascii="Calibri" w:hAnsi="Calibri" w:cs="Calibri"/>
          <w:spacing w:val="-2"/>
          <w:kern w:val="1"/>
        </w:rPr>
        <w:t xml:space="preserve"> </w:t>
      </w:r>
      <w:r w:rsidRPr="00216683">
        <w:rPr>
          <w:rFonts w:ascii="Calibri" w:hAnsi="Calibri" w:cs="Calibri"/>
          <w:kern w:val="1"/>
        </w:rPr>
        <w:t>factors</w:t>
      </w:r>
      <w:r w:rsidRPr="00216683">
        <w:rPr>
          <w:rFonts w:ascii="Calibri" w:hAnsi="Calibri" w:cs="Calibri"/>
          <w:spacing w:val="5"/>
          <w:kern w:val="1"/>
        </w:rPr>
        <w:t xml:space="preserve"> </w:t>
      </w:r>
      <w:r w:rsidRPr="00216683">
        <w:rPr>
          <w:rFonts w:ascii="Calibri" w:hAnsi="Calibri" w:cs="Calibri"/>
          <w:kern w:val="1"/>
        </w:rPr>
        <w:t>[…]</w:t>
      </w:r>
      <w:r w:rsidRPr="00216683">
        <w:rPr>
          <w:rFonts w:ascii="Calibri" w:hAnsi="Calibri" w:cs="Calibri"/>
          <w:spacing w:val="-2"/>
          <w:kern w:val="1"/>
        </w:rPr>
        <w:t xml:space="preserve"> </w:t>
      </w:r>
      <w:r w:rsidRPr="00216683">
        <w:rPr>
          <w:rFonts w:ascii="Calibri" w:hAnsi="Calibri" w:cs="Calibri"/>
          <w:kern w:val="1"/>
        </w:rPr>
        <w:t>necessary</w:t>
      </w:r>
      <w:r w:rsidRPr="00216683">
        <w:rPr>
          <w:rFonts w:ascii="Calibri" w:hAnsi="Calibri" w:cs="Calibri"/>
          <w:spacing w:val="-8"/>
          <w:kern w:val="1"/>
        </w:rPr>
        <w:t xml:space="preserve"> </w:t>
      </w:r>
      <w:r w:rsidRPr="00216683">
        <w:rPr>
          <w:rFonts w:ascii="Calibri" w:hAnsi="Calibri" w:cs="Calibri"/>
          <w:kern w:val="1"/>
        </w:rPr>
        <w:t>for a</w:t>
      </w:r>
      <w:r w:rsidRPr="00216683">
        <w:rPr>
          <w:rFonts w:ascii="Calibri" w:hAnsi="Calibri" w:cs="Calibri"/>
          <w:spacing w:val="-9"/>
          <w:kern w:val="1"/>
        </w:rPr>
        <w:t xml:space="preserve"> </w:t>
      </w:r>
      <w:r w:rsidRPr="00216683">
        <w:rPr>
          <w:rFonts w:ascii="Calibri" w:hAnsi="Calibri" w:cs="Calibri"/>
          <w:kern w:val="1"/>
        </w:rPr>
        <w:t>social</w:t>
      </w:r>
      <w:r w:rsidRPr="00216683">
        <w:rPr>
          <w:rFonts w:ascii="Calibri" w:hAnsi="Calibri" w:cs="Calibri"/>
          <w:spacing w:val="-8"/>
          <w:kern w:val="1"/>
        </w:rPr>
        <w:t xml:space="preserve"> </w:t>
      </w:r>
      <w:r w:rsidRPr="00216683">
        <w:rPr>
          <w:rFonts w:ascii="Calibri" w:hAnsi="Calibri" w:cs="Calibri"/>
          <w:kern w:val="1"/>
        </w:rPr>
        <w:t>license</w:t>
      </w:r>
      <w:r w:rsidRPr="00216683">
        <w:rPr>
          <w:rFonts w:ascii="Calibri" w:hAnsi="Calibri" w:cs="Calibri"/>
          <w:spacing w:val="-8"/>
          <w:kern w:val="1"/>
        </w:rPr>
        <w:t xml:space="preserve"> </w:t>
      </w:r>
      <w:r w:rsidRPr="00216683">
        <w:rPr>
          <w:rFonts w:ascii="Calibri" w:hAnsi="Calibri" w:cs="Calibri"/>
          <w:kern w:val="1"/>
        </w:rPr>
        <w:t>rather</w:t>
      </w:r>
      <w:r w:rsidRPr="00216683">
        <w:rPr>
          <w:rFonts w:ascii="Calibri" w:hAnsi="Calibri" w:cs="Calibri"/>
          <w:spacing w:val="-2"/>
          <w:kern w:val="1"/>
        </w:rPr>
        <w:t xml:space="preserve"> </w:t>
      </w:r>
      <w:r w:rsidRPr="00216683">
        <w:rPr>
          <w:rFonts w:ascii="Calibri" w:hAnsi="Calibri" w:cs="Calibri"/>
          <w:kern w:val="1"/>
        </w:rPr>
        <w:t>than</w:t>
      </w:r>
      <w:r w:rsidRPr="00216683">
        <w:rPr>
          <w:rFonts w:ascii="Calibri" w:hAnsi="Calibri" w:cs="Calibri"/>
          <w:spacing w:val="-8"/>
          <w:kern w:val="1"/>
        </w:rPr>
        <w:t xml:space="preserve"> </w:t>
      </w:r>
      <w:r w:rsidRPr="00216683">
        <w:rPr>
          <w:rFonts w:ascii="Calibri" w:hAnsi="Calibri" w:cs="Calibri"/>
          <w:kern w:val="1"/>
        </w:rPr>
        <w:t>to</w:t>
      </w:r>
      <w:r w:rsidRPr="00216683">
        <w:rPr>
          <w:rFonts w:ascii="Calibri" w:hAnsi="Calibri" w:cs="Calibri"/>
          <w:spacing w:val="-7"/>
          <w:kern w:val="1"/>
        </w:rPr>
        <w:t xml:space="preserve"> </w:t>
      </w:r>
      <w:r w:rsidRPr="00216683">
        <w:rPr>
          <w:rFonts w:ascii="Calibri" w:hAnsi="Calibri" w:cs="Calibri"/>
          <w:kern w:val="1"/>
        </w:rPr>
        <w:t>know</w:t>
      </w:r>
      <w:r w:rsidRPr="00216683">
        <w:rPr>
          <w:rFonts w:ascii="Calibri" w:hAnsi="Calibri" w:cs="Calibri"/>
          <w:spacing w:val="-5"/>
          <w:kern w:val="1"/>
        </w:rPr>
        <w:t xml:space="preserve"> </w:t>
      </w:r>
      <w:r w:rsidRPr="00216683">
        <w:rPr>
          <w:rFonts w:ascii="Calibri" w:hAnsi="Calibri" w:cs="Calibri"/>
          <w:kern w:val="1"/>
        </w:rPr>
        <w:t>when</w:t>
      </w:r>
      <w:r w:rsidRPr="00216683">
        <w:rPr>
          <w:rFonts w:ascii="Calibri" w:hAnsi="Calibri" w:cs="Calibri"/>
          <w:spacing w:val="-7"/>
          <w:kern w:val="1"/>
        </w:rPr>
        <w:t xml:space="preserve"> </w:t>
      </w:r>
      <w:r w:rsidRPr="00216683">
        <w:rPr>
          <w:rFonts w:ascii="Calibri" w:hAnsi="Calibri" w:cs="Calibri"/>
          <w:kern w:val="1"/>
        </w:rPr>
        <w:t>all</w:t>
      </w:r>
      <w:r w:rsidRPr="00216683">
        <w:rPr>
          <w:rFonts w:ascii="Calibri" w:hAnsi="Calibri" w:cs="Calibri"/>
          <w:spacing w:val="-9"/>
          <w:kern w:val="1"/>
        </w:rPr>
        <w:t xml:space="preserve"> </w:t>
      </w:r>
      <w:r w:rsidRPr="00216683">
        <w:rPr>
          <w:rFonts w:ascii="Calibri" w:hAnsi="Calibri" w:cs="Calibri"/>
          <w:kern w:val="1"/>
        </w:rPr>
        <w:t>relevant</w:t>
      </w:r>
      <w:r w:rsidRPr="00216683">
        <w:rPr>
          <w:rFonts w:ascii="Calibri" w:hAnsi="Calibri" w:cs="Calibri"/>
          <w:spacing w:val="-3"/>
          <w:kern w:val="1"/>
        </w:rPr>
        <w:t xml:space="preserve"> </w:t>
      </w:r>
      <w:r w:rsidRPr="00216683">
        <w:rPr>
          <w:rFonts w:ascii="Calibri" w:hAnsi="Calibri" w:cs="Calibri"/>
          <w:kern w:val="1"/>
        </w:rPr>
        <w:t>factors</w:t>
      </w:r>
      <w:r w:rsidRPr="00216683">
        <w:rPr>
          <w:rFonts w:ascii="Calibri" w:hAnsi="Calibri" w:cs="Calibri"/>
          <w:spacing w:val="-5"/>
          <w:kern w:val="1"/>
        </w:rPr>
        <w:t xml:space="preserve"> </w:t>
      </w:r>
      <w:r w:rsidRPr="00216683">
        <w:rPr>
          <w:rFonts w:ascii="Calibri" w:hAnsi="Calibri" w:cs="Calibri"/>
          <w:kern w:val="1"/>
        </w:rPr>
        <w:t>are</w:t>
      </w:r>
      <w:r w:rsidRPr="00216683">
        <w:rPr>
          <w:rFonts w:ascii="Calibri" w:hAnsi="Calibri" w:cs="Calibri"/>
          <w:spacing w:val="-4"/>
          <w:kern w:val="1"/>
        </w:rPr>
        <w:t xml:space="preserve"> </w:t>
      </w:r>
      <w:r w:rsidRPr="00216683">
        <w:rPr>
          <w:rFonts w:ascii="Calibri" w:hAnsi="Calibri" w:cs="Calibri"/>
          <w:kern w:val="1"/>
        </w:rPr>
        <w:t>actively</w:t>
      </w:r>
      <w:r w:rsidRPr="00216683">
        <w:rPr>
          <w:rFonts w:ascii="Calibri" w:hAnsi="Calibri" w:cs="Calibri"/>
          <w:spacing w:val="-7"/>
          <w:kern w:val="1"/>
        </w:rPr>
        <w:t xml:space="preserve"> </w:t>
      </w:r>
      <w:r w:rsidRPr="00216683">
        <w:rPr>
          <w:rFonts w:ascii="Calibri" w:hAnsi="Calibri" w:cs="Calibri"/>
          <w:kern w:val="1"/>
        </w:rPr>
        <w:t>in</w:t>
      </w:r>
      <w:r w:rsidRPr="00216683">
        <w:rPr>
          <w:rFonts w:ascii="Calibri" w:hAnsi="Calibri" w:cs="Calibri"/>
          <w:spacing w:val="-7"/>
          <w:kern w:val="1"/>
        </w:rPr>
        <w:t xml:space="preserve"> </w:t>
      </w:r>
      <w:r w:rsidRPr="00216683">
        <w:rPr>
          <w:rFonts w:ascii="Calibri" w:hAnsi="Calibri" w:cs="Calibri"/>
          <w:kern w:val="1"/>
        </w:rPr>
        <w:t>place"</w:t>
      </w:r>
      <w:r w:rsidRPr="00216683">
        <w:rPr>
          <w:rFonts w:ascii="Calibri" w:hAnsi="Calibri" w:cs="Calibri"/>
          <w:spacing w:val="-8"/>
          <w:kern w:val="1"/>
        </w:rPr>
        <w:t xml:space="preserve"> </w:t>
      </w:r>
      <w:r w:rsidRPr="00216683">
        <w:rPr>
          <w:rFonts w:ascii="Calibri" w:hAnsi="Calibri" w:cs="Calibri"/>
          <w:kern w:val="1"/>
        </w:rPr>
        <w:t>and</w:t>
      </w:r>
      <w:r w:rsidRPr="00216683">
        <w:rPr>
          <w:rFonts w:ascii="Calibri" w:hAnsi="Calibri" w:cs="Calibri"/>
          <w:spacing w:val="-7"/>
          <w:kern w:val="1"/>
        </w:rPr>
        <w:t xml:space="preserve"> </w:t>
      </w:r>
      <w:r w:rsidRPr="00216683">
        <w:rPr>
          <w:rFonts w:ascii="Calibri" w:hAnsi="Calibri" w:cs="Calibri"/>
          <w:kern w:val="1"/>
        </w:rPr>
        <w:t>that</w:t>
      </w:r>
      <w:r w:rsidRPr="00216683">
        <w:rPr>
          <w:rFonts w:ascii="Calibri" w:hAnsi="Calibri" w:cs="Calibri"/>
          <w:spacing w:val="-9"/>
          <w:kern w:val="1"/>
        </w:rPr>
        <w:t xml:space="preserve"> </w:t>
      </w:r>
      <w:r w:rsidRPr="00216683">
        <w:rPr>
          <w:rFonts w:ascii="Calibri" w:hAnsi="Calibri" w:cs="Calibri"/>
          <w:kern w:val="1"/>
        </w:rPr>
        <w:t xml:space="preserve">the "absence of explicit forms of contestation can be interpreted as latent support in so </w:t>
      </w:r>
      <w:r w:rsidRPr="00216683">
        <w:rPr>
          <w:rFonts w:ascii="Calibri" w:hAnsi="Calibri" w:cs="Calibri"/>
          <w:spacing w:val="-3"/>
          <w:kern w:val="1"/>
        </w:rPr>
        <w:t xml:space="preserve">far </w:t>
      </w:r>
      <w:r w:rsidRPr="00216683">
        <w:rPr>
          <w:rFonts w:ascii="Calibri" w:hAnsi="Calibri" w:cs="Calibri"/>
          <w:kern w:val="1"/>
        </w:rPr>
        <w:t>as communities have not offered any explicit point of objection."</w:t>
      </w:r>
      <w:r w:rsidRPr="00216683">
        <w:rPr>
          <w:rStyle w:val="FootnoteReference"/>
          <w:rFonts w:ascii="Calibri" w:hAnsi="Calibri" w:cs="Calibri"/>
          <w:kern w:val="1"/>
        </w:rPr>
        <w:footnoteReference w:id="28"/>
      </w:r>
      <w:r w:rsidRPr="00216683">
        <w:rPr>
          <w:rFonts w:ascii="Calibri" w:hAnsi="Calibri" w:cs="Calibri"/>
          <w:kern w:val="1"/>
        </w:rPr>
        <w:t xml:space="preserve"> </w:t>
      </w:r>
    </w:p>
    <w:p w14:paraId="3706AF23" w14:textId="77777777" w:rsidR="0094044B" w:rsidRDefault="0094044B" w:rsidP="00AF575B">
      <w:pPr>
        <w:tabs>
          <w:tab w:val="left" w:pos="961"/>
        </w:tabs>
        <w:autoSpaceDE w:val="0"/>
        <w:autoSpaceDN w:val="0"/>
        <w:adjustRightInd w:val="0"/>
        <w:spacing w:line="240" w:lineRule="auto"/>
        <w:ind w:right="-52"/>
        <w:contextualSpacing/>
        <w:jc w:val="both"/>
        <w:rPr>
          <w:rFonts w:ascii="Calibri" w:hAnsi="Calibri" w:cs="Calibri"/>
          <w:kern w:val="1"/>
        </w:rPr>
      </w:pPr>
    </w:p>
    <w:p w14:paraId="5F2940D8" w14:textId="096D0933" w:rsidR="006F1F3C" w:rsidRPr="00216683" w:rsidRDefault="006F1F3C" w:rsidP="00C322E3">
      <w:pPr>
        <w:tabs>
          <w:tab w:val="left" w:pos="961"/>
        </w:tabs>
        <w:autoSpaceDE w:val="0"/>
        <w:autoSpaceDN w:val="0"/>
        <w:adjustRightInd w:val="0"/>
        <w:spacing w:line="240" w:lineRule="auto"/>
        <w:ind w:right="-52"/>
        <w:contextualSpacing/>
        <w:jc w:val="both"/>
        <w:rPr>
          <w:rFonts w:ascii="Calibri" w:hAnsi="Calibri" w:cs="Calibri"/>
          <w:kern w:val="1"/>
        </w:rPr>
      </w:pPr>
      <w:r w:rsidRPr="00216683">
        <w:rPr>
          <w:rFonts w:ascii="Calibri" w:hAnsi="Calibri" w:cs="Calibri"/>
          <w:kern w:val="1"/>
        </w:rPr>
        <w:t xml:space="preserve">The burden </w:t>
      </w:r>
      <w:r w:rsidRPr="00216683">
        <w:rPr>
          <w:rFonts w:ascii="Calibri" w:hAnsi="Calibri" w:cs="Calibri"/>
          <w:spacing w:val="-3"/>
          <w:kern w:val="1"/>
        </w:rPr>
        <w:t xml:space="preserve">of </w:t>
      </w:r>
      <w:r w:rsidRPr="00216683">
        <w:rPr>
          <w:rFonts w:ascii="Calibri" w:hAnsi="Calibri" w:cs="Calibri"/>
          <w:kern w:val="1"/>
        </w:rPr>
        <w:t>proof seems to lie with stakeholders to show what companies are doing wrong, not</w:t>
      </w:r>
      <w:r w:rsidRPr="00216683">
        <w:rPr>
          <w:rFonts w:ascii="Calibri" w:hAnsi="Calibri" w:cs="Calibri"/>
          <w:spacing w:val="-8"/>
          <w:kern w:val="1"/>
        </w:rPr>
        <w:t xml:space="preserve"> </w:t>
      </w:r>
      <w:r w:rsidRPr="00216683">
        <w:rPr>
          <w:rFonts w:ascii="Calibri" w:hAnsi="Calibri" w:cs="Calibri"/>
          <w:kern w:val="1"/>
        </w:rPr>
        <w:t>with</w:t>
      </w:r>
      <w:r w:rsidRPr="00216683">
        <w:rPr>
          <w:rFonts w:ascii="Calibri" w:hAnsi="Calibri" w:cs="Calibri"/>
          <w:spacing w:val="-17"/>
          <w:kern w:val="1"/>
        </w:rPr>
        <w:t xml:space="preserve"> </w:t>
      </w:r>
      <w:r w:rsidRPr="00216683">
        <w:rPr>
          <w:rFonts w:ascii="Calibri" w:hAnsi="Calibri" w:cs="Calibri"/>
          <w:kern w:val="1"/>
        </w:rPr>
        <w:t>companies</w:t>
      </w:r>
      <w:r w:rsidRPr="00216683">
        <w:rPr>
          <w:rFonts w:ascii="Calibri" w:hAnsi="Calibri" w:cs="Calibri"/>
          <w:spacing w:val="-9"/>
          <w:kern w:val="1"/>
        </w:rPr>
        <w:t xml:space="preserve"> </w:t>
      </w:r>
      <w:r w:rsidRPr="00216683">
        <w:rPr>
          <w:rFonts w:ascii="Calibri" w:hAnsi="Calibri" w:cs="Calibri"/>
          <w:kern w:val="1"/>
        </w:rPr>
        <w:t>to</w:t>
      </w:r>
      <w:r w:rsidRPr="00216683">
        <w:rPr>
          <w:rFonts w:ascii="Calibri" w:hAnsi="Calibri" w:cs="Calibri"/>
          <w:spacing w:val="-17"/>
          <w:kern w:val="1"/>
        </w:rPr>
        <w:t xml:space="preserve"> </w:t>
      </w:r>
      <w:r w:rsidRPr="00216683">
        <w:rPr>
          <w:rFonts w:ascii="Calibri" w:hAnsi="Calibri" w:cs="Calibri"/>
          <w:kern w:val="1"/>
        </w:rPr>
        <w:t>prove</w:t>
      </w:r>
      <w:r w:rsidRPr="00216683">
        <w:rPr>
          <w:rFonts w:ascii="Calibri" w:hAnsi="Calibri" w:cs="Calibri"/>
          <w:spacing w:val="-12"/>
          <w:kern w:val="1"/>
        </w:rPr>
        <w:t xml:space="preserve"> </w:t>
      </w:r>
      <w:r w:rsidRPr="00216683">
        <w:rPr>
          <w:rFonts w:ascii="Calibri" w:hAnsi="Calibri" w:cs="Calibri"/>
          <w:kern w:val="1"/>
        </w:rPr>
        <w:t>what</w:t>
      </w:r>
      <w:r w:rsidRPr="00216683">
        <w:rPr>
          <w:rFonts w:ascii="Calibri" w:hAnsi="Calibri" w:cs="Calibri"/>
          <w:spacing w:val="-13"/>
          <w:kern w:val="1"/>
        </w:rPr>
        <w:t xml:space="preserve"> </w:t>
      </w:r>
      <w:r w:rsidRPr="00216683">
        <w:rPr>
          <w:rFonts w:ascii="Calibri" w:hAnsi="Calibri" w:cs="Calibri"/>
          <w:kern w:val="1"/>
        </w:rPr>
        <w:t>they</w:t>
      </w:r>
      <w:r w:rsidRPr="00216683">
        <w:rPr>
          <w:rFonts w:ascii="Calibri" w:hAnsi="Calibri" w:cs="Calibri"/>
          <w:spacing w:val="-11"/>
          <w:kern w:val="1"/>
        </w:rPr>
        <w:t xml:space="preserve"> </w:t>
      </w:r>
      <w:r w:rsidRPr="00216683">
        <w:rPr>
          <w:rFonts w:ascii="Calibri" w:hAnsi="Calibri" w:cs="Calibri"/>
          <w:kern w:val="1"/>
        </w:rPr>
        <w:t>are</w:t>
      </w:r>
      <w:r w:rsidRPr="00216683">
        <w:rPr>
          <w:rFonts w:ascii="Calibri" w:hAnsi="Calibri" w:cs="Calibri"/>
          <w:spacing w:val="-13"/>
          <w:kern w:val="1"/>
        </w:rPr>
        <w:t xml:space="preserve"> </w:t>
      </w:r>
      <w:r w:rsidRPr="00216683">
        <w:rPr>
          <w:rFonts w:ascii="Calibri" w:hAnsi="Calibri" w:cs="Calibri"/>
          <w:kern w:val="1"/>
        </w:rPr>
        <w:t>doing</w:t>
      </w:r>
      <w:r w:rsidRPr="00216683">
        <w:rPr>
          <w:rFonts w:ascii="Calibri" w:hAnsi="Calibri" w:cs="Calibri"/>
          <w:spacing w:val="-12"/>
          <w:kern w:val="1"/>
        </w:rPr>
        <w:t xml:space="preserve"> </w:t>
      </w:r>
      <w:r w:rsidRPr="00216683">
        <w:rPr>
          <w:rFonts w:ascii="Calibri" w:hAnsi="Calibri" w:cs="Calibri"/>
          <w:kern w:val="1"/>
        </w:rPr>
        <w:t>right,</w:t>
      </w:r>
      <w:r w:rsidRPr="00216683">
        <w:rPr>
          <w:rFonts w:ascii="Calibri" w:hAnsi="Calibri" w:cs="Calibri"/>
          <w:spacing w:val="-11"/>
          <w:kern w:val="1"/>
        </w:rPr>
        <w:t xml:space="preserve"> </w:t>
      </w:r>
      <w:r w:rsidRPr="00216683">
        <w:rPr>
          <w:rFonts w:ascii="Calibri" w:hAnsi="Calibri" w:cs="Calibri"/>
          <w:kern w:val="1"/>
        </w:rPr>
        <w:t>while</w:t>
      </w:r>
      <w:r w:rsidRPr="00216683">
        <w:rPr>
          <w:rFonts w:ascii="Calibri" w:hAnsi="Calibri" w:cs="Calibri"/>
          <w:spacing w:val="-8"/>
          <w:kern w:val="1"/>
        </w:rPr>
        <w:t xml:space="preserve"> </w:t>
      </w:r>
      <w:r w:rsidRPr="00216683">
        <w:rPr>
          <w:rFonts w:ascii="Calibri" w:hAnsi="Calibri" w:cs="Calibri"/>
          <w:kern w:val="1"/>
        </w:rPr>
        <w:t>the</w:t>
      </w:r>
      <w:r w:rsidRPr="00216683">
        <w:rPr>
          <w:rFonts w:ascii="Calibri" w:hAnsi="Calibri" w:cs="Calibri"/>
          <w:spacing w:val="-12"/>
          <w:kern w:val="1"/>
        </w:rPr>
        <w:t xml:space="preserve"> </w:t>
      </w:r>
      <w:r w:rsidRPr="00216683">
        <w:rPr>
          <w:rFonts w:ascii="Calibri" w:hAnsi="Calibri" w:cs="Calibri"/>
          <w:kern w:val="1"/>
        </w:rPr>
        <w:t>absence</w:t>
      </w:r>
      <w:r w:rsidRPr="00216683">
        <w:rPr>
          <w:rFonts w:ascii="Calibri" w:hAnsi="Calibri" w:cs="Calibri"/>
          <w:spacing w:val="-8"/>
          <w:kern w:val="1"/>
        </w:rPr>
        <w:t xml:space="preserve"> </w:t>
      </w:r>
      <w:r w:rsidRPr="00216683">
        <w:rPr>
          <w:rFonts w:ascii="Calibri" w:hAnsi="Calibri" w:cs="Calibri"/>
          <w:kern w:val="1"/>
        </w:rPr>
        <w:t>of</w:t>
      </w:r>
      <w:r w:rsidRPr="00216683">
        <w:rPr>
          <w:rFonts w:ascii="Calibri" w:hAnsi="Calibri" w:cs="Calibri"/>
          <w:spacing w:val="-12"/>
          <w:kern w:val="1"/>
        </w:rPr>
        <w:t xml:space="preserve"> </w:t>
      </w:r>
      <w:r w:rsidRPr="00216683">
        <w:rPr>
          <w:rFonts w:ascii="Calibri" w:hAnsi="Calibri" w:cs="Calibri"/>
          <w:kern w:val="1"/>
        </w:rPr>
        <w:t>community</w:t>
      </w:r>
      <w:r w:rsidRPr="00216683">
        <w:rPr>
          <w:rFonts w:ascii="Calibri" w:hAnsi="Calibri" w:cs="Calibri"/>
          <w:spacing w:val="-16"/>
          <w:kern w:val="1"/>
        </w:rPr>
        <w:t xml:space="preserve"> </w:t>
      </w:r>
      <w:r w:rsidRPr="00216683">
        <w:rPr>
          <w:rFonts w:ascii="Calibri" w:hAnsi="Calibri" w:cs="Calibri"/>
          <w:kern w:val="1"/>
        </w:rPr>
        <w:t>protest can be interpreted as consent. While companies that act against societal values can ostensibly suffer repercussions, if companies do not break the law these potential repercussions only have reputational and financial bearing, which suggests that the social license relies on the market to balance interests and create desired outcomes for companies and</w:t>
      </w:r>
      <w:r w:rsidRPr="00216683">
        <w:rPr>
          <w:rFonts w:ascii="Calibri" w:hAnsi="Calibri" w:cs="Calibri"/>
          <w:spacing w:val="-9"/>
          <w:kern w:val="1"/>
        </w:rPr>
        <w:t xml:space="preserve"> </w:t>
      </w:r>
      <w:r w:rsidRPr="00216683">
        <w:rPr>
          <w:rFonts w:ascii="Calibri" w:hAnsi="Calibri" w:cs="Calibri"/>
          <w:kern w:val="1"/>
        </w:rPr>
        <w:t>stakeholders. In the context of neoliberalism and in</w:t>
      </w:r>
      <w:r w:rsidRPr="00216683">
        <w:rPr>
          <w:rFonts w:ascii="Calibri" w:hAnsi="Calibri" w:cs="Calibri"/>
          <w:spacing w:val="27"/>
          <w:kern w:val="1"/>
        </w:rPr>
        <w:t xml:space="preserve"> </w:t>
      </w:r>
      <w:r w:rsidRPr="00216683">
        <w:rPr>
          <w:rFonts w:ascii="Calibri" w:hAnsi="Calibri" w:cs="Calibri"/>
          <w:kern w:val="1"/>
        </w:rPr>
        <w:t>the</w:t>
      </w:r>
      <w:r w:rsidRPr="00216683">
        <w:rPr>
          <w:rFonts w:ascii="Calibri" w:hAnsi="Calibri" w:cs="Calibri"/>
          <w:spacing w:val="35"/>
          <w:kern w:val="1"/>
        </w:rPr>
        <w:t xml:space="preserve"> </w:t>
      </w:r>
      <w:r w:rsidRPr="00216683">
        <w:rPr>
          <w:rFonts w:ascii="Calibri" w:hAnsi="Calibri" w:cs="Calibri"/>
          <w:kern w:val="1"/>
        </w:rPr>
        <w:t>absence of government intervention,</w:t>
      </w:r>
      <w:r w:rsidRPr="00216683">
        <w:rPr>
          <w:rFonts w:ascii="Calibri" w:hAnsi="Calibri" w:cs="Calibri"/>
          <w:spacing w:val="41"/>
          <w:kern w:val="1"/>
        </w:rPr>
        <w:t xml:space="preserve"> </w:t>
      </w:r>
      <w:r w:rsidRPr="00216683">
        <w:rPr>
          <w:rFonts w:ascii="Calibri" w:hAnsi="Calibri" w:cs="Calibri"/>
          <w:kern w:val="1"/>
        </w:rPr>
        <w:t>financial</w:t>
      </w:r>
      <w:r w:rsidRPr="00216683">
        <w:rPr>
          <w:rFonts w:ascii="Calibri" w:hAnsi="Calibri" w:cs="Calibri"/>
          <w:spacing w:val="31"/>
          <w:kern w:val="1"/>
        </w:rPr>
        <w:t xml:space="preserve"> </w:t>
      </w:r>
      <w:r w:rsidRPr="00216683">
        <w:rPr>
          <w:rFonts w:ascii="Calibri" w:hAnsi="Calibri" w:cs="Calibri"/>
          <w:kern w:val="1"/>
        </w:rPr>
        <w:t xml:space="preserve">repercussions arguably pose the main (if not only) threat to organizational legitimacy. Yet </w:t>
      </w:r>
      <w:r w:rsidRPr="00216683">
        <w:rPr>
          <w:rFonts w:ascii="Calibri" w:hAnsi="Calibri" w:cs="Calibri"/>
          <w:spacing w:val="-4"/>
          <w:kern w:val="1"/>
        </w:rPr>
        <w:t xml:space="preserve">it </w:t>
      </w:r>
      <w:r w:rsidRPr="00216683">
        <w:rPr>
          <w:rFonts w:ascii="Calibri" w:hAnsi="Calibri" w:cs="Calibri"/>
          <w:kern w:val="1"/>
        </w:rPr>
        <w:t xml:space="preserve">remains uncertain whether </w:t>
      </w:r>
      <w:r w:rsidRPr="00216683">
        <w:rPr>
          <w:rFonts w:ascii="Calibri" w:hAnsi="Calibri" w:cs="Calibri"/>
          <w:spacing w:val="-3"/>
          <w:kern w:val="1"/>
        </w:rPr>
        <w:t>this leaves</w:t>
      </w:r>
      <w:r w:rsidRPr="00216683">
        <w:rPr>
          <w:rFonts w:ascii="Calibri" w:hAnsi="Calibri" w:cs="Calibri"/>
          <w:spacing w:val="-10"/>
          <w:kern w:val="1"/>
        </w:rPr>
        <w:t xml:space="preserve"> </w:t>
      </w:r>
      <w:r w:rsidRPr="00216683">
        <w:rPr>
          <w:rFonts w:ascii="Calibri" w:hAnsi="Calibri" w:cs="Calibri"/>
          <w:kern w:val="1"/>
        </w:rPr>
        <w:t>stakeholders</w:t>
      </w:r>
      <w:r w:rsidRPr="00216683">
        <w:rPr>
          <w:rFonts w:ascii="Calibri" w:hAnsi="Calibri" w:cs="Calibri"/>
          <w:spacing w:val="-10"/>
          <w:kern w:val="1"/>
        </w:rPr>
        <w:t xml:space="preserve"> </w:t>
      </w:r>
      <w:r w:rsidRPr="00216683">
        <w:rPr>
          <w:rFonts w:ascii="Calibri" w:hAnsi="Calibri" w:cs="Calibri"/>
          <w:kern w:val="1"/>
        </w:rPr>
        <w:t>with</w:t>
      </w:r>
      <w:r w:rsidRPr="00216683">
        <w:rPr>
          <w:rFonts w:ascii="Calibri" w:hAnsi="Calibri" w:cs="Calibri"/>
          <w:spacing w:val="-17"/>
          <w:kern w:val="1"/>
        </w:rPr>
        <w:t xml:space="preserve"> </w:t>
      </w:r>
      <w:r w:rsidRPr="00216683">
        <w:rPr>
          <w:rFonts w:ascii="Calibri" w:hAnsi="Calibri" w:cs="Calibri"/>
          <w:kern w:val="1"/>
        </w:rPr>
        <w:t>enough</w:t>
      </w:r>
      <w:r w:rsidRPr="00216683">
        <w:rPr>
          <w:rFonts w:ascii="Calibri" w:hAnsi="Calibri" w:cs="Calibri"/>
          <w:spacing w:val="-13"/>
          <w:kern w:val="1"/>
        </w:rPr>
        <w:t xml:space="preserve"> </w:t>
      </w:r>
      <w:r w:rsidRPr="00216683">
        <w:rPr>
          <w:rFonts w:ascii="Calibri" w:hAnsi="Calibri" w:cs="Calibri"/>
          <w:kern w:val="1"/>
        </w:rPr>
        <w:t>leverage</w:t>
      </w:r>
      <w:r w:rsidRPr="00216683">
        <w:rPr>
          <w:rFonts w:ascii="Calibri" w:hAnsi="Calibri" w:cs="Calibri"/>
          <w:spacing w:val="-13"/>
          <w:kern w:val="1"/>
        </w:rPr>
        <w:t xml:space="preserve"> </w:t>
      </w:r>
      <w:r w:rsidRPr="00216683">
        <w:rPr>
          <w:rFonts w:ascii="Calibri" w:hAnsi="Calibri" w:cs="Calibri"/>
          <w:kern w:val="1"/>
        </w:rPr>
        <w:t>to challenge and</w:t>
      </w:r>
      <w:r w:rsidRPr="00216683">
        <w:rPr>
          <w:rFonts w:ascii="Calibri" w:hAnsi="Calibri" w:cs="Calibri"/>
          <w:spacing w:val="-17"/>
          <w:kern w:val="1"/>
        </w:rPr>
        <w:t xml:space="preserve"> </w:t>
      </w:r>
      <w:r w:rsidRPr="00216683">
        <w:rPr>
          <w:rFonts w:ascii="Calibri" w:hAnsi="Calibri" w:cs="Calibri"/>
          <w:kern w:val="1"/>
        </w:rPr>
        <w:t>change</w:t>
      </w:r>
      <w:r w:rsidRPr="00216683">
        <w:rPr>
          <w:rFonts w:ascii="Calibri" w:hAnsi="Calibri" w:cs="Calibri"/>
          <w:spacing w:val="-13"/>
          <w:kern w:val="1"/>
        </w:rPr>
        <w:t xml:space="preserve"> </w:t>
      </w:r>
      <w:r w:rsidRPr="00216683">
        <w:rPr>
          <w:rFonts w:ascii="Calibri" w:hAnsi="Calibri" w:cs="Calibri"/>
          <w:kern w:val="1"/>
        </w:rPr>
        <w:t>corporate</w:t>
      </w:r>
      <w:r w:rsidRPr="00216683">
        <w:rPr>
          <w:rFonts w:ascii="Calibri" w:hAnsi="Calibri" w:cs="Calibri"/>
          <w:spacing w:val="-14"/>
          <w:kern w:val="1"/>
        </w:rPr>
        <w:t xml:space="preserve"> </w:t>
      </w:r>
      <w:r w:rsidRPr="00216683">
        <w:rPr>
          <w:rFonts w:ascii="Calibri" w:hAnsi="Calibri" w:cs="Calibri"/>
          <w:kern w:val="1"/>
        </w:rPr>
        <w:t xml:space="preserve">conduct. </w:t>
      </w:r>
    </w:p>
    <w:p w14:paraId="5DAB1A68" w14:textId="77777777" w:rsidR="0094044B" w:rsidRDefault="0094044B" w:rsidP="0094044B">
      <w:pPr>
        <w:spacing w:line="240" w:lineRule="auto"/>
        <w:contextualSpacing/>
        <w:jc w:val="both"/>
        <w:rPr>
          <w:rFonts w:ascii="Calibri" w:hAnsi="Calibri" w:cs="Calibri"/>
        </w:rPr>
      </w:pPr>
    </w:p>
    <w:p w14:paraId="4CA99109" w14:textId="02A060B8" w:rsidR="006F1F3C" w:rsidRDefault="006F1F3C" w:rsidP="00C322E3">
      <w:pPr>
        <w:spacing w:line="240" w:lineRule="auto"/>
        <w:contextualSpacing/>
        <w:jc w:val="both"/>
        <w:rPr>
          <w:rFonts w:ascii="Calibri" w:hAnsi="Calibri" w:cs="Calibri"/>
        </w:rPr>
      </w:pPr>
      <w:r w:rsidRPr="00216683">
        <w:rPr>
          <w:rFonts w:ascii="Calibri" w:hAnsi="Calibri" w:cs="Calibri"/>
        </w:rPr>
        <w:t xml:space="preserve">The debate around the need to formalise the concept of a social license recently played out in Australia. The </w:t>
      </w:r>
      <w:r w:rsidRPr="003902A7">
        <w:rPr>
          <w:rFonts w:ascii="Calibri" w:hAnsi="Calibri" w:cs="Calibri"/>
        </w:rPr>
        <w:t>A</w:t>
      </w:r>
      <w:r>
        <w:rPr>
          <w:rFonts w:ascii="Calibri" w:hAnsi="Calibri" w:cs="Calibri"/>
        </w:rPr>
        <w:t xml:space="preserve">ustralian </w:t>
      </w:r>
      <w:r w:rsidRPr="00216683">
        <w:rPr>
          <w:rFonts w:ascii="Calibri" w:hAnsi="Calibri" w:cs="Calibri"/>
        </w:rPr>
        <w:t>S</w:t>
      </w:r>
      <w:r>
        <w:rPr>
          <w:rFonts w:ascii="Calibri" w:hAnsi="Calibri" w:cs="Calibri"/>
        </w:rPr>
        <w:t>ecurities Exchange (AS</w:t>
      </w:r>
      <w:r w:rsidRPr="00216683">
        <w:rPr>
          <w:rFonts w:ascii="Calibri" w:hAnsi="Calibri" w:cs="Calibri"/>
        </w:rPr>
        <w:t>X</w:t>
      </w:r>
      <w:r>
        <w:rPr>
          <w:rFonts w:ascii="Calibri" w:hAnsi="Calibri" w:cs="Calibri"/>
        </w:rPr>
        <w:t>)</w:t>
      </w:r>
      <w:r w:rsidRPr="00216683">
        <w:rPr>
          <w:rFonts w:ascii="Calibri" w:hAnsi="Calibri" w:cs="Calibri"/>
        </w:rPr>
        <w:t xml:space="preserve"> Corporate Governance Council publishes principles-based recommendations on corporate governance practices to be adopted by ASX listed </w:t>
      </w:r>
      <w:r w:rsidRPr="00216683">
        <w:rPr>
          <w:rFonts w:ascii="Calibri" w:hAnsi="Calibri" w:cs="Calibri"/>
        </w:rPr>
        <w:lastRenderedPageBreak/>
        <w:t>entities (ASX Principles &amp; Recommendations).</w:t>
      </w:r>
      <w:r w:rsidRPr="00216683">
        <w:rPr>
          <w:rStyle w:val="FootnoteReference"/>
          <w:rFonts w:ascii="Calibri" w:hAnsi="Calibri" w:cs="Calibri"/>
        </w:rPr>
        <w:footnoteReference w:id="29"/>
      </w:r>
      <w:r w:rsidRPr="00216683">
        <w:rPr>
          <w:rFonts w:ascii="Calibri" w:hAnsi="Calibri" w:cs="Calibri"/>
        </w:rPr>
        <w:t xml:space="preserve"> They are intended to provide a common reference point for corporate practices, and whilst not mandatory, an ASX listed company that does not adopt a particular recommendation must provide reasons for not doing so.</w:t>
      </w:r>
      <w:r w:rsidRPr="00216683">
        <w:rPr>
          <w:rStyle w:val="FootnoteReference"/>
          <w:rFonts w:ascii="Calibri" w:hAnsi="Calibri" w:cs="Calibri"/>
        </w:rPr>
        <w:footnoteReference w:id="30"/>
      </w:r>
      <w:r w:rsidRPr="00216683">
        <w:rPr>
          <w:rFonts w:ascii="Calibri" w:hAnsi="Calibri" w:cs="Calibri"/>
        </w:rPr>
        <w:t xml:space="preserve"> In 2018, the ASX undertook a public consultation to review the principles and proposed amending them to include a revised principle 3 which would </w:t>
      </w:r>
      <w:r>
        <w:rPr>
          <w:rFonts w:ascii="Calibri" w:hAnsi="Calibri" w:cs="Calibri"/>
        </w:rPr>
        <w:t>“</w:t>
      </w:r>
      <w:r w:rsidRPr="00216683">
        <w:rPr>
          <w:rFonts w:ascii="Calibri" w:hAnsi="Calibri" w:cs="Calibri"/>
        </w:rPr>
        <w:t xml:space="preserve">recognise the fundamental importance of a listed entity’s social licence to operate and the need for it to act lawfully, ethically and in a socially responsible manner to preserve that licence. </w:t>
      </w:r>
      <w:r>
        <w:rPr>
          <w:rFonts w:ascii="Calibri" w:hAnsi="Calibri" w:cs="Calibri"/>
        </w:rPr>
        <w:t>…</w:t>
      </w:r>
      <w:r w:rsidRPr="00216683">
        <w:rPr>
          <w:rFonts w:ascii="Calibri" w:hAnsi="Calibri" w:cs="Calibri"/>
        </w:rPr>
        <w:t xml:space="preserve"> in doing this, a listed entity must have regard to the views and interests of a broader range of stakeholders than just its security holders.</w:t>
      </w:r>
      <w:r>
        <w:rPr>
          <w:rFonts w:ascii="Calibri" w:hAnsi="Calibri" w:cs="Calibri"/>
        </w:rPr>
        <w:t>”</w:t>
      </w:r>
      <w:r w:rsidRPr="00216683">
        <w:rPr>
          <w:rStyle w:val="FootnoteReference"/>
          <w:rFonts w:ascii="Calibri" w:hAnsi="Calibri" w:cs="Calibri"/>
        </w:rPr>
        <w:footnoteReference w:id="31"/>
      </w:r>
      <w:r w:rsidRPr="00216683">
        <w:rPr>
          <w:rFonts w:ascii="Calibri" w:hAnsi="Calibri" w:cs="Calibri"/>
        </w:rPr>
        <w:t xml:space="preserve"> </w:t>
      </w:r>
    </w:p>
    <w:p w14:paraId="20DDFFF7" w14:textId="77777777" w:rsidR="0094044B" w:rsidRDefault="0094044B" w:rsidP="0094044B">
      <w:pPr>
        <w:spacing w:line="240" w:lineRule="auto"/>
        <w:contextualSpacing/>
        <w:jc w:val="both"/>
        <w:rPr>
          <w:rFonts w:ascii="Calibri" w:hAnsi="Calibri" w:cs="Calibri"/>
        </w:rPr>
      </w:pPr>
    </w:p>
    <w:p w14:paraId="202DD5B2" w14:textId="4EC2C3CA" w:rsidR="006F1F3C" w:rsidRDefault="006F1F3C" w:rsidP="00C322E3">
      <w:pPr>
        <w:spacing w:line="240" w:lineRule="auto"/>
        <w:contextualSpacing/>
        <w:jc w:val="both"/>
        <w:rPr>
          <w:rFonts w:ascii="Calibri" w:hAnsi="Calibri" w:cs="Calibri"/>
          <w:shd w:val="clear" w:color="auto" w:fill="FFFFFF"/>
        </w:rPr>
      </w:pPr>
      <w:r w:rsidRPr="00216683">
        <w:rPr>
          <w:rFonts w:ascii="Calibri" w:hAnsi="Calibri" w:cs="Calibri"/>
        </w:rPr>
        <w:t xml:space="preserve">Select businesses pushed back strongly against this proposal and it was argued that </w:t>
      </w:r>
      <w:r>
        <w:rPr>
          <w:rFonts w:ascii="Calibri" w:hAnsi="Calibri" w:cs="Calibri"/>
        </w:rPr>
        <w:t>“</w:t>
      </w:r>
      <w:r w:rsidRPr="00216683">
        <w:rPr>
          <w:rFonts w:ascii="Calibri" w:hAnsi="Calibri" w:cs="Calibri"/>
        </w:rPr>
        <w:t>corporate culture cannot be prescribed by a set of rules, and the principles and recommendations should not seek to do so.</w:t>
      </w:r>
      <w:r>
        <w:rPr>
          <w:rFonts w:ascii="Calibri" w:hAnsi="Calibri" w:cs="Calibri"/>
        </w:rPr>
        <w:t>”</w:t>
      </w:r>
      <w:r w:rsidRPr="00216683">
        <w:rPr>
          <w:rStyle w:val="FootnoteReference"/>
          <w:rFonts w:ascii="Calibri" w:hAnsi="Calibri" w:cs="Calibri"/>
        </w:rPr>
        <w:footnoteReference w:id="32"/>
      </w:r>
      <w:r w:rsidRPr="00216683">
        <w:rPr>
          <w:rFonts w:ascii="Calibri" w:hAnsi="Calibri" w:cs="Calibri"/>
        </w:rPr>
        <w:t xml:space="preserve"> The revised principle was ultimately not updated to include an explicit reference to a company’s social license and </w:t>
      </w:r>
      <w:r w:rsidRPr="00216683">
        <w:rPr>
          <w:rFonts w:ascii="Calibri" w:hAnsi="Calibri" w:cs="Calibri"/>
          <w:shd w:val="clear" w:color="auto" w:fill="FFFFFF"/>
        </w:rPr>
        <w:t>it was replaced with terms such as "reputation" and "standing in the community" in the fourth edition of the council's principles and recommendations on best practice for corporate governance.</w:t>
      </w:r>
      <w:r w:rsidRPr="00216683">
        <w:rPr>
          <w:rStyle w:val="FootnoteReference"/>
          <w:rFonts w:ascii="Calibri" w:hAnsi="Calibri" w:cs="Calibri"/>
          <w:shd w:val="clear" w:color="auto" w:fill="FFFFFF"/>
        </w:rPr>
        <w:footnoteReference w:id="33"/>
      </w:r>
    </w:p>
    <w:p w14:paraId="4060633B" w14:textId="77777777" w:rsidR="00AF575B" w:rsidRPr="00216683" w:rsidRDefault="00AF575B" w:rsidP="00C322E3">
      <w:pPr>
        <w:spacing w:line="240" w:lineRule="auto"/>
        <w:ind w:firstLine="720"/>
        <w:contextualSpacing/>
        <w:jc w:val="both"/>
      </w:pPr>
    </w:p>
    <w:p w14:paraId="196BD5D3" w14:textId="2CDCC943" w:rsidR="006F1F3C" w:rsidRPr="00C322E3" w:rsidRDefault="006F1F3C" w:rsidP="00C322E3">
      <w:pPr>
        <w:pStyle w:val="ListParagraph"/>
        <w:numPr>
          <w:ilvl w:val="0"/>
          <w:numId w:val="8"/>
        </w:numPr>
        <w:rPr>
          <w:b/>
          <w:bCs/>
        </w:rPr>
      </w:pPr>
      <w:bookmarkStart w:id="6" w:name="_Toc48660268"/>
      <w:bookmarkStart w:id="7" w:name="_Toc49766480"/>
      <w:r w:rsidRPr="00C322E3">
        <w:rPr>
          <w:b/>
          <w:bCs/>
        </w:rPr>
        <w:t>Corporate Purpose and Stakeholder Capitalism</w:t>
      </w:r>
      <w:bookmarkEnd w:id="6"/>
      <w:bookmarkEnd w:id="7"/>
    </w:p>
    <w:p w14:paraId="58F6B00E" w14:textId="77777777" w:rsidR="006F1F3C" w:rsidRPr="00216683" w:rsidRDefault="006F1F3C" w:rsidP="00C322E3">
      <w:pPr>
        <w:autoSpaceDE w:val="0"/>
        <w:autoSpaceDN w:val="0"/>
        <w:adjustRightInd w:val="0"/>
        <w:spacing w:line="240" w:lineRule="auto"/>
        <w:ind w:right="-52"/>
        <w:contextualSpacing/>
        <w:jc w:val="both"/>
        <w:rPr>
          <w:rFonts w:ascii="Calibri" w:hAnsi="Calibri" w:cs="Calibri"/>
        </w:rPr>
      </w:pPr>
      <w:r w:rsidRPr="00216683">
        <w:rPr>
          <w:rFonts w:ascii="Calibri" w:hAnsi="Calibri" w:cs="Calibri"/>
        </w:rPr>
        <w:t>In 2019, Larry Fink, CEO of Black Rock, the largest asset management company in the world</w:t>
      </w:r>
      <w:r w:rsidRPr="00216683">
        <w:rPr>
          <w:rStyle w:val="FootnoteReference"/>
          <w:rFonts w:ascii="Calibri" w:hAnsi="Calibri" w:cs="Calibri"/>
        </w:rPr>
        <w:footnoteReference w:id="34"/>
      </w:r>
      <w:r w:rsidRPr="00216683">
        <w:rPr>
          <w:rFonts w:ascii="Calibri" w:hAnsi="Calibri" w:cs="Calibri"/>
        </w:rPr>
        <w:t>, called on business leaders to consider the purpose of their company. “Purpose is not a mere tagline or marketing campaign; it is a company’s fundamental reason for being – what it does every day to create value for its stakeholders. Purpose is not the sole pursuit of profits but the animating force for achieving them. Profits are in no way inconsistent with purpose – in fact, profits and purpose are inextricably linked. Profits are essential if a company is to effectively serve all of its stakeholders over time – not only shareholders, but also employees, customers, and communities. Similarly, when a company truly understands and expresses its purpose, it functions with the focus and strategic discipline that drive long-term profitability.”</w:t>
      </w:r>
      <w:r w:rsidRPr="00216683">
        <w:rPr>
          <w:rStyle w:val="FootnoteReference"/>
          <w:rFonts w:ascii="Calibri" w:hAnsi="Calibri" w:cs="Calibri"/>
        </w:rPr>
        <w:footnoteReference w:id="35"/>
      </w:r>
      <w:r w:rsidRPr="00216683">
        <w:rPr>
          <w:rFonts w:ascii="Calibri" w:hAnsi="Calibri" w:cs="Calibri"/>
        </w:rPr>
        <w:t xml:space="preserve"> </w:t>
      </w:r>
    </w:p>
    <w:p w14:paraId="74F45D2C" w14:textId="77777777" w:rsidR="0094044B" w:rsidRDefault="0094044B" w:rsidP="0094044B">
      <w:pPr>
        <w:autoSpaceDE w:val="0"/>
        <w:autoSpaceDN w:val="0"/>
        <w:adjustRightInd w:val="0"/>
        <w:spacing w:line="240" w:lineRule="auto"/>
        <w:ind w:right="-52"/>
        <w:contextualSpacing/>
        <w:jc w:val="both"/>
        <w:rPr>
          <w:rFonts w:ascii="Calibri" w:hAnsi="Calibri" w:cs="Calibri"/>
        </w:rPr>
      </w:pPr>
    </w:p>
    <w:p w14:paraId="0ACCEFF7" w14:textId="29B3E211" w:rsidR="006F1F3C" w:rsidRPr="00313BAB" w:rsidRDefault="006F1F3C" w:rsidP="00C322E3">
      <w:pPr>
        <w:autoSpaceDE w:val="0"/>
        <w:autoSpaceDN w:val="0"/>
        <w:adjustRightInd w:val="0"/>
        <w:spacing w:line="240" w:lineRule="auto"/>
        <w:ind w:right="-52"/>
        <w:contextualSpacing/>
        <w:jc w:val="both"/>
        <w:rPr>
          <w:rFonts w:ascii="Calibri" w:hAnsi="Calibri" w:cs="Calibri"/>
        </w:rPr>
      </w:pPr>
      <w:r w:rsidRPr="00216683">
        <w:rPr>
          <w:rFonts w:ascii="Calibri" w:hAnsi="Calibri" w:cs="Calibri"/>
        </w:rPr>
        <w:t xml:space="preserve">Fink argues that business should tackle socio-economic issues: “Unnerved by fundamental economic changes and the failure of government to provide lasting solutions, society is increasingly looking to companies, both public and private, to address pressing social and economic issues. These issues range from protecting the environment to retirement to gender and racial inequality, among others. Fuelled in part by social media, public pressures on corporations build faster and reach further than ever before. In addition to these pressures, companies must navigate the complexities of a late-cycle </w:t>
      </w:r>
      <w:r w:rsidRPr="00216683">
        <w:rPr>
          <w:rFonts w:ascii="Calibri" w:hAnsi="Calibri" w:cs="Calibri"/>
        </w:rPr>
        <w:lastRenderedPageBreak/>
        <w:t>financial environment – including increased volatility – which can create incentives to maximize short-term returns at the expense of long-term growth.”</w:t>
      </w:r>
      <w:r w:rsidRPr="00216683">
        <w:rPr>
          <w:rStyle w:val="FootnoteReference"/>
          <w:rFonts w:ascii="Calibri" w:hAnsi="Calibri" w:cs="Calibri"/>
        </w:rPr>
        <w:footnoteReference w:id="36"/>
      </w:r>
      <w:r w:rsidRPr="00216683">
        <w:rPr>
          <w:rFonts w:ascii="Calibri" w:hAnsi="Calibri" w:cs="Calibri"/>
        </w:rPr>
        <w:t xml:space="preserve"> </w:t>
      </w:r>
    </w:p>
    <w:p w14:paraId="7BBDEFA4" w14:textId="77777777" w:rsidR="0094044B" w:rsidRDefault="0094044B" w:rsidP="0094044B">
      <w:pPr>
        <w:autoSpaceDE w:val="0"/>
        <w:autoSpaceDN w:val="0"/>
        <w:adjustRightInd w:val="0"/>
        <w:spacing w:line="240" w:lineRule="auto"/>
        <w:ind w:right="-52"/>
        <w:contextualSpacing/>
        <w:jc w:val="both"/>
        <w:rPr>
          <w:rFonts w:ascii="Calibri" w:hAnsi="Calibri" w:cs="Calibri"/>
        </w:rPr>
      </w:pPr>
    </w:p>
    <w:p w14:paraId="731E9944" w14:textId="69EB1CD4" w:rsidR="006F1F3C" w:rsidRPr="00216683" w:rsidRDefault="006F1F3C" w:rsidP="00C322E3">
      <w:pPr>
        <w:autoSpaceDE w:val="0"/>
        <w:autoSpaceDN w:val="0"/>
        <w:adjustRightInd w:val="0"/>
        <w:spacing w:line="240" w:lineRule="auto"/>
        <w:ind w:right="-52"/>
        <w:contextualSpacing/>
        <w:jc w:val="both"/>
        <w:rPr>
          <w:rFonts w:ascii="Calibri" w:hAnsi="Calibri" w:cs="Calibri"/>
        </w:rPr>
      </w:pPr>
      <w:r w:rsidRPr="00BA13CA">
        <w:rPr>
          <w:rFonts w:ascii="Calibri" w:hAnsi="Calibri" w:cs="Calibri"/>
        </w:rPr>
        <w:t>Call</w:t>
      </w:r>
      <w:r w:rsidRPr="00D03739">
        <w:rPr>
          <w:rFonts w:ascii="Calibri" w:hAnsi="Calibri" w:cs="Calibri"/>
        </w:rPr>
        <w:t>s f</w:t>
      </w:r>
      <w:r w:rsidRPr="00482A44">
        <w:rPr>
          <w:rFonts w:ascii="Calibri" w:hAnsi="Calibri" w:cs="Calibri"/>
        </w:rPr>
        <w:t>or companies to ad</w:t>
      </w:r>
      <w:r w:rsidRPr="00B44842">
        <w:rPr>
          <w:rFonts w:ascii="Calibri" w:hAnsi="Calibri" w:cs="Calibri"/>
        </w:rPr>
        <w:t>opt a more purpose</w:t>
      </w:r>
      <w:r w:rsidRPr="00AF6C38">
        <w:rPr>
          <w:rFonts w:ascii="Calibri" w:hAnsi="Calibri" w:cs="Calibri"/>
        </w:rPr>
        <w:t xml:space="preserve">ful </w:t>
      </w:r>
      <w:r w:rsidRPr="001A52F1">
        <w:rPr>
          <w:rFonts w:ascii="Calibri" w:hAnsi="Calibri" w:cs="Calibri"/>
        </w:rPr>
        <w:t>app</w:t>
      </w:r>
      <w:r w:rsidRPr="00AE0646">
        <w:rPr>
          <w:rFonts w:ascii="Calibri" w:hAnsi="Calibri" w:cs="Calibri"/>
        </w:rPr>
        <w:t>roach</w:t>
      </w:r>
      <w:r w:rsidRPr="00C048A0">
        <w:rPr>
          <w:rFonts w:ascii="Calibri" w:hAnsi="Calibri" w:cs="Calibri"/>
        </w:rPr>
        <w:t xml:space="preserve"> to business including one that includes greater transparency</w:t>
      </w:r>
      <w:r w:rsidRPr="00764BF5">
        <w:rPr>
          <w:rFonts w:ascii="Calibri" w:hAnsi="Calibri" w:cs="Calibri"/>
        </w:rPr>
        <w:t xml:space="preserve"> and responsibility on social is</w:t>
      </w:r>
      <w:r w:rsidRPr="001414B1">
        <w:rPr>
          <w:rFonts w:ascii="Calibri" w:hAnsi="Calibri" w:cs="Calibri"/>
        </w:rPr>
        <w:t xml:space="preserve">sues are growing. In </w:t>
      </w:r>
      <w:r w:rsidRPr="00BA4331">
        <w:rPr>
          <w:rFonts w:ascii="Calibri" w:hAnsi="Calibri" w:cs="Calibri"/>
        </w:rPr>
        <w:t xml:space="preserve">2019 the </w:t>
      </w:r>
      <w:r w:rsidRPr="00F02FCF">
        <w:rPr>
          <w:rFonts w:ascii="Calibri" w:hAnsi="Calibri" w:cs="Calibri"/>
        </w:rPr>
        <w:t xml:space="preserve">US Business Roundtable </w:t>
      </w:r>
      <w:r w:rsidRPr="00F61D1B">
        <w:rPr>
          <w:rFonts w:ascii="Calibri" w:hAnsi="Calibri" w:cs="Calibri"/>
        </w:rPr>
        <w:t>issued</w:t>
      </w:r>
      <w:r w:rsidRPr="007751BC">
        <w:rPr>
          <w:rFonts w:ascii="Calibri" w:hAnsi="Calibri" w:cs="Calibri"/>
        </w:rPr>
        <w:t xml:space="preserve"> </w:t>
      </w:r>
      <w:r w:rsidRPr="00D94696">
        <w:rPr>
          <w:rFonts w:ascii="Calibri" w:hAnsi="Calibri" w:cs="Calibri"/>
        </w:rPr>
        <w:t xml:space="preserve">a </w:t>
      </w:r>
      <w:r w:rsidRPr="00BA13CA">
        <w:rPr>
          <w:rFonts w:ascii="Calibri" w:hAnsi="Calibri" w:cs="Calibri"/>
        </w:rPr>
        <w:t>Statement on the Purpose of a Corporation in which</w:t>
      </w:r>
      <w:r w:rsidRPr="00D03739">
        <w:rPr>
          <w:rFonts w:ascii="Calibri" w:hAnsi="Calibri" w:cs="Calibri"/>
        </w:rPr>
        <w:t xml:space="preserve"> it ac</w:t>
      </w:r>
      <w:r w:rsidRPr="00482A44">
        <w:rPr>
          <w:rFonts w:ascii="Calibri" w:hAnsi="Calibri" w:cs="Calibri"/>
        </w:rPr>
        <w:t xml:space="preserve">knowledged that while </w:t>
      </w:r>
      <w:r w:rsidRPr="00B44842">
        <w:rPr>
          <w:rFonts w:ascii="Calibri" w:hAnsi="Calibri" w:cs="Calibri"/>
        </w:rPr>
        <w:t>“the fre</w:t>
      </w:r>
      <w:r w:rsidRPr="00AF6C38">
        <w:rPr>
          <w:rFonts w:ascii="Calibri" w:hAnsi="Calibri" w:cs="Calibri"/>
        </w:rPr>
        <w:t xml:space="preserve">e-market system is the best means of generating good </w:t>
      </w:r>
      <w:r w:rsidRPr="00A24F33">
        <w:rPr>
          <w:rFonts w:ascii="Calibri" w:hAnsi="Calibri" w:cs="Calibri"/>
        </w:rPr>
        <w:t>job</w:t>
      </w:r>
      <w:r w:rsidRPr="003307C6">
        <w:rPr>
          <w:rFonts w:ascii="Calibri" w:hAnsi="Calibri" w:cs="Calibri"/>
        </w:rPr>
        <w:t>s, a strong and sustainable economy</w:t>
      </w:r>
      <w:r w:rsidRPr="00CF1F90">
        <w:rPr>
          <w:rFonts w:ascii="Calibri" w:hAnsi="Calibri" w:cs="Calibri"/>
        </w:rPr>
        <w:t>, innovation</w:t>
      </w:r>
      <w:r w:rsidRPr="00985553">
        <w:rPr>
          <w:rFonts w:ascii="Calibri" w:hAnsi="Calibri" w:cs="Calibri"/>
        </w:rPr>
        <w:t>, a healthy enviro</w:t>
      </w:r>
      <w:r w:rsidRPr="00296622">
        <w:rPr>
          <w:rFonts w:ascii="Calibri" w:hAnsi="Calibri" w:cs="Calibri"/>
        </w:rPr>
        <w:t>nment and economic opportunity for all”</w:t>
      </w:r>
      <w:r w:rsidRPr="005B1D7A">
        <w:rPr>
          <w:rStyle w:val="FootnoteReference"/>
          <w:rFonts w:ascii="Calibri" w:hAnsi="Calibri" w:cs="Calibri"/>
        </w:rPr>
        <w:footnoteReference w:id="37"/>
      </w:r>
      <w:r w:rsidRPr="00BA13CA">
        <w:rPr>
          <w:rFonts w:ascii="Calibri" w:hAnsi="Calibri" w:cs="Calibri"/>
        </w:rPr>
        <w:t xml:space="preserve"> it also </w:t>
      </w:r>
      <w:r w:rsidRPr="00D03739">
        <w:rPr>
          <w:rFonts w:ascii="Calibri" w:hAnsi="Calibri" w:cs="Calibri"/>
        </w:rPr>
        <w:t>recogni</w:t>
      </w:r>
      <w:r w:rsidRPr="00482A44">
        <w:rPr>
          <w:rFonts w:ascii="Calibri" w:hAnsi="Calibri" w:cs="Calibri"/>
        </w:rPr>
        <w:t>se</w:t>
      </w:r>
      <w:r>
        <w:rPr>
          <w:rFonts w:ascii="Calibri" w:hAnsi="Calibri" w:cs="Calibri"/>
        </w:rPr>
        <w:t>s</w:t>
      </w:r>
      <w:r w:rsidRPr="00482A44">
        <w:rPr>
          <w:rFonts w:ascii="Calibri" w:hAnsi="Calibri" w:cs="Calibri"/>
        </w:rPr>
        <w:t xml:space="preserve"> that companies </w:t>
      </w:r>
      <w:r w:rsidRPr="00AF6C38">
        <w:rPr>
          <w:rFonts w:ascii="Calibri" w:hAnsi="Calibri" w:cs="Calibri"/>
        </w:rPr>
        <w:t xml:space="preserve">must </w:t>
      </w:r>
      <w:r>
        <w:rPr>
          <w:rFonts w:ascii="Calibri" w:hAnsi="Calibri" w:cs="Calibri"/>
        </w:rPr>
        <w:t>consider their</w:t>
      </w:r>
      <w:r w:rsidRPr="00AF6C38">
        <w:rPr>
          <w:rFonts w:ascii="Calibri" w:hAnsi="Calibri" w:cs="Calibri"/>
        </w:rPr>
        <w:t xml:space="preserve"> impact on cu</w:t>
      </w:r>
      <w:r w:rsidRPr="00AE0646">
        <w:rPr>
          <w:rFonts w:ascii="Calibri" w:hAnsi="Calibri" w:cs="Calibri"/>
        </w:rPr>
        <w:t>stomers, emp</w:t>
      </w:r>
      <w:r w:rsidRPr="00C048A0">
        <w:rPr>
          <w:rFonts w:ascii="Calibri" w:hAnsi="Calibri" w:cs="Calibri"/>
        </w:rPr>
        <w:t xml:space="preserve">loyees, suppliers </w:t>
      </w:r>
      <w:r w:rsidRPr="00764BF5">
        <w:rPr>
          <w:rFonts w:ascii="Calibri" w:hAnsi="Calibri" w:cs="Calibri"/>
        </w:rPr>
        <w:t xml:space="preserve">and the communities in which </w:t>
      </w:r>
      <w:r w:rsidRPr="001414B1">
        <w:rPr>
          <w:rFonts w:ascii="Calibri" w:hAnsi="Calibri" w:cs="Calibri"/>
        </w:rPr>
        <w:t xml:space="preserve">they operate. </w:t>
      </w:r>
    </w:p>
    <w:p w14:paraId="42C2B230" w14:textId="77777777" w:rsidR="0094044B" w:rsidRDefault="0094044B" w:rsidP="0094044B">
      <w:pPr>
        <w:spacing w:line="240" w:lineRule="auto"/>
        <w:contextualSpacing/>
        <w:jc w:val="both"/>
        <w:rPr>
          <w:rFonts w:ascii="Calibri" w:hAnsi="Calibri" w:cs="Calibri"/>
        </w:rPr>
      </w:pPr>
    </w:p>
    <w:p w14:paraId="77EAAAEE" w14:textId="7CAAE290" w:rsidR="006F1F3C" w:rsidRPr="00216683" w:rsidRDefault="006F1F3C" w:rsidP="00C322E3">
      <w:pPr>
        <w:spacing w:line="240" w:lineRule="auto"/>
        <w:contextualSpacing/>
        <w:jc w:val="both"/>
        <w:rPr>
          <w:rFonts w:ascii="Calibri" w:hAnsi="Calibri" w:cs="Calibri"/>
        </w:rPr>
      </w:pPr>
      <w:r>
        <w:rPr>
          <w:rFonts w:ascii="Calibri" w:hAnsi="Calibri" w:cs="Calibri"/>
        </w:rPr>
        <w:t>The protagonists of</w:t>
      </w:r>
      <w:r w:rsidRPr="00216683">
        <w:rPr>
          <w:rFonts w:ascii="Calibri" w:hAnsi="Calibri" w:cs="Calibri"/>
        </w:rPr>
        <w:t xml:space="preserve"> corporate purpose </w:t>
      </w:r>
      <w:r>
        <w:rPr>
          <w:rFonts w:ascii="Calibri" w:hAnsi="Calibri" w:cs="Calibri"/>
        </w:rPr>
        <w:t>are</w:t>
      </w:r>
      <w:r w:rsidRPr="00216683">
        <w:rPr>
          <w:rFonts w:ascii="Calibri" w:hAnsi="Calibri" w:cs="Calibri"/>
        </w:rPr>
        <w:t>, ostensibly, arguing for a shift away from shareholder capitalism towards stakeholder capitalism. In</w:t>
      </w:r>
      <w:r w:rsidRPr="00216683" w:rsidDel="00C6195A">
        <w:rPr>
          <w:rFonts w:ascii="Calibri" w:hAnsi="Calibri" w:cs="Calibri"/>
        </w:rPr>
        <w:t xml:space="preserve"> </w:t>
      </w:r>
      <w:r>
        <w:rPr>
          <w:rFonts w:ascii="Calibri" w:hAnsi="Calibri" w:cs="Calibri"/>
        </w:rPr>
        <w:t>Fink’s</w:t>
      </w:r>
      <w:r w:rsidRPr="00216683">
        <w:rPr>
          <w:rFonts w:ascii="Calibri" w:hAnsi="Calibri" w:cs="Calibri"/>
        </w:rPr>
        <w:t xml:space="preserve"> letter, he argues that companies should no longer prioriti</w:t>
      </w:r>
      <w:r>
        <w:rPr>
          <w:rFonts w:ascii="Calibri" w:hAnsi="Calibri" w:cs="Calibri"/>
        </w:rPr>
        <w:t>s</w:t>
      </w:r>
      <w:r w:rsidRPr="00216683">
        <w:rPr>
          <w:rFonts w:ascii="Calibri" w:hAnsi="Calibri" w:cs="Calibri"/>
        </w:rPr>
        <w:t xml:space="preserve">e short-term profits or solely focus on maximizing shareholder returns. Rather, companies should aim to create value for all stakeholders, and contends that companies need to do so because of the failure of public institutions to adequately address the pressure exerted by the public. By promoting a narrative that revolves around corporate purpose, Larry Fink gives credence to the idea that companies are beholden to all of their stakeholders rather than merely to their shareholders. </w:t>
      </w:r>
    </w:p>
    <w:p w14:paraId="21BCCDFD" w14:textId="77777777" w:rsidR="0094044B" w:rsidRDefault="0094044B" w:rsidP="0094044B">
      <w:pPr>
        <w:spacing w:line="240" w:lineRule="auto"/>
        <w:contextualSpacing/>
        <w:jc w:val="both"/>
        <w:rPr>
          <w:rFonts w:ascii="Calibri" w:hAnsi="Calibri" w:cs="Calibri"/>
        </w:rPr>
      </w:pPr>
    </w:p>
    <w:p w14:paraId="00AC5597" w14:textId="6EF4004F" w:rsidR="006F1F3C" w:rsidRDefault="006F1F3C" w:rsidP="00C322E3">
      <w:pPr>
        <w:spacing w:line="240" w:lineRule="auto"/>
        <w:contextualSpacing/>
        <w:jc w:val="both"/>
        <w:rPr>
          <w:rFonts w:ascii="Calibri" w:hAnsi="Calibri" w:cs="Calibri"/>
        </w:rPr>
      </w:pPr>
      <w:r w:rsidRPr="00216683">
        <w:rPr>
          <w:rFonts w:ascii="Calibri" w:hAnsi="Calibri" w:cs="Calibri"/>
        </w:rPr>
        <w:t xml:space="preserve">Since its introduction in the 1980s, scholars have used stakeholder theory to capture the dynamics between companies and their stakeholders. Today, nearly all companies have adopted the stakeholder narrative in their annual and sustainability reports. The father of stakeholder theory, Edward </w:t>
      </w:r>
      <w:r w:rsidRPr="00216683">
        <w:rPr>
          <w:rFonts w:ascii="Calibri" w:hAnsi="Calibri" w:cs="Calibri"/>
          <w:kern w:val="1"/>
        </w:rPr>
        <w:t xml:space="preserve">Freeman, describes stakeholders as </w:t>
      </w:r>
      <w:r w:rsidRPr="00216683">
        <w:rPr>
          <w:rFonts w:ascii="Calibri" w:hAnsi="Calibri" w:cs="Calibri"/>
          <w:spacing w:val="3"/>
          <w:kern w:val="1"/>
        </w:rPr>
        <w:t xml:space="preserve">"any </w:t>
      </w:r>
      <w:r w:rsidRPr="00216683">
        <w:rPr>
          <w:rFonts w:ascii="Calibri" w:hAnsi="Calibri" w:cs="Calibri"/>
          <w:kern w:val="1"/>
        </w:rPr>
        <w:t xml:space="preserve">group </w:t>
      </w:r>
      <w:r w:rsidRPr="00216683">
        <w:rPr>
          <w:rFonts w:ascii="Calibri" w:hAnsi="Calibri" w:cs="Calibri"/>
          <w:spacing w:val="-3"/>
          <w:kern w:val="1"/>
        </w:rPr>
        <w:t xml:space="preserve">or </w:t>
      </w:r>
      <w:r w:rsidRPr="00216683">
        <w:rPr>
          <w:rFonts w:ascii="Calibri" w:hAnsi="Calibri" w:cs="Calibri"/>
          <w:kern w:val="1"/>
        </w:rPr>
        <w:t>individual who can affect</w:t>
      </w:r>
      <w:r w:rsidRPr="00216683">
        <w:rPr>
          <w:rFonts w:ascii="Calibri" w:hAnsi="Calibri" w:cs="Calibri"/>
          <w:spacing w:val="-6"/>
          <w:kern w:val="1"/>
        </w:rPr>
        <w:t xml:space="preserve"> </w:t>
      </w:r>
      <w:r w:rsidRPr="00216683">
        <w:rPr>
          <w:rFonts w:ascii="Calibri" w:hAnsi="Calibri" w:cs="Calibri"/>
          <w:spacing w:val="-3"/>
          <w:kern w:val="1"/>
        </w:rPr>
        <w:t>or</w:t>
      </w:r>
      <w:r w:rsidRPr="00216683">
        <w:rPr>
          <w:rFonts w:ascii="Calibri" w:hAnsi="Calibri" w:cs="Calibri"/>
          <w:spacing w:val="53"/>
          <w:kern w:val="1"/>
        </w:rPr>
        <w:t xml:space="preserve"> </w:t>
      </w:r>
      <w:r w:rsidRPr="00216683">
        <w:rPr>
          <w:rFonts w:ascii="Calibri" w:hAnsi="Calibri" w:cs="Calibri"/>
          <w:spacing w:val="-4"/>
          <w:kern w:val="1"/>
        </w:rPr>
        <w:t>is</w:t>
      </w:r>
      <w:r w:rsidRPr="00216683">
        <w:rPr>
          <w:rFonts w:ascii="Calibri" w:hAnsi="Calibri" w:cs="Calibri"/>
          <w:kern w:val="1"/>
        </w:rPr>
        <w:t xml:space="preserve"> affected by the achievement </w:t>
      </w:r>
      <w:r w:rsidRPr="00216683">
        <w:rPr>
          <w:rFonts w:ascii="Calibri" w:hAnsi="Calibri" w:cs="Calibri"/>
          <w:spacing w:val="2"/>
          <w:kern w:val="1"/>
        </w:rPr>
        <w:t xml:space="preserve">of </w:t>
      </w:r>
      <w:r w:rsidRPr="00216683">
        <w:rPr>
          <w:rFonts w:ascii="Calibri" w:hAnsi="Calibri" w:cs="Calibri"/>
          <w:kern w:val="1"/>
        </w:rPr>
        <w:t>the organization’s objectives."</w:t>
      </w:r>
      <w:r w:rsidRPr="00216683">
        <w:rPr>
          <w:rStyle w:val="FootnoteReference"/>
          <w:rFonts w:ascii="Calibri" w:hAnsi="Calibri" w:cs="Calibri"/>
          <w:kern w:val="1"/>
        </w:rPr>
        <w:footnoteReference w:id="38"/>
      </w:r>
      <w:r w:rsidRPr="00216683">
        <w:rPr>
          <w:rFonts w:ascii="Calibri" w:hAnsi="Calibri" w:cs="Calibri"/>
          <w:kern w:val="1"/>
        </w:rPr>
        <w:t xml:space="preserve">. </w:t>
      </w:r>
      <w:r w:rsidRPr="00216683">
        <w:rPr>
          <w:rFonts w:ascii="Calibri" w:hAnsi="Calibri" w:cs="Calibri"/>
        </w:rPr>
        <w:t>What is often left unsaid about the genesis of stakeholder theory is that it was introduced as part of a strategic management paradigm.</w:t>
      </w:r>
      <w:r w:rsidRPr="00216683">
        <w:rPr>
          <w:rStyle w:val="FootnoteReference"/>
          <w:rFonts w:ascii="Calibri" w:hAnsi="Calibri" w:cs="Calibri"/>
        </w:rPr>
        <w:footnoteReference w:id="39"/>
      </w:r>
      <w:r w:rsidRPr="00216683">
        <w:rPr>
          <w:rFonts w:ascii="Calibri" w:hAnsi="Calibri" w:cs="Calibri"/>
        </w:rPr>
        <w:t xml:space="preserve"> </w:t>
      </w:r>
      <w:r>
        <w:rPr>
          <w:rFonts w:ascii="Calibri" w:hAnsi="Calibri" w:cs="Calibri"/>
        </w:rPr>
        <w:t>Freeman</w:t>
      </w:r>
      <w:r w:rsidRPr="00216683">
        <w:rPr>
          <w:rFonts w:ascii="Calibri" w:hAnsi="Calibri" w:cs="Calibri"/>
        </w:rPr>
        <w:t xml:space="preserve"> described how companies could manage stakeholders to further the goals of the company, he did not suggest that stakeholders should replace shareholders as the locus of business.</w:t>
      </w:r>
    </w:p>
    <w:p w14:paraId="6E5C2F56" w14:textId="77777777" w:rsidR="006F1F3C" w:rsidRPr="00216683" w:rsidRDefault="006F1F3C" w:rsidP="00C322E3">
      <w:pPr>
        <w:spacing w:line="240" w:lineRule="auto"/>
        <w:ind w:firstLine="720"/>
        <w:contextualSpacing/>
        <w:jc w:val="both"/>
      </w:pPr>
    </w:p>
    <w:p w14:paraId="6190D9E5" w14:textId="6AEC9DDE" w:rsidR="006F1F3C" w:rsidRPr="00C322E3" w:rsidRDefault="006F1F3C" w:rsidP="00C322E3">
      <w:pPr>
        <w:pStyle w:val="ListParagraph"/>
        <w:numPr>
          <w:ilvl w:val="0"/>
          <w:numId w:val="8"/>
        </w:numPr>
        <w:rPr>
          <w:b/>
          <w:bCs/>
        </w:rPr>
      </w:pPr>
      <w:bookmarkStart w:id="8" w:name="_Toc48660269"/>
      <w:bookmarkStart w:id="9" w:name="_Toc49766481"/>
      <w:r w:rsidRPr="00C322E3">
        <w:rPr>
          <w:b/>
          <w:bCs/>
        </w:rPr>
        <w:t>Challenging or Maintaining the Status Quo?</w:t>
      </w:r>
      <w:bookmarkEnd w:id="8"/>
      <w:bookmarkEnd w:id="9"/>
    </w:p>
    <w:p w14:paraId="0D0421E7" w14:textId="77777777" w:rsidR="006F1F3C" w:rsidRPr="00216683" w:rsidRDefault="006F1F3C" w:rsidP="00C322E3">
      <w:pPr>
        <w:autoSpaceDE w:val="0"/>
        <w:autoSpaceDN w:val="0"/>
        <w:adjustRightInd w:val="0"/>
        <w:spacing w:line="240" w:lineRule="auto"/>
        <w:contextualSpacing/>
        <w:jc w:val="both"/>
        <w:rPr>
          <w:rFonts w:ascii="Calibri" w:hAnsi="Calibri" w:cs="Calibri"/>
        </w:rPr>
      </w:pPr>
      <w:r w:rsidRPr="00216683">
        <w:rPr>
          <w:rFonts w:ascii="Calibri" w:hAnsi="Calibri" w:cs="Calibri"/>
        </w:rPr>
        <w:t>Empirical data contradicts the supposed shift in interest from shareholders to stakeholders. Like Larry Fink, Jamie Dimon – CEO of JPMorgan Chase, has also come out publicly to say that companies should consider the common good: “the [Covid-19] crisis must serve as a wake-up call and a call to action for business and government to think, act and invest for the common good and confront the structural obstacles that have inhibited inclusive economic growth for years”, he added that “[t]he last few months have laid bare the reality that, even before the pandemic hit, far too many people were living on the edge.”</w:t>
      </w:r>
      <w:r w:rsidRPr="00216683">
        <w:rPr>
          <w:rStyle w:val="FootnoteReference"/>
          <w:rFonts w:ascii="Calibri" w:hAnsi="Calibri" w:cs="Calibri"/>
        </w:rPr>
        <w:footnoteReference w:id="40"/>
      </w:r>
      <w:r w:rsidRPr="00216683">
        <w:rPr>
          <w:rFonts w:ascii="Calibri" w:hAnsi="Calibri" w:cs="Calibri"/>
        </w:rPr>
        <w:t xml:space="preserve"> </w:t>
      </w:r>
      <w:r>
        <w:rPr>
          <w:rFonts w:ascii="Calibri" w:hAnsi="Calibri" w:cs="Calibri"/>
        </w:rPr>
        <w:t xml:space="preserve">However, </w:t>
      </w:r>
      <w:r w:rsidRPr="00216683">
        <w:rPr>
          <w:rFonts w:ascii="Calibri" w:hAnsi="Calibri" w:cs="Calibri"/>
        </w:rPr>
        <w:t>Dimon was given a $US31 million bonus in 2019, surpassing pre-GFC bonus levels.</w:t>
      </w:r>
      <w:r w:rsidRPr="00216683">
        <w:rPr>
          <w:rStyle w:val="FootnoteReference"/>
          <w:rFonts w:ascii="Calibri" w:hAnsi="Calibri" w:cs="Calibri"/>
        </w:rPr>
        <w:footnoteReference w:id="41"/>
      </w:r>
      <w:r w:rsidRPr="00216683">
        <w:rPr>
          <w:rFonts w:ascii="Calibri" w:hAnsi="Calibri" w:cs="Calibri"/>
        </w:rPr>
        <w:t xml:space="preserve"> </w:t>
      </w:r>
      <w:r>
        <w:rPr>
          <w:rFonts w:ascii="Calibri" w:hAnsi="Calibri" w:cs="Calibri"/>
        </w:rPr>
        <w:t>During the early stages of the Covid-19 outbreak, a</w:t>
      </w:r>
      <w:r w:rsidRPr="00F52E9D" w:rsidDel="00FE45D7">
        <w:rPr>
          <w:rFonts w:ascii="Calibri" w:hAnsi="Calibri" w:cs="Calibri"/>
        </w:rPr>
        <w:t xml:space="preserve"> </w:t>
      </w:r>
      <w:r w:rsidRPr="00F52E9D">
        <w:rPr>
          <w:rFonts w:ascii="Calibri" w:hAnsi="Calibri" w:cs="Calibri"/>
        </w:rPr>
        <w:t xml:space="preserve">survey conducted in </w:t>
      </w:r>
      <w:r>
        <w:rPr>
          <w:rFonts w:ascii="Calibri" w:hAnsi="Calibri" w:cs="Calibri"/>
        </w:rPr>
        <w:t>the US</w:t>
      </w:r>
      <w:r w:rsidRPr="00F52E9D">
        <w:rPr>
          <w:rFonts w:ascii="Calibri" w:hAnsi="Calibri" w:cs="Calibri"/>
        </w:rPr>
        <w:t xml:space="preserve"> showed that </w:t>
      </w:r>
      <w:r w:rsidRPr="00F52E9D">
        <w:rPr>
          <w:rFonts w:ascii="Calibri" w:hAnsi="Calibri" w:cs="Calibri"/>
        </w:rPr>
        <w:lastRenderedPageBreak/>
        <w:t>84 per cent of businesses ha</w:t>
      </w:r>
      <w:r>
        <w:rPr>
          <w:rFonts w:ascii="Calibri" w:hAnsi="Calibri" w:cs="Calibri"/>
        </w:rPr>
        <w:t>d</w:t>
      </w:r>
      <w:r w:rsidRPr="00F52E9D">
        <w:rPr>
          <w:rFonts w:ascii="Calibri" w:hAnsi="Calibri" w:cs="Calibri"/>
        </w:rPr>
        <w:t xml:space="preserve"> taken no action on executive pay. Two-thirds of companies had already made equity grants to executives and 94 per cent d</w:t>
      </w:r>
      <w:r>
        <w:rPr>
          <w:rFonts w:ascii="Calibri" w:hAnsi="Calibri" w:cs="Calibri"/>
        </w:rPr>
        <w:t>id</w:t>
      </w:r>
      <w:r w:rsidRPr="00F52E9D">
        <w:rPr>
          <w:rFonts w:ascii="Calibri" w:hAnsi="Calibri" w:cs="Calibri"/>
        </w:rPr>
        <w:t xml:space="preserve"> not plan on making changes to these awards.</w:t>
      </w:r>
      <w:r w:rsidRPr="00F52E9D">
        <w:rPr>
          <w:rStyle w:val="FootnoteReference"/>
          <w:rFonts w:ascii="Calibri" w:hAnsi="Calibri" w:cs="Calibri"/>
        </w:rPr>
        <w:footnoteReference w:id="42"/>
      </w:r>
    </w:p>
    <w:p w14:paraId="452F44EB" w14:textId="77777777" w:rsidR="0094044B" w:rsidRDefault="0094044B" w:rsidP="0094044B">
      <w:pPr>
        <w:spacing w:line="240" w:lineRule="auto"/>
        <w:contextualSpacing/>
        <w:jc w:val="both"/>
        <w:rPr>
          <w:rFonts w:ascii="Calibri" w:hAnsi="Calibri" w:cs="Calibri"/>
        </w:rPr>
      </w:pPr>
    </w:p>
    <w:p w14:paraId="72954A1F" w14:textId="074A3711" w:rsidR="006F1F3C" w:rsidRPr="00216683" w:rsidRDefault="006F1F3C" w:rsidP="00C322E3">
      <w:pPr>
        <w:spacing w:line="240" w:lineRule="auto"/>
        <w:contextualSpacing/>
        <w:jc w:val="both"/>
        <w:rPr>
          <w:rFonts w:ascii="Calibri" w:hAnsi="Calibri" w:cs="Calibri"/>
        </w:rPr>
      </w:pPr>
      <w:r w:rsidRPr="00216683">
        <w:rPr>
          <w:rFonts w:ascii="Calibri" w:hAnsi="Calibri" w:cs="Calibri"/>
        </w:rPr>
        <w:t>Wage growth across the world has lagged behind the growth of labour productivity in recent decades, which means that the wage share of national income, has been in decline.</w:t>
      </w:r>
      <w:r w:rsidRPr="00216683">
        <w:rPr>
          <w:rStyle w:val="FootnoteReference"/>
          <w:rFonts w:ascii="Calibri" w:hAnsi="Calibri" w:cs="Calibri"/>
        </w:rPr>
        <w:footnoteReference w:id="43"/>
      </w:r>
      <w:r w:rsidRPr="00216683">
        <w:rPr>
          <w:rFonts w:ascii="Calibri" w:hAnsi="Calibri" w:cs="Calibri"/>
        </w:rPr>
        <w:t xml:space="preserve"> While the world economy has grown, not everyone has benefited from this development. Although many have been lifted out of poverty, around 736 million people continue to live in extreme poverty, earning less than US$1.90 per day.</w:t>
      </w:r>
      <w:r w:rsidRPr="00216683">
        <w:rPr>
          <w:rStyle w:val="FootnoteReference"/>
          <w:rFonts w:ascii="Calibri" w:hAnsi="Calibri" w:cs="Calibri"/>
        </w:rPr>
        <w:footnoteReference w:id="44"/>
      </w:r>
      <w:r w:rsidRPr="00216683">
        <w:rPr>
          <w:rFonts w:ascii="Calibri" w:hAnsi="Calibri" w:cs="Calibri"/>
        </w:rPr>
        <w:t xml:space="preserve"> Being paid a wage does not mean escaping poverty, as workers at the lower end of the labour market often remain in debt and struggle to feed their families. The charitable organisation Oxfam estimated that the richest 1% of people are now as wealthy as the rest of the world combined.</w:t>
      </w:r>
      <w:r w:rsidRPr="00216683">
        <w:rPr>
          <w:rStyle w:val="FootnoteReference"/>
          <w:rFonts w:ascii="Calibri" w:hAnsi="Calibri" w:cs="Calibri"/>
        </w:rPr>
        <w:footnoteReference w:id="45"/>
      </w:r>
      <w:r w:rsidRPr="00216683">
        <w:rPr>
          <w:rFonts w:ascii="Calibri" w:hAnsi="Calibri" w:cs="Calibri"/>
        </w:rPr>
        <w:t xml:space="preserve"> It takes a CEO from one of the top five global fashion brands only four days to earn what a Bangladeshi garment worker earns in </w:t>
      </w:r>
      <w:r>
        <w:rPr>
          <w:rFonts w:ascii="Calibri" w:hAnsi="Calibri" w:cs="Calibri"/>
        </w:rPr>
        <w:t>a</w:t>
      </w:r>
      <w:r w:rsidRPr="00216683">
        <w:rPr>
          <w:rFonts w:ascii="Calibri" w:hAnsi="Calibri" w:cs="Calibri"/>
        </w:rPr>
        <w:t xml:space="preserve"> lifetime, </w:t>
      </w:r>
      <w:r>
        <w:rPr>
          <w:rFonts w:ascii="Calibri" w:hAnsi="Calibri" w:cs="Calibri"/>
        </w:rPr>
        <w:t>while</w:t>
      </w:r>
      <w:r w:rsidRPr="00216683">
        <w:rPr>
          <w:rFonts w:ascii="Calibri" w:hAnsi="Calibri" w:cs="Calibri"/>
        </w:rPr>
        <w:t xml:space="preserve"> in 2017, 82% of all of the growth in global wealth went to the top 1%, whereas the bottom 50% saw no increase at all.</w:t>
      </w:r>
      <w:r w:rsidRPr="00216683">
        <w:rPr>
          <w:rStyle w:val="FootnoteReference"/>
          <w:rFonts w:ascii="Calibri" w:hAnsi="Calibri" w:cs="Calibri"/>
        </w:rPr>
        <w:footnoteReference w:id="46"/>
      </w:r>
      <w:r w:rsidRPr="00216683">
        <w:rPr>
          <w:rFonts w:ascii="Calibri" w:hAnsi="Calibri" w:cs="Calibri"/>
        </w:rPr>
        <w:t xml:space="preserve"> </w:t>
      </w:r>
      <w:r>
        <w:rPr>
          <w:rFonts w:ascii="Calibri" w:hAnsi="Calibri" w:cs="Calibri"/>
        </w:rPr>
        <w:t>The ITUC has called for a new social contract to “build back better” after Covid-19 and redress some of these imbalances.</w:t>
      </w:r>
      <w:r>
        <w:rPr>
          <w:rStyle w:val="FootnoteReference"/>
          <w:rFonts w:ascii="Calibri" w:hAnsi="Calibri" w:cs="Calibri"/>
        </w:rPr>
        <w:footnoteReference w:id="47"/>
      </w:r>
    </w:p>
    <w:p w14:paraId="3D573479" w14:textId="77777777" w:rsidR="0094044B" w:rsidRDefault="0094044B" w:rsidP="0094044B">
      <w:pPr>
        <w:spacing w:line="240" w:lineRule="auto"/>
        <w:contextualSpacing/>
        <w:jc w:val="both"/>
        <w:rPr>
          <w:rFonts w:ascii="Calibri" w:hAnsi="Calibri" w:cs="Calibri"/>
        </w:rPr>
      </w:pPr>
    </w:p>
    <w:p w14:paraId="644971BC" w14:textId="420B0F4F" w:rsidR="006F1F3C" w:rsidRDefault="006F1F3C" w:rsidP="00C322E3">
      <w:pPr>
        <w:spacing w:line="240" w:lineRule="auto"/>
        <w:contextualSpacing/>
        <w:jc w:val="both"/>
        <w:rPr>
          <w:rFonts w:ascii="Calibri" w:hAnsi="Calibri" w:cs="Calibri"/>
        </w:rPr>
      </w:pPr>
      <w:r w:rsidRPr="00216683">
        <w:rPr>
          <w:rFonts w:ascii="Calibri" w:hAnsi="Calibri" w:cs="Calibri"/>
        </w:rPr>
        <w:t>Other facts that refute the suggestion that business is increasingly concerned with stakeholder interests concern the increase in shareholder dividend pay-outs and stock buybacks. In 2018</w:t>
      </w:r>
      <w:r>
        <w:rPr>
          <w:rFonts w:ascii="Calibri" w:hAnsi="Calibri" w:cs="Calibri"/>
        </w:rPr>
        <w:t>,</w:t>
      </w:r>
      <w:r w:rsidRPr="00216683">
        <w:rPr>
          <w:rFonts w:ascii="Calibri" w:hAnsi="Calibri" w:cs="Calibri"/>
        </w:rPr>
        <w:t xml:space="preserve"> companies in the S&amp;P 500 Index repurchased US$806 billion in shares.</w:t>
      </w:r>
      <w:r w:rsidRPr="00216683">
        <w:rPr>
          <w:rStyle w:val="FootnoteReference"/>
          <w:rFonts w:ascii="Calibri" w:hAnsi="Calibri" w:cs="Calibri"/>
        </w:rPr>
        <w:footnoteReference w:id="48"/>
      </w:r>
      <w:r w:rsidRPr="00216683">
        <w:rPr>
          <w:rFonts w:ascii="Calibri" w:hAnsi="Calibri" w:cs="Calibri"/>
        </w:rPr>
        <w:t xml:space="preserve"> Companies use share buybacks to manipulate their share price to their own benefit. </w:t>
      </w:r>
      <w:r>
        <w:rPr>
          <w:rFonts w:ascii="Calibri" w:hAnsi="Calibri" w:cs="Calibri"/>
        </w:rPr>
        <w:t>Buybacks</w:t>
      </w:r>
      <w:r w:rsidRPr="00216683">
        <w:rPr>
          <w:rFonts w:ascii="Calibri" w:hAnsi="Calibri" w:cs="Calibri"/>
        </w:rPr>
        <w:t xml:space="preserve"> inhibit the investment in productive capabilities to sustain the company in the long run and come at the expense of employees, as well as continuing shareholders. Excessive dividend pay-outs similarly undercut reinvestment in productive capabilities. Both share buybacks and excessive dividend pay-outs make no contribution to the productive capacity of a company. Instead, they disrupt the growth dynamic </w:t>
      </w:r>
      <w:r>
        <w:rPr>
          <w:rFonts w:ascii="Calibri" w:hAnsi="Calibri" w:cs="Calibri"/>
        </w:rPr>
        <w:t>between</w:t>
      </w:r>
      <w:r w:rsidRPr="00216683">
        <w:rPr>
          <w:rFonts w:ascii="Calibri" w:hAnsi="Calibri" w:cs="Calibri"/>
        </w:rPr>
        <w:t xml:space="preserve"> productivity </w:t>
      </w:r>
      <w:r>
        <w:rPr>
          <w:rFonts w:ascii="Calibri" w:hAnsi="Calibri" w:cs="Calibri"/>
        </w:rPr>
        <w:t>and</w:t>
      </w:r>
      <w:r w:rsidRPr="00216683">
        <w:rPr>
          <w:rFonts w:ascii="Calibri" w:hAnsi="Calibri" w:cs="Calibri"/>
        </w:rPr>
        <w:t xml:space="preserve"> worker compensation</w:t>
      </w:r>
      <w:r>
        <w:rPr>
          <w:rFonts w:ascii="Calibri" w:hAnsi="Calibri" w:cs="Calibri"/>
        </w:rPr>
        <w:t xml:space="preserve">, which </w:t>
      </w:r>
      <w:r w:rsidRPr="00216683">
        <w:rPr>
          <w:rFonts w:ascii="Calibri" w:hAnsi="Calibri" w:cs="Calibri"/>
        </w:rPr>
        <w:t xml:space="preserve">results </w:t>
      </w:r>
      <w:r>
        <w:rPr>
          <w:rFonts w:ascii="Calibri" w:hAnsi="Calibri" w:cs="Calibri"/>
        </w:rPr>
        <w:t>in</w:t>
      </w:r>
      <w:r w:rsidRPr="00216683">
        <w:rPr>
          <w:rFonts w:ascii="Calibri" w:hAnsi="Calibri" w:cs="Calibri"/>
        </w:rPr>
        <w:t xml:space="preserve"> </w:t>
      </w:r>
      <w:r>
        <w:rPr>
          <w:rFonts w:ascii="Calibri" w:hAnsi="Calibri" w:cs="Calibri"/>
        </w:rPr>
        <w:t xml:space="preserve">growing </w:t>
      </w:r>
      <w:r w:rsidRPr="00216683">
        <w:rPr>
          <w:rFonts w:ascii="Calibri" w:hAnsi="Calibri" w:cs="Calibri"/>
        </w:rPr>
        <w:t xml:space="preserve">income inequality, </w:t>
      </w:r>
      <w:r>
        <w:rPr>
          <w:rFonts w:ascii="Calibri" w:hAnsi="Calibri" w:cs="Calibri"/>
        </w:rPr>
        <w:t>job</w:t>
      </w:r>
      <w:r w:rsidRPr="00216683">
        <w:rPr>
          <w:rFonts w:ascii="Calibri" w:hAnsi="Calibri" w:cs="Calibri"/>
        </w:rPr>
        <w:t xml:space="preserve"> instability, and anaemic productivity.</w:t>
      </w:r>
      <w:r w:rsidRPr="00216683">
        <w:rPr>
          <w:rStyle w:val="FootnoteReference"/>
          <w:rFonts w:ascii="Calibri" w:hAnsi="Calibri" w:cs="Calibri"/>
        </w:rPr>
        <w:footnoteReference w:id="49"/>
      </w:r>
    </w:p>
    <w:p w14:paraId="7F815397" w14:textId="77777777" w:rsidR="0094044B" w:rsidRDefault="0094044B" w:rsidP="0094044B">
      <w:pPr>
        <w:spacing w:line="240" w:lineRule="auto"/>
        <w:contextualSpacing/>
        <w:jc w:val="both"/>
        <w:rPr>
          <w:rFonts w:ascii="Calibri" w:hAnsi="Calibri" w:cs="Calibri"/>
        </w:rPr>
      </w:pPr>
    </w:p>
    <w:p w14:paraId="74AD23D7" w14:textId="77777777" w:rsidR="00F75552" w:rsidRDefault="0094044B" w:rsidP="0094044B">
      <w:pPr>
        <w:spacing w:line="240" w:lineRule="auto"/>
        <w:contextualSpacing/>
        <w:jc w:val="both"/>
        <w:rPr>
          <w:rFonts w:ascii="Calibri" w:hAnsi="Calibri" w:cs="Calibri"/>
        </w:rPr>
      </w:pPr>
      <w:r w:rsidRPr="0094044B">
        <w:rPr>
          <w:rFonts w:ascii="Calibri" w:hAnsi="Calibri" w:cs="Calibri"/>
        </w:rPr>
        <w:t xml:space="preserve">The neoliberal policy agenda has seen many governments around the world largely withdraw from regulating the impact that business has on society and the environment. Instead, the market is relied </w:t>
      </w:r>
      <w:r w:rsidRPr="0094044B">
        <w:rPr>
          <w:rFonts w:ascii="Calibri" w:hAnsi="Calibri" w:cs="Calibri"/>
        </w:rPr>
        <w:lastRenderedPageBreak/>
        <w:t xml:space="preserve">upon to balance social, environmental, and financial interests. The empirical data presented </w:t>
      </w:r>
      <w:r w:rsidR="00F75552">
        <w:rPr>
          <w:rFonts w:ascii="Calibri" w:hAnsi="Calibri" w:cs="Calibri"/>
        </w:rPr>
        <w:t>here</w:t>
      </w:r>
      <w:r w:rsidRPr="0094044B">
        <w:rPr>
          <w:rFonts w:ascii="Calibri" w:hAnsi="Calibri" w:cs="Calibri"/>
        </w:rPr>
        <w:t xml:space="preserve"> shows this has not delivered outcomes that are favourable for communities. In this context, the foundational theses of neoliberalism and capitalism are being re-examined. </w:t>
      </w:r>
    </w:p>
    <w:p w14:paraId="6217B242" w14:textId="77777777" w:rsidR="00F75552" w:rsidRDefault="00F75552" w:rsidP="0094044B">
      <w:pPr>
        <w:spacing w:line="240" w:lineRule="auto"/>
        <w:contextualSpacing/>
        <w:jc w:val="both"/>
        <w:rPr>
          <w:rFonts w:ascii="Calibri" w:hAnsi="Calibri" w:cs="Calibri"/>
        </w:rPr>
      </w:pPr>
    </w:p>
    <w:p w14:paraId="116207A3" w14:textId="77777777" w:rsidR="00F75552" w:rsidRDefault="0094044B" w:rsidP="0094044B">
      <w:pPr>
        <w:spacing w:line="240" w:lineRule="auto"/>
        <w:contextualSpacing/>
        <w:jc w:val="both"/>
        <w:rPr>
          <w:rFonts w:ascii="Calibri" w:hAnsi="Calibri" w:cs="Calibri"/>
        </w:rPr>
      </w:pPr>
      <w:proofErr w:type="gramStart"/>
      <w:r w:rsidRPr="0094044B">
        <w:rPr>
          <w:rFonts w:ascii="Calibri" w:hAnsi="Calibri" w:cs="Calibri"/>
        </w:rPr>
        <w:t>Yet,</w:t>
      </w:r>
      <w:proofErr w:type="gramEnd"/>
      <w:r w:rsidRPr="0094044B">
        <w:rPr>
          <w:rFonts w:ascii="Calibri" w:hAnsi="Calibri" w:cs="Calibri"/>
        </w:rPr>
        <w:t xml:space="preserve"> rather than acknowledging the downsides of relying on the market to balance social, environmental, and financial interests, regardless of demonstrable unfavourable social and environmental outcomes, these “anomalies” are accounted for by introducing new elements into the existing paradigm. This is referred to as “Ptolemization”: instead of accepting a Copernican revolution in the face of evidence that the old system is failing, attempts are made to tweak the existing paradigm to account for anomalies. </w:t>
      </w:r>
      <w:r w:rsidRPr="00216683">
        <w:rPr>
          <w:rStyle w:val="FootnoteReference"/>
          <w:rFonts w:ascii="Calibri" w:hAnsi="Calibri" w:cs="Calibri"/>
        </w:rPr>
        <w:footnoteReference w:id="50"/>
      </w:r>
      <w:r w:rsidRPr="0094044B">
        <w:rPr>
          <w:rFonts w:ascii="Calibri" w:hAnsi="Calibri" w:cs="Calibri"/>
        </w:rPr>
        <w:t xml:space="preserve"> </w:t>
      </w:r>
    </w:p>
    <w:p w14:paraId="5382FD08" w14:textId="77777777" w:rsidR="00F75552" w:rsidRDefault="00F75552" w:rsidP="0094044B">
      <w:pPr>
        <w:spacing w:line="240" w:lineRule="auto"/>
        <w:contextualSpacing/>
        <w:jc w:val="both"/>
        <w:rPr>
          <w:rFonts w:ascii="Calibri" w:hAnsi="Calibri" w:cs="Calibri"/>
        </w:rPr>
      </w:pPr>
    </w:p>
    <w:p w14:paraId="3BC6594C" w14:textId="7D8E348D" w:rsidR="006F1F3C" w:rsidRPr="001518CE" w:rsidRDefault="0094044B" w:rsidP="00C322E3">
      <w:pPr>
        <w:spacing w:line="240" w:lineRule="auto"/>
        <w:contextualSpacing/>
        <w:jc w:val="both"/>
        <w:rPr>
          <w:rFonts w:cstheme="minorHAnsi"/>
        </w:rPr>
      </w:pPr>
      <w:r w:rsidRPr="0094044B">
        <w:rPr>
          <w:rFonts w:ascii="Calibri" w:hAnsi="Calibri" w:cs="Calibri"/>
        </w:rPr>
        <w:t>The “social license to operate”, “corporate purpose” and “stakeholder capitalism” are concepts that originate from the business world and are routinely championed by CEOs. This creates a paradoxical situation in which the companies and business leaders that benefit from the status quo are also the ones suggesting how the status quo should change. Development actors and civil society organisations engaging with business should be cognisant of this paradox. While the “social license to operate”, “corporate purpose” and “stakeholder capitalism” and the accompanying narratives are not harmful in themselves, they are unlikely to structurally change business practices. While ostensibly well-intended, these concepts are more likely to uphold the status quo and therefore the overreliance on the market.</w:t>
      </w:r>
      <w:r w:rsidRPr="0094044B">
        <w:rPr>
          <w:rFonts w:ascii="Calibri" w:hAnsi="Calibri" w:cs="Calibri"/>
          <w:kern w:val="2"/>
        </w:rPr>
        <w:t xml:space="preserve"> </w:t>
      </w:r>
      <w:r w:rsidRPr="00216683">
        <w:rPr>
          <w:rStyle w:val="FootnoteReference"/>
          <w:rFonts w:ascii="Calibri" w:hAnsi="Calibri" w:cs="Calibri"/>
          <w:kern w:val="2"/>
        </w:rPr>
        <w:footnoteReference w:id="51"/>
      </w:r>
    </w:p>
    <w:sectPr w:rsidR="006F1F3C" w:rsidRPr="001518CE" w:rsidSect="003C3652">
      <w:footerReference w:type="even" r:id="rId14"/>
      <w:footerReference w:type="default" r:id="rId15"/>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8D05" w14:textId="77777777" w:rsidR="009705F5" w:rsidRDefault="009705F5" w:rsidP="001F755D">
      <w:pPr>
        <w:spacing w:after="0" w:line="240" w:lineRule="auto"/>
      </w:pPr>
      <w:r>
        <w:separator/>
      </w:r>
    </w:p>
  </w:endnote>
  <w:endnote w:type="continuationSeparator" w:id="0">
    <w:p w14:paraId="1CE5B276" w14:textId="77777777" w:rsidR="009705F5" w:rsidRDefault="009705F5" w:rsidP="001F7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JansonTextLTStd-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5671192"/>
      <w:docPartObj>
        <w:docPartGallery w:val="Page Numbers (Bottom of Page)"/>
        <w:docPartUnique/>
      </w:docPartObj>
    </w:sdtPr>
    <w:sdtEndPr>
      <w:rPr>
        <w:rStyle w:val="PageNumber"/>
      </w:rPr>
    </w:sdtEndPr>
    <w:sdtContent>
      <w:p w14:paraId="176E62DD" w14:textId="4C524D0F" w:rsidR="003C3652" w:rsidRDefault="003C3652" w:rsidP="003C36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ED15E8" w14:textId="77777777" w:rsidR="003C3652" w:rsidRDefault="003C3652" w:rsidP="003C36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8069720"/>
      <w:docPartObj>
        <w:docPartGallery w:val="Page Numbers (Bottom of Page)"/>
        <w:docPartUnique/>
      </w:docPartObj>
    </w:sdtPr>
    <w:sdtEndPr>
      <w:rPr>
        <w:rStyle w:val="PageNumber"/>
      </w:rPr>
    </w:sdtEndPr>
    <w:sdtContent>
      <w:p w14:paraId="331B9F4A" w14:textId="4FEB6D67" w:rsidR="003C3652" w:rsidRDefault="003C3652" w:rsidP="003C36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6373A1AD" w14:textId="5E00E5CE" w:rsidR="00CF49F1" w:rsidRDefault="00CF49F1" w:rsidP="003C3652">
    <w:pPr>
      <w:pStyle w:val="Footer"/>
      <w:ind w:right="360"/>
      <w:jc w:val="center"/>
    </w:pPr>
  </w:p>
  <w:p w14:paraId="660E66FA" w14:textId="77777777" w:rsidR="00CF49F1" w:rsidRDefault="00CF4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52E26" w14:textId="77777777" w:rsidR="009705F5" w:rsidRDefault="009705F5" w:rsidP="001F755D">
      <w:pPr>
        <w:spacing w:after="0" w:line="240" w:lineRule="auto"/>
        <w:contextualSpacing/>
      </w:pPr>
      <w:r>
        <w:separator/>
      </w:r>
    </w:p>
  </w:footnote>
  <w:footnote w:type="continuationSeparator" w:id="0">
    <w:p w14:paraId="21A9520E" w14:textId="77777777" w:rsidR="009705F5" w:rsidRDefault="009705F5" w:rsidP="001F755D">
      <w:pPr>
        <w:spacing w:after="0" w:line="240" w:lineRule="auto"/>
      </w:pPr>
      <w:r>
        <w:continuationSeparator/>
      </w:r>
    </w:p>
  </w:footnote>
  <w:footnote w:id="1">
    <w:p w14:paraId="3FAB93A3" w14:textId="77777777" w:rsidR="0003742F" w:rsidRPr="006459C1" w:rsidRDefault="0003742F" w:rsidP="00C322E3">
      <w:pPr>
        <w:pStyle w:val="Heading1"/>
        <w:shd w:val="clear" w:color="auto" w:fill="FFFFFF"/>
        <w:spacing w:after="0" w:line="240" w:lineRule="auto"/>
        <w:contextualSpacing/>
        <w:rPr>
          <w:rFonts w:asciiTheme="minorHAnsi" w:hAnsiTheme="minorHAnsi" w:cstheme="minorHAnsi"/>
          <w:b w:val="0"/>
          <w:sz w:val="20"/>
          <w:szCs w:val="20"/>
        </w:rPr>
      </w:pPr>
      <w:r w:rsidRPr="006459C1">
        <w:rPr>
          <w:rStyle w:val="FootnoteReference"/>
          <w:rFonts w:asciiTheme="minorHAnsi" w:hAnsiTheme="minorHAnsi" w:cstheme="minorHAnsi"/>
          <w:b w:val="0"/>
          <w:color w:val="auto"/>
          <w:sz w:val="20"/>
          <w:szCs w:val="20"/>
        </w:rPr>
        <w:footnoteRef/>
      </w:r>
      <w:r w:rsidRPr="006459C1">
        <w:rPr>
          <w:rFonts w:asciiTheme="minorHAnsi" w:hAnsiTheme="minorHAnsi" w:cstheme="minorHAnsi"/>
          <w:b w:val="0"/>
          <w:color w:val="auto"/>
          <w:sz w:val="20"/>
          <w:szCs w:val="20"/>
        </w:rPr>
        <w:t xml:space="preserve">  </w:t>
      </w:r>
      <w:proofErr w:type="spellStart"/>
      <w:r w:rsidRPr="006459C1">
        <w:rPr>
          <w:rFonts w:asciiTheme="minorHAnsi" w:hAnsiTheme="minorHAnsi" w:cstheme="minorHAnsi"/>
          <w:b w:val="0"/>
          <w:color w:val="auto"/>
          <w:sz w:val="20"/>
          <w:szCs w:val="20"/>
        </w:rPr>
        <w:t>Drutman</w:t>
      </w:r>
      <w:proofErr w:type="spellEnd"/>
      <w:r w:rsidRPr="006459C1">
        <w:rPr>
          <w:rFonts w:asciiTheme="minorHAnsi" w:hAnsiTheme="minorHAnsi" w:cstheme="minorHAnsi"/>
          <w:b w:val="0"/>
          <w:color w:val="auto"/>
          <w:sz w:val="20"/>
          <w:szCs w:val="20"/>
        </w:rPr>
        <w:t xml:space="preserve"> L., (April 26 2015) How corporations turned into political beasts’ </w:t>
      </w:r>
      <w:r w:rsidRPr="006459C1">
        <w:rPr>
          <w:rFonts w:asciiTheme="minorHAnsi" w:hAnsiTheme="minorHAnsi" w:cstheme="minorHAnsi"/>
          <w:b w:val="0"/>
          <w:i/>
          <w:color w:val="auto"/>
          <w:sz w:val="20"/>
          <w:szCs w:val="20"/>
        </w:rPr>
        <w:t xml:space="preserve">Business Insider, </w:t>
      </w:r>
      <w:r w:rsidRPr="006459C1">
        <w:rPr>
          <w:rFonts w:asciiTheme="minorHAnsi" w:hAnsiTheme="minorHAnsi" w:cstheme="minorHAnsi"/>
          <w:b w:val="0"/>
          <w:color w:val="auto"/>
          <w:sz w:val="20"/>
          <w:szCs w:val="20"/>
        </w:rPr>
        <w:t xml:space="preserve">, </w:t>
      </w:r>
      <w:hyperlink r:id="rId1" w:history="1">
        <w:r w:rsidRPr="006459C1">
          <w:rPr>
            <w:rStyle w:val="Hyperlink"/>
            <w:rFonts w:asciiTheme="minorHAnsi" w:hAnsiTheme="minorHAnsi" w:cstheme="minorHAnsi"/>
            <w:b w:val="0"/>
            <w:color w:val="auto"/>
            <w:sz w:val="20"/>
            <w:szCs w:val="20"/>
          </w:rPr>
          <w:t>https://www.businessinsider.com.au/how-corporations-turned-into-political-beasts-2015-4?r=US&amp;IR=T</w:t>
        </w:r>
      </w:hyperlink>
    </w:p>
  </w:footnote>
  <w:footnote w:id="2">
    <w:p w14:paraId="344B9D92" w14:textId="3135D0D0" w:rsidR="0003742F" w:rsidRPr="006459C1" w:rsidRDefault="0003742F" w:rsidP="00C322E3">
      <w:pPr>
        <w:pStyle w:val="Referencelist"/>
        <w:spacing w:after="0" w:line="240" w:lineRule="auto"/>
        <w:ind w:left="0" w:firstLine="0"/>
        <w:contextualSpacing/>
        <w:rPr>
          <w:rFonts w:asciiTheme="minorHAnsi" w:hAnsiTheme="minorHAnsi" w:cstheme="minorHAnsi"/>
          <w:sz w:val="20"/>
        </w:rPr>
      </w:pPr>
      <w:r w:rsidRPr="006459C1">
        <w:rPr>
          <w:rStyle w:val="FootnoteReference"/>
          <w:rFonts w:asciiTheme="minorHAnsi" w:hAnsiTheme="minorHAnsi" w:cstheme="minorHAnsi"/>
          <w:sz w:val="20"/>
        </w:rPr>
        <w:footnoteRef/>
      </w:r>
      <w:r w:rsidRPr="006459C1">
        <w:rPr>
          <w:rFonts w:asciiTheme="minorHAnsi" w:hAnsiTheme="minorHAnsi" w:cstheme="minorHAnsi"/>
          <w:sz w:val="20"/>
        </w:rPr>
        <w:t xml:space="preserve"> Edelman, (20</w:t>
      </w:r>
      <w:r w:rsidR="00FB7D77" w:rsidRPr="006459C1">
        <w:rPr>
          <w:rFonts w:asciiTheme="minorHAnsi" w:hAnsiTheme="minorHAnsi" w:cstheme="minorHAnsi"/>
          <w:sz w:val="20"/>
        </w:rPr>
        <w:t>21</w:t>
      </w:r>
      <w:r w:rsidRPr="006459C1">
        <w:rPr>
          <w:rFonts w:asciiTheme="minorHAnsi" w:hAnsiTheme="minorHAnsi" w:cstheme="minorHAnsi"/>
          <w:sz w:val="20"/>
        </w:rPr>
        <w:t>). Edelman Trust Barometer., &lt;www.edelman.com/trust-barometer&gt;.</w:t>
      </w:r>
    </w:p>
  </w:footnote>
  <w:footnote w:id="3">
    <w:p w14:paraId="6C7E5422" w14:textId="77777777" w:rsidR="0081322A" w:rsidRPr="006459C1" w:rsidRDefault="0081322A" w:rsidP="00C322E3">
      <w:pPr>
        <w:pStyle w:val="FootnoteText"/>
        <w:contextualSpacing/>
        <w:rPr>
          <w:rFonts w:cstheme="minorHAnsi"/>
        </w:rPr>
      </w:pPr>
      <w:r w:rsidRPr="006459C1">
        <w:rPr>
          <w:rStyle w:val="FootnoteReference"/>
          <w:rFonts w:cstheme="minorHAnsi"/>
        </w:rPr>
        <w:footnoteRef/>
      </w:r>
      <w:r w:rsidRPr="006459C1">
        <w:rPr>
          <w:rFonts w:cstheme="minorHAnsi"/>
        </w:rPr>
        <w:t xml:space="preserve"> For example, see the 2002 statement by Tim Cook, CEO of Apple: </w:t>
      </w:r>
      <w:hyperlink r:id="rId2" w:history="1">
        <w:r w:rsidRPr="006459C1">
          <w:rPr>
            <w:rStyle w:val="Hyperlink"/>
            <w:rFonts w:cstheme="minorHAnsi"/>
            <w:color w:val="auto"/>
          </w:rPr>
          <w:t>https://www.apple.com/speaking-up-on-racism/</w:t>
        </w:r>
      </w:hyperlink>
      <w:r w:rsidRPr="006459C1">
        <w:rPr>
          <w:rFonts w:cstheme="minorHAnsi"/>
        </w:rPr>
        <w:t xml:space="preserve">, Nike adopted a very public stance in support of Colin Kaepernick in protesting racial injustice which allowed the brand to capitalise on the broader movement, see Creswell J, Draper K and Maheshwari S, ‘Nike nearly dropped Colin Kaepernick before embracing him’ </w:t>
      </w:r>
      <w:r w:rsidRPr="006459C1">
        <w:rPr>
          <w:rFonts w:cstheme="minorHAnsi"/>
          <w:i/>
        </w:rPr>
        <w:t xml:space="preserve">New York Times, </w:t>
      </w:r>
      <w:r w:rsidRPr="006459C1">
        <w:rPr>
          <w:rFonts w:cstheme="minorHAnsi"/>
        </w:rPr>
        <w:t xml:space="preserve">September 26, 2018. In 2020, PepsiCo pledged $437.5 million for racial equality initiatives, see Philanthropy News Digest, June 22 2020, </w:t>
      </w:r>
      <w:hyperlink r:id="rId3" w:history="1">
        <w:r w:rsidRPr="006459C1">
          <w:rPr>
            <w:rStyle w:val="Hyperlink"/>
            <w:rFonts w:cstheme="minorHAnsi"/>
            <w:color w:val="auto"/>
          </w:rPr>
          <w:t>https://philanthropynewsdigest.org/news/pepsico-pledges-437.5-million-for-racial-equality-initiatives</w:t>
        </w:r>
      </w:hyperlink>
    </w:p>
  </w:footnote>
  <w:footnote w:id="4">
    <w:p w14:paraId="456E7E95" w14:textId="77777777" w:rsidR="0081322A" w:rsidRPr="006459C1" w:rsidRDefault="0081322A" w:rsidP="00C322E3">
      <w:pPr>
        <w:spacing w:line="240" w:lineRule="auto"/>
        <w:contextualSpacing/>
        <w:rPr>
          <w:rFonts w:cstheme="minorHAnsi"/>
          <w:spacing w:val="-19"/>
          <w:sz w:val="20"/>
          <w:szCs w:val="20"/>
        </w:rPr>
      </w:pPr>
      <w:r w:rsidRPr="006459C1">
        <w:rPr>
          <w:rStyle w:val="FootnoteReference"/>
          <w:rFonts w:cstheme="minorHAnsi"/>
          <w:sz w:val="20"/>
          <w:szCs w:val="20"/>
        </w:rPr>
        <w:footnoteRef/>
      </w:r>
      <w:r w:rsidRPr="006459C1">
        <w:rPr>
          <w:rFonts w:cstheme="minorHAnsi"/>
          <w:sz w:val="20"/>
          <w:szCs w:val="20"/>
        </w:rPr>
        <w:t xml:space="preserve"> Duarte, F. (13 June 2020) Black Lives Matter: Do Companies really support the cause? BBC </w:t>
      </w:r>
      <w:proofErr w:type="spellStart"/>
      <w:r w:rsidRPr="006459C1">
        <w:rPr>
          <w:rFonts w:cstheme="minorHAnsi"/>
          <w:sz w:val="20"/>
          <w:szCs w:val="20"/>
        </w:rPr>
        <w:t>Worklife</w:t>
      </w:r>
      <w:proofErr w:type="spellEnd"/>
      <w:r w:rsidRPr="006459C1">
        <w:rPr>
          <w:rFonts w:cstheme="minorHAnsi"/>
          <w:sz w:val="20"/>
          <w:szCs w:val="20"/>
        </w:rPr>
        <w:t xml:space="preserve">. </w:t>
      </w:r>
      <w:hyperlink r:id="rId4" w:history="1">
        <w:r w:rsidRPr="006459C1">
          <w:rPr>
            <w:rStyle w:val="Hyperlink"/>
            <w:rFonts w:cstheme="minorHAnsi"/>
            <w:color w:val="auto"/>
            <w:sz w:val="20"/>
            <w:szCs w:val="20"/>
          </w:rPr>
          <w:t>https://www.bbc.com/worklife/article/20200612-black-lives-matter-do-companies-really-support-the-cause</w:t>
        </w:r>
      </w:hyperlink>
      <w:r w:rsidRPr="006459C1">
        <w:rPr>
          <w:rFonts w:cstheme="minorHAnsi"/>
          <w:sz w:val="20"/>
          <w:szCs w:val="20"/>
        </w:rPr>
        <w:t xml:space="preserve">  </w:t>
      </w:r>
    </w:p>
  </w:footnote>
  <w:footnote w:id="5">
    <w:p w14:paraId="3AFAF910" w14:textId="77777777" w:rsidR="0081322A" w:rsidRPr="006459C1" w:rsidRDefault="0081322A" w:rsidP="00C322E3">
      <w:pPr>
        <w:pStyle w:val="FootnoteText"/>
        <w:contextualSpacing/>
        <w:rPr>
          <w:rFonts w:cstheme="minorHAnsi"/>
        </w:rPr>
      </w:pPr>
      <w:r w:rsidRPr="006459C1">
        <w:rPr>
          <w:rStyle w:val="FootnoteReference"/>
          <w:rFonts w:cstheme="minorHAnsi"/>
        </w:rPr>
        <w:footnoteRef/>
      </w:r>
      <w:r w:rsidRPr="006459C1">
        <w:rPr>
          <w:rFonts w:cstheme="minorHAnsi"/>
        </w:rPr>
        <w:t xml:space="preserve"> </w:t>
      </w:r>
      <w:r w:rsidRPr="006459C1">
        <w:rPr>
          <w:rFonts w:cstheme="minorHAnsi"/>
          <w:shd w:val="clear" w:color="auto" w:fill="FFFFFF"/>
        </w:rPr>
        <w:t>"We believe this is a big step back for our entire country ... The Dreamers are part of our nation’s fabric. They belong here." Microsoft president and chief legal officer Brad Smith </w:t>
      </w:r>
      <w:hyperlink r:id="rId5" w:tgtFrame="_blank" w:history="1">
        <w:r w:rsidRPr="006459C1">
          <w:rPr>
            <w:rStyle w:val="Hyperlink"/>
            <w:rFonts w:cstheme="minorHAnsi"/>
            <w:color w:val="auto"/>
            <w:shd w:val="clear" w:color="auto" w:fill="FFFFFF"/>
          </w:rPr>
          <w:t>wrote in a blog post</w:t>
        </w:r>
      </w:hyperlink>
      <w:r w:rsidRPr="006459C1">
        <w:rPr>
          <w:rFonts w:cstheme="minorHAnsi"/>
          <w:shd w:val="clear" w:color="auto" w:fill="FFFFFF"/>
        </w:rPr>
        <w:t xml:space="preserve"> titled "Urgent DACA legislation is both an economic imperative and humanitarian necessity." September 5, 2017; </w:t>
      </w:r>
      <w:r w:rsidRPr="006459C1">
        <w:rPr>
          <w:rFonts w:cstheme="minorHAnsi"/>
        </w:rPr>
        <w:t xml:space="preserve"> </w:t>
      </w:r>
      <w:hyperlink r:id="rId6" w:history="1">
        <w:r w:rsidRPr="006459C1">
          <w:rPr>
            <w:rStyle w:val="Hyperlink"/>
            <w:rFonts w:cstheme="minorHAnsi"/>
            <w:color w:val="auto"/>
          </w:rPr>
          <w:t>https://blogs.microsoft.com/on-the-issues/2017/09/05/urgent-daca-legislation-economic-imperative-humanitarian-necessity/</w:t>
        </w:r>
      </w:hyperlink>
    </w:p>
  </w:footnote>
  <w:footnote w:id="6">
    <w:p w14:paraId="4931B9F9" w14:textId="77777777" w:rsidR="0081322A" w:rsidRPr="006459C1" w:rsidRDefault="0081322A" w:rsidP="00C322E3">
      <w:pPr>
        <w:pStyle w:val="FootnoteText"/>
        <w:contextualSpacing/>
        <w:rPr>
          <w:rFonts w:cstheme="minorHAnsi"/>
        </w:rPr>
      </w:pPr>
      <w:r w:rsidRPr="006459C1">
        <w:rPr>
          <w:rStyle w:val="FootnoteReference"/>
          <w:rFonts w:cstheme="minorHAnsi"/>
        </w:rPr>
        <w:footnoteRef/>
      </w:r>
      <w:r w:rsidRPr="006459C1">
        <w:rPr>
          <w:rFonts w:cstheme="minorHAnsi"/>
        </w:rPr>
        <w:t xml:space="preserve"> Winston, M </w:t>
      </w:r>
      <w:proofErr w:type="gramStart"/>
      <w:r w:rsidRPr="006459C1">
        <w:rPr>
          <w:rFonts w:cstheme="minorHAnsi"/>
        </w:rPr>
        <w:t>E(</w:t>
      </w:r>
      <w:proofErr w:type="gramEnd"/>
      <w:r w:rsidRPr="006459C1">
        <w:rPr>
          <w:rFonts w:cstheme="minorHAnsi"/>
        </w:rPr>
        <w:t xml:space="preserve">1999) Human Rights and International Political Economy in Third World Nations: Multinational Corporations, Foreign Aid, and Repression. </w:t>
      </w:r>
      <w:r w:rsidRPr="006459C1">
        <w:rPr>
          <w:rFonts w:cstheme="minorHAnsi"/>
          <w:i/>
        </w:rPr>
        <w:t>Human Rights Quarterly</w:t>
      </w:r>
      <w:r w:rsidRPr="006459C1">
        <w:rPr>
          <w:rFonts w:cstheme="minorHAnsi"/>
        </w:rPr>
        <w:t>, vol. 21 no. 3, 824-830.</w:t>
      </w:r>
    </w:p>
  </w:footnote>
  <w:footnote w:id="7">
    <w:p w14:paraId="13B85329" w14:textId="77777777" w:rsidR="0081322A" w:rsidRPr="006459C1" w:rsidRDefault="0081322A" w:rsidP="00C322E3">
      <w:pPr>
        <w:pStyle w:val="FootnoteText"/>
        <w:contextualSpacing/>
        <w:rPr>
          <w:rFonts w:cstheme="minorHAnsi"/>
        </w:rPr>
      </w:pPr>
      <w:r w:rsidRPr="006459C1">
        <w:rPr>
          <w:rStyle w:val="FootnoteReference"/>
          <w:rFonts w:cstheme="minorHAnsi"/>
        </w:rPr>
        <w:footnoteRef/>
      </w:r>
      <w:r w:rsidRPr="006459C1">
        <w:rPr>
          <w:rFonts w:cstheme="minorHAnsi"/>
        </w:rPr>
        <w:t xml:space="preserve"> Joseph S. (2012) Social Media, Political Change and Human Rights. </w:t>
      </w:r>
      <w:r w:rsidRPr="006459C1">
        <w:rPr>
          <w:rFonts w:cstheme="minorHAnsi"/>
          <w:i/>
        </w:rPr>
        <w:t>Boston College International and Comparative Law Review</w:t>
      </w:r>
      <w:r w:rsidRPr="006459C1">
        <w:rPr>
          <w:rFonts w:cstheme="minorHAnsi"/>
        </w:rPr>
        <w:t xml:space="preserve">, vol. 35, no. 1, Winter 2012, 145-188. Barrett P, </w:t>
      </w:r>
      <w:r w:rsidRPr="006459C1">
        <w:rPr>
          <w:rFonts w:cstheme="minorHAnsi"/>
          <w:i/>
        </w:rPr>
        <w:t>Disinformation and the 2020 Election</w:t>
      </w:r>
      <w:r w:rsidRPr="006459C1">
        <w:rPr>
          <w:rFonts w:cstheme="minorHAnsi"/>
        </w:rPr>
        <w:t>, September 2019, NYU Stern Center for Business and Human Rights.</w:t>
      </w:r>
    </w:p>
  </w:footnote>
  <w:footnote w:id="8">
    <w:p w14:paraId="215B0D3C" w14:textId="6E8EDAB3" w:rsidR="0081322A" w:rsidRPr="006459C1" w:rsidRDefault="0081322A" w:rsidP="00C322E3">
      <w:pPr>
        <w:pStyle w:val="FootnoteText"/>
        <w:contextualSpacing/>
        <w:rPr>
          <w:rFonts w:cstheme="minorHAnsi"/>
        </w:rPr>
      </w:pPr>
      <w:r w:rsidRPr="006459C1">
        <w:rPr>
          <w:rStyle w:val="FootnoteReference"/>
          <w:rFonts w:cstheme="minorHAnsi"/>
        </w:rPr>
        <w:footnoteRef/>
      </w:r>
      <w:r w:rsidRPr="006459C1">
        <w:rPr>
          <w:rFonts w:cstheme="minorHAnsi"/>
        </w:rPr>
        <w:t xml:space="preserve">Human Rights Council.  </w:t>
      </w:r>
      <w:r w:rsidRPr="006459C1">
        <w:rPr>
          <w:rFonts w:cstheme="minorHAnsi"/>
          <w:i/>
        </w:rPr>
        <w:t>Report of the independent international fact-finding mission on Myanmar.</w:t>
      </w:r>
      <w:r w:rsidRPr="006459C1">
        <w:rPr>
          <w:rFonts w:cstheme="minorHAnsi"/>
        </w:rPr>
        <w:t xml:space="preserve"> UN Doc. A/HRC/39/64, 12 September 2018, [74]. The report notes “The role of social media is significant. Facebook has been a useful instrument for those seeking to spread hate, in a context where, for most users, Facebook is the Internet. Although improved in recent months, the response of Facebook has been slow and ineffective. The extent to which Facebook posts and messages have led to real-world discrimination and violence must be independently and thoroughly examined. The mission regrets that Facebook is unable to provide country-specific data about the spread of hate speech on its platform, which is imperative to assess the adequacy of its response.</w:t>
      </w:r>
    </w:p>
  </w:footnote>
  <w:footnote w:id="9">
    <w:p w14:paraId="3D177942" w14:textId="77777777" w:rsidR="0081322A" w:rsidRPr="006459C1" w:rsidRDefault="0081322A" w:rsidP="00C322E3">
      <w:pPr>
        <w:pStyle w:val="FootnoteText"/>
        <w:contextualSpacing/>
        <w:rPr>
          <w:rFonts w:cstheme="minorHAnsi"/>
        </w:rPr>
      </w:pPr>
      <w:r w:rsidRPr="006459C1">
        <w:rPr>
          <w:rStyle w:val="FootnoteReference"/>
          <w:rFonts w:cstheme="minorHAnsi"/>
        </w:rPr>
        <w:footnoteRef/>
      </w:r>
      <w:r w:rsidRPr="006459C1">
        <w:rPr>
          <w:rFonts w:cstheme="minorHAnsi"/>
        </w:rPr>
        <w:t xml:space="preserve"> Miller D and </w:t>
      </w:r>
      <w:proofErr w:type="spellStart"/>
      <w:r w:rsidRPr="006459C1">
        <w:rPr>
          <w:rFonts w:cstheme="minorHAnsi"/>
        </w:rPr>
        <w:t>Dinan</w:t>
      </w:r>
      <w:proofErr w:type="spellEnd"/>
      <w:r w:rsidRPr="006459C1">
        <w:rPr>
          <w:rFonts w:cstheme="minorHAnsi"/>
        </w:rPr>
        <w:t xml:space="preserve"> W. Resisting Meaningful Action on Climate Change: Think tanks, ‘merchants of doubt’ and the ‘corporate capture’ of sustainable development’ in Hansen A and Cox R (Eds). </w:t>
      </w:r>
      <w:r w:rsidRPr="006459C1">
        <w:rPr>
          <w:rFonts w:cstheme="minorHAnsi"/>
          <w:i/>
        </w:rPr>
        <w:t>The Routledge Handbook of Environment and Communication</w:t>
      </w:r>
      <w:r w:rsidRPr="006459C1">
        <w:rPr>
          <w:rFonts w:cstheme="minorHAnsi"/>
        </w:rPr>
        <w:t>, Routledge, 2015, 86.</w:t>
      </w:r>
    </w:p>
  </w:footnote>
  <w:footnote w:id="10">
    <w:p w14:paraId="4893B73C" w14:textId="77777777" w:rsidR="0081322A" w:rsidRPr="006459C1" w:rsidRDefault="0081322A" w:rsidP="00C322E3">
      <w:pPr>
        <w:pStyle w:val="FootnoteText"/>
        <w:contextualSpacing/>
        <w:rPr>
          <w:rFonts w:cstheme="minorHAnsi"/>
        </w:rPr>
      </w:pPr>
      <w:r w:rsidRPr="006459C1">
        <w:rPr>
          <w:rStyle w:val="FootnoteReference"/>
          <w:rFonts w:cstheme="minorHAnsi"/>
        </w:rPr>
        <w:footnoteRef/>
      </w:r>
      <w:r w:rsidRPr="006459C1">
        <w:rPr>
          <w:rFonts w:cstheme="minorHAnsi"/>
        </w:rPr>
        <w:t xml:space="preserve">  Miller D and Harkins C. Corporate strategy, corporate capture: Food and alcohol industry lobbying and public health. </w:t>
      </w:r>
      <w:r w:rsidRPr="006459C1">
        <w:rPr>
          <w:rFonts w:cstheme="minorHAnsi"/>
          <w:i/>
        </w:rPr>
        <w:t xml:space="preserve">Critical Social Policy, </w:t>
      </w:r>
      <w:r w:rsidRPr="006459C1">
        <w:rPr>
          <w:rFonts w:cstheme="minorHAnsi"/>
          <w:shd w:val="clear" w:color="auto" w:fill="FFFFFF"/>
        </w:rPr>
        <w:t>Volume: 30 issue: 4, 564-589.</w:t>
      </w:r>
    </w:p>
  </w:footnote>
  <w:footnote w:id="11">
    <w:p w14:paraId="65E965F7" w14:textId="77777777" w:rsidR="0081322A" w:rsidRPr="006459C1" w:rsidRDefault="0081322A" w:rsidP="00C322E3">
      <w:pPr>
        <w:pStyle w:val="FootnoteText"/>
        <w:contextualSpacing/>
        <w:rPr>
          <w:rFonts w:cstheme="minorHAnsi"/>
        </w:rPr>
      </w:pPr>
      <w:r w:rsidRPr="006459C1">
        <w:rPr>
          <w:rStyle w:val="FootnoteReference"/>
          <w:rFonts w:cstheme="minorHAnsi"/>
        </w:rPr>
        <w:footnoteRef/>
      </w:r>
      <w:r w:rsidRPr="006459C1">
        <w:rPr>
          <w:rFonts w:cstheme="minorHAnsi"/>
        </w:rPr>
        <w:t xml:space="preserve"> </w:t>
      </w:r>
      <w:proofErr w:type="spellStart"/>
      <w:r w:rsidRPr="006459C1">
        <w:rPr>
          <w:rFonts w:cstheme="minorHAnsi"/>
        </w:rPr>
        <w:t>Beder</w:t>
      </w:r>
      <w:proofErr w:type="spellEnd"/>
      <w:r w:rsidRPr="006459C1">
        <w:rPr>
          <w:rFonts w:cstheme="minorHAnsi"/>
        </w:rPr>
        <w:t xml:space="preserve"> S, Varney W and </w:t>
      </w:r>
      <w:proofErr w:type="spellStart"/>
      <w:r w:rsidRPr="006459C1">
        <w:rPr>
          <w:rFonts w:cstheme="minorHAnsi"/>
        </w:rPr>
        <w:t>Gosden</w:t>
      </w:r>
      <w:proofErr w:type="spellEnd"/>
      <w:r w:rsidRPr="006459C1">
        <w:rPr>
          <w:rFonts w:cstheme="minorHAnsi"/>
        </w:rPr>
        <w:t xml:space="preserve"> R, </w:t>
      </w:r>
      <w:proofErr w:type="gramStart"/>
      <w:r w:rsidRPr="006459C1">
        <w:rPr>
          <w:rFonts w:cstheme="minorHAnsi"/>
          <w:i/>
        </w:rPr>
        <w:t>This</w:t>
      </w:r>
      <w:proofErr w:type="gramEnd"/>
      <w:r w:rsidRPr="006459C1">
        <w:rPr>
          <w:rFonts w:cstheme="minorHAnsi"/>
          <w:i/>
        </w:rPr>
        <w:t xml:space="preserve"> little </w:t>
      </w:r>
      <w:proofErr w:type="spellStart"/>
      <w:r w:rsidRPr="006459C1">
        <w:rPr>
          <w:rFonts w:cstheme="minorHAnsi"/>
          <w:i/>
        </w:rPr>
        <w:t>kiddy</w:t>
      </w:r>
      <w:proofErr w:type="spellEnd"/>
      <w:r w:rsidRPr="006459C1">
        <w:rPr>
          <w:rFonts w:cstheme="minorHAnsi"/>
          <w:i/>
        </w:rPr>
        <w:t xml:space="preserve"> went to market: The corporate capture of childhood </w:t>
      </w:r>
      <w:r w:rsidRPr="006459C1">
        <w:rPr>
          <w:rFonts w:cstheme="minorHAnsi"/>
        </w:rPr>
        <w:t>Pluto Press, USA, 2009.</w:t>
      </w:r>
    </w:p>
  </w:footnote>
  <w:footnote w:id="12">
    <w:p w14:paraId="5C477691" w14:textId="6AA413BD" w:rsidR="007D03A4" w:rsidRPr="006459C1" w:rsidRDefault="007D03A4" w:rsidP="00C322E3">
      <w:pPr>
        <w:spacing w:after="0" w:line="240" w:lineRule="auto"/>
        <w:contextualSpacing/>
        <w:rPr>
          <w:rFonts w:cstheme="minorHAnsi"/>
          <w:sz w:val="20"/>
          <w:szCs w:val="20"/>
          <w:lang w:val="en-US"/>
        </w:rPr>
      </w:pPr>
      <w:r w:rsidRPr="006459C1">
        <w:rPr>
          <w:rStyle w:val="FootnoteReference"/>
          <w:rFonts w:cstheme="minorHAnsi"/>
          <w:sz w:val="20"/>
          <w:szCs w:val="20"/>
        </w:rPr>
        <w:footnoteRef/>
      </w:r>
      <w:r w:rsidRPr="006459C1">
        <w:rPr>
          <w:rFonts w:cstheme="minorHAnsi"/>
          <w:sz w:val="20"/>
          <w:szCs w:val="20"/>
        </w:rPr>
        <w:t xml:space="preserve"> </w:t>
      </w:r>
      <w:r w:rsidR="006020C0" w:rsidRPr="006459C1">
        <w:rPr>
          <w:rFonts w:eastAsia="Georgia" w:cstheme="minorHAnsi"/>
          <w:sz w:val="20"/>
          <w:szCs w:val="20"/>
        </w:rPr>
        <w:t xml:space="preserve">There are currently four pieces of national legislation which specifically seek to apply aspects of the UNGPs on HRDD. These are </w:t>
      </w:r>
      <w:bookmarkStart w:id="2" w:name="_Hlk80860328"/>
      <w:r w:rsidR="006020C0" w:rsidRPr="006459C1">
        <w:rPr>
          <w:rFonts w:eastAsia="Georgia" w:cstheme="minorHAnsi"/>
          <w:sz w:val="20"/>
          <w:szCs w:val="20"/>
        </w:rPr>
        <w:t>the French Duty of Vigilance Act 2017</w:t>
      </w:r>
      <w:bookmarkEnd w:id="2"/>
      <w:r w:rsidR="006020C0" w:rsidRPr="006459C1">
        <w:rPr>
          <w:rFonts w:eastAsia="Georgia" w:cstheme="minorHAnsi"/>
          <w:sz w:val="20"/>
          <w:szCs w:val="20"/>
        </w:rPr>
        <w:t xml:space="preserve"> (</w:t>
      </w:r>
      <w:r w:rsidR="006020C0" w:rsidRPr="006459C1">
        <w:rPr>
          <w:rFonts w:eastAsia="Georgia" w:cstheme="minorHAnsi"/>
          <w:i/>
          <w:iCs/>
          <w:sz w:val="20"/>
          <w:szCs w:val="20"/>
        </w:rPr>
        <w:t xml:space="preserve">Devoir de Vigilance </w:t>
      </w:r>
      <w:proofErr w:type="spellStart"/>
      <w:r w:rsidR="006020C0" w:rsidRPr="006459C1">
        <w:rPr>
          <w:rFonts w:eastAsia="Georgia" w:cstheme="minorHAnsi"/>
          <w:i/>
          <w:iCs/>
          <w:sz w:val="20"/>
          <w:szCs w:val="20"/>
        </w:rPr>
        <w:t>Loi</w:t>
      </w:r>
      <w:proofErr w:type="spellEnd"/>
      <w:r w:rsidR="006020C0" w:rsidRPr="006459C1">
        <w:rPr>
          <w:rFonts w:eastAsia="Georgia" w:cstheme="minorHAnsi"/>
          <w:sz w:val="20"/>
          <w:szCs w:val="20"/>
        </w:rPr>
        <w:t xml:space="preserve">), </w:t>
      </w:r>
      <w:bookmarkStart w:id="3" w:name="_Hlk80862170"/>
      <w:r w:rsidR="006020C0" w:rsidRPr="006459C1">
        <w:rPr>
          <w:rFonts w:cstheme="minorHAnsi"/>
          <w:sz w:val="20"/>
          <w:szCs w:val="20"/>
        </w:rPr>
        <w:t xml:space="preserve">the Netherlands Child Labour Due Diligence Act </w:t>
      </w:r>
      <w:r w:rsidR="006020C0" w:rsidRPr="006459C1">
        <w:rPr>
          <w:rFonts w:eastAsia="Georgia" w:cstheme="minorHAnsi"/>
          <w:sz w:val="20"/>
          <w:szCs w:val="20"/>
        </w:rPr>
        <w:t>2019, the German Corporate Due Diligence in Supply Chains Act 2021 and the Norwegian Transparency Act 2021</w:t>
      </w:r>
      <w:bookmarkEnd w:id="3"/>
      <w:r w:rsidR="006020C0" w:rsidRPr="006459C1">
        <w:rPr>
          <w:rFonts w:eastAsia="Georgia" w:cstheme="minorHAnsi"/>
          <w:sz w:val="20"/>
          <w:szCs w:val="20"/>
        </w:rPr>
        <w:t xml:space="preserve">.  In addition, there other pieces of national and sub-national legislation which are relevant to HRDD and were passed after the UNGPs, such as the </w:t>
      </w:r>
      <w:r w:rsidR="006020C0" w:rsidRPr="006459C1">
        <w:rPr>
          <w:rFonts w:cstheme="minorHAnsi"/>
          <w:sz w:val="20"/>
          <w:szCs w:val="20"/>
        </w:rPr>
        <w:t xml:space="preserve">Australian Illegal Logging Prohibition Act 2012, the </w:t>
      </w:r>
      <w:r w:rsidR="006020C0" w:rsidRPr="006459C1">
        <w:rPr>
          <w:rFonts w:eastAsia="Georgia" w:cstheme="minorHAnsi"/>
          <w:sz w:val="20"/>
          <w:szCs w:val="20"/>
        </w:rPr>
        <w:t>UK Modern Slavery Act 2015 and the Australian Modern Slavery Act 2018</w:t>
      </w:r>
      <w:r w:rsidR="006020C0" w:rsidRPr="006459C1">
        <w:rPr>
          <w:rStyle w:val="FootnoteReference"/>
          <w:rFonts w:eastAsia="Georgia" w:cstheme="minorHAnsi"/>
          <w:sz w:val="20"/>
          <w:szCs w:val="20"/>
        </w:rPr>
        <w:footnoteRef/>
      </w:r>
      <w:r w:rsidR="006020C0" w:rsidRPr="006459C1">
        <w:rPr>
          <w:rFonts w:eastAsia="Georgia" w:cstheme="minorHAnsi"/>
          <w:sz w:val="20"/>
          <w:szCs w:val="20"/>
        </w:rPr>
        <w:t xml:space="preserve"> as well as some legislation in the Global South</w:t>
      </w:r>
      <w:r w:rsidR="00FC62E9" w:rsidRPr="006459C1">
        <w:rPr>
          <w:rFonts w:eastAsia="Georgia" w:cstheme="minorHAnsi"/>
          <w:sz w:val="20"/>
          <w:szCs w:val="20"/>
        </w:rPr>
        <w:t xml:space="preserve">, including </w:t>
      </w:r>
      <w:r w:rsidR="00FC62E9" w:rsidRPr="006459C1">
        <w:rPr>
          <w:rFonts w:cstheme="minorHAnsi"/>
          <w:sz w:val="20"/>
          <w:szCs w:val="20"/>
        </w:rPr>
        <w:t xml:space="preserve">the Peru Labour Code 2014 (on child labour) and the </w:t>
      </w:r>
      <w:r w:rsidR="00FC62E9" w:rsidRPr="006459C1">
        <w:rPr>
          <w:rFonts w:eastAsia="JansonTextLTStd-Roman" w:cstheme="minorHAnsi"/>
          <w:sz w:val="20"/>
          <w:szCs w:val="20"/>
        </w:rPr>
        <w:t>Indian National Guidelines on Responsible Business Conduct 2018.</w:t>
      </w:r>
      <w:r w:rsidR="00FC62E9" w:rsidRPr="006459C1">
        <w:rPr>
          <w:rFonts w:eastAsia="Georgia" w:cstheme="minorHAnsi"/>
          <w:sz w:val="20"/>
          <w:szCs w:val="20"/>
        </w:rPr>
        <w:t xml:space="preserve"> </w:t>
      </w:r>
      <w:r w:rsidR="006020C0" w:rsidRPr="006459C1">
        <w:rPr>
          <w:rFonts w:eastAsia="Georgia" w:cstheme="minorHAnsi"/>
          <w:sz w:val="20"/>
          <w:szCs w:val="20"/>
        </w:rPr>
        <w:t>The European Union (EU) also passed the</w:t>
      </w:r>
      <w:r w:rsidR="006020C0" w:rsidRPr="006459C1">
        <w:rPr>
          <w:rFonts w:cstheme="minorHAnsi"/>
          <w:sz w:val="20"/>
          <w:szCs w:val="20"/>
        </w:rPr>
        <w:t xml:space="preserve"> EU Timber Regulation 2010 and the EU Conflict Minerals Regulation 2014</w:t>
      </w:r>
      <w:r w:rsidR="00B61032" w:rsidRPr="006459C1">
        <w:rPr>
          <w:rFonts w:cstheme="minorHAnsi"/>
          <w:sz w:val="20"/>
          <w:szCs w:val="20"/>
        </w:rPr>
        <w:t xml:space="preserve"> </w:t>
      </w:r>
      <w:r w:rsidR="006020C0" w:rsidRPr="006459C1">
        <w:rPr>
          <w:rFonts w:cstheme="minorHAnsi"/>
          <w:sz w:val="20"/>
          <w:szCs w:val="20"/>
        </w:rPr>
        <w:t xml:space="preserve">both of which require human rights due diligence, </w:t>
      </w:r>
      <w:r w:rsidR="006020C0" w:rsidRPr="006459C1">
        <w:rPr>
          <w:rFonts w:eastAsia="Georgia" w:cstheme="minorHAnsi"/>
          <w:sz w:val="20"/>
          <w:szCs w:val="20"/>
        </w:rPr>
        <w:t xml:space="preserve">and </w:t>
      </w:r>
      <w:r w:rsidR="006020C0" w:rsidRPr="006459C1">
        <w:rPr>
          <w:rFonts w:cstheme="minorHAnsi"/>
          <w:sz w:val="20"/>
          <w:szCs w:val="20"/>
        </w:rPr>
        <w:t>civil society in many States have proposed instruments which will have “mandatory human rights due diligence” at their centre.</w:t>
      </w:r>
    </w:p>
  </w:footnote>
  <w:footnote w:id="13">
    <w:p w14:paraId="1BE9FD5D" w14:textId="77777777" w:rsidR="005850BB" w:rsidRPr="000D6348" w:rsidRDefault="005850BB" w:rsidP="00C322E3">
      <w:pPr>
        <w:pStyle w:val="FootnoteText"/>
        <w:contextualSpacing/>
        <w:rPr>
          <w:lang w:val="en-US"/>
        </w:rPr>
      </w:pPr>
      <w:r>
        <w:rPr>
          <w:rStyle w:val="FootnoteReference"/>
        </w:rPr>
        <w:footnoteRef/>
      </w:r>
      <w:r>
        <w:t xml:space="preserve"> Focus on Labour Exploitation (FLEX) “Seeing through transparency: Making corporate accountability work for workers” (2018).</w:t>
      </w:r>
    </w:p>
  </w:footnote>
  <w:footnote w:id="14">
    <w:p w14:paraId="711250DD" w14:textId="77777777" w:rsidR="001518CE" w:rsidRPr="00386033" w:rsidRDefault="001518CE" w:rsidP="00C322E3">
      <w:pPr>
        <w:pStyle w:val="FootnoteText"/>
        <w:contextualSpacing/>
        <w:jc w:val="both"/>
        <w:rPr>
          <w:rFonts w:ascii="Times New Roman" w:hAnsi="Times New Roman" w:cs="Times New Roman"/>
        </w:rPr>
      </w:pPr>
      <w:r w:rsidRPr="00386033">
        <w:rPr>
          <w:rStyle w:val="FootnoteReference"/>
          <w:rFonts w:ascii="Times New Roman" w:hAnsi="Times New Roman" w:cs="Times New Roman"/>
        </w:rPr>
        <w:footnoteRef/>
      </w:r>
      <w:r w:rsidRPr="00386033">
        <w:rPr>
          <w:rFonts w:ascii="Times New Roman" w:hAnsi="Times New Roman" w:cs="Times New Roman"/>
        </w:rPr>
        <w:t xml:space="preserve"> TURNER, R. J. Transnational Supply Chain Regulation: Extraterritorial Regulation as Corporate Law’s New Frontier </w:t>
      </w:r>
      <w:r w:rsidRPr="00386033">
        <w:rPr>
          <w:rFonts w:ascii="Times New Roman" w:hAnsi="Times New Roman" w:cs="Times New Roman"/>
          <w:i/>
        </w:rPr>
        <w:t>Melbourne Journal of International Law</w:t>
      </w:r>
      <w:r w:rsidRPr="00386033">
        <w:rPr>
          <w:rFonts w:ascii="Times New Roman" w:hAnsi="Times New Roman" w:cs="Times New Roman"/>
        </w:rPr>
        <w:t xml:space="preserve"> 17 (1)</w:t>
      </w:r>
      <w:r>
        <w:rPr>
          <w:rFonts w:ascii="Times New Roman" w:hAnsi="Times New Roman" w:cs="Times New Roman"/>
        </w:rPr>
        <w:t xml:space="preserve"> 2016</w:t>
      </w:r>
      <w:r w:rsidRPr="00386033">
        <w:rPr>
          <w:rFonts w:ascii="Times New Roman" w:hAnsi="Times New Roman" w:cs="Times New Roman"/>
        </w:rPr>
        <w:t xml:space="preserve"> </w:t>
      </w:r>
      <w:r>
        <w:rPr>
          <w:rFonts w:ascii="Times New Roman" w:hAnsi="Times New Roman" w:cs="Times New Roman"/>
        </w:rPr>
        <w:t>p.</w:t>
      </w:r>
      <w:r w:rsidRPr="00386033">
        <w:rPr>
          <w:rFonts w:ascii="Times New Roman" w:hAnsi="Times New Roman" w:cs="Times New Roman"/>
        </w:rPr>
        <w:t xml:space="preserve">188-209. </w:t>
      </w:r>
    </w:p>
  </w:footnote>
  <w:footnote w:id="15">
    <w:p w14:paraId="66B5147C" w14:textId="77777777" w:rsidR="001518CE" w:rsidRPr="00386033" w:rsidRDefault="001518CE" w:rsidP="00C322E3">
      <w:pPr>
        <w:pStyle w:val="FootnoteText"/>
        <w:contextualSpacing/>
        <w:rPr>
          <w:rFonts w:ascii="Times New Roman" w:hAnsi="Times New Roman" w:cs="Times New Roman"/>
        </w:rPr>
      </w:pPr>
      <w:r w:rsidRPr="00386033">
        <w:rPr>
          <w:rStyle w:val="FootnoteReference"/>
          <w:rFonts w:ascii="Times New Roman" w:hAnsi="Times New Roman" w:cs="Times New Roman"/>
        </w:rPr>
        <w:footnoteRef/>
      </w:r>
      <w:r w:rsidRPr="00386033">
        <w:rPr>
          <w:rFonts w:ascii="Times New Roman" w:hAnsi="Times New Roman" w:cs="Times New Roman"/>
        </w:rPr>
        <w:t xml:space="preserve">The </w:t>
      </w:r>
      <w:r w:rsidRPr="00386033">
        <w:rPr>
          <w:rFonts w:ascii="Times New Roman" w:hAnsi="Times New Roman" w:cs="Times New Roman"/>
          <w:i/>
        </w:rPr>
        <w:t>Illegal Logging Prohibition Amendment Regulation</w:t>
      </w:r>
      <w:r w:rsidRPr="00386033">
        <w:rPr>
          <w:rFonts w:ascii="Times New Roman" w:hAnsi="Times New Roman" w:cs="Times New Roman"/>
        </w:rPr>
        <w:t xml:space="preserve"> 2012 provides that: step 1 is information gathering (the importer must obtain as much of the prescribed information as is reasonably practicable); step 2 is an option process that involves </w:t>
      </w:r>
      <w:r w:rsidRPr="00386033">
        <w:rPr>
          <w:rFonts w:ascii="Times New Roman" w:eastAsia="Times New Roman" w:hAnsi="Times New Roman" w:cs="Times New Roman"/>
          <w:lang w:eastAsia="en-AU"/>
        </w:rPr>
        <w:t xml:space="preserve">assessing and identifying risk against a </w:t>
      </w:r>
      <w:r w:rsidRPr="00386033">
        <w:rPr>
          <w:rFonts w:ascii="Times New Roman" w:hAnsi="Times New Roman" w:cs="Times New Roman"/>
        </w:rPr>
        <w:t xml:space="preserve">prescribed </w:t>
      </w:r>
      <w:r w:rsidRPr="00386033">
        <w:rPr>
          <w:rFonts w:ascii="Times New Roman" w:eastAsia="Times New Roman" w:hAnsi="Times New Roman" w:cs="Times New Roman"/>
          <w:lang w:eastAsia="en-AU"/>
        </w:rPr>
        <w:t>timber legality framework (section 11) or a country-specific guide</w:t>
      </w:r>
      <w:r w:rsidRPr="00386033">
        <w:rPr>
          <w:rFonts w:ascii="Times New Roman" w:hAnsi="Times New Roman" w:cs="Times New Roman"/>
        </w:rPr>
        <w:t>line (once they are prescribed); step 3 is r</w:t>
      </w:r>
      <w:r w:rsidRPr="00386033">
        <w:rPr>
          <w:rFonts w:ascii="Times New Roman" w:eastAsia="Times New Roman" w:hAnsi="Times New Roman" w:cs="Times New Roman"/>
          <w:lang w:eastAsia="en-AU"/>
        </w:rPr>
        <w:t>isk assessment (section 13)</w:t>
      </w:r>
      <w:r w:rsidRPr="00386033">
        <w:rPr>
          <w:rFonts w:ascii="Times New Roman" w:hAnsi="Times New Roman" w:cs="Times New Roman"/>
        </w:rPr>
        <w:t xml:space="preserve">; and, step 4 is risk mitigation </w:t>
      </w:r>
      <w:r w:rsidRPr="00386033">
        <w:rPr>
          <w:rFonts w:ascii="Times New Roman" w:eastAsia="Times New Roman" w:hAnsi="Times New Roman" w:cs="Times New Roman"/>
          <w:lang w:eastAsia="en-AU"/>
        </w:rPr>
        <w:t>(section 14),</w:t>
      </w:r>
      <w:r w:rsidRPr="00386033">
        <w:rPr>
          <w:rFonts w:ascii="Times New Roman" w:hAnsi="Times New Roman" w:cs="Times New Roman"/>
        </w:rPr>
        <w:t xml:space="preserve"> which should be </w:t>
      </w:r>
      <w:r w:rsidRPr="00386033">
        <w:rPr>
          <w:rFonts w:ascii="Times New Roman" w:eastAsia="Times New Roman" w:hAnsi="Times New Roman" w:cs="Times New Roman"/>
          <w:lang w:eastAsia="en-AU"/>
        </w:rPr>
        <w:t>adequate and proportionate to the identified risk.</w:t>
      </w:r>
      <w:r w:rsidRPr="00386033">
        <w:rPr>
          <w:rFonts w:ascii="Times New Roman" w:hAnsi="Times New Roman" w:cs="Times New Roman"/>
        </w:rPr>
        <w:t xml:space="preserve"> Illegally logged timber is defined broadly in the </w:t>
      </w:r>
      <w:r w:rsidRPr="00386033">
        <w:rPr>
          <w:rFonts w:ascii="Times New Roman" w:hAnsi="Times New Roman" w:cs="Times New Roman"/>
          <w:i/>
        </w:rPr>
        <w:t xml:space="preserve">Illegal Logging Prohibition Act </w:t>
      </w:r>
      <w:r w:rsidRPr="00386033">
        <w:rPr>
          <w:rFonts w:ascii="Times New Roman" w:hAnsi="Times New Roman" w:cs="Times New Roman"/>
        </w:rPr>
        <w:t>2012 (</w:t>
      </w:r>
      <w:proofErr w:type="spellStart"/>
      <w:r w:rsidRPr="00386033">
        <w:rPr>
          <w:rFonts w:ascii="Times New Roman" w:hAnsi="Times New Roman" w:cs="Times New Roman"/>
        </w:rPr>
        <w:t>Cth</w:t>
      </w:r>
      <w:proofErr w:type="spellEnd"/>
      <w:r w:rsidRPr="00386033">
        <w:rPr>
          <w:rFonts w:ascii="Times New Roman" w:hAnsi="Times New Roman" w:cs="Times New Roman"/>
        </w:rPr>
        <w:t>) as timber ‘</w:t>
      </w:r>
      <w:r w:rsidRPr="00386033">
        <w:rPr>
          <w:rFonts w:ascii="Times New Roman" w:hAnsi="Times New Roman" w:cs="Times New Roman"/>
          <w:shd w:val="clear" w:color="auto" w:fill="FFFFFF"/>
        </w:rPr>
        <w:t>harvested in contravention of laws in force in the place (whether or not in Australia) where the timber was harvested’ (Section 7).  The due diligence requirements, as outlined in the </w:t>
      </w:r>
      <w:hyperlink r:id="rId7" w:history="1">
        <w:r w:rsidRPr="00386033">
          <w:rPr>
            <w:rStyle w:val="Hyperlink"/>
            <w:rFonts w:ascii="Times New Roman" w:hAnsi="Times New Roman" w:cs="Times New Roman"/>
            <w:shd w:val="clear" w:color="auto" w:fill="FFFFFF"/>
          </w:rPr>
          <w:t>Illegal Logging Prohibition Regulation 2012</w:t>
        </w:r>
      </w:hyperlink>
      <w:r w:rsidRPr="00386033">
        <w:rPr>
          <w:rFonts w:ascii="Times New Roman" w:hAnsi="Times New Roman" w:cs="Times New Roman"/>
          <w:shd w:val="clear" w:color="auto" w:fill="FFFFFF"/>
        </w:rPr>
        <w:t xml:space="preserve">, came into effect on 30 November 2014. From 1 January 2018, businesses and individuals may face penalties for failing to comply with the due-diligence requirements. Conducting the requisite due diligence can be used as a </w:t>
      </w:r>
      <w:proofErr w:type="spellStart"/>
      <w:r w:rsidRPr="00386033">
        <w:rPr>
          <w:rFonts w:ascii="Times New Roman" w:hAnsi="Times New Roman" w:cs="Times New Roman"/>
          <w:shd w:val="clear" w:color="auto" w:fill="FFFFFF"/>
        </w:rPr>
        <w:t>defense</w:t>
      </w:r>
      <w:proofErr w:type="spellEnd"/>
      <w:r w:rsidRPr="00386033">
        <w:rPr>
          <w:rFonts w:ascii="Times New Roman" w:hAnsi="Times New Roman" w:cs="Times New Roman"/>
          <w:shd w:val="clear" w:color="auto" w:fill="FFFFFF"/>
        </w:rPr>
        <w:t xml:space="preserve"> to negligence.</w:t>
      </w:r>
    </w:p>
  </w:footnote>
  <w:footnote w:id="16">
    <w:p w14:paraId="5C7D842A" w14:textId="77777777" w:rsidR="00F719F4" w:rsidRPr="00C322E3" w:rsidRDefault="00F719F4" w:rsidP="0094044B">
      <w:pPr>
        <w:pStyle w:val="FootnoteText"/>
        <w:contextualSpacing/>
        <w:rPr>
          <w:rFonts w:ascii="Calibri" w:hAnsi="Calibri" w:cs="Calibri"/>
          <w:lang w:val="en-US"/>
        </w:rPr>
      </w:pPr>
      <w:r w:rsidRPr="00C322E3">
        <w:rPr>
          <w:rStyle w:val="FootnoteReference"/>
          <w:rFonts w:ascii="Calibri" w:hAnsi="Calibri" w:cs="Calibri"/>
        </w:rPr>
        <w:footnoteRef/>
      </w:r>
      <w:r w:rsidRPr="00C322E3">
        <w:rPr>
          <w:rFonts w:ascii="Calibri" w:hAnsi="Calibri" w:cs="Calibri"/>
        </w:rPr>
        <w:t xml:space="preserve"> Human Rights Council, ‘Taking stock of investor implementation of the Guiding Principles on Business and Human Rights’ Report of the UN Working Group on the issue of human rights and transnational corporations and other business enterprises (A/HRC/47/39/Add.1, 2021), </w:t>
      </w:r>
      <w:hyperlink r:id="rId8" w:history="1">
        <w:r w:rsidRPr="00C322E3">
          <w:rPr>
            <w:rStyle w:val="Hyperlink"/>
            <w:rFonts w:ascii="Calibri" w:hAnsi="Calibri" w:cs="Calibri"/>
          </w:rPr>
          <w:t>https://undocs.org/A/HRC/47/39/Add.1</w:t>
        </w:r>
      </w:hyperlink>
      <w:r w:rsidRPr="00C322E3">
        <w:rPr>
          <w:rStyle w:val="Hyperlink"/>
          <w:rFonts w:ascii="Calibri" w:hAnsi="Calibri" w:cs="Calibri"/>
        </w:rPr>
        <w:t>.</w:t>
      </w:r>
    </w:p>
  </w:footnote>
  <w:footnote w:id="17">
    <w:p w14:paraId="762DCE93" w14:textId="77777777" w:rsidR="00B12732" w:rsidRPr="00C322E3" w:rsidRDefault="00B12732" w:rsidP="0094044B">
      <w:pPr>
        <w:pStyle w:val="FootnoteText"/>
        <w:contextualSpacing/>
        <w:rPr>
          <w:rFonts w:ascii="Calibri" w:hAnsi="Calibri" w:cs="Calibri"/>
        </w:rPr>
      </w:pPr>
      <w:r w:rsidRPr="00C322E3">
        <w:rPr>
          <w:rStyle w:val="FootnoteReference"/>
          <w:rFonts w:ascii="Calibri" w:hAnsi="Calibri" w:cs="Calibri"/>
        </w:rPr>
        <w:footnoteRef/>
      </w:r>
      <w:r w:rsidRPr="00C322E3">
        <w:rPr>
          <w:rFonts w:ascii="Calibri" w:hAnsi="Calibri" w:cs="Calibri"/>
        </w:rPr>
        <w:t xml:space="preserve"> </w:t>
      </w:r>
      <w:hyperlink r:id="rId9" w:history="1">
        <w:r w:rsidRPr="00C322E3">
          <w:rPr>
            <w:rStyle w:val="Hyperlink"/>
            <w:rFonts w:ascii="Calibri" w:hAnsi="Calibri" w:cs="Calibri"/>
            <w:color w:val="auto"/>
          </w:rPr>
          <w:t>https://investorsforhumanrights.org/sites/default/files/attachments/2020-04/The%20Investor%20Case%20for%20mHRDD%20-%20FINAL_0.pdf</w:t>
        </w:r>
      </w:hyperlink>
    </w:p>
  </w:footnote>
  <w:footnote w:id="18">
    <w:p w14:paraId="5A5EBBDF" w14:textId="77777777" w:rsidR="006F1F3C" w:rsidRPr="00C322E3" w:rsidRDefault="006F1F3C" w:rsidP="0094044B">
      <w:pPr>
        <w:pStyle w:val="FootnoteText"/>
        <w:contextualSpacing/>
        <w:rPr>
          <w:rFonts w:ascii="Calibri" w:hAnsi="Calibri" w:cs="Calibri"/>
        </w:rPr>
      </w:pPr>
      <w:r w:rsidRPr="00C322E3">
        <w:rPr>
          <w:rStyle w:val="FootnoteReference"/>
          <w:rFonts w:ascii="Calibri" w:hAnsi="Calibri" w:cs="Calibri"/>
        </w:rPr>
        <w:footnoteRef/>
      </w:r>
      <w:r w:rsidRPr="00C322E3">
        <w:rPr>
          <w:rFonts w:ascii="Calibri" w:hAnsi="Calibri" w:cs="Calibri"/>
        </w:rPr>
        <w:t xml:space="preserve"> P Karp &amp; G Hutchens, 'Neoliberalism has caused "misery and division", Bernie Fraser says', The Guardian, 2018, </w:t>
      </w:r>
      <w:hyperlink r:id="rId10" w:history="1">
        <w:r w:rsidRPr="00C322E3">
          <w:rPr>
            <w:rStyle w:val="Hyperlink"/>
            <w:rFonts w:ascii="Calibri" w:hAnsi="Calibri" w:cs="Calibri"/>
            <w:color w:val="auto"/>
          </w:rPr>
          <w:t>www.theguardian.com/business/2018/oct/17/neoliberalism-has-causedmisery- and-division-</w:t>
        </w:r>
        <w:proofErr w:type="spellStart"/>
        <w:r w:rsidRPr="00C322E3">
          <w:rPr>
            <w:rStyle w:val="Hyperlink"/>
            <w:rFonts w:ascii="Calibri" w:hAnsi="Calibri" w:cs="Calibri"/>
            <w:color w:val="auto"/>
          </w:rPr>
          <w:t>bernie</w:t>
        </w:r>
        <w:proofErr w:type="spellEnd"/>
        <w:r w:rsidRPr="00C322E3">
          <w:rPr>
            <w:rStyle w:val="Hyperlink"/>
            <w:rFonts w:ascii="Calibri" w:hAnsi="Calibri" w:cs="Calibri"/>
            <w:color w:val="auto"/>
          </w:rPr>
          <w:t>-</w:t>
        </w:r>
        <w:proofErr w:type="spellStart"/>
        <w:r w:rsidRPr="00C322E3">
          <w:rPr>
            <w:rStyle w:val="Hyperlink"/>
            <w:rFonts w:ascii="Calibri" w:hAnsi="Calibri" w:cs="Calibri"/>
            <w:color w:val="auto"/>
          </w:rPr>
          <w:t>fraser</w:t>
        </w:r>
        <w:proofErr w:type="spellEnd"/>
        <w:r w:rsidRPr="00C322E3">
          <w:rPr>
            <w:rStyle w:val="Hyperlink"/>
            <w:rFonts w:ascii="Calibri" w:hAnsi="Calibri" w:cs="Calibri"/>
            <w:color w:val="auto"/>
          </w:rPr>
          <w:t>-says</w:t>
        </w:r>
      </w:hyperlink>
      <w:r w:rsidRPr="00C322E3">
        <w:rPr>
          <w:rFonts w:ascii="Calibri" w:hAnsi="Calibri" w:cs="Calibri"/>
        </w:rPr>
        <w:t xml:space="preserve">   </w:t>
      </w:r>
    </w:p>
  </w:footnote>
  <w:footnote w:id="19">
    <w:p w14:paraId="7F5A4215" w14:textId="77777777" w:rsidR="006F1F3C" w:rsidRPr="00C322E3" w:rsidRDefault="006F1F3C" w:rsidP="0094044B">
      <w:pPr>
        <w:pStyle w:val="FootnoteText"/>
        <w:contextualSpacing/>
        <w:rPr>
          <w:rFonts w:ascii="Calibri" w:hAnsi="Calibri" w:cs="Calibri"/>
        </w:rPr>
      </w:pPr>
      <w:r w:rsidRPr="00C322E3">
        <w:rPr>
          <w:rStyle w:val="FootnoteReference"/>
          <w:rFonts w:ascii="Calibri" w:hAnsi="Calibri" w:cs="Calibri"/>
        </w:rPr>
        <w:footnoteRef/>
      </w:r>
      <w:r w:rsidRPr="00C322E3">
        <w:rPr>
          <w:rFonts w:ascii="Calibri" w:hAnsi="Calibri" w:cs="Calibri"/>
        </w:rPr>
        <w:t xml:space="preserve"> Reich, R. B. (2016</w:t>
      </w:r>
      <w:r w:rsidRPr="00C322E3">
        <w:rPr>
          <w:rFonts w:ascii="Calibri" w:hAnsi="Calibri" w:cs="Calibri"/>
          <w:i/>
        </w:rPr>
        <w:t>). Saving Capitalism</w:t>
      </w:r>
      <w:r w:rsidRPr="00C322E3">
        <w:rPr>
          <w:rFonts w:ascii="Calibri" w:hAnsi="Calibri" w:cs="Calibri"/>
        </w:rPr>
        <w:t xml:space="preserve">. Vintage; </w:t>
      </w:r>
      <w:proofErr w:type="spellStart"/>
      <w:r w:rsidRPr="00C322E3">
        <w:rPr>
          <w:rFonts w:ascii="Calibri" w:hAnsi="Calibri" w:cs="Calibri"/>
        </w:rPr>
        <w:t>Streeck</w:t>
      </w:r>
      <w:proofErr w:type="spellEnd"/>
      <w:r w:rsidRPr="00C322E3">
        <w:rPr>
          <w:rFonts w:ascii="Calibri" w:hAnsi="Calibri" w:cs="Calibri"/>
        </w:rPr>
        <w:t>, W. (2016). How Will Capitalism End? Verso Trade.</w:t>
      </w:r>
      <w:r w:rsidRPr="00C322E3" w:rsidDel="006F1CFA">
        <w:rPr>
          <w:rFonts w:ascii="Calibri" w:hAnsi="Calibri" w:cs="Calibri"/>
        </w:rPr>
        <w:t xml:space="preserve"> </w:t>
      </w:r>
    </w:p>
  </w:footnote>
  <w:footnote w:id="20">
    <w:p w14:paraId="44A62B4C" w14:textId="77777777" w:rsidR="006F1F3C" w:rsidRPr="00C322E3" w:rsidRDefault="006F1F3C" w:rsidP="00C322E3">
      <w:pPr>
        <w:pStyle w:val="Bibliography"/>
        <w:spacing w:line="240" w:lineRule="auto"/>
        <w:contextualSpacing/>
        <w:rPr>
          <w:rFonts w:ascii="Calibri" w:hAnsi="Calibri" w:cs="Calibri"/>
          <w:sz w:val="20"/>
          <w:szCs w:val="20"/>
        </w:rPr>
      </w:pPr>
      <w:r w:rsidRPr="00C322E3">
        <w:rPr>
          <w:rStyle w:val="FootnoteReference"/>
          <w:rFonts w:ascii="Calibri" w:hAnsi="Calibri" w:cs="Calibri"/>
          <w:sz w:val="20"/>
          <w:szCs w:val="20"/>
        </w:rPr>
        <w:footnoteRef/>
      </w:r>
      <w:r w:rsidRPr="00C322E3">
        <w:rPr>
          <w:rFonts w:ascii="Calibri" w:hAnsi="Calibri" w:cs="Calibri"/>
          <w:sz w:val="20"/>
          <w:szCs w:val="20"/>
        </w:rPr>
        <w:t xml:space="preserve"> International Institute for Environment and Development (2002) </w:t>
      </w:r>
      <w:r w:rsidRPr="00C322E3">
        <w:rPr>
          <w:rFonts w:ascii="Calibri" w:hAnsi="Calibri" w:cs="Calibri"/>
          <w:i/>
          <w:sz w:val="20"/>
          <w:szCs w:val="20"/>
        </w:rPr>
        <w:t>Breaking New Ground: Mining, Minerals and Sustainable Development</w:t>
      </w:r>
      <w:r w:rsidRPr="00C322E3">
        <w:rPr>
          <w:rFonts w:ascii="Calibri" w:hAnsi="Calibri" w:cs="Calibri"/>
          <w:sz w:val="20"/>
          <w:szCs w:val="20"/>
        </w:rPr>
        <w:t xml:space="preserve">. Available at: </w:t>
      </w:r>
      <w:hyperlink r:id="rId11" w:history="1">
        <w:r w:rsidRPr="00C322E3">
          <w:rPr>
            <w:rStyle w:val="Hyperlink"/>
            <w:rFonts w:ascii="Calibri" w:hAnsi="Calibri" w:cs="Calibri"/>
            <w:color w:val="auto"/>
            <w:sz w:val="20"/>
            <w:szCs w:val="20"/>
          </w:rPr>
          <w:t>http://pubs.iied.org/pdfs/9084IIED.pdf</w:t>
        </w:r>
      </w:hyperlink>
      <w:r w:rsidRPr="00C322E3">
        <w:rPr>
          <w:rFonts w:ascii="Calibri" w:hAnsi="Calibri" w:cs="Calibri"/>
          <w:sz w:val="20"/>
          <w:szCs w:val="20"/>
        </w:rPr>
        <w:t xml:space="preserve"> </w:t>
      </w:r>
    </w:p>
  </w:footnote>
  <w:footnote w:id="21">
    <w:p w14:paraId="35D7CC44" w14:textId="77777777" w:rsidR="006F1F3C" w:rsidRPr="00C322E3" w:rsidRDefault="006F1F3C" w:rsidP="00C322E3">
      <w:pPr>
        <w:pStyle w:val="Bibliography"/>
        <w:spacing w:line="240" w:lineRule="auto"/>
        <w:contextualSpacing/>
        <w:rPr>
          <w:rFonts w:ascii="Calibri" w:hAnsi="Calibri" w:cs="Calibri"/>
          <w:sz w:val="20"/>
          <w:szCs w:val="20"/>
        </w:rPr>
      </w:pPr>
      <w:r w:rsidRPr="00C322E3">
        <w:rPr>
          <w:rStyle w:val="FootnoteReference"/>
          <w:rFonts w:ascii="Calibri" w:hAnsi="Calibri" w:cs="Calibri"/>
          <w:sz w:val="20"/>
          <w:szCs w:val="20"/>
        </w:rPr>
        <w:footnoteRef/>
      </w:r>
      <w:r w:rsidRPr="00C322E3">
        <w:rPr>
          <w:rFonts w:ascii="Calibri" w:hAnsi="Calibri" w:cs="Calibri"/>
          <w:sz w:val="20"/>
          <w:szCs w:val="20"/>
        </w:rPr>
        <w:t xml:space="preserve"> </w:t>
      </w:r>
      <w:proofErr w:type="spellStart"/>
      <w:r w:rsidRPr="00C322E3">
        <w:rPr>
          <w:rFonts w:ascii="Calibri" w:hAnsi="Calibri" w:cs="Calibri"/>
          <w:sz w:val="20"/>
          <w:szCs w:val="20"/>
        </w:rPr>
        <w:t>Gehman</w:t>
      </w:r>
      <w:proofErr w:type="spellEnd"/>
      <w:r w:rsidRPr="00C322E3">
        <w:rPr>
          <w:rFonts w:ascii="Calibri" w:hAnsi="Calibri" w:cs="Calibri"/>
          <w:sz w:val="20"/>
          <w:szCs w:val="20"/>
        </w:rPr>
        <w:t xml:space="preserve">, J., </w:t>
      </w:r>
      <w:proofErr w:type="spellStart"/>
      <w:r w:rsidRPr="00C322E3">
        <w:rPr>
          <w:rFonts w:ascii="Calibri" w:hAnsi="Calibri" w:cs="Calibri"/>
          <w:sz w:val="20"/>
          <w:szCs w:val="20"/>
        </w:rPr>
        <w:t>Lefsrud</w:t>
      </w:r>
      <w:proofErr w:type="spellEnd"/>
      <w:r w:rsidRPr="00C322E3">
        <w:rPr>
          <w:rFonts w:ascii="Calibri" w:hAnsi="Calibri" w:cs="Calibri"/>
          <w:sz w:val="20"/>
          <w:szCs w:val="20"/>
        </w:rPr>
        <w:t xml:space="preserve">, L. M. and Fast, S. (2017) ‘Social license to operate: Legitimacy by another name?’, </w:t>
      </w:r>
      <w:r w:rsidRPr="00C322E3">
        <w:rPr>
          <w:rFonts w:ascii="Calibri" w:hAnsi="Calibri" w:cs="Calibri"/>
          <w:i/>
          <w:sz w:val="20"/>
          <w:szCs w:val="20"/>
        </w:rPr>
        <w:t>Canadian Public Administration</w:t>
      </w:r>
      <w:r w:rsidRPr="00C322E3">
        <w:rPr>
          <w:rFonts w:ascii="Calibri" w:hAnsi="Calibri" w:cs="Calibri"/>
          <w:sz w:val="20"/>
          <w:szCs w:val="20"/>
        </w:rPr>
        <w:t>, 60(2), pp. 293–317.</w:t>
      </w:r>
    </w:p>
  </w:footnote>
  <w:footnote w:id="22">
    <w:p w14:paraId="32C41562" w14:textId="77777777" w:rsidR="006F1F3C" w:rsidRPr="00F87FA5" w:rsidRDefault="006F1F3C" w:rsidP="0094044B">
      <w:pPr>
        <w:pStyle w:val="FootnoteText"/>
        <w:contextualSpacing/>
        <w:rPr>
          <w:rFonts w:cstheme="minorHAnsi"/>
        </w:rPr>
      </w:pPr>
      <w:r w:rsidRPr="00C322E3">
        <w:rPr>
          <w:rStyle w:val="FootnoteReference"/>
          <w:rFonts w:ascii="Calibri" w:hAnsi="Calibri" w:cs="Calibri"/>
        </w:rPr>
        <w:footnoteRef/>
      </w:r>
      <w:r w:rsidRPr="00C322E3">
        <w:rPr>
          <w:rFonts w:ascii="Calibri" w:hAnsi="Calibri" w:cs="Calibri"/>
        </w:rPr>
        <w:t xml:space="preserve"> Suchman, M. C. (1995) Managing legitimacy: Strategic and institutional approaches, </w:t>
      </w:r>
      <w:r w:rsidRPr="00C322E3">
        <w:rPr>
          <w:rFonts w:ascii="Calibri" w:hAnsi="Calibri" w:cs="Calibri"/>
          <w:i/>
        </w:rPr>
        <w:t>Academy of Management Review</w:t>
      </w:r>
      <w:r w:rsidRPr="00C322E3">
        <w:rPr>
          <w:rFonts w:ascii="Calibri" w:hAnsi="Calibri" w:cs="Calibri"/>
        </w:rPr>
        <w:t>, 20(3), pp. 571–610.</w:t>
      </w:r>
    </w:p>
  </w:footnote>
  <w:footnote w:id="23">
    <w:p w14:paraId="277531C9" w14:textId="77777777" w:rsidR="006F1F3C" w:rsidRPr="00C322E3" w:rsidRDefault="006F1F3C" w:rsidP="00C322E3">
      <w:pPr>
        <w:pStyle w:val="Bibliography"/>
        <w:spacing w:line="240" w:lineRule="auto"/>
        <w:contextualSpacing/>
        <w:rPr>
          <w:rFonts w:ascii="Calibri" w:hAnsi="Calibri" w:cs="Calibri"/>
          <w:sz w:val="20"/>
          <w:szCs w:val="20"/>
        </w:rPr>
      </w:pPr>
      <w:r w:rsidRPr="00C322E3">
        <w:rPr>
          <w:rStyle w:val="FootnoteReference"/>
          <w:rFonts w:ascii="Calibri" w:hAnsi="Calibri" w:cs="Calibri"/>
          <w:sz w:val="20"/>
          <w:szCs w:val="20"/>
        </w:rPr>
        <w:footnoteRef/>
      </w:r>
      <w:r w:rsidRPr="00C322E3">
        <w:rPr>
          <w:rFonts w:ascii="Calibri" w:hAnsi="Calibri" w:cs="Calibri"/>
          <w:sz w:val="20"/>
          <w:szCs w:val="20"/>
        </w:rPr>
        <w:t xml:space="preserve"> Joyce, S. and Thomson, I. (2000) ‘Earning a social licence to operate: Social acceptability and resource development in Latin America’, </w:t>
      </w:r>
      <w:r w:rsidRPr="00C322E3">
        <w:rPr>
          <w:rFonts w:ascii="Calibri" w:hAnsi="Calibri" w:cs="Calibri"/>
          <w:i/>
          <w:sz w:val="20"/>
          <w:szCs w:val="20"/>
        </w:rPr>
        <w:t>CIM bulletin</w:t>
      </w:r>
      <w:r w:rsidRPr="00C322E3">
        <w:rPr>
          <w:rFonts w:ascii="Calibri" w:hAnsi="Calibri" w:cs="Calibri"/>
          <w:sz w:val="20"/>
          <w:szCs w:val="20"/>
        </w:rPr>
        <w:t>, 93, pp. 49–53.</w:t>
      </w:r>
    </w:p>
  </w:footnote>
  <w:footnote w:id="24">
    <w:p w14:paraId="5603B60C" w14:textId="77777777" w:rsidR="006F1F3C" w:rsidRPr="00C322E3" w:rsidRDefault="006F1F3C" w:rsidP="00C322E3">
      <w:pPr>
        <w:pStyle w:val="Bibliography"/>
        <w:spacing w:line="240" w:lineRule="auto"/>
        <w:contextualSpacing/>
        <w:rPr>
          <w:rFonts w:ascii="Calibri" w:hAnsi="Calibri" w:cs="Calibri"/>
          <w:sz w:val="20"/>
          <w:szCs w:val="20"/>
        </w:rPr>
      </w:pPr>
      <w:r w:rsidRPr="00C322E3">
        <w:rPr>
          <w:rStyle w:val="FootnoteReference"/>
          <w:rFonts w:ascii="Calibri" w:hAnsi="Calibri" w:cs="Calibri"/>
          <w:sz w:val="20"/>
          <w:szCs w:val="20"/>
        </w:rPr>
        <w:footnoteRef/>
      </w:r>
      <w:r w:rsidRPr="00C322E3">
        <w:rPr>
          <w:rFonts w:ascii="Calibri" w:hAnsi="Calibri" w:cs="Calibri"/>
          <w:sz w:val="20"/>
          <w:szCs w:val="20"/>
        </w:rPr>
        <w:t xml:space="preserve"> </w:t>
      </w:r>
      <w:proofErr w:type="spellStart"/>
      <w:r w:rsidRPr="00C322E3">
        <w:rPr>
          <w:rFonts w:ascii="Calibri" w:hAnsi="Calibri" w:cs="Calibri"/>
          <w:sz w:val="20"/>
          <w:szCs w:val="20"/>
        </w:rPr>
        <w:t>Gunningham</w:t>
      </w:r>
      <w:proofErr w:type="spellEnd"/>
      <w:r w:rsidRPr="00C322E3">
        <w:rPr>
          <w:rFonts w:ascii="Calibri" w:hAnsi="Calibri" w:cs="Calibri"/>
          <w:sz w:val="20"/>
          <w:szCs w:val="20"/>
        </w:rPr>
        <w:t xml:space="preserve">, N., Kagan, R. A. and Thornton, D. (2004) ‘Social license and environmental protection: why businesses go beyond compliance’, </w:t>
      </w:r>
      <w:r w:rsidRPr="00C322E3">
        <w:rPr>
          <w:rFonts w:ascii="Calibri" w:hAnsi="Calibri" w:cs="Calibri"/>
          <w:i/>
          <w:sz w:val="20"/>
          <w:szCs w:val="20"/>
        </w:rPr>
        <w:t>Law &amp; Social Inquiry</w:t>
      </w:r>
      <w:r w:rsidRPr="00C322E3">
        <w:rPr>
          <w:rFonts w:ascii="Calibri" w:hAnsi="Calibri" w:cs="Calibri"/>
          <w:sz w:val="20"/>
          <w:szCs w:val="20"/>
        </w:rPr>
        <w:t>, 29(2), pp. 307–341.</w:t>
      </w:r>
    </w:p>
  </w:footnote>
  <w:footnote w:id="25">
    <w:p w14:paraId="676BD5E1" w14:textId="77777777" w:rsidR="006F1F3C" w:rsidRPr="00C322E3" w:rsidRDefault="006F1F3C" w:rsidP="00C322E3">
      <w:pPr>
        <w:pStyle w:val="Bibliography"/>
        <w:spacing w:line="240" w:lineRule="auto"/>
        <w:contextualSpacing/>
        <w:rPr>
          <w:rFonts w:ascii="Calibri" w:hAnsi="Calibri" w:cs="Calibri"/>
          <w:sz w:val="20"/>
          <w:szCs w:val="20"/>
        </w:rPr>
      </w:pPr>
      <w:r w:rsidRPr="00C322E3">
        <w:rPr>
          <w:rStyle w:val="FootnoteReference"/>
          <w:rFonts w:ascii="Calibri" w:hAnsi="Calibri" w:cs="Calibri"/>
          <w:sz w:val="20"/>
          <w:szCs w:val="20"/>
        </w:rPr>
        <w:footnoteRef/>
      </w:r>
      <w:r w:rsidRPr="00C322E3">
        <w:rPr>
          <w:rFonts w:ascii="Calibri" w:hAnsi="Calibri" w:cs="Calibri"/>
          <w:sz w:val="20"/>
          <w:szCs w:val="20"/>
        </w:rPr>
        <w:t xml:space="preserve"> Black, L. (2017) </w:t>
      </w:r>
      <w:r w:rsidRPr="00C322E3">
        <w:rPr>
          <w:rFonts w:ascii="Calibri" w:hAnsi="Calibri" w:cs="Calibri"/>
          <w:i/>
          <w:sz w:val="20"/>
          <w:szCs w:val="20"/>
        </w:rPr>
        <w:t>The Social Licence to Operate: Your Management Framework for Complex Times</w:t>
      </w:r>
      <w:r w:rsidRPr="00C322E3">
        <w:rPr>
          <w:rFonts w:ascii="Calibri" w:hAnsi="Calibri" w:cs="Calibri"/>
          <w:sz w:val="20"/>
          <w:szCs w:val="20"/>
        </w:rPr>
        <w:t>. London; New York: Routledge.</w:t>
      </w:r>
    </w:p>
  </w:footnote>
  <w:footnote w:id="26">
    <w:p w14:paraId="2EF90BAE" w14:textId="77777777" w:rsidR="006F1F3C" w:rsidRPr="00C322E3" w:rsidRDefault="006F1F3C" w:rsidP="00C322E3">
      <w:pPr>
        <w:pStyle w:val="FootnoteText"/>
        <w:contextualSpacing/>
        <w:rPr>
          <w:rFonts w:ascii="Calibri" w:hAnsi="Calibri" w:cs="Calibri"/>
        </w:rPr>
      </w:pPr>
      <w:r w:rsidRPr="00C322E3">
        <w:rPr>
          <w:rStyle w:val="FootnoteReference"/>
          <w:rFonts w:ascii="Calibri" w:hAnsi="Calibri" w:cs="Calibri"/>
        </w:rPr>
        <w:footnoteRef/>
      </w:r>
      <w:r w:rsidRPr="00C322E3">
        <w:rPr>
          <w:rFonts w:ascii="Calibri" w:hAnsi="Calibri" w:cs="Calibri"/>
        </w:rPr>
        <w:t xml:space="preserve"> International Institute for Environment and Development (2002) </w:t>
      </w:r>
      <w:r w:rsidRPr="00C322E3">
        <w:rPr>
          <w:rFonts w:ascii="Calibri" w:hAnsi="Calibri" w:cs="Calibri"/>
          <w:i/>
        </w:rPr>
        <w:t>Breaking New Ground: Mining, Minerals and Sustainable Development</w:t>
      </w:r>
      <w:r w:rsidRPr="00C322E3">
        <w:rPr>
          <w:rFonts w:ascii="Calibri" w:hAnsi="Calibri" w:cs="Calibri"/>
        </w:rPr>
        <w:t xml:space="preserve">. Available at: </w:t>
      </w:r>
      <w:hyperlink r:id="rId12" w:history="1">
        <w:r w:rsidRPr="00C322E3">
          <w:rPr>
            <w:rStyle w:val="Hyperlink"/>
            <w:rFonts w:ascii="Calibri" w:hAnsi="Calibri" w:cs="Calibri"/>
            <w:color w:val="auto"/>
          </w:rPr>
          <w:t>http://pubs.iied.org/pdfs/9084IIED.pdf</w:t>
        </w:r>
      </w:hyperlink>
    </w:p>
  </w:footnote>
  <w:footnote w:id="27">
    <w:p w14:paraId="2341DE1E" w14:textId="77777777" w:rsidR="006F1F3C" w:rsidRPr="00C322E3" w:rsidRDefault="006F1F3C" w:rsidP="00C322E3">
      <w:pPr>
        <w:pStyle w:val="Bibliography"/>
        <w:spacing w:line="240" w:lineRule="auto"/>
        <w:contextualSpacing/>
        <w:rPr>
          <w:rFonts w:ascii="Calibri" w:hAnsi="Calibri" w:cs="Calibri"/>
          <w:sz w:val="20"/>
          <w:szCs w:val="20"/>
        </w:rPr>
      </w:pPr>
      <w:r w:rsidRPr="00C322E3">
        <w:rPr>
          <w:rStyle w:val="FootnoteReference"/>
          <w:rFonts w:ascii="Calibri" w:hAnsi="Calibri" w:cs="Calibri"/>
          <w:sz w:val="20"/>
          <w:szCs w:val="20"/>
        </w:rPr>
        <w:footnoteRef/>
      </w:r>
      <w:r w:rsidRPr="00C322E3">
        <w:rPr>
          <w:rFonts w:ascii="Calibri" w:hAnsi="Calibri" w:cs="Calibri"/>
          <w:sz w:val="20"/>
          <w:szCs w:val="20"/>
        </w:rPr>
        <w:t xml:space="preserve"> Morrison, J. (2014) </w:t>
      </w:r>
      <w:r w:rsidRPr="00C322E3">
        <w:rPr>
          <w:rFonts w:ascii="Calibri" w:hAnsi="Calibri" w:cs="Calibri"/>
          <w:i/>
          <w:sz w:val="20"/>
          <w:szCs w:val="20"/>
        </w:rPr>
        <w:t>The Social License: How to Keep Your Organization Legitimate</w:t>
      </w:r>
      <w:r w:rsidRPr="00C322E3">
        <w:rPr>
          <w:rFonts w:ascii="Calibri" w:hAnsi="Calibri" w:cs="Calibri"/>
          <w:sz w:val="20"/>
          <w:szCs w:val="20"/>
        </w:rPr>
        <w:t>. New York: Springer.</w:t>
      </w:r>
    </w:p>
  </w:footnote>
  <w:footnote w:id="28">
    <w:p w14:paraId="30F2D873" w14:textId="77777777" w:rsidR="006F1F3C" w:rsidRPr="00C322E3" w:rsidRDefault="006F1F3C" w:rsidP="00C322E3">
      <w:pPr>
        <w:pStyle w:val="Bibliography"/>
        <w:spacing w:line="240" w:lineRule="auto"/>
        <w:contextualSpacing/>
        <w:rPr>
          <w:rFonts w:ascii="Calibri" w:hAnsi="Calibri" w:cs="Calibri"/>
          <w:sz w:val="20"/>
          <w:szCs w:val="20"/>
        </w:rPr>
      </w:pPr>
      <w:r w:rsidRPr="00C322E3">
        <w:rPr>
          <w:rStyle w:val="FootnoteReference"/>
          <w:rFonts w:ascii="Calibri" w:hAnsi="Calibri" w:cs="Calibri"/>
          <w:sz w:val="20"/>
          <w:szCs w:val="20"/>
        </w:rPr>
        <w:footnoteRef/>
      </w:r>
      <w:r w:rsidRPr="00C322E3">
        <w:rPr>
          <w:rFonts w:ascii="Calibri" w:hAnsi="Calibri" w:cs="Calibri"/>
          <w:sz w:val="20"/>
          <w:szCs w:val="20"/>
        </w:rPr>
        <w:t xml:space="preserve"> Owen, J. R. and Kemp, D. (2013) ‘Social licence and mining: A critical perspective’, </w:t>
      </w:r>
      <w:r w:rsidRPr="00C322E3">
        <w:rPr>
          <w:rFonts w:ascii="Calibri" w:hAnsi="Calibri" w:cs="Calibri"/>
          <w:i/>
          <w:sz w:val="20"/>
          <w:szCs w:val="20"/>
        </w:rPr>
        <w:t>Resources Policy</w:t>
      </w:r>
      <w:r w:rsidRPr="00C322E3">
        <w:rPr>
          <w:rFonts w:ascii="Calibri" w:hAnsi="Calibri" w:cs="Calibri"/>
          <w:sz w:val="20"/>
          <w:szCs w:val="20"/>
        </w:rPr>
        <w:t xml:space="preserve">, 38(1), pp. 29–35. </w:t>
      </w:r>
    </w:p>
  </w:footnote>
  <w:footnote w:id="29">
    <w:p w14:paraId="6F668C6A" w14:textId="77777777" w:rsidR="006F1F3C" w:rsidRPr="00F87FA5" w:rsidRDefault="006F1F3C" w:rsidP="00C322E3">
      <w:pPr>
        <w:pStyle w:val="FootnoteText"/>
        <w:contextualSpacing/>
        <w:rPr>
          <w:rFonts w:cstheme="minorHAnsi"/>
          <w:lang w:val="en-US"/>
        </w:rPr>
      </w:pPr>
      <w:r w:rsidRPr="00C322E3">
        <w:rPr>
          <w:rStyle w:val="FootnoteReference"/>
          <w:rFonts w:ascii="Calibri" w:hAnsi="Calibri" w:cs="Calibri"/>
        </w:rPr>
        <w:footnoteRef/>
      </w:r>
      <w:r w:rsidRPr="00C322E3">
        <w:rPr>
          <w:rFonts w:ascii="Calibri" w:hAnsi="Calibri" w:cs="Calibri"/>
          <w:lang w:val="en-US"/>
        </w:rPr>
        <w:t xml:space="preserve">ASX Corporate Governance Council, </w:t>
      </w:r>
      <w:r w:rsidRPr="00C322E3">
        <w:rPr>
          <w:rFonts w:ascii="Calibri" w:hAnsi="Calibri" w:cs="Calibri"/>
          <w:i/>
          <w:lang w:val="en-US"/>
        </w:rPr>
        <w:t>Corporate Governance Principles and Recommendations</w:t>
      </w:r>
      <w:r w:rsidRPr="00C322E3">
        <w:rPr>
          <w:rFonts w:ascii="Calibri" w:hAnsi="Calibri" w:cs="Calibri"/>
          <w:lang w:val="en-US"/>
        </w:rPr>
        <w:t xml:space="preserve"> (3rd ed, 27 March 2014).</w:t>
      </w:r>
      <w:r w:rsidRPr="00F87FA5">
        <w:rPr>
          <w:rFonts w:cstheme="minorHAnsi"/>
        </w:rPr>
        <w:t xml:space="preserve"> </w:t>
      </w:r>
    </w:p>
  </w:footnote>
  <w:footnote w:id="30">
    <w:p w14:paraId="4C25BA24" w14:textId="77777777" w:rsidR="006F1F3C" w:rsidRPr="00C322E3" w:rsidRDefault="006F1F3C" w:rsidP="00C322E3">
      <w:pPr>
        <w:pStyle w:val="FootnoteText"/>
        <w:contextualSpacing/>
        <w:rPr>
          <w:rFonts w:ascii="Calibri" w:hAnsi="Calibri" w:cs="Calibri"/>
          <w:lang w:val="en-US"/>
        </w:rPr>
      </w:pPr>
      <w:r w:rsidRPr="00C322E3">
        <w:rPr>
          <w:rStyle w:val="FootnoteReference"/>
          <w:rFonts w:ascii="Calibri" w:hAnsi="Calibri" w:cs="Calibri"/>
        </w:rPr>
        <w:footnoteRef/>
      </w:r>
      <w:r w:rsidRPr="00C322E3">
        <w:rPr>
          <w:rFonts w:ascii="Calibri" w:hAnsi="Calibri" w:cs="Calibri"/>
        </w:rPr>
        <w:t xml:space="preserve"> This is referred to as the ‘if not, why not’ approach:</w:t>
      </w:r>
      <w:r w:rsidRPr="00C322E3">
        <w:rPr>
          <w:rFonts w:ascii="Calibri" w:hAnsi="Calibri" w:cs="Calibri"/>
          <w:lang w:val="en-US"/>
        </w:rPr>
        <w:t xml:space="preserve"> ASX Corporate Governance Council, </w:t>
      </w:r>
      <w:r w:rsidRPr="00C322E3">
        <w:rPr>
          <w:rFonts w:ascii="Calibri" w:hAnsi="Calibri" w:cs="Calibri"/>
          <w:i/>
          <w:lang w:val="en-US"/>
        </w:rPr>
        <w:t>Corporate Governance Principles and Recommendations</w:t>
      </w:r>
      <w:r w:rsidRPr="00C322E3">
        <w:rPr>
          <w:rFonts w:ascii="Calibri" w:hAnsi="Calibri" w:cs="Calibri"/>
          <w:lang w:val="en-US"/>
        </w:rPr>
        <w:t xml:space="preserve"> (3rd ed, 27 March 2014) at 3.</w:t>
      </w:r>
    </w:p>
  </w:footnote>
  <w:footnote w:id="31">
    <w:p w14:paraId="5E62C5D4" w14:textId="77777777" w:rsidR="006F1F3C" w:rsidRPr="00C322E3" w:rsidRDefault="006F1F3C" w:rsidP="00C322E3">
      <w:pPr>
        <w:pStyle w:val="FootnoteText"/>
        <w:contextualSpacing/>
        <w:rPr>
          <w:rFonts w:ascii="Calibri" w:hAnsi="Calibri" w:cs="Calibri"/>
        </w:rPr>
      </w:pPr>
      <w:r w:rsidRPr="00C322E3">
        <w:rPr>
          <w:rStyle w:val="FootnoteReference"/>
          <w:rFonts w:ascii="Calibri" w:hAnsi="Calibri" w:cs="Calibri"/>
        </w:rPr>
        <w:footnoteRef/>
      </w:r>
      <w:r w:rsidRPr="00C322E3">
        <w:rPr>
          <w:rFonts w:ascii="Calibri" w:hAnsi="Calibri" w:cs="Calibri"/>
        </w:rPr>
        <w:t xml:space="preserve"> ASX Corporate Governance Council, </w:t>
      </w:r>
      <w:r w:rsidRPr="00C322E3">
        <w:rPr>
          <w:rFonts w:ascii="Calibri" w:hAnsi="Calibri" w:cs="Calibri"/>
          <w:i/>
        </w:rPr>
        <w:t>Review of the ASX Corporate Governance Council’s Principles and Recommendations Public Consultation</w:t>
      </w:r>
      <w:r w:rsidRPr="00C322E3">
        <w:rPr>
          <w:rFonts w:ascii="Calibri" w:hAnsi="Calibri" w:cs="Calibri"/>
        </w:rPr>
        <w:t xml:space="preserve"> (2 May 2018), 6 https://www.asx.com.au/documents/asx-compliance/consultation-paper-cgc-4th-edition.pdf</w:t>
      </w:r>
    </w:p>
  </w:footnote>
  <w:footnote w:id="32">
    <w:p w14:paraId="0E4C2C30" w14:textId="77777777" w:rsidR="006F1F3C" w:rsidRPr="00C322E3" w:rsidRDefault="006F1F3C" w:rsidP="00C322E3">
      <w:pPr>
        <w:pStyle w:val="FootnoteText"/>
        <w:contextualSpacing/>
        <w:rPr>
          <w:rFonts w:ascii="Calibri" w:hAnsi="Calibri" w:cs="Calibri"/>
        </w:rPr>
      </w:pPr>
      <w:r w:rsidRPr="00C322E3">
        <w:rPr>
          <w:rStyle w:val="FootnoteReference"/>
          <w:rFonts w:ascii="Calibri" w:hAnsi="Calibri" w:cs="Calibri"/>
        </w:rPr>
        <w:footnoteRef/>
      </w:r>
      <w:r w:rsidRPr="00C322E3">
        <w:rPr>
          <w:rFonts w:ascii="Calibri" w:hAnsi="Calibri" w:cs="Calibri"/>
        </w:rPr>
        <w:t xml:space="preserve"> Durkin P. Governance Council retreats on industry super’s social licence’ push. </w:t>
      </w:r>
      <w:r w:rsidRPr="00C322E3">
        <w:rPr>
          <w:rFonts w:ascii="Calibri" w:hAnsi="Calibri" w:cs="Calibri"/>
          <w:i/>
        </w:rPr>
        <w:t xml:space="preserve">Australian Financial Review </w:t>
      </w:r>
      <w:r w:rsidRPr="00C322E3">
        <w:rPr>
          <w:rFonts w:ascii="Calibri" w:hAnsi="Calibri" w:cs="Calibri"/>
        </w:rPr>
        <w:t xml:space="preserve">(7 August 2018), </w:t>
      </w:r>
      <w:hyperlink r:id="rId13" w:history="1">
        <w:r w:rsidRPr="00C322E3">
          <w:rPr>
            <w:rStyle w:val="Hyperlink"/>
            <w:rFonts w:ascii="Calibri" w:hAnsi="Calibri" w:cs="Calibri"/>
            <w:color w:val="auto"/>
          </w:rPr>
          <w:t>https://www.afr.com/leadership/governance-council-backs-down-on-industry-supers-social-licence-push-20180806-h13lc7</w:t>
        </w:r>
      </w:hyperlink>
      <w:r w:rsidRPr="00C322E3">
        <w:rPr>
          <w:rFonts w:ascii="Calibri" w:hAnsi="Calibri" w:cs="Calibri"/>
        </w:rPr>
        <w:t>.</w:t>
      </w:r>
    </w:p>
  </w:footnote>
  <w:footnote w:id="33">
    <w:p w14:paraId="1B47DC92" w14:textId="77777777" w:rsidR="006F1F3C" w:rsidRPr="00C322E3" w:rsidRDefault="006F1F3C" w:rsidP="00C322E3">
      <w:pPr>
        <w:pStyle w:val="FootnoteText"/>
        <w:contextualSpacing/>
        <w:rPr>
          <w:rFonts w:ascii="Calibri" w:hAnsi="Calibri" w:cs="Calibri"/>
        </w:rPr>
      </w:pPr>
      <w:r w:rsidRPr="00C322E3">
        <w:rPr>
          <w:rStyle w:val="FootnoteReference"/>
          <w:rFonts w:ascii="Calibri" w:hAnsi="Calibri" w:cs="Calibri"/>
        </w:rPr>
        <w:footnoteRef/>
      </w:r>
      <w:r w:rsidRPr="00C322E3">
        <w:rPr>
          <w:rFonts w:ascii="Calibri" w:hAnsi="Calibri" w:cs="Calibri"/>
        </w:rPr>
        <w:t xml:space="preserve"> Principle 3 refers to the need for listed entities to ‘Instil a culture of acting lawfully, ethically and responsibly’, </w:t>
      </w:r>
      <w:r w:rsidRPr="00C322E3">
        <w:rPr>
          <w:rFonts w:ascii="Calibri" w:hAnsi="Calibri" w:cs="Calibri"/>
          <w:lang w:val="en-US"/>
        </w:rPr>
        <w:t xml:space="preserve">ASX Corporate Governance Council, </w:t>
      </w:r>
      <w:r w:rsidRPr="00C322E3">
        <w:rPr>
          <w:rFonts w:ascii="Calibri" w:hAnsi="Calibri" w:cs="Calibri"/>
          <w:i/>
          <w:lang w:val="en-US"/>
        </w:rPr>
        <w:t>Corporate Governance Principles and Recommendations</w:t>
      </w:r>
      <w:r w:rsidRPr="00C322E3">
        <w:rPr>
          <w:rFonts w:ascii="Calibri" w:hAnsi="Calibri" w:cs="Calibri"/>
          <w:lang w:val="en-US"/>
        </w:rPr>
        <w:t xml:space="preserve"> (4th ed, 27 February 2019).</w:t>
      </w:r>
    </w:p>
  </w:footnote>
  <w:footnote w:id="34">
    <w:p w14:paraId="2EE58A2F" w14:textId="77777777" w:rsidR="006F1F3C" w:rsidRPr="00C322E3" w:rsidRDefault="006F1F3C" w:rsidP="00C322E3">
      <w:pPr>
        <w:pStyle w:val="Bibliography"/>
        <w:spacing w:line="240" w:lineRule="auto"/>
        <w:contextualSpacing/>
        <w:rPr>
          <w:rFonts w:ascii="Calibri" w:hAnsi="Calibri" w:cs="Calibri"/>
          <w:sz w:val="20"/>
          <w:szCs w:val="20"/>
        </w:rPr>
      </w:pPr>
      <w:r w:rsidRPr="00C322E3">
        <w:rPr>
          <w:rStyle w:val="FootnoteReference"/>
          <w:rFonts w:ascii="Calibri" w:hAnsi="Calibri" w:cs="Calibri"/>
          <w:sz w:val="20"/>
          <w:szCs w:val="20"/>
        </w:rPr>
        <w:footnoteRef/>
      </w:r>
      <w:r w:rsidRPr="00C322E3">
        <w:rPr>
          <w:rFonts w:ascii="Calibri" w:hAnsi="Calibri" w:cs="Calibri"/>
          <w:sz w:val="20"/>
          <w:szCs w:val="20"/>
        </w:rPr>
        <w:t xml:space="preserve"> Fortune (2020) </w:t>
      </w:r>
      <w:r w:rsidRPr="00C322E3">
        <w:rPr>
          <w:rFonts w:ascii="Calibri" w:hAnsi="Calibri" w:cs="Calibri"/>
          <w:i/>
          <w:sz w:val="20"/>
          <w:szCs w:val="20"/>
        </w:rPr>
        <w:t>BlackRock</w:t>
      </w:r>
      <w:r w:rsidRPr="00C322E3">
        <w:rPr>
          <w:rFonts w:ascii="Calibri" w:hAnsi="Calibri" w:cs="Calibri"/>
          <w:sz w:val="20"/>
          <w:szCs w:val="20"/>
        </w:rPr>
        <w:t xml:space="preserve">, </w:t>
      </w:r>
      <w:r w:rsidRPr="00C322E3">
        <w:rPr>
          <w:rFonts w:ascii="Calibri" w:hAnsi="Calibri" w:cs="Calibri"/>
          <w:i/>
          <w:sz w:val="20"/>
          <w:szCs w:val="20"/>
        </w:rPr>
        <w:t>Fortune</w:t>
      </w:r>
      <w:r w:rsidRPr="00C322E3">
        <w:rPr>
          <w:rFonts w:ascii="Calibri" w:hAnsi="Calibri" w:cs="Calibri"/>
          <w:sz w:val="20"/>
          <w:szCs w:val="20"/>
        </w:rPr>
        <w:t xml:space="preserve">. Available at: </w:t>
      </w:r>
      <w:hyperlink r:id="rId14" w:history="1">
        <w:r w:rsidRPr="00C322E3">
          <w:rPr>
            <w:rStyle w:val="Hyperlink"/>
            <w:rFonts w:ascii="Calibri" w:hAnsi="Calibri" w:cs="Calibri"/>
            <w:color w:val="auto"/>
            <w:sz w:val="20"/>
            <w:szCs w:val="20"/>
          </w:rPr>
          <w:t>https://fortune.com/fortune500/2019/blackrock/</w:t>
        </w:r>
      </w:hyperlink>
      <w:r w:rsidRPr="00C322E3">
        <w:rPr>
          <w:rFonts w:ascii="Calibri" w:hAnsi="Calibri" w:cs="Calibri"/>
          <w:sz w:val="20"/>
          <w:szCs w:val="20"/>
        </w:rPr>
        <w:t xml:space="preserve"> </w:t>
      </w:r>
    </w:p>
  </w:footnote>
  <w:footnote w:id="35">
    <w:p w14:paraId="36F2E8F1" w14:textId="77777777" w:rsidR="006F1F3C" w:rsidRPr="00C322E3" w:rsidRDefault="006F1F3C" w:rsidP="00C322E3">
      <w:pPr>
        <w:pStyle w:val="Bibliography"/>
        <w:spacing w:line="240" w:lineRule="auto"/>
        <w:contextualSpacing/>
        <w:rPr>
          <w:rFonts w:ascii="Calibri" w:hAnsi="Calibri" w:cs="Calibri"/>
          <w:sz w:val="20"/>
          <w:szCs w:val="20"/>
        </w:rPr>
      </w:pPr>
      <w:r w:rsidRPr="00C322E3">
        <w:rPr>
          <w:rStyle w:val="FootnoteReference"/>
          <w:rFonts w:ascii="Calibri" w:hAnsi="Calibri" w:cs="Calibri"/>
          <w:sz w:val="20"/>
          <w:szCs w:val="20"/>
        </w:rPr>
        <w:footnoteRef/>
      </w:r>
      <w:r w:rsidRPr="00C322E3">
        <w:rPr>
          <w:rFonts w:ascii="Calibri" w:hAnsi="Calibri" w:cs="Calibri"/>
          <w:sz w:val="20"/>
          <w:szCs w:val="20"/>
        </w:rPr>
        <w:t xml:space="preserve"> Fink, L. (2019) </w:t>
      </w:r>
      <w:r w:rsidRPr="00C322E3">
        <w:rPr>
          <w:rFonts w:ascii="Calibri" w:hAnsi="Calibri" w:cs="Calibri"/>
          <w:i/>
          <w:sz w:val="20"/>
          <w:szCs w:val="20"/>
        </w:rPr>
        <w:t>Larry Fink’s Letter to CEOs</w:t>
      </w:r>
      <w:r w:rsidRPr="00C322E3">
        <w:rPr>
          <w:rFonts w:ascii="Calibri" w:hAnsi="Calibri" w:cs="Calibri"/>
          <w:sz w:val="20"/>
          <w:szCs w:val="20"/>
        </w:rPr>
        <w:t xml:space="preserve">, </w:t>
      </w:r>
      <w:r w:rsidRPr="00C322E3">
        <w:rPr>
          <w:rFonts w:ascii="Calibri" w:hAnsi="Calibri" w:cs="Calibri"/>
          <w:i/>
          <w:sz w:val="20"/>
          <w:szCs w:val="20"/>
        </w:rPr>
        <w:t>BlackRock</w:t>
      </w:r>
      <w:r w:rsidRPr="00C322E3">
        <w:rPr>
          <w:rFonts w:ascii="Calibri" w:hAnsi="Calibri" w:cs="Calibri"/>
          <w:sz w:val="20"/>
          <w:szCs w:val="20"/>
        </w:rPr>
        <w:t xml:space="preserve">. Available at: </w:t>
      </w:r>
      <w:hyperlink r:id="rId15" w:history="1">
        <w:r w:rsidRPr="00C322E3">
          <w:rPr>
            <w:rStyle w:val="Hyperlink"/>
            <w:rFonts w:ascii="Calibri" w:hAnsi="Calibri" w:cs="Calibri"/>
            <w:color w:val="auto"/>
            <w:sz w:val="20"/>
            <w:szCs w:val="20"/>
          </w:rPr>
          <w:t>https://www.blackrock.com/americas-offshore/2019-larry-fink-ceo-letter</w:t>
        </w:r>
      </w:hyperlink>
      <w:r w:rsidRPr="00C322E3">
        <w:rPr>
          <w:rFonts w:ascii="Calibri" w:hAnsi="Calibri" w:cs="Calibri"/>
          <w:sz w:val="20"/>
          <w:szCs w:val="20"/>
        </w:rPr>
        <w:t xml:space="preserve">  (Accessed: 27 June 2020).</w:t>
      </w:r>
    </w:p>
  </w:footnote>
  <w:footnote w:id="36">
    <w:p w14:paraId="1FDF446A" w14:textId="77777777" w:rsidR="006F1F3C" w:rsidRPr="00F87FA5" w:rsidRDefault="006F1F3C" w:rsidP="00C322E3">
      <w:pPr>
        <w:pStyle w:val="FootnoteText"/>
        <w:contextualSpacing/>
        <w:rPr>
          <w:rFonts w:cstheme="minorHAnsi"/>
        </w:rPr>
      </w:pPr>
      <w:r w:rsidRPr="00C322E3">
        <w:rPr>
          <w:rStyle w:val="FootnoteReference"/>
          <w:rFonts w:ascii="Calibri" w:hAnsi="Calibri" w:cs="Calibri"/>
        </w:rPr>
        <w:footnoteRef/>
      </w:r>
      <w:r w:rsidRPr="00C322E3">
        <w:rPr>
          <w:rFonts w:ascii="Calibri" w:hAnsi="Calibri" w:cs="Calibri"/>
        </w:rPr>
        <w:t xml:space="preserve"> Ibid.</w:t>
      </w:r>
    </w:p>
  </w:footnote>
  <w:footnote w:id="37">
    <w:p w14:paraId="53504856" w14:textId="77777777" w:rsidR="006F1F3C" w:rsidRPr="00C322E3" w:rsidRDefault="006F1F3C" w:rsidP="00C322E3">
      <w:pPr>
        <w:pStyle w:val="FootnoteText"/>
        <w:contextualSpacing/>
        <w:rPr>
          <w:rFonts w:ascii="Calibri" w:hAnsi="Calibri" w:cs="Calibri"/>
        </w:rPr>
      </w:pPr>
      <w:r w:rsidRPr="00C322E3">
        <w:rPr>
          <w:rStyle w:val="FootnoteReference"/>
          <w:rFonts w:ascii="Calibri" w:hAnsi="Calibri" w:cs="Calibri"/>
        </w:rPr>
        <w:footnoteRef/>
      </w:r>
      <w:r w:rsidRPr="00C322E3">
        <w:rPr>
          <w:rFonts w:ascii="Calibri" w:hAnsi="Calibri" w:cs="Calibri"/>
        </w:rPr>
        <w:t xml:space="preserve"> </w:t>
      </w:r>
      <w:hyperlink r:id="rId16" w:history="1">
        <w:r w:rsidRPr="00C322E3">
          <w:rPr>
            <w:rStyle w:val="Hyperlink"/>
            <w:rFonts w:ascii="Calibri" w:hAnsi="Calibri" w:cs="Calibri"/>
            <w:color w:val="auto"/>
          </w:rPr>
          <w:t>https://opportunity.businessroundtable.org/wp-content/uploads/2020/08/BRT-Statement-on-the-Purpose-of-a-Corporation-August-2020.pdf</w:t>
        </w:r>
      </w:hyperlink>
    </w:p>
  </w:footnote>
  <w:footnote w:id="38">
    <w:p w14:paraId="49F3DD10" w14:textId="77777777" w:rsidR="006F1F3C" w:rsidRPr="00C322E3" w:rsidRDefault="006F1F3C" w:rsidP="00C322E3">
      <w:pPr>
        <w:pStyle w:val="Bibliography"/>
        <w:spacing w:line="240" w:lineRule="auto"/>
        <w:contextualSpacing/>
        <w:rPr>
          <w:rFonts w:ascii="Calibri" w:hAnsi="Calibri" w:cs="Calibri"/>
          <w:sz w:val="20"/>
          <w:szCs w:val="20"/>
        </w:rPr>
      </w:pPr>
      <w:r w:rsidRPr="00C322E3">
        <w:rPr>
          <w:rStyle w:val="FootnoteReference"/>
          <w:rFonts w:ascii="Calibri" w:hAnsi="Calibri" w:cs="Calibri"/>
          <w:sz w:val="20"/>
          <w:szCs w:val="20"/>
        </w:rPr>
        <w:footnoteRef/>
      </w:r>
      <w:r w:rsidRPr="00C322E3">
        <w:rPr>
          <w:rFonts w:ascii="Calibri" w:hAnsi="Calibri" w:cs="Calibri"/>
          <w:sz w:val="20"/>
          <w:szCs w:val="20"/>
        </w:rPr>
        <w:t xml:space="preserve"> Freeman, R. E. (1984) </w:t>
      </w:r>
      <w:r w:rsidRPr="00C322E3">
        <w:rPr>
          <w:rFonts w:ascii="Calibri" w:hAnsi="Calibri" w:cs="Calibri"/>
          <w:i/>
          <w:sz w:val="20"/>
          <w:szCs w:val="20"/>
        </w:rPr>
        <w:t>Strategic Management: A Stakeholder Approach</w:t>
      </w:r>
      <w:r w:rsidRPr="00C322E3">
        <w:rPr>
          <w:rFonts w:ascii="Calibri" w:hAnsi="Calibri" w:cs="Calibri"/>
          <w:sz w:val="20"/>
          <w:szCs w:val="20"/>
        </w:rPr>
        <w:t>. Boston: Pitman.</w:t>
      </w:r>
    </w:p>
  </w:footnote>
  <w:footnote w:id="39">
    <w:p w14:paraId="2B749624" w14:textId="77777777" w:rsidR="006F1F3C" w:rsidRPr="00C322E3" w:rsidRDefault="006F1F3C" w:rsidP="00C322E3">
      <w:pPr>
        <w:pStyle w:val="FootnoteText"/>
        <w:contextualSpacing/>
        <w:rPr>
          <w:rFonts w:ascii="Calibri" w:hAnsi="Calibri" w:cs="Calibri"/>
        </w:rPr>
      </w:pPr>
      <w:r w:rsidRPr="00C322E3">
        <w:rPr>
          <w:rStyle w:val="FootnoteReference"/>
          <w:rFonts w:ascii="Calibri" w:hAnsi="Calibri" w:cs="Calibri"/>
        </w:rPr>
        <w:footnoteRef/>
      </w:r>
      <w:r w:rsidRPr="00C322E3">
        <w:rPr>
          <w:rFonts w:ascii="Calibri" w:hAnsi="Calibri" w:cs="Calibri"/>
        </w:rPr>
        <w:t xml:space="preserve"> Ibid.</w:t>
      </w:r>
    </w:p>
  </w:footnote>
  <w:footnote w:id="40">
    <w:p w14:paraId="32B0A910" w14:textId="77777777" w:rsidR="006F1F3C" w:rsidRPr="00C322E3" w:rsidRDefault="006F1F3C" w:rsidP="00C322E3">
      <w:pPr>
        <w:pStyle w:val="Bibliography"/>
        <w:spacing w:line="240" w:lineRule="auto"/>
        <w:contextualSpacing/>
        <w:rPr>
          <w:rFonts w:ascii="Calibri" w:hAnsi="Calibri" w:cs="Calibri"/>
          <w:sz w:val="20"/>
          <w:szCs w:val="20"/>
        </w:rPr>
      </w:pPr>
      <w:r w:rsidRPr="00C322E3">
        <w:rPr>
          <w:rStyle w:val="FootnoteReference"/>
          <w:rFonts w:ascii="Calibri" w:hAnsi="Calibri" w:cs="Calibri"/>
          <w:sz w:val="20"/>
          <w:szCs w:val="20"/>
        </w:rPr>
        <w:footnoteRef/>
      </w:r>
      <w:r w:rsidRPr="00C322E3">
        <w:rPr>
          <w:rFonts w:ascii="Calibri" w:hAnsi="Calibri" w:cs="Calibri"/>
          <w:sz w:val="20"/>
          <w:szCs w:val="20"/>
        </w:rPr>
        <w:t xml:space="preserve"> Noonan, L. (2020) </w:t>
      </w:r>
      <w:proofErr w:type="spellStart"/>
      <w:r w:rsidRPr="00C322E3">
        <w:rPr>
          <w:rFonts w:ascii="Calibri" w:hAnsi="Calibri" w:cs="Calibri"/>
          <w:i/>
          <w:sz w:val="20"/>
          <w:szCs w:val="20"/>
        </w:rPr>
        <w:t>Dimon</w:t>
      </w:r>
      <w:proofErr w:type="spellEnd"/>
      <w:r w:rsidRPr="00C322E3">
        <w:rPr>
          <w:rFonts w:ascii="Calibri" w:hAnsi="Calibri" w:cs="Calibri"/>
          <w:i/>
          <w:sz w:val="20"/>
          <w:szCs w:val="20"/>
        </w:rPr>
        <w:t xml:space="preserve"> says pandemic is ‘wake-up call’ to build fairer economy</w:t>
      </w:r>
      <w:r w:rsidRPr="00C322E3">
        <w:rPr>
          <w:rFonts w:ascii="Calibri" w:hAnsi="Calibri" w:cs="Calibri"/>
          <w:sz w:val="20"/>
          <w:szCs w:val="20"/>
        </w:rPr>
        <w:t xml:space="preserve">. Available at: </w:t>
      </w:r>
      <w:hyperlink r:id="rId17" w:history="1">
        <w:r w:rsidRPr="00C322E3">
          <w:rPr>
            <w:rStyle w:val="Hyperlink"/>
            <w:rFonts w:ascii="Calibri" w:hAnsi="Calibri" w:cs="Calibri"/>
            <w:color w:val="auto"/>
            <w:sz w:val="20"/>
            <w:szCs w:val="20"/>
          </w:rPr>
          <w:t>https://www.ft.com/content/a7aaa694-2d7e-4de9-b792-f0088db9f82b</w:t>
        </w:r>
      </w:hyperlink>
      <w:r w:rsidRPr="00C322E3">
        <w:rPr>
          <w:rFonts w:ascii="Calibri" w:hAnsi="Calibri" w:cs="Calibri"/>
          <w:sz w:val="20"/>
          <w:szCs w:val="20"/>
        </w:rPr>
        <w:t xml:space="preserve"> </w:t>
      </w:r>
    </w:p>
  </w:footnote>
  <w:footnote w:id="41">
    <w:p w14:paraId="3E529751" w14:textId="77777777" w:rsidR="006F1F3C" w:rsidRPr="00C322E3" w:rsidRDefault="006F1F3C" w:rsidP="00C322E3">
      <w:pPr>
        <w:pStyle w:val="Bibliography"/>
        <w:spacing w:line="240" w:lineRule="auto"/>
        <w:contextualSpacing/>
        <w:rPr>
          <w:rFonts w:ascii="Calibri" w:hAnsi="Calibri" w:cs="Calibri"/>
          <w:sz w:val="20"/>
          <w:szCs w:val="20"/>
        </w:rPr>
      </w:pPr>
      <w:r w:rsidRPr="00C322E3">
        <w:rPr>
          <w:rStyle w:val="FootnoteReference"/>
          <w:rFonts w:ascii="Calibri" w:hAnsi="Calibri" w:cs="Calibri"/>
          <w:sz w:val="20"/>
          <w:szCs w:val="20"/>
        </w:rPr>
        <w:footnoteRef/>
      </w:r>
      <w:r w:rsidRPr="00C322E3">
        <w:rPr>
          <w:rFonts w:ascii="Calibri" w:hAnsi="Calibri" w:cs="Calibri"/>
          <w:sz w:val="20"/>
          <w:szCs w:val="20"/>
        </w:rPr>
        <w:t xml:space="preserve"> Davis, M. and </w:t>
      </w:r>
      <w:proofErr w:type="spellStart"/>
      <w:r w:rsidRPr="00C322E3">
        <w:rPr>
          <w:rFonts w:ascii="Calibri" w:hAnsi="Calibri" w:cs="Calibri"/>
          <w:sz w:val="20"/>
          <w:szCs w:val="20"/>
        </w:rPr>
        <w:t>Melin</w:t>
      </w:r>
      <w:proofErr w:type="spellEnd"/>
      <w:r w:rsidRPr="00C322E3">
        <w:rPr>
          <w:rFonts w:ascii="Calibri" w:hAnsi="Calibri" w:cs="Calibri"/>
          <w:sz w:val="20"/>
          <w:szCs w:val="20"/>
        </w:rPr>
        <w:t xml:space="preserve">, A. (2019) Jamie </w:t>
      </w:r>
      <w:proofErr w:type="spellStart"/>
      <w:r w:rsidRPr="00C322E3">
        <w:rPr>
          <w:rFonts w:ascii="Calibri" w:hAnsi="Calibri" w:cs="Calibri"/>
          <w:sz w:val="20"/>
          <w:szCs w:val="20"/>
        </w:rPr>
        <w:t>Dimon</w:t>
      </w:r>
      <w:proofErr w:type="spellEnd"/>
      <w:r w:rsidRPr="00C322E3">
        <w:rPr>
          <w:rFonts w:ascii="Calibri" w:hAnsi="Calibri" w:cs="Calibri"/>
          <w:sz w:val="20"/>
          <w:szCs w:val="20"/>
        </w:rPr>
        <w:t xml:space="preserve"> Gets $31 Million Pay for JPMorgan’s Record Year.</w:t>
      </w:r>
      <w:r w:rsidRPr="00C322E3">
        <w:rPr>
          <w:rFonts w:ascii="Calibri" w:hAnsi="Calibri" w:cs="Calibri"/>
          <w:i/>
          <w:sz w:val="20"/>
          <w:szCs w:val="20"/>
        </w:rPr>
        <w:t>Bloomberg.com</w:t>
      </w:r>
      <w:r w:rsidRPr="00C322E3">
        <w:rPr>
          <w:rFonts w:ascii="Calibri" w:hAnsi="Calibri" w:cs="Calibri"/>
          <w:sz w:val="20"/>
          <w:szCs w:val="20"/>
        </w:rPr>
        <w:t xml:space="preserve">, 17 January. Available at: </w:t>
      </w:r>
      <w:hyperlink r:id="rId18" w:history="1">
        <w:r w:rsidRPr="00C322E3">
          <w:rPr>
            <w:rStyle w:val="Hyperlink"/>
            <w:rFonts w:ascii="Calibri" w:hAnsi="Calibri" w:cs="Calibri"/>
            <w:color w:val="auto"/>
            <w:sz w:val="20"/>
            <w:szCs w:val="20"/>
          </w:rPr>
          <w:t>https://www.bloomberg.com/news/articles/2019-01-17/jamie-dimon-gets-5-pay-increase-after-jpmorgan-s-record-year</w:t>
        </w:r>
      </w:hyperlink>
      <w:r w:rsidRPr="00C322E3">
        <w:rPr>
          <w:rFonts w:ascii="Calibri" w:hAnsi="Calibri" w:cs="Calibri"/>
          <w:sz w:val="20"/>
          <w:szCs w:val="20"/>
        </w:rPr>
        <w:t xml:space="preserve"> </w:t>
      </w:r>
    </w:p>
  </w:footnote>
  <w:footnote w:id="42">
    <w:p w14:paraId="0183C35D" w14:textId="77777777" w:rsidR="006F1F3C" w:rsidRPr="00F87FA5" w:rsidRDefault="006F1F3C" w:rsidP="00C322E3">
      <w:pPr>
        <w:pStyle w:val="FootnoteText"/>
        <w:contextualSpacing/>
        <w:rPr>
          <w:rFonts w:cstheme="minorHAnsi"/>
        </w:rPr>
      </w:pPr>
      <w:r w:rsidRPr="00C322E3">
        <w:rPr>
          <w:rStyle w:val="FootnoteReference"/>
          <w:rFonts w:ascii="Calibri" w:hAnsi="Calibri" w:cs="Calibri"/>
        </w:rPr>
        <w:footnoteRef/>
      </w:r>
      <w:r w:rsidRPr="00C322E3">
        <w:rPr>
          <w:rFonts w:ascii="Calibri" w:hAnsi="Calibri" w:cs="Calibri"/>
        </w:rPr>
        <w:t xml:space="preserve"> Temple-West, P. (2020, May 18). Coronavirus puts top executives’ pay in the spotlight. </w:t>
      </w:r>
      <w:hyperlink r:id="rId19" w:history="1">
        <w:r w:rsidRPr="00C322E3">
          <w:rPr>
            <w:rStyle w:val="Hyperlink"/>
            <w:rFonts w:ascii="Calibri" w:hAnsi="Calibri" w:cs="Calibri"/>
            <w:color w:val="auto"/>
          </w:rPr>
          <w:t>https://www.ft.com/content/b8a29cfc-8ac1-11ea-a109-483c62d17528</w:t>
        </w:r>
      </w:hyperlink>
      <w:r w:rsidRPr="00F87FA5">
        <w:rPr>
          <w:rFonts w:cstheme="minorHAnsi"/>
        </w:rPr>
        <w:t xml:space="preserve"> </w:t>
      </w:r>
    </w:p>
  </w:footnote>
  <w:footnote w:id="43">
    <w:p w14:paraId="36EA7E75" w14:textId="77777777" w:rsidR="006F1F3C" w:rsidRPr="00F87FA5" w:rsidRDefault="006F1F3C" w:rsidP="00C322E3">
      <w:pPr>
        <w:pStyle w:val="FootnoteText"/>
        <w:contextualSpacing/>
        <w:rPr>
          <w:rFonts w:cstheme="minorHAnsi"/>
        </w:rPr>
      </w:pPr>
      <w:r w:rsidRPr="00F87FA5">
        <w:rPr>
          <w:rStyle w:val="FootnoteReference"/>
          <w:rFonts w:cstheme="minorHAnsi"/>
        </w:rPr>
        <w:footnoteRef/>
      </w:r>
      <w:r w:rsidRPr="00F87FA5">
        <w:rPr>
          <w:rFonts w:cstheme="minorHAnsi"/>
        </w:rPr>
        <w:t xml:space="preserve"> International Labour Organization, Global Wage Report 2016/17: Wage Inequality in the Workplace, 15 December 2016, </w:t>
      </w:r>
      <w:hyperlink r:id="rId20" w:history="1">
        <w:r w:rsidRPr="00F87FA5">
          <w:rPr>
            <w:rStyle w:val="Hyperlink"/>
            <w:rFonts w:cstheme="minorHAnsi"/>
            <w:color w:val="auto"/>
          </w:rPr>
          <w:t>https://www.ilo.org/wcmsp5/groups/public/---</w:t>
        </w:r>
        <w:proofErr w:type="spellStart"/>
        <w:r w:rsidRPr="00F87FA5">
          <w:rPr>
            <w:rStyle w:val="Hyperlink"/>
            <w:rFonts w:cstheme="minorHAnsi"/>
            <w:color w:val="auto"/>
          </w:rPr>
          <w:t>dgreports</w:t>
        </w:r>
        <w:proofErr w:type="spellEnd"/>
        <w:r w:rsidRPr="00F87FA5">
          <w:rPr>
            <w:rStyle w:val="Hyperlink"/>
            <w:rFonts w:cstheme="minorHAnsi"/>
            <w:color w:val="auto"/>
          </w:rPr>
          <w:t>/---</w:t>
        </w:r>
        <w:proofErr w:type="spellStart"/>
        <w:r w:rsidRPr="00F87FA5">
          <w:rPr>
            <w:rStyle w:val="Hyperlink"/>
            <w:rFonts w:cstheme="minorHAnsi"/>
            <w:color w:val="auto"/>
          </w:rPr>
          <w:t>dcomm</w:t>
        </w:r>
        <w:proofErr w:type="spellEnd"/>
        <w:r w:rsidRPr="00F87FA5">
          <w:rPr>
            <w:rStyle w:val="Hyperlink"/>
            <w:rFonts w:cstheme="minorHAnsi"/>
            <w:color w:val="auto"/>
          </w:rPr>
          <w:t>/---</w:t>
        </w:r>
        <w:proofErr w:type="spellStart"/>
        <w:r w:rsidRPr="00F87FA5">
          <w:rPr>
            <w:rStyle w:val="Hyperlink"/>
            <w:rFonts w:cstheme="minorHAnsi"/>
            <w:color w:val="auto"/>
          </w:rPr>
          <w:t>publ</w:t>
        </w:r>
        <w:proofErr w:type="spellEnd"/>
        <w:r w:rsidRPr="00F87FA5">
          <w:rPr>
            <w:rStyle w:val="Hyperlink"/>
            <w:rFonts w:cstheme="minorHAnsi"/>
            <w:color w:val="auto"/>
          </w:rPr>
          <w:t>/documents/publication/wcms_537846.pdf</w:t>
        </w:r>
      </w:hyperlink>
      <w:r w:rsidRPr="00F87FA5">
        <w:rPr>
          <w:rFonts w:cstheme="minorHAnsi"/>
        </w:rPr>
        <w:t xml:space="preserve"> </w:t>
      </w:r>
    </w:p>
  </w:footnote>
  <w:footnote w:id="44">
    <w:p w14:paraId="5D0226C5" w14:textId="77777777" w:rsidR="006F1F3C" w:rsidRPr="00C322E3" w:rsidRDefault="006F1F3C" w:rsidP="00C322E3">
      <w:pPr>
        <w:pStyle w:val="FootnoteText"/>
        <w:contextualSpacing/>
        <w:rPr>
          <w:rFonts w:ascii="Calibri" w:hAnsi="Calibri" w:cs="Calibri"/>
        </w:rPr>
      </w:pPr>
      <w:r w:rsidRPr="00C322E3">
        <w:rPr>
          <w:rStyle w:val="FootnoteReference"/>
          <w:rFonts w:ascii="Calibri" w:hAnsi="Calibri" w:cs="Calibri"/>
        </w:rPr>
        <w:footnoteRef/>
      </w:r>
      <w:r w:rsidRPr="00C322E3">
        <w:rPr>
          <w:rFonts w:ascii="Calibri" w:hAnsi="Calibri" w:cs="Calibri"/>
        </w:rPr>
        <w:t xml:space="preserve"> World Bank, 'Decline of global extreme poverty continues but has slowed', 2018, </w:t>
      </w:r>
      <w:hyperlink r:id="rId21" w:history="1">
        <w:r w:rsidRPr="00C322E3">
          <w:rPr>
            <w:rStyle w:val="Hyperlink"/>
            <w:rFonts w:ascii="Calibri" w:hAnsi="Calibri" w:cs="Calibri"/>
            <w:color w:val="auto"/>
          </w:rPr>
          <w:t>www.worldbank.org/en/news/pressrelease/ 2018/09/19/decline-of-global-extreme-poverty-</w:t>
        </w:r>
        <w:proofErr w:type="spellStart"/>
        <w:r w:rsidRPr="00C322E3">
          <w:rPr>
            <w:rStyle w:val="Hyperlink"/>
            <w:rFonts w:ascii="Calibri" w:hAnsi="Calibri" w:cs="Calibri"/>
            <w:color w:val="auto"/>
          </w:rPr>
          <w:t>continuesbut</w:t>
        </w:r>
        <w:proofErr w:type="spellEnd"/>
        <w:r w:rsidRPr="00C322E3">
          <w:rPr>
            <w:rStyle w:val="Hyperlink"/>
            <w:rFonts w:ascii="Calibri" w:hAnsi="Calibri" w:cs="Calibri"/>
            <w:color w:val="auto"/>
          </w:rPr>
          <w:t>- has-slowed-world-bank</w:t>
        </w:r>
      </w:hyperlink>
      <w:r w:rsidRPr="00C322E3">
        <w:rPr>
          <w:rFonts w:ascii="Calibri" w:hAnsi="Calibri" w:cs="Calibri"/>
        </w:rPr>
        <w:t xml:space="preserve">  </w:t>
      </w:r>
    </w:p>
  </w:footnote>
  <w:footnote w:id="45">
    <w:p w14:paraId="369637D2" w14:textId="77777777" w:rsidR="006F1F3C" w:rsidRPr="00C322E3" w:rsidRDefault="006F1F3C" w:rsidP="00C322E3">
      <w:pPr>
        <w:spacing w:line="240" w:lineRule="auto"/>
        <w:contextualSpacing/>
        <w:rPr>
          <w:rFonts w:ascii="Calibri" w:hAnsi="Calibri" w:cs="Calibri"/>
          <w:sz w:val="20"/>
          <w:szCs w:val="20"/>
        </w:rPr>
      </w:pPr>
      <w:r w:rsidRPr="00C322E3">
        <w:rPr>
          <w:rStyle w:val="FootnoteReference"/>
          <w:rFonts w:ascii="Calibri" w:hAnsi="Calibri" w:cs="Calibri"/>
          <w:sz w:val="20"/>
          <w:szCs w:val="20"/>
        </w:rPr>
        <w:footnoteRef/>
      </w:r>
      <w:r w:rsidRPr="00C322E3">
        <w:rPr>
          <w:rFonts w:ascii="Calibri" w:hAnsi="Calibri" w:cs="Calibri"/>
          <w:sz w:val="20"/>
          <w:szCs w:val="20"/>
        </w:rPr>
        <w:t xml:space="preserve"> D </w:t>
      </w:r>
      <w:proofErr w:type="spellStart"/>
      <w:r w:rsidRPr="00C322E3">
        <w:rPr>
          <w:rFonts w:ascii="Calibri" w:hAnsi="Calibri" w:cs="Calibri"/>
          <w:sz w:val="20"/>
          <w:szCs w:val="20"/>
        </w:rPr>
        <w:t>Hardoon</w:t>
      </w:r>
      <w:proofErr w:type="spellEnd"/>
      <w:r w:rsidRPr="00C322E3">
        <w:rPr>
          <w:rFonts w:ascii="Calibri" w:hAnsi="Calibri" w:cs="Calibri"/>
          <w:sz w:val="20"/>
          <w:szCs w:val="20"/>
        </w:rPr>
        <w:t>, R Fuentes-</w:t>
      </w:r>
      <w:proofErr w:type="spellStart"/>
      <w:r w:rsidRPr="00C322E3">
        <w:rPr>
          <w:rFonts w:ascii="Calibri" w:hAnsi="Calibri" w:cs="Calibri"/>
          <w:sz w:val="20"/>
          <w:szCs w:val="20"/>
        </w:rPr>
        <w:t>Nieva</w:t>
      </w:r>
      <w:proofErr w:type="spellEnd"/>
      <w:r w:rsidRPr="00C322E3">
        <w:rPr>
          <w:rFonts w:ascii="Calibri" w:hAnsi="Calibri" w:cs="Calibri"/>
          <w:sz w:val="20"/>
          <w:szCs w:val="20"/>
        </w:rPr>
        <w:t xml:space="preserve">, &amp; S </w:t>
      </w:r>
      <w:proofErr w:type="spellStart"/>
      <w:r w:rsidRPr="00C322E3">
        <w:rPr>
          <w:rFonts w:ascii="Calibri" w:hAnsi="Calibri" w:cs="Calibri"/>
          <w:sz w:val="20"/>
          <w:szCs w:val="20"/>
        </w:rPr>
        <w:t>Ayele</w:t>
      </w:r>
      <w:proofErr w:type="spellEnd"/>
      <w:r w:rsidRPr="00C322E3">
        <w:rPr>
          <w:rFonts w:ascii="Calibri" w:hAnsi="Calibri" w:cs="Calibri"/>
          <w:sz w:val="20"/>
          <w:szCs w:val="20"/>
        </w:rPr>
        <w:t xml:space="preserve">, 'An economy for the 1%: How privilege and power in the economy drive extreme inequality and how this can be stopped', Oxfam International, 2016, p. 44 </w:t>
      </w:r>
      <w:hyperlink r:id="rId22" w:history="1">
        <w:r w:rsidRPr="00C322E3">
          <w:rPr>
            <w:rStyle w:val="Hyperlink"/>
            <w:rFonts w:ascii="Calibri" w:hAnsi="Calibri" w:cs="Calibri"/>
            <w:color w:val="auto"/>
            <w:sz w:val="20"/>
            <w:szCs w:val="20"/>
          </w:rPr>
          <w:t>https://www-cdn.oxfam.org/s3fs-public/file_attachments/bp210-economy-one-percent-tax-havens-180116-en_0.pdf</w:t>
        </w:r>
      </w:hyperlink>
    </w:p>
  </w:footnote>
  <w:footnote w:id="46">
    <w:p w14:paraId="3BE84E7A" w14:textId="77777777" w:rsidR="006F1F3C" w:rsidRPr="00C322E3" w:rsidRDefault="006F1F3C" w:rsidP="00C322E3">
      <w:pPr>
        <w:spacing w:line="240" w:lineRule="auto"/>
        <w:contextualSpacing/>
        <w:rPr>
          <w:rFonts w:ascii="Calibri" w:hAnsi="Calibri" w:cs="Calibri"/>
          <w:sz w:val="20"/>
          <w:szCs w:val="20"/>
          <w:lang w:val="en-AU"/>
        </w:rPr>
      </w:pPr>
      <w:r w:rsidRPr="00C322E3">
        <w:rPr>
          <w:rStyle w:val="FootnoteReference"/>
          <w:rFonts w:ascii="Calibri" w:hAnsi="Calibri" w:cs="Calibri"/>
          <w:sz w:val="20"/>
          <w:szCs w:val="20"/>
        </w:rPr>
        <w:footnoteRef/>
      </w:r>
      <w:r w:rsidRPr="00C322E3">
        <w:rPr>
          <w:rFonts w:ascii="Calibri" w:hAnsi="Calibri" w:cs="Calibri"/>
          <w:sz w:val="20"/>
          <w:szCs w:val="20"/>
        </w:rPr>
        <w:t xml:space="preserve"> DAV Pimentel, IM </w:t>
      </w:r>
      <w:proofErr w:type="spellStart"/>
      <w:r w:rsidRPr="00C322E3">
        <w:rPr>
          <w:rFonts w:ascii="Calibri" w:hAnsi="Calibri" w:cs="Calibri"/>
          <w:sz w:val="20"/>
          <w:szCs w:val="20"/>
        </w:rPr>
        <w:t>Aymar</w:t>
      </w:r>
      <w:proofErr w:type="spellEnd"/>
      <w:r w:rsidRPr="00C322E3">
        <w:rPr>
          <w:rFonts w:ascii="Calibri" w:hAnsi="Calibri" w:cs="Calibri"/>
          <w:sz w:val="20"/>
          <w:szCs w:val="20"/>
        </w:rPr>
        <w:t xml:space="preserve"> &amp; M Lawson, Reward Work, not Wealth, January 2018, &lt; </w:t>
      </w:r>
      <w:hyperlink r:id="rId23" w:history="1">
        <w:r w:rsidRPr="00C322E3">
          <w:rPr>
            <w:rStyle w:val="Hyperlink"/>
            <w:rFonts w:ascii="Calibri" w:hAnsi="Calibri" w:cs="Calibri"/>
            <w:color w:val="auto"/>
            <w:sz w:val="20"/>
            <w:szCs w:val="20"/>
          </w:rPr>
          <w:t>https://www.oxfam.org.au/wp-content/uploads/2018/01/bp-reward-work-not-wealth-220118-summ-en-EMBARGO.pdf</w:t>
        </w:r>
      </w:hyperlink>
      <w:r w:rsidRPr="00C322E3">
        <w:rPr>
          <w:rFonts w:ascii="Calibri" w:hAnsi="Calibri" w:cs="Calibri"/>
          <w:sz w:val="20"/>
          <w:szCs w:val="20"/>
        </w:rPr>
        <w:t>&gt;</w:t>
      </w:r>
    </w:p>
  </w:footnote>
  <w:footnote w:id="47">
    <w:p w14:paraId="5A177A55" w14:textId="77777777" w:rsidR="006F1F3C" w:rsidRPr="00C322E3" w:rsidRDefault="006F1F3C" w:rsidP="00C322E3">
      <w:pPr>
        <w:pStyle w:val="FootnoteText"/>
        <w:contextualSpacing/>
        <w:rPr>
          <w:rFonts w:ascii="Calibri" w:hAnsi="Calibri" w:cs="Calibri"/>
        </w:rPr>
      </w:pPr>
      <w:r w:rsidRPr="00C322E3">
        <w:rPr>
          <w:rStyle w:val="FootnoteReference"/>
          <w:rFonts w:ascii="Calibri" w:hAnsi="Calibri" w:cs="Calibri"/>
        </w:rPr>
        <w:footnoteRef/>
      </w:r>
      <w:r w:rsidRPr="00C322E3">
        <w:rPr>
          <w:rFonts w:ascii="Calibri" w:hAnsi="Calibri" w:cs="Calibri"/>
        </w:rPr>
        <w:t xml:space="preserve"> International Trade Union Confederation. (n.d.). Let’s build resilient economies with a new social contract. Take Action! Retrieved August 19, 2020, from </w:t>
      </w:r>
      <w:hyperlink r:id="rId24" w:history="1">
        <w:r w:rsidRPr="00C322E3">
          <w:rPr>
            <w:rStyle w:val="Hyperlink"/>
            <w:rFonts w:ascii="Calibri" w:hAnsi="Calibri" w:cs="Calibri"/>
            <w:color w:val="auto"/>
          </w:rPr>
          <w:t>http://petitions.ituc-csi.org/let-s-build-resilient-economies-with-a-new-social-contract</w:t>
        </w:r>
      </w:hyperlink>
      <w:r w:rsidRPr="00C322E3">
        <w:rPr>
          <w:rFonts w:ascii="Calibri" w:hAnsi="Calibri" w:cs="Calibri"/>
        </w:rPr>
        <w:t xml:space="preserve"> </w:t>
      </w:r>
    </w:p>
  </w:footnote>
  <w:footnote w:id="48">
    <w:p w14:paraId="51BCEAD1" w14:textId="77777777" w:rsidR="006F1F3C" w:rsidRPr="00C322E3" w:rsidRDefault="006F1F3C" w:rsidP="00C322E3">
      <w:pPr>
        <w:pStyle w:val="Bibliography"/>
        <w:spacing w:line="240" w:lineRule="auto"/>
        <w:contextualSpacing/>
        <w:rPr>
          <w:rFonts w:ascii="Calibri" w:hAnsi="Calibri" w:cs="Calibri"/>
          <w:sz w:val="20"/>
          <w:szCs w:val="20"/>
        </w:rPr>
      </w:pPr>
      <w:r w:rsidRPr="00C322E3">
        <w:rPr>
          <w:rStyle w:val="FootnoteReference"/>
          <w:rFonts w:ascii="Calibri" w:hAnsi="Calibri" w:cs="Calibri"/>
          <w:sz w:val="20"/>
          <w:szCs w:val="20"/>
        </w:rPr>
        <w:footnoteRef/>
      </w:r>
      <w:r w:rsidRPr="00C322E3">
        <w:rPr>
          <w:rFonts w:ascii="Calibri" w:hAnsi="Calibri" w:cs="Calibri"/>
          <w:sz w:val="20"/>
          <w:szCs w:val="20"/>
        </w:rPr>
        <w:t xml:space="preserve"> </w:t>
      </w:r>
      <w:proofErr w:type="spellStart"/>
      <w:r w:rsidRPr="00C322E3">
        <w:rPr>
          <w:rFonts w:ascii="Calibri" w:hAnsi="Calibri" w:cs="Calibri"/>
          <w:sz w:val="20"/>
          <w:szCs w:val="20"/>
        </w:rPr>
        <w:t>Lazonick</w:t>
      </w:r>
      <w:proofErr w:type="spellEnd"/>
      <w:r w:rsidRPr="00C322E3">
        <w:rPr>
          <w:rFonts w:ascii="Calibri" w:hAnsi="Calibri" w:cs="Calibri"/>
          <w:sz w:val="20"/>
          <w:szCs w:val="20"/>
        </w:rPr>
        <w:t xml:space="preserve">, W., </w:t>
      </w:r>
      <w:proofErr w:type="spellStart"/>
      <w:r w:rsidRPr="00C322E3">
        <w:rPr>
          <w:rFonts w:ascii="Calibri" w:hAnsi="Calibri" w:cs="Calibri"/>
          <w:sz w:val="20"/>
          <w:szCs w:val="20"/>
        </w:rPr>
        <w:t>Sakinç</w:t>
      </w:r>
      <w:proofErr w:type="spellEnd"/>
      <w:r w:rsidRPr="00C322E3">
        <w:rPr>
          <w:rFonts w:ascii="Calibri" w:hAnsi="Calibri" w:cs="Calibri"/>
          <w:sz w:val="20"/>
          <w:szCs w:val="20"/>
        </w:rPr>
        <w:t xml:space="preserve">, M. E. and Hopkins, M. (2020) ‘Why Stock Buybacks Are Dangerous for the Economy’, </w:t>
      </w:r>
      <w:r w:rsidRPr="00C322E3">
        <w:rPr>
          <w:rFonts w:ascii="Calibri" w:hAnsi="Calibri" w:cs="Calibri"/>
          <w:i/>
          <w:sz w:val="20"/>
          <w:szCs w:val="20"/>
        </w:rPr>
        <w:t>Harvard Business Review</w:t>
      </w:r>
      <w:r w:rsidRPr="00C322E3">
        <w:rPr>
          <w:rFonts w:ascii="Calibri" w:hAnsi="Calibri" w:cs="Calibri"/>
          <w:sz w:val="20"/>
          <w:szCs w:val="20"/>
        </w:rPr>
        <w:t xml:space="preserve">, 7 January. Available at: </w:t>
      </w:r>
      <w:hyperlink r:id="rId25" w:history="1">
        <w:r w:rsidRPr="00C322E3">
          <w:rPr>
            <w:rStyle w:val="Hyperlink"/>
            <w:rFonts w:ascii="Calibri" w:hAnsi="Calibri" w:cs="Calibri"/>
            <w:color w:val="auto"/>
            <w:sz w:val="20"/>
            <w:szCs w:val="20"/>
          </w:rPr>
          <w:t>https://hbr.org/2020/01/why-stock-buybacks-are-dangerous-for-the-economy</w:t>
        </w:r>
      </w:hyperlink>
      <w:r w:rsidRPr="00C322E3">
        <w:rPr>
          <w:rFonts w:ascii="Calibri" w:hAnsi="Calibri" w:cs="Calibri"/>
          <w:sz w:val="20"/>
          <w:szCs w:val="20"/>
        </w:rPr>
        <w:t xml:space="preserve">   </w:t>
      </w:r>
    </w:p>
  </w:footnote>
  <w:footnote w:id="49">
    <w:p w14:paraId="578928E5" w14:textId="77777777" w:rsidR="006F1F3C" w:rsidRPr="00F87FA5" w:rsidRDefault="006F1F3C" w:rsidP="00C322E3">
      <w:pPr>
        <w:pStyle w:val="Bibliography"/>
        <w:spacing w:line="240" w:lineRule="auto"/>
        <w:contextualSpacing/>
        <w:rPr>
          <w:rFonts w:cstheme="minorHAnsi"/>
          <w:sz w:val="20"/>
          <w:szCs w:val="20"/>
        </w:rPr>
      </w:pPr>
      <w:r w:rsidRPr="00C322E3">
        <w:rPr>
          <w:rStyle w:val="FootnoteReference"/>
          <w:rFonts w:ascii="Calibri" w:hAnsi="Calibri" w:cs="Calibri"/>
          <w:sz w:val="20"/>
          <w:szCs w:val="20"/>
        </w:rPr>
        <w:footnoteRef/>
      </w:r>
      <w:r w:rsidRPr="00C322E3">
        <w:rPr>
          <w:rFonts w:ascii="Calibri" w:hAnsi="Calibri" w:cs="Calibri"/>
          <w:sz w:val="20"/>
          <w:szCs w:val="20"/>
        </w:rPr>
        <w:t xml:space="preserve"> </w:t>
      </w:r>
      <w:proofErr w:type="spellStart"/>
      <w:r w:rsidRPr="00C322E3">
        <w:rPr>
          <w:rFonts w:ascii="Calibri" w:hAnsi="Calibri" w:cs="Calibri"/>
          <w:sz w:val="20"/>
          <w:szCs w:val="20"/>
        </w:rPr>
        <w:t>Lazonick</w:t>
      </w:r>
      <w:proofErr w:type="spellEnd"/>
      <w:r w:rsidRPr="00C322E3">
        <w:rPr>
          <w:rFonts w:ascii="Calibri" w:hAnsi="Calibri" w:cs="Calibri"/>
          <w:sz w:val="20"/>
          <w:szCs w:val="20"/>
        </w:rPr>
        <w:t xml:space="preserve">, W. and Shin, J.-S. (2019) </w:t>
      </w:r>
      <w:r w:rsidRPr="00C322E3">
        <w:rPr>
          <w:rFonts w:ascii="Calibri" w:hAnsi="Calibri" w:cs="Calibri"/>
          <w:i/>
          <w:sz w:val="20"/>
          <w:szCs w:val="20"/>
        </w:rPr>
        <w:t>Predatory Value Extraction: How the Looting of the Business Corporation Became the US Norm and How Sustainable Prosperity Can Be Restored</w:t>
      </w:r>
      <w:r w:rsidRPr="00C322E3">
        <w:rPr>
          <w:rFonts w:ascii="Calibri" w:hAnsi="Calibri" w:cs="Calibri"/>
          <w:sz w:val="20"/>
          <w:szCs w:val="20"/>
        </w:rPr>
        <w:t>. Oxford, New York: Oxford University Press.</w:t>
      </w:r>
    </w:p>
  </w:footnote>
  <w:footnote w:id="50">
    <w:p w14:paraId="725CF5A1" w14:textId="77777777" w:rsidR="0094044B" w:rsidRPr="00F87FA5" w:rsidRDefault="0094044B" w:rsidP="00C322E3">
      <w:pPr>
        <w:pStyle w:val="FootnoteText"/>
        <w:contextualSpacing/>
        <w:rPr>
          <w:rFonts w:cstheme="minorHAnsi"/>
        </w:rPr>
      </w:pPr>
      <w:r w:rsidRPr="00F87FA5">
        <w:rPr>
          <w:rStyle w:val="FootnoteReference"/>
          <w:rFonts w:cstheme="minorHAnsi"/>
        </w:rPr>
        <w:footnoteRef/>
      </w:r>
      <w:r w:rsidRPr="00F87FA5">
        <w:rPr>
          <w:rFonts w:cstheme="minorHAnsi"/>
        </w:rPr>
        <w:t xml:space="preserve"> Zizek, S. (2009). </w:t>
      </w:r>
      <w:r w:rsidRPr="00F87FA5">
        <w:rPr>
          <w:rFonts w:cstheme="minorHAnsi"/>
          <w:i/>
        </w:rPr>
        <w:t>Sublime Object of Ideology</w:t>
      </w:r>
      <w:r w:rsidRPr="00F87FA5">
        <w:rPr>
          <w:rFonts w:cstheme="minorHAnsi"/>
        </w:rPr>
        <w:t>. Verso Trade.</w:t>
      </w:r>
    </w:p>
  </w:footnote>
  <w:footnote w:id="51">
    <w:p w14:paraId="46AF1EE3" w14:textId="77777777" w:rsidR="0094044B" w:rsidRPr="00F87FA5" w:rsidRDefault="0094044B" w:rsidP="00C322E3">
      <w:pPr>
        <w:pStyle w:val="FootnoteText"/>
        <w:contextualSpacing/>
        <w:rPr>
          <w:rFonts w:cstheme="minorHAnsi"/>
        </w:rPr>
      </w:pPr>
      <w:r w:rsidRPr="00F87FA5">
        <w:rPr>
          <w:rStyle w:val="FootnoteReference"/>
          <w:rFonts w:cstheme="minorHAnsi"/>
        </w:rPr>
        <w:footnoteRef/>
      </w:r>
      <w:r w:rsidRPr="00F87FA5">
        <w:rPr>
          <w:rFonts w:cstheme="minorHAnsi"/>
        </w:rPr>
        <w:t xml:space="preserve"> Boersma, M. (Forthcoming) Organizational Legitimacy and Legitimizing Myths, in </w:t>
      </w:r>
      <w:r w:rsidRPr="00F87FA5">
        <w:rPr>
          <w:rFonts w:cstheme="minorHAnsi"/>
          <w:i/>
        </w:rPr>
        <w:t>Research Handbook of the Sociology of Organizations</w:t>
      </w:r>
      <w:r w:rsidRPr="00F87FA5">
        <w:rPr>
          <w:rFonts w:cstheme="minorHAnsi"/>
        </w:rPr>
        <w:t>. Edward Elgar.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46F23"/>
    <w:multiLevelType w:val="multilevel"/>
    <w:tmpl w:val="0809001F"/>
    <w:styleLink w:val="111111"/>
    <w:lvl w:ilvl="0">
      <w:start w:val="1"/>
      <w:numFmt w:val="decimal"/>
      <w:pStyle w:val="Mainsectiontitle"/>
      <w:lvlText w:val="%1."/>
      <w:lvlJc w:val="left"/>
      <w:pPr>
        <w:tabs>
          <w:tab w:val="num" w:pos="540"/>
        </w:tabs>
        <w:ind w:left="540" w:hanging="360"/>
      </w:pPr>
      <w:rPr>
        <w:rFonts w:ascii="Arial" w:hAnsi="Arial"/>
        <w:sz w:val="32"/>
      </w:rPr>
    </w:lvl>
    <w:lvl w:ilvl="1">
      <w:start w:val="1"/>
      <w:numFmt w:val="decimal"/>
      <w:pStyle w:val="Subsectioneg11"/>
      <w:lvlText w:val="%1.%2."/>
      <w:lvlJc w:val="left"/>
      <w:pPr>
        <w:tabs>
          <w:tab w:val="num" w:pos="792"/>
        </w:tabs>
        <w:ind w:left="432" w:hanging="432"/>
      </w:pPr>
      <w:rPr>
        <w:rFonts w:ascii="Arial" w:hAnsi="Arial"/>
        <w:sz w:val="24"/>
      </w:rPr>
    </w:lvl>
    <w:lvl w:ilvl="2">
      <w:start w:val="1"/>
      <w:numFmt w:val="decimal"/>
      <w:lvlText w:val="%1.%2.%3."/>
      <w:lvlJc w:val="left"/>
      <w:pPr>
        <w:tabs>
          <w:tab w:val="num" w:pos="1440"/>
        </w:tabs>
        <w:ind w:left="504" w:hanging="504"/>
      </w:pPr>
      <w:rPr>
        <w:rFonts w:ascii="Arial" w:hAnsi="Arial"/>
        <w:sz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38834AEF"/>
    <w:multiLevelType w:val="hybridMultilevel"/>
    <w:tmpl w:val="ABA2E6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B877B29"/>
    <w:multiLevelType w:val="multilevel"/>
    <w:tmpl w:val="0809001F"/>
    <w:numStyleLink w:val="111111"/>
  </w:abstractNum>
  <w:abstractNum w:abstractNumId="3" w15:restartNumberingAfterBreak="0">
    <w:nsid w:val="4D115D58"/>
    <w:multiLevelType w:val="hybridMultilevel"/>
    <w:tmpl w:val="6A5CD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D2D7B59"/>
    <w:multiLevelType w:val="hybridMultilevel"/>
    <w:tmpl w:val="9A52C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7753BAD"/>
    <w:multiLevelType w:val="hybridMultilevel"/>
    <w:tmpl w:val="3D288C18"/>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7C10A9A"/>
    <w:multiLevelType w:val="hybridMultilevel"/>
    <w:tmpl w:val="2B222FFA"/>
    <w:lvl w:ilvl="0" w:tplc="0C72B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B9B29AE"/>
    <w:multiLevelType w:val="hybridMultilevel"/>
    <w:tmpl w:val="637C15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4"/>
  </w:num>
  <w:num w:numId="5">
    <w:abstractNumId w:val="1"/>
  </w:num>
  <w:num w:numId="6">
    <w:abstractNumId w:val="0"/>
  </w:num>
  <w:num w:numId="7">
    <w:abstractNumId w:val="2"/>
    <w:lvlOverride w:ilvl="0">
      <w:lvl w:ilvl="0">
        <w:start w:val="1"/>
        <w:numFmt w:val="decimal"/>
        <w:pStyle w:val="Mainsectiontitle"/>
        <w:lvlText w:val="%1."/>
        <w:lvlJc w:val="left"/>
        <w:pPr>
          <w:tabs>
            <w:tab w:val="num" w:pos="360"/>
          </w:tabs>
          <w:ind w:left="360" w:hanging="360"/>
        </w:pPr>
        <w:rPr>
          <w:rFonts w:ascii="Arial" w:hAnsi="Arial"/>
          <w:sz w:val="32"/>
        </w:rPr>
      </w:lvl>
    </w:lvlOverride>
    <w:lvlOverride w:ilvl="1">
      <w:lvl w:ilvl="1">
        <w:start w:val="1"/>
        <w:numFmt w:val="decimal"/>
        <w:pStyle w:val="Subsectioneg11"/>
        <w:lvlText w:val="%1.%2."/>
        <w:lvlJc w:val="left"/>
        <w:pPr>
          <w:tabs>
            <w:tab w:val="num" w:pos="792"/>
          </w:tabs>
          <w:ind w:left="432" w:hanging="432"/>
        </w:pPr>
        <w:rPr>
          <w:rFonts w:ascii="Arial" w:hAnsi="Arial"/>
          <w:sz w:val="24"/>
        </w:rPr>
      </w:lvl>
    </w:lvlOverride>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55D"/>
    <w:rsid w:val="0000048B"/>
    <w:rsid w:val="00006DC7"/>
    <w:rsid w:val="00007A72"/>
    <w:rsid w:val="00007E11"/>
    <w:rsid w:val="00010863"/>
    <w:rsid w:val="000149D3"/>
    <w:rsid w:val="00022694"/>
    <w:rsid w:val="00022729"/>
    <w:rsid w:val="000239DA"/>
    <w:rsid w:val="00033025"/>
    <w:rsid w:val="0003742F"/>
    <w:rsid w:val="00047377"/>
    <w:rsid w:val="00050D77"/>
    <w:rsid w:val="00054BED"/>
    <w:rsid w:val="00057DB3"/>
    <w:rsid w:val="00063535"/>
    <w:rsid w:val="000766DB"/>
    <w:rsid w:val="0007753D"/>
    <w:rsid w:val="000816A7"/>
    <w:rsid w:val="00081EB8"/>
    <w:rsid w:val="00083770"/>
    <w:rsid w:val="000842CD"/>
    <w:rsid w:val="0008584D"/>
    <w:rsid w:val="00086F18"/>
    <w:rsid w:val="00087C24"/>
    <w:rsid w:val="00087F62"/>
    <w:rsid w:val="00094F52"/>
    <w:rsid w:val="000A1466"/>
    <w:rsid w:val="000A65D5"/>
    <w:rsid w:val="000B5B6A"/>
    <w:rsid w:val="000B5FD6"/>
    <w:rsid w:val="000B7FAE"/>
    <w:rsid w:val="000C0570"/>
    <w:rsid w:val="000C2C49"/>
    <w:rsid w:val="000C3120"/>
    <w:rsid w:val="000C5AF8"/>
    <w:rsid w:val="000D1316"/>
    <w:rsid w:val="000D2ACA"/>
    <w:rsid w:val="000D5374"/>
    <w:rsid w:val="000D6F7D"/>
    <w:rsid w:val="000D7D0D"/>
    <w:rsid w:val="000E1522"/>
    <w:rsid w:val="000E3FF5"/>
    <w:rsid w:val="000F0029"/>
    <w:rsid w:val="000F748F"/>
    <w:rsid w:val="0010014B"/>
    <w:rsid w:val="00104FC8"/>
    <w:rsid w:val="00107553"/>
    <w:rsid w:val="001253AC"/>
    <w:rsid w:val="001265F8"/>
    <w:rsid w:val="001268D9"/>
    <w:rsid w:val="0013483D"/>
    <w:rsid w:val="00143D9C"/>
    <w:rsid w:val="00146276"/>
    <w:rsid w:val="001518CE"/>
    <w:rsid w:val="001533CC"/>
    <w:rsid w:val="00153832"/>
    <w:rsid w:val="00154A11"/>
    <w:rsid w:val="001605E8"/>
    <w:rsid w:val="00170684"/>
    <w:rsid w:val="00187E73"/>
    <w:rsid w:val="001A08FA"/>
    <w:rsid w:val="001A7BBB"/>
    <w:rsid w:val="001B185D"/>
    <w:rsid w:val="001C2BA0"/>
    <w:rsid w:val="001C51A8"/>
    <w:rsid w:val="001C7E1A"/>
    <w:rsid w:val="001D3149"/>
    <w:rsid w:val="001D3A34"/>
    <w:rsid w:val="001E0D05"/>
    <w:rsid w:val="001E3610"/>
    <w:rsid w:val="001F2490"/>
    <w:rsid w:val="001F4E10"/>
    <w:rsid w:val="001F755D"/>
    <w:rsid w:val="001F7C3E"/>
    <w:rsid w:val="002011CA"/>
    <w:rsid w:val="00204EE7"/>
    <w:rsid w:val="002063F0"/>
    <w:rsid w:val="00206754"/>
    <w:rsid w:val="002154CD"/>
    <w:rsid w:val="00216B11"/>
    <w:rsid w:val="0022193E"/>
    <w:rsid w:val="00222312"/>
    <w:rsid w:val="00226B97"/>
    <w:rsid w:val="0023005F"/>
    <w:rsid w:val="00230B6F"/>
    <w:rsid w:val="002316F9"/>
    <w:rsid w:val="00240070"/>
    <w:rsid w:val="00246EF1"/>
    <w:rsid w:val="00252F96"/>
    <w:rsid w:val="00261A16"/>
    <w:rsid w:val="00262CBB"/>
    <w:rsid w:val="002638C3"/>
    <w:rsid w:val="002648E7"/>
    <w:rsid w:val="002667B1"/>
    <w:rsid w:val="00274E33"/>
    <w:rsid w:val="00276EF3"/>
    <w:rsid w:val="00284AA6"/>
    <w:rsid w:val="00286137"/>
    <w:rsid w:val="00290B4D"/>
    <w:rsid w:val="00296810"/>
    <w:rsid w:val="002A1D0B"/>
    <w:rsid w:val="002B17CB"/>
    <w:rsid w:val="002B3A1A"/>
    <w:rsid w:val="002C04A4"/>
    <w:rsid w:val="002C0D45"/>
    <w:rsid w:val="002C25DD"/>
    <w:rsid w:val="002C6B9D"/>
    <w:rsid w:val="002C7E16"/>
    <w:rsid w:val="002E0913"/>
    <w:rsid w:val="002E0FD1"/>
    <w:rsid w:val="002E55D5"/>
    <w:rsid w:val="002F7331"/>
    <w:rsid w:val="0030235A"/>
    <w:rsid w:val="00307C38"/>
    <w:rsid w:val="003104B8"/>
    <w:rsid w:val="00314E4E"/>
    <w:rsid w:val="00321228"/>
    <w:rsid w:val="003235E3"/>
    <w:rsid w:val="00341B5B"/>
    <w:rsid w:val="003422F0"/>
    <w:rsid w:val="003431FE"/>
    <w:rsid w:val="00347C0B"/>
    <w:rsid w:val="00350E06"/>
    <w:rsid w:val="00357849"/>
    <w:rsid w:val="00360856"/>
    <w:rsid w:val="0036376A"/>
    <w:rsid w:val="00364768"/>
    <w:rsid w:val="0037229A"/>
    <w:rsid w:val="00390277"/>
    <w:rsid w:val="0039155F"/>
    <w:rsid w:val="00393420"/>
    <w:rsid w:val="003937B9"/>
    <w:rsid w:val="00393970"/>
    <w:rsid w:val="00395E0A"/>
    <w:rsid w:val="003A76B1"/>
    <w:rsid w:val="003B6FDD"/>
    <w:rsid w:val="003C3652"/>
    <w:rsid w:val="003C5892"/>
    <w:rsid w:val="003D12B0"/>
    <w:rsid w:val="003D20EF"/>
    <w:rsid w:val="003D4DB9"/>
    <w:rsid w:val="003D5EFE"/>
    <w:rsid w:val="003E16B7"/>
    <w:rsid w:val="003F69A5"/>
    <w:rsid w:val="00412142"/>
    <w:rsid w:val="004133D9"/>
    <w:rsid w:val="0042115C"/>
    <w:rsid w:val="004271E7"/>
    <w:rsid w:val="0043151D"/>
    <w:rsid w:val="00434ABD"/>
    <w:rsid w:val="0044169F"/>
    <w:rsid w:val="00442AF6"/>
    <w:rsid w:val="00444C4E"/>
    <w:rsid w:val="004460F0"/>
    <w:rsid w:val="004537EC"/>
    <w:rsid w:val="00456755"/>
    <w:rsid w:val="0046147D"/>
    <w:rsid w:val="00483A83"/>
    <w:rsid w:val="00484619"/>
    <w:rsid w:val="00485566"/>
    <w:rsid w:val="00486F34"/>
    <w:rsid w:val="004A0D39"/>
    <w:rsid w:val="004A4A5B"/>
    <w:rsid w:val="004C15AF"/>
    <w:rsid w:val="004C59A5"/>
    <w:rsid w:val="004C69D1"/>
    <w:rsid w:val="004C729F"/>
    <w:rsid w:val="004D04D2"/>
    <w:rsid w:val="004D19E2"/>
    <w:rsid w:val="004D1ABF"/>
    <w:rsid w:val="004D61CA"/>
    <w:rsid w:val="004D705D"/>
    <w:rsid w:val="004E5FFB"/>
    <w:rsid w:val="004F24A6"/>
    <w:rsid w:val="004F6A95"/>
    <w:rsid w:val="004F6C42"/>
    <w:rsid w:val="00503158"/>
    <w:rsid w:val="00507D81"/>
    <w:rsid w:val="005163A2"/>
    <w:rsid w:val="00526921"/>
    <w:rsid w:val="00531331"/>
    <w:rsid w:val="0053531B"/>
    <w:rsid w:val="00536E19"/>
    <w:rsid w:val="00545BAC"/>
    <w:rsid w:val="00545F41"/>
    <w:rsid w:val="00547503"/>
    <w:rsid w:val="005510C7"/>
    <w:rsid w:val="005611E3"/>
    <w:rsid w:val="00562B87"/>
    <w:rsid w:val="00565DAF"/>
    <w:rsid w:val="00565ED5"/>
    <w:rsid w:val="005669E7"/>
    <w:rsid w:val="0057743B"/>
    <w:rsid w:val="005817BC"/>
    <w:rsid w:val="0058314F"/>
    <w:rsid w:val="005850BB"/>
    <w:rsid w:val="00587789"/>
    <w:rsid w:val="00597EAA"/>
    <w:rsid w:val="005A0EA0"/>
    <w:rsid w:val="005A2569"/>
    <w:rsid w:val="005A5744"/>
    <w:rsid w:val="005A5BE7"/>
    <w:rsid w:val="005B08A3"/>
    <w:rsid w:val="005B44C2"/>
    <w:rsid w:val="005B58AD"/>
    <w:rsid w:val="005C2412"/>
    <w:rsid w:val="005C5ABC"/>
    <w:rsid w:val="005C7D50"/>
    <w:rsid w:val="005C7EC5"/>
    <w:rsid w:val="005D0B8B"/>
    <w:rsid w:val="005D0D9A"/>
    <w:rsid w:val="005D0DE1"/>
    <w:rsid w:val="005D2BB4"/>
    <w:rsid w:val="005D59E0"/>
    <w:rsid w:val="005E182E"/>
    <w:rsid w:val="005F22BA"/>
    <w:rsid w:val="005F4101"/>
    <w:rsid w:val="006020C0"/>
    <w:rsid w:val="00610B02"/>
    <w:rsid w:val="006157AB"/>
    <w:rsid w:val="00623AA0"/>
    <w:rsid w:val="00625AE6"/>
    <w:rsid w:val="00626F74"/>
    <w:rsid w:val="00631ED5"/>
    <w:rsid w:val="0063226E"/>
    <w:rsid w:val="0063666E"/>
    <w:rsid w:val="006419F4"/>
    <w:rsid w:val="006442AC"/>
    <w:rsid w:val="00645052"/>
    <w:rsid w:val="006459C1"/>
    <w:rsid w:val="00645DB2"/>
    <w:rsid w:val="00661FAE"/>
    <w:rsid w:val="00667C87"/>
    <w:rsid w:val="006700A9"/>
    <w:rsid w:val="00670F38"/>
    <w:rsid w:val="006716A6"/>
    <w:rsid w:val="00674969"/>
    <w:rsid w:val="006828A7"/>
    <w:rsid w:val="00684E28"/>
    <w:rsid w:val="00684EE9"/>
    <w:rsid w:val="006870BB"/>
    <w:rsid w:val="00697D3D"/>
    <w:rsid w:val="006B319B"/>
    <w:rsid w:val="006B460E"/>
    <w:rsid w:val="006C1745"/>
    <w:rsid w:val="006D7E1E"/>
    <w:rsid w:val="006E006D"/>
    <w:rsid w:val="006E32F8"/>
    <w:rsid w:val="006F1F3C"/>
    <w:rsid w:val="006F4877"/>
    <w:rsid w:val="007006E6"/>
    <w:rsid w:val="007007EC"/>
    <w:rsid w:val="007027F5"/>
    <w:rsid w:val="00702FC7"/>
    <w:rsid w:val="00706732"/>
    <w:rsid w:val="00706D84"/>
    <w:rsid w:val="00706EF7"/>
    <w:rsid w:val="0071362C"/>
    <w:rsid w:val="00715215"/>
    <w:rsid w:val="00721183"/>
    <w:rsid w:val="00726CAF"/>
    <w:rsid w:val="00727C2D"/>
    <w:rsid w:val="007400CD"/>
    <w:rsid w:val="00750DF7"/>
    <w:rsid w:val="00754F72"/>
    <w:rsid w:val="00757283"/>
    <w:rsid w:val="00764B9C"/>
    <w:rsid w:val="00765CDA"/>
    <w:rsid w:val="00783D2A"/>
    <w:rsid w:val="00793F03"/>
    <w:rsid w:val="007A0F10"/>
    <w:rsid w:val="007D03A4"/>
    <w:rsid w:val="007D177E"/>
    <w:rsid w:val="007D3951"/>
    <w:rsid w:val="007D58E6"/>
    <w:rsid w:val="007F066A"/>
    <w:rsid w:val="007F4DDA"/>
    <w:rsid w:val="007F65FD"/>
    <w:rsid w:val="00803BB2"/>
    <w:rsid w:val="00807BCF"/>
    <w:rsid w:val="0081322A"/>
    <w:rsid w:val="008132F8"/>
    <w:rsid w:val="00824A50"/>
    <w:rsid w:val="00832742"/>
    <w:rsid w:val="0084305A"/>
    <w:rsid w:val="0085203C"/>
    <w:rsid w:val="00852504"/>
    <w:rsid w:val="008539FD"/>
    <w:rsid w:val="00863912"/>
    <w:rsid w:val="00863B27"/>
    <w:rsid w:val="008665EF"/>
    <w:rsid w:val="00875325"/>
    <w:rsid w:val="00876A0E"/>
    <w:rsid w:val="00877E91"/>
    <w:rsid w:val="00880D5E"/>
    <w:rsid w:val="00880DF3"/>
    <w:rsid w:val="008817FC"/>
    <w:rsid w:val="008844E8"/>
    <w:rsid w:val="00887823"/>
    <w:rsid w:val="008937F7"/>
    <w:rsid w:val="00896991"/>
    <w:rsid w:val="008A22DA"/>
    <w:rsid w:val="008B05C3"/>
    <w:rsid w:val="008B18E4"/>
    <w:rsid w:val="008B29B0"/>
    <w:rsid w:val="008B67F8"/>
    <w:rsid w:val="008C6274"/>
    <w:rsid w:val="008C7ECF"/>
    <w:rsid w:val="008D08B0"/>
    <w:rsid w:val="008D3A9A"/>
    <w:rsid w:val="008E133E"/>
    <w:rsid w:val="008E18B0"/>
    <w:rsid w:val="008E57B9"/>
    <w:rsid w:val="008F6433"/>
    <w:rsid w:val="00915818"/>
    <w:rsid w:val="0092053E"/>
    <w:rsid w:val="00927FFC"/>
    <w:rsid w:val="00933722"/>
    <w:rsid w:val="00934B02"/>
    <w:rsid w:val="00937F17"/>
    <w:rsid w:val="0094044B"/>
    <w:rsid w:val="009440A5"/>
    <w:rsid w:val="00950648"/>
    <w:rsid w:val="009507C4"/>
    <w:rsid w:val="009613F6"/>
    <w:rsid w:val="00963FE6"/>
    <w:rsid w:val="009705F5"/>
    <w:rsid w:val="00971454"/>
    <w:rsid w:val="00981CD3"/>
    <w:rsid w:val="0098239A"/>
    <w:rsid w:val="00983475"/>
    <w:rsid w:val="00993A8B"/>
    <w:rsid w:val="00994220"/>
    <w:rsid w:val="00995026"/>
    <w:rsid w:val="0099692B"/>
    <w:rsid w:val="00997547"/>
    <w:rsid w:val="009A0233"/>
    <w:rsid w:val="009A0E38"/>
    <w:rsid w:val="009B1334"/>
    <w:rsid w:val="009B22C1"/>
    <w:rsid w:val="009B5B7E"/>
    <w:rsid w:val="009B71E1"/>
    <w:rsid w:val="009E20E2"/>
    <w:rsid w:val="009E55D2"/>
    <w:rsid w:val="009F6421"/>
    <w:rsid w:val="009F79CF"/>
    <w:rsid w:val="00A03290"/>
    <w:rsid w:val="00A0660A"/>
    <w:rsid w:val="00A13532"/>
    <w:rsid w:val="00A17D23"/>
    <w:rsid w:val="00A207B7"/>
    <w:rsid w:val="00A229D2"/>
    <w:rsid w:val="00A24D4E"/>
    <w:rsid w:val="00A2790B"/>
    <w:rsid w:val="00A32705"/>
    <w:rsid w:val="00A47CEE"/>
    <w:rsid w:val="00A50A5C"/>
    <w:rsid w:val="00A50E3E"/>
    <w:rsid w:val="00A54913"/>
    <w:rsid w:val="00A6182E"/>
    <w:rsid w:val="00A61D21"/>
    <w:rsid w:val="00A63276"/>
    <w:rsid w:val="00A64348"/>
    <w:rsid w:val="00A65D59"/>
    <w:rsid w:val="00A67290"/>
    <w:rsid w:val="00A725BE"/>
    <w:rsid w:val="00A72AFE"/>
    <w:rsid w:val="00A85B1D"/>
    <w:rsid w:val="00A9082E"/>
    <w:rsid w:val="00AA16AB"/>
    <w:rsid w:val="00AA1CB7"/>
    <w:rsid w:val="00AB3434"/>
    <w:rsid w:val="00AB442F"/>
    <w:rsid w:val="00AB5D5B"/>
    <w:rsid w:val="00AC2213"/>
    <w:rsid w:val="00AD5185"/>
    <w:rsid w:val="00AE4763"/>
    <w:rsid w:val="00AF575B"/>
    <w:rsid w:val="00B0308B"/>
    <w:rsid w:val="00B037CC"/>
    <w:rsid w:val="00B0580B"/>
    <w:rsid w:val="00B07A3E"/>
    <w:rsid w:val="00B12732"/>
    <w:rsid w:val="00B1717C"/>
    <w:rsid w:val="00B20BC0"/>
    <w:rsid w:val="00B27962"/>
    <w:rsid w:val="00B35AC7"/>
    <w:rsid w:val="00B443CD"/>
    <w:rsid w:val="00B61032"/>
    <w:rsid w:val="00B62DFE"/>
    <w:rsid w:val="00B70DF1"/>
    <w:rsid w:val="00B853A4"/>
    <w:rsid w:val="00B90CA5"/>
    <w:rsid w:val="00B91673"/>
    <w:rsid w:val="00B91C76"/>
    <w:rsid w:val="00B92E8B"/>
    <w:rsid w:val="00B933CA"/>
    <w:rsid w:val="00BA2BB8"/>
    <w:rsid w:val="00BA62EA"/>
    <w:rsid w:val="00BA65ED"/>
    <w:rsid w:val="00BB0A07"/>
    <w:rsid w:val="00BB0EC2"/>
    <w:rsid w:val="00BB146B"/>
    <w:rsid w:val="00BB47EF"/>
    <w:rsid w:val="00BB7CA2"/>
    <w:rsid w:val="00BB7D4B"/>
    <w:rsid w:val="00BC3651"/>
    <w:rsid w:val="00BD2047"/>
    <w:rsid w:val="00BE7234"/>
    <w:rsid w:val="00BF1A85"/>
    <w:rsid w:val="00BF7576"/>
    <w:rsid w:val="00BF7FA8"/>
    <w:rsid w:val="00C00486"/>
    <w:rsid w:val="00C322E3"/>
    <w:rsid w:val="00C34285"/>
    <w:rsid w:val="00C46C51"/>
    <w:rsid w:val="00C5355B"/>
    <w:rsid w:val="00C53B91"/>
    <w:rsid w:val="00C54642"/>
    <w:rsid w:val="00C5634D"/>
    <w:rsid w:val="00C57E9E"/>
    <w:rsid w:val="00C63CE8"/>
    <w:rsid w:val="00C65C9F"/>
    <w:rsid w:val="00C82FDC"/>
    <w:rsid w:val="00C83EE5"/>
    <w:rsid w:val="00C8554A"/>
    <w:rsid w:val="00C872C0"/>
    <w:rsid w:val="00C90CF8"/>
    <w:rsid w:val="00C93EA7"/>
    <w:rsid w:val="00C978D4"/>
    <w:rsid w:val="00C97912"/>
    <w:rsid w:val="00CB268C"/>
    <w:rsid w:val="00CC37BE"/>
    <w:rsid w:val="00CC6513"/>
    <w:rsid w:val="00CD330B"/>
    <w:rsid w:val="00CD5694"/>
    <w:rsid w:val="00CE1CB5"/>
    <w:rsid w:val="00CE2AE7"/>
    <w:rsid w:val="00CF49F1"/>
    <w:rsid w:val="00CF4E76"/>
    <w:rsid w:val="00CF6113"/>
    <w:rsid w:val="00D062A1"/>
    <w:rsid w:val="00D11597"/>
    <w:rsid w:val="00D2018D"/>
    <w:rsid w:val="00D23B38"/>
    <w:rsid w:val="00D44E27"/>
    <w:rsid w:val="00D469E0"/>
    <w:rsid w:val="00D51523"/>
    <w:rsid w:val="00D54B7C"/>
    <w:rsid w:val="00D60369"/>
    <w:rsid w:val="00D748DB"/>
    <w:rsid w:val="00D751E7"/>
    <w:rsid w:val="00D837A9"/>
    <w:rsid w:val="00D838EA"/>
    <w:rsid w:val="00D83AE5"/>
    <w:rsid w:val="00D931D7"/>
    <w:rsid w:val="00D94CBF"/>
    <w:rsid w:val="00D95771"/>
    <w:rsid w:val="00DA21D0"/>
    <w:rsid w:val="00DA3528"/>
    <w:rsid w:val="00DB15C4"/>
    <w:rsid w:val="00DB2219"/>
    <w:rsid w:val="00DB3F27"/>
    <w:rsid w:val="00DB7ED8"/>
    <w:rsid w:val="00DC39DC"/>
    <w:rsid w:val="00DD274A"/>
    <w:rsid w:val="00DE113E"/>
    <w:rsid w:val="00DE33E3"/>
    <w:rsid w:val="00DE3462"/>
    <w:rsid w:val="00DF0689"/>
    <w:rsid w:val="00DF1905"/>
    <w:rsid w:val="00E01C41"/>
    <w:rsid w:val="00E064B4"/>
    <w:rsid w:val="00E178EF"/>
    <w:rsid w:val="00E17F39"/>
    <w:rsid w:val="00E50B87"/>
    <w:rsid w:val="00E50DA7"/>
    <w:rsid w:val="00E54931"/>
    <w:rsid w:val="00E552CB"/>
    <w:rsid w:val="00E56C24"/>
    <w:rsid w:val="00E61F14"/>
    <w:rsid w:val="00E67A31"/>
    <w:rsid w:val="00E840C6"/>
    <w:rsid w:val="00E91C1F"/>
    <w:rsid w:val="00E945F1"/>
    <w:rsid w:val="00E97C3F"/>
    <w:rsid w:val="00EB68A9"/>
    <w:rsid w:val="00EB7262"/>
    <w:rsid w:val="00EC01FA"/>
    <w:rsid w:val="00EE50F7"/>
    <w:rsid w:val="00EE7012"/>
    <w:rsid w:val="00F069B4"/>
    <w:rsid w:val="00F075DA"/>
    <w:rsid w:val="00F07F7E"/>
    <w:rsid w:val="00F32D85"/>
    <w:rsid w:val="00F368C2"/>
    <w:rsid w:val="00F36D7B"/>
    <w:rsid w:val="00F37C60"/>
    <w:rsid w:val="00F41225"/>
    <w:rsid w:val="00F43B31"/>
    <w:rsid w:val="00F45BB3"/>
    <w:rsid w:val="00F605EF"/>
    <w:rsid w:val="00F60D16"/>
    <w:rsid w:val="00F63D11"/>
    <w:rsid w:val="00F63EB5"/>
    <w:rsid w:val="00F719F4"/>
    <w:rsid w:val="00F72149"/>
    <w:rsid w:val="00F74088"/>
    <w:rsid w:val="00F75552"/>
    <w:rsid w:val="00F81293"/>
    <w:rsid w:val="00F96716"/>
    <w:rsid w:val="00FA280F"/>
    <w:rsid w:val="00FA3680"/>
    <w:rsid w:val="00FB12EA"/>
    <w:rsid w:val="00FB4A46"/>
    <w:rsid w:val="00FB7D77"/>
    <w:rsid w:val="00FC0DFE"/>
    <w:rsid w:val="00FC26FD"/>
    <w:rsid w:val="00FC31A5"/>
    <w:rsid w:val="00FC481C"/>
    <w:rsid w:val="00FC62E9"/>
    <w:rsid w:val="00FC6591"/>
    <w:rsid w:val="00FD49ED"/>
    <w:rsid w:val="00FD7274"/>
    <w:rsid w:val="00FD7CA5"/>
    <w:rsid w:val="00FE144F"/>
    <w:rsid w:val="00FE21B3"/>
    <w:rsid w:val="00FF15F3"/>
    <w:rsid w:val="00FF1DD8"/>
    <w:rsid w:val="00FF26C1"/>
    <w:rsid w:val="00FF5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90B650"/>
  <w15:chartTrackingRefBased/>
  <w15:docId w15:val="{E56BF358-E8D5-4B05-97EC-E13225ED5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75B"/>
  </w:style>
  <w:style w:type="paragraph" w:styleId="Heading1">
    <w:name w:val="heading 1"/>
    <w:basedOn w:val="Normal"/>
    <w:next w:val="Normal"/>
    <w:link w:val="Heading1Char"/>
    <w:uiPriority w:val="9"/>
    <w:qFormat/>
    <w:rsid w:val="00934B02"/>
    <w:pPr>
      <w:outlineLvl w:val="0"/>
    </w:pPr>
    <w:rPr>
      <w:rFonts w:asciiTheme="majorHAnsi" w:eastAsiaTheme="majorEastAsia" w:hAnsi="Calibri Light" w:cstheme="majorBidi"/>
      <w:b/>
      <w:bCs/>
      <w:color w:val="20A9C2"/>
      <w:kern w:val="24"/>
      <w:sz w:val="28"/>
      <w:szCs w:val="72"/>
      <w:lang w:val="en-US"/>
    </w:rPr>
  </w:style>
  <w:style w:type="paragraph" w:styleId="Heading2">
    <w:name w:val="heading 2"/>
    <w:basedOn w:val="Normal"/>
    <w:next w:val="Normal"/>
    <w:link w:val="Heading2Char"/>
    <w:uiPriority w:val="9"/>
    <w:unhideWhenUsed/>
    <w:qFormat/>
    <w:rsid w:val="00934B02"/>
    <w:pPr>
      <w:outlineLvl w:val="1"/>
    </w:pPr>
    <w:rPr>
      <w:rFonts w:asciiTheme="majorHAnsi" w:eastAsiaTheme="majorEastAsia" w:hAnsi="Calibri Light" w:cstheme="majorBidi"/>
      <w:color w:val="20A9C2"/>
      <w:kern w:val="24"/>
      <w:sz w:val="28"/>
      <w:szCs w:val="48"/>
      <w:lang w:val="en-US"/>
    </w:rPr>
  </w:style>
  <w:style w:type="paragraph" w:styleId="Heading3">
    <w:name w:val="heading 3"/>
    <w:basedOn w:val="Heading2"/>
    <w:next w:val="Normal"/>
    <w:link w:val="Heading3Char"/>
    <w:uiPriority w:val="9"/>
    <w:unhideWhenUsed/>
    <w:qFormat/>
    <w:rsid w:val="00934B02"/>
    <w:pPr>
      <w:outlineLvl w:val="2"/>
    </w:pPr>
    <w:rPr>
      <w:b/>
      <w:bCs/>
      <w:sz w:val="24"/>
      <w:szCs w:val="36"/>
    </w:rPr>
  </w:style>
  <w:style w:type="paragraph" w:styleId="Heading4">
    <w:name w:val="heading 4"/>
    <w:basedOn w:val="Heading3"/>
    <w:next w:val="Normal"/>
    <w:link w:val="Heading4Char"/>
    <w:uiPriority w:val="9"/>
    <w:unhideWhenUsed/>
    <w:qFormat/>
    <w:rsid w:val="00934B02"/>
    <w:pPr>
      <w:outlineLvl w:val="3"/>
    </w:pPr>
    <w:rPr>
      <w:b w:val="0"/>
      <w:bCs w:val="0"/>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5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55D"/>
  </w:style>
  <w:style w:type="paragraph" w:styleId="Footer">
    <w:name w:val="footer"/>
    <w:basedOn w:val="Normal"/>
    <w:link w:val="FooterChar"/>
    <w:uiPriority w:val="99"/>
    <w:unhideWhenUsed/>
    <w:rsid w:val="001F75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55D"/>
  </w:style>
  <w:style w:type="paragraph" w:styleId="BalloonText">
    <w:name w:val="Balloon Text"/>
    <w:basedOn w:val="Normal"/>
    <w:link w:val="BalloonTextChar"/>
    <w:uiPriority w:val="99"/>
    <w:semiHidden/>
    <w:unhideWhenUsed/>
    <w:rsid w:val="002067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754"/>
    <w:rPr>
      <w:rFonts w:ascii="Segoe UI" w:hAnsi="Segoe UI" w:cs="Segoe UI"/>
      <w:sz w:val="18"/>
      <w:szCs w:val="18"/>
    </w:rPr>
  </w:style>
  <w:style w:type="paragraph" w:customStyle="1" w:styleId="BasicParagraph">
    <w:name w:val="[Basic Paragraph]"/>
    <w:basedOn w:val="Normal"/>
    <w:uiPriority w:val="99"/>
    <w:rsid w:val="00206754"/>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en-AU"/>
    </w:rPr>
  </w:style>
  <w:style w:type="character" w:customStyle="1" w:styleId="Heading1Char">
    <w:name w:val="Heading 1 Char"/>
    <w:basedOn w:val="DefaultParagraphFont"/>
    <w:link w:val="Heading1"/>
    <w:uiPriority w:val="9"/>
    <w:rsid w:val="00934B02"/>
    <w:rPr>
      <w:rFonts w:asciiTheme="majorHAnsi" w:eastAsiaTheme="majorEastAsia" w:hAnsi="Calibri Light" w:cstheme="majorBidi"/>
      <w:b/>
      <w:bCs/>
      <w:color w:val="20A9C2"/>
      <w:kern w:val="24"/>
      <w:sz w:val="28"/>
      <w:szCs w:val="72"/>
      <w:lang w:val="en-US"/>
    </w:rPr>
  </w:style>
  <w:style w:type="paragraph" w:styleId="TOCHeading">
    <w:name w:val="TOC Heading"/>
    <w:basedOn w:val="Heading1"/>
    <w:next w:val="Normal"/>
    <w:uiPriority w:val="39"/>
    <w:unhideWhenUsed/>
    <w:qFormat/>
    <w:rsid w:val="00206754"/>
    <w:pPr>
      <w:outlineLvl w:val="9"/>
    </w:pPr>
  </w:style>
  <w:style w:type="character" w:customStyle="1" w:styleId="Heading2Char">
    <w:name w:val="Heading 2 Char"/>
    <w:basedOn w:val="DefaultParagraphFont"/>
    <w:link w:val="Heading2"/>
    <w:uiPriority w:val="9"/>
    <w:rsid w:val="00934B02"/>
    <w:rPr>
      <w:rFonts w:asciiTheme="majorHAnsi" w:eastAsiaTheme="majorEastAsia" w:hAnsi="Calibri Light" w:cstheme="majorBidi"/>
      <w:color w:val="20A9C2"/>
      <w:kern w:val="24"/>
      <w:sz w:val="28"/>
      <w:szCs w:val="48"/>
      <w:lang w:val="en-US"/>
    </w:rPr>
  </w:style>
  <w:style w:type="character" w:customStyle="1" w:styleId="Heading3Char">
    <w:name w:val="Heading 3 Char"/>
    <w:basedOn w:val="DefaultParagraphFont"/>
    <w:link w:val="Heading3"/>
    <w:uiPriority w:val="9"/>
    <w:rsid w:val="00934B02"/>
    <w:rPr>
      <w:rFonts w:asciiTheme="majorHAnsi" w:eastAsiaTheme="majorEastAsia" w:hAnsi="Calibri Light" w:cstheme="majorBidi"/>
      <w:b/>
      <w:bCs/>
      <w:color w:val="20A9C2"/>
      <w:kern w:val="24"/>
      <w:sz w:val="24"/>
      <w:szCs w:val="36"/>
      <w:lang w:val="en-US"/>
    </w:rPr>
  </w:style>
  <w:style w:type="paragraph" w:styleId="TOC1">
    <w:name w:val="toc 1"/>
    <w:basedOn w:val="Normal"/>
    <w:next w:val="Normal"/>
    <w:autoRedefine/>
    <w:uiPriority w:val="39"/>
    <w:unhideWhenUsed/>
    <w:rsid w:val="00D062A1"/>
    <w:pPr>
      <w:spacing w:after="100"/>
    </w:pPr>
  </w:style>
  <w:style w:type="paragraph" w:styleId="TOC2">
    <w:name w:val="toc 2"/>
    <w:basedOn w:val="Normal"/>
    <w:next w:val="Normal"/>
    <w:autoRedefine/>
    <w:uiPriority w:val="39"/>
    <w:unhideWhenUsed/>
    <w:rsid w:val="00D062A1"/>
    <w:pPr>
      <w:spacing w:after="100"/>
      <w:ind w:left="220"/>
    </w:pPr>
  </w:style>
  <w:style w:type="paragraph" w:styleId="TOC3">
    <w:name w:val="toc 3"/>
    <w:basedOn w:val="Normal"/>
    <w:next w:val="Normal"/>
    <w:autoRedefine/>
    <w:uiPriority w:val="39"/>
    <w:unhideWhenUsed/>
    <w:rsid w:val="00D062A1"/>
    <w:pPr>
      <w:spacing w:after="100"/>
      <w:ind w:left="440"/>
    </w:pPr>
  </w:style>
  <w:style w:type="character" w:styleId="Hyperlink">
    <w:name w:val="Hyperlink"/>
    <w:basedOn w:val="DefaultParagraphFont"/>
    <w:uiPriority w:val="99"/>
    <w:unhideWhenUsed/>
    <w:rsid w:val="00D062A1"/>
    <w:rPr>
      <w:color w:val="0563C1" w:themeColor="hyperlink"/>
      <w:u w:val="single"/>
    </w:rPr>
  </w:style>
  <w:style w:type="character" w:customStyle="1" w:styleId="Heading4Char">
    <w:name w:val="Heading 4 Char"/>
    <w:basedOn w:val="DefaultParagraphFont"/>
    <w:link w:val="Heading4"/>
    <w:uiPriority w:val="9"/>
    <w:rsid w:val="00934B02"/>
    <w:rPr>
      <w:rFonts w:asciiTheme="majorHAnsi" w:eastAsiaTheme="majorEastAsia" w:hAnsi="Calibri Light" w:cstheme="majorBidi"/>
      <w:i/>
      <w:iCs/>
      <w:color w:val="20A9C2"/>
      <w:kern w:val="24"/>
      <w:sz w:val="24"/>
      <w:szCs w:val="28"/>
      <w:lang w:val="en-US"/>
    </w:rPr>
  </w:style>
  <w:style w:type="character" w:styleId="UnresolvedMention">
    <w:name w:val="Unresolved Mention"/>
    <w:basedOn w:val="DefaultParagraphFont"/>
    <w:uiPriority w:val="99"/>
    <w:semiHidden/>
    <w:unhideWhenUsed/>
    <w:rsid w:val="00A24D4E"/>
    <w:rPr>
      <w:color w:val="605E5C"/>
      <w:shd w:val="clear" w:color="auto" w:fill="E1DFDD"/>
    </w:rPr>
  </w:style>
  <w:style w:type="paragraph" w:styleId="FootnoteText">
    <w:name w:val="footnote text"/>
    <w:aliases w:val="Footnote Text Char Char,Footnote Text Char Char Char Char,Footnote Text Char1,Footnote Text Char Char Char1,Footnote Text Char Char Char Char Char,Footnote Text Char Char1,fn,FOOTNOTES,single space,footnote text,FA,FA Fußnotentext,FA3,f,5_"/>
    <w:basedOn w:val="Normal"/>
    <w:link w:val="FootnoteTextChar"/>
    <w:unhideWhenUsed/>
    <w:qFormat/>
    <w:rsid w:val="00726CAF"/>
    <w:pPr>
      <w:spacing w:after="0" w:line="240" w:lineRule="auto"/>
    </w:pPr>
    <w:rPr>
      <w:sz w:val="20"/>
      <w:szCs w:val="20"/>
      <w:lang w:val="en-AU"/>
    </w:rPr>
  </w:style>
  <w:style w:type="character" w:customStyle="1" w:styleId="FootnoteTextChar">
    <w:name w:val="Footnote Text Char"/>
    <w:aliases w:val="Footnote Text Char Char Char,Footnote Text Char Char Char Char Char1,Footnote Text Char1 Char,Footnote Text Char Char Char1 Char,Footnote Text Char Char Char Char Char Char,Footnote Text Char Char1 Char,fn Char,FOOTNOTES Char,FA Char"/>
    <w:basedOn w:val="DefaultParagraphFont"/>
    <w:link w:val="FootnoteText"/>
    <w:qFormat/>
    <w:rsid w:val="00726CAF"/>
    <w:rPr>
      <w:sz w:val="20"/>
      <w:szCs w:val="20"/>
      <w:lang w:val="en-AU"/>
    </w:rPr>
  </w:style>
  <w:style w:type="character" w:styleId="FootnoteReference">
    <w:name w:val="footnote reference"/>
    <w:aliases w:val="4_G,Standard + Block,Erste Zeile:  1 cm,callout,Footnotes refss,Appel note de bas de p.,ftref,Ref,de nota al pie,fr,oc-footreference,oc-footnoteref,oc-footreference1,oc-footnoteref1,(Diplomarbeit FZ),-E Fußnotenzeichen,(Dipl...,註腳內容"/>
    <w:basedOn w:val="DefaultParagraphFont"/>
    <w:link w:val="AppelnotedebasdepageCharCharCharCharCharCharCharCharChar"/>
    <w:uiPriority w:val="99"/>
    <w:unhideWhenUsed/>
    <w:qFormat/>
    <w:rsid w:val="00726CAF"/>
    <w:rPr>
      <w:vertAlign w:val="superscript"/>
    </w:rPr>
  </w:style>
  <w:style w:type="paragraph" w:styleId="NormalWeb">
    <w:name w:val="Normal (Web)"/>
    <w:basedOn w:val="Normal"/>
    <w:uiPriority w:val="99"/>
    <w:unhideWhenUsed/>
    <w:rsid w:val="00726CAF"/>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styleId="ListParagraph">
    <w:name w:val="List Paragraph"/>
    <w:aliases w:val="List Paragraph1,Recommendation,List Paragraph11,L,List Paragraph111,F5 List Paragraph,Dot pt,CV text,Table text,Numbered Paragraph,List Paragraph2,Bulleted Para,NFP GP Bulleted List,FooterText,numbered,列出段落,列出段落1,Paragraphe de liste1"/>
    <w:basedOn w:val="Normal"/>
    <w:link w:val="ListParagraphChar"/>
    <w:uiPriority w:val="34"/>
    <w:qFormat/>
    <w:rsid w:val="00726CAF"/>
    <w:pPr>
      <w:spacing w:after="200" w:line="276" w:lineRule="auto"/>
      <w:ind w:left="720"/>
      <w:contextualSpacing/>
    </w:pPr>
    <w:rPr>
      <w:lang w:val="en-AU"/>
    </w:rPr>
  </w:style>
  <w:style w:type="character" w:styleId="PageNumber">
    <w:name w:val="page number"/>
    <w:basedOn w:val="DefaultParagraphFont"/>
    <w:uiPriority w:val="99"/>
    <w:semiHidden/>
    <w:unhideWhenUsed/>
    <w:rsid w:val="00726CAF"/>
  </w:style>
  <w:style w:type="table" w:styleId="TableGrid">
    <w:name w:val="Table Grid"/>
    <w:basedOn w:val="TableNormal"/>
    <w:uiPriority w:val="59"/>
    <w:rsid w:val="004C15A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754F72"/>
    <w:pPr>
      <w:spacing w:after="0" w:line="240" w:lineRule="auto"/>
    </w:pPr>
    <w:rPr>
      <w:lang w:val="en-AU"/>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styleId="CommentReference">
    <w:name w:val="annotation reference"/>
    <w:basedOn w:val="DefaultParagraphFont"/>
    <w:uiPriority w:val="99"/>
    <w:semiHidden/>
    <w:unhideWhenUsed/>
    <w:rsid w:val="00050D77"/>
    <w:rPr>
      <w:sz w:val="16"/>
      <w:szCs w:val="16"/>
    </w:rPr>
  </w:style>
  <w:style w:type="paragraph" w:styleId="CommentText">
    <w:name w:val="annotation text"/>
    <w:basedOn w:val="Normal"/>
    <w:link w:val="CommentTextChar"/>
    <w:uiPriority w:val="99"/>
    <w:semiHidden/>
    <w:unhideWhenUsed/>
    <w:rsid w:val="00050D77"/>
    <w:pPr>
      <w:spacing w:line="240" w:lineRule="auto"/>
    </w:pPr>
    <w:rPr>
      <w:sz w:val="20"/>
      <w:szCs w:val="20"/>
    </w:rPr>
  </w:style>
  <w:style w:type="character" w:customStyle="1" w:styleId="CommentTextChar">
    <w:name w:val="Comment Text Char"/>
    <w:basedOn w:val="DefaultParagraphFont"/>
    <w:link w:val="CommentText"/>
    <w:uiPriority w:val="99"/>
    <w:semiHidden/>
    <w:rsid w:val="00050D77"/>
    <w:rPr>
      <w:sz w:val="20"/>
      <w:szCs w:val="20"/>
    </w:rPr>
  </w:style>
  <w:style w:type="paragraph" w:styleId="CommentSubject">
    <w:name w:val="annotation subject"/>
    <w:basedOn w:val="CommentText"/>
    <w:next w:val="CommentText"/>
    <w:link w:val="CommentSubjectChar"/>
    <w:uiPriority w:val="99"/>
    <w:semiHidden/>
    <w:unhideWhenUsed/>
    <w:rsid w:val="00050D77"/>
    <w:rPr>
      <w:b/>
      <w:bCs/>
    </w:rPr>
  </w:style>
  <w:style w:type="character" w:customStyle="1" w:styleId="CommentSubjectChar">
    <w:name w:val="Comment Subject Char"/>
    <w:basedOn w:val="CommentTextChar"/>
    <w:link w:val="CommentSubject"/>
    <w:uiPriority w:val="99"/>
    <w:semiHidden/>
    <w:rsid w:val="00050D77"/>
    <w:rPr>
      <w:b/>
      <w:bCs/>
      <w:sz w:val="20"/>
      <w:szCs w:val="20"/>
    </w:rPr>
  </w:style>
  <w:style w:type="paragraph" w:styleId="Bibliography">
    <w:name w:val="Bibliography"/>
    <w:basedOn w:val="Normal"/>
    <w:next w:val="Normal"/>
    <w:uiPriority w:val="37"/>
    <w:unhideWhenUsed/>
    <w:rsid w:val="00CD330B"/>
    <w:pPr>
      <w:spacing w:before="120" w:after="120" w:line="360" w:lineRule="auto"/>
      <w:jc w:val="both"/>
    </w:pPr>
    <w:rPr>
      <w:rFonts w:ascii="Times New Roman" w:hAnsi="Times New Roman" w:cs="Times New Roman"/>
      <w:sz w:val="24"/>
      <w:szCs w:val="24"/>
      <w:lang w:val="en-AU"/>
    </w:rPr>
  </w:style>
  <w:style w:type="character" w:styleId="FollowedHyperlink">
    <w:name w:val="FollowedHyperlink"/>
    <w:basedOn w:val="DefaultParagraphFont"/>
    <w:uiPriority w:val="99"/>
    <w:semiHidden/>
    <w:unhideWhenUsed/>
    <w:rsid w:val="004D61CA"/>
    <w:rPr>
      <w:color w:val="954F72" w:themeColor="followedHyperlink"/>
      <w:u w:val="single"/>
    </w:rPr>
  </w:style>
  <w:style w:type="character" w:styleId="Strong">
    <w:name w:val="Strong"/>
    <w:basedOn w:val="DefaultParagraphFont"/>
    <w:uiPriority w:val="22"/>
    <w:qFormat/>
    <w:rsid w:val="00EB68A9"/>
    <w:rPr>
      <w:b/>
      <w:bCs/>
    </w:rPr>
  </w:style>
  <w:style w:type="character" w:customStyle="1" w:styleId="ListParagraphChar">
    <w:name w:val="List Paragraph Char"/>
    <w:aliases w:val="List Paragraph1 Char,Recommendation Char,List Paragraph11 Char,L Char,List Paragraph111 Char,F5 List Paragraph Char,Dot pt Char,CV text Char,Table text Char,Numbered Paragraph Char,List Paragraph2 Char,Bulleted Para Char,列出段落 Char"/>
    <w:basedOn w:val="DefaultParagraphFont"/>
    <w:link w:val="ListParagraph"/>
    <w:uiPriority w:val="34"/>
    <w:rsid w:val="00E50B87"/>
    <w:rPr>
      <w:lang w:val="en-AU"/>
    </w:rPr>
  </w:style>
  <w:style w:type="paragraph" w:styleId="EndnoteText">
    <w:name w:val="endnote text"/>
    <w:basedOn w:val="Normal"/>
    <w:link w:val="EndnoteTextChar"/>
    <w:uiPriority w:val="99"/>
    <w:unhideWhenUsed/>
    <w:rsid w:val="00933722"/>
    <w:pPr>
      <w:spacing w:after="0" w:line="240" w:lineRule="auto"/>
    </w:pPr>
    <w:rPr>
      <w:sz w:val="20"/>
      <w:szCs w:val="20"/>
    </w:rPr>
  </w:style>
  <w:style w:type="character" w:customStyle="1" w:styleId="EndnoteTextChar">
    <w:name w:val="Endnote Text Char"/>
    <w:basedOn w:val="DefaultParagraphFont"/>
    <w:link w:val="EndnoteText"/>
    <w:uiPriority w:val="99"/>
    <w:rsid w:val="00933722"/>
    <w:rPr>
      <w:sz w:val="20"/>
      <w:szCs w:val="20"/>
    </w:rPr>
  </w:style>
  <w:style w:type="character" w:styleId="EndnoteReference">
    <w:name w:val="endnote reference"/>
    <w:basedOn w:val="DefaultParagraphFont"/>
    <w:uiPriority w:val="99"/>
    <w:unhideWhenUsed/>
    <w:rsid w:val="00933722"/>
    <w:rPr>
      <w:vertAlign w:val="superscript"/>
    </w:rPr>
  </w:style>
  <w:style w:type="paragraph" w:customStyle="1" w:styleId="ActHead5">
    <w:name w:val="ActHead 5"/>
    <w:aliases w:val="s"/>
    <w:basedOn w:val="Normal"/>
    <w:next w:val="subsection"/>
    <w:qFormat/>
    <w:rsid w:val="007007EC"/>
    <w:pPr>
      <w:keepNext/>
      <w:keepLines/>
      <w:spacing w:before="280" w:after="0" w:line="240" w:lineRule="auto"/>
      <w:ind w:left="1134" w:hanging="1134"/>
      <w:outlineLvl w:val="4"/>
    </w:pPr>
    <w:rPr>
      <w:rFonts w:ascii="Times New Roman" w:eastAsia="Times New Roman" w:hAnsi="Times New Roman" w:cs="Times New Roman"/>
      <w:b/>
      <w:kern w:val="28"/>
      <w:sz w:val="24"/>
      <w:szCs w:val="20"/>
      <w:lang w:val="en-AU" w:eastAsia="en-AU"/>
    </w:rPr>
  </w:style>
  <w:style w:type="paragraph" w:customStyle="1" w:styleId="subsection">
    <w:name w:val="subsection"/>
    <w:aliases w:val="ss"/>
    <w:basedOn w:val="Normal"/>
    <w:link w:val="subsectionChar"/>
    <w:rsid w:val="007007EC"/>
    <w:pPr>
      <w:tabs>
        <w:tab w:val="right" w:pos="1021"/>
      </w:tabs>
      <w:spacing w:before="180" w:after="0" w:line="240" w:lineRule="auto"/>
      <w:ind w:left="1134" w:hanging="1134"/>
    </w:pPr>
    <w:rPr>
      <w:rFonts w:ascii="Times New Roman" w:eastAsia="Times New Roman" w:hAnsi="Times New Roman" w:cs="Times New Roman"/>
      <w:szCs w:val="20"/>
      <w:lang w:val="en-AU" w:eastAsia="en-AU"/>
    </w:rPr>
  </w:style>
  <w:style w:type="paragraph" w:customStyle="1" w:styleId="paragraph">
    <w:name w:val="paragraph"/>
    <w:aliases w:val="a"/>
    <w:basedOn w:val="Normal"/>
    <w:link w:val="paragraphChar"/>
    <w:rsid w:val="007007EC"/>
    <w:pPr>
      <w:tabs>
        <w:tab w:val="right" w:pos="1531"/>
      </w:tabs>
      <w:spacing w:before="40" w:after="0" w:line="240" w:lineRule="auto"/>
      <w:ind w:left="1644" w:hanging="1644"/>
    </w:pPr>
    <w:rPr>
      <w:rFonts w:ascii="Times New Roman" w:eastAsia="Times New Roman" w:hAnsi="Times New Roman" w:cs="Times New Roman"/>
      <w:szCs w:val="20"/>
      <w:lang w:val="en-AU" w:eastAsia="en-AU"/>
    </w:rPr>
  </w:style>
  <w:style w:type="character" w:customStyle="1" w:styleId="subsectionChar">
    <w:name w:val="subsection Char"/>
    <w:aliases w:val="ss Char"/>
    <w:basedOn w:val="DefaultParagraphFont"/>
    <w:link w:val="subsection"/>
    <w:locked/>
    <w:rsid w:val="007007EC"/>
    <w:rPr>
      <w:rFonts w:ascii="Times New Roman" w:eastAsia="Times New Roman" w:hAnsi="Times New Roman" w:cs="Times New Roman"/>
      <w:szCs w:val="20"/>
      <w:lang w:val="en-AU" w:eastAsia="en-AU"/>
    </w:rPr>
  </w:style>
  <w:style w:type="character" w:customStyle="1" w:styleId="paragraphChar">
    <w:name w:val="paragraph Char"/>
    <w:aliases w:val="a Char"/>
    <w:basedOn w:val="DefaultParagraphFont"/>
    <w:link w:val="paragraph"/>
    <w:locked/>
    <w:rsid w:val="007007EC"/>
    <w:rPr>
      <w:rFonts w:ascii="Times New Roman" w:eastAsia="Times New Roman" w:hAnsi="Times New Roman" w:cs="Times New Roman"/>
      <w:szCs w:val="20"/>
      <w:lang w:val="en-AU" w:eastAsia="en-AU"/>
    </w:rPr>
  </w:style>
  <w:style w:type="character" w:customStyle="1" w:styleId="Notereference">
    <w:name w:val="*Note reference"/>
    <w:rsid w:val="0003742F"/>
    <w:rPr>
      <w:rFonts w:ascii="Times New Roman" w:hAnsi="Times New Roman"/>
      <w:color w:val="FF0000"/>
      <w:sz w:val="24"/>
      <w:vertAlign w:val="superscript"/>
    </w:rPr>
  </w:style>
  <w:style w:type="paragraph" w:customStyle="1" w:styleId="AppelnotedebasdepageCharCharCharCharCharCharCharCharChar">
    <w:name w:val="Appel note de bas de page Char Char Char Char Char Char Char Char Char"/>
    <w:aliases w:val="Appel note de bas de page Char2 Char Char Char Char Char Char Char Char Char Char Char,Appel note de bas de page Char1 Char"/>
    <w:basedOn w:val="Normal"/>
    <w:link w:val="FootnoteReference"/>
    <w:uiPriority w:val="99"/>
    <w:rsid w:val="0003742F"/>
    <w:pPr>
      <w:spacing w:before="120" w:after="0" w:line="240" w:lineRule="auto"/>
      <w:jc w:val="both"/>
    </w:pPr>
    <w:rPr>
      <w:vertAlign w:val="superscript"/>
    </w:rPr>
  </w:style>
  <w:style w:type="paragraph" w:customStyle="1" w:styleId="Referencelist">
    <w:name w:val="*Reference list"/>
    <w:qFormat/>
    <w:rsid w:val="0003742F"/>
    <w:pPr>
      <w:spacing w:after="60" w:line="360" w:lineRule="auto"/>
      <w:ind w:left="284" w:hanging="284"/>
    </w:pPr>
    <w:rPr>
      <w:rFonts w:ascii="Times New Roman" w:eastAsia="Times New Roman" w:hAnsi="Times New Roman" w:cs="Times New Roman"/>
      <w:sz w:val="24"/>
      <w:szCs w:val="20"/>
      <w:lang w:val="en-US"/>
    </w:rPr>
  </w:style>
  <w:style w:type="paragraph" w:customStyle="1" w:styleId="FootNote">
    <w:name w:val="_FootNote"/>
    <w:basedOn w:val="Normal"/>
    <w:rsid w:val="004460F0"/>
    <w:pPr>
      <w:widowControl w:val="0"/>
      <w:suppressLineNumbers/>
      <w:tabs>
        <w:tab w:val="left" w:pos="420"/>
        <w:tab w:val="left" w:pos="580"/>
      </w:tabs>
      <w:spacing w:after="0" w:line="200" w:lineRule="exact"/>
      <w:ind w:firstLine="216"/>
      <w:jc w:val="both"/>
    </w:pPr>
    <w:rPr>
      <w:rFonts w:ascii="Times New Roman" w:eastAsia="Times New Roman" w:hAnsi="Times New Roman" w:cs="Times New Roman"/>
      <w:sz w:val="17"/>
      <w:szCs w:val="20"/>
      <w:lang w:val="en-US" w:eastAsia="ja-JP"/>
    </w:rPr>
  </w:style>
  <w:style w:type="paragraph" w:customStyle="1" w:styleId="FootnotesymbolCarZchnZchn">
    <w:name w:val="Footnote symbol Car Zchn Zchn"/>
    <w:aliases w:val="Footnote Car Zchn Zchn,Times 10 Point Car Zchn Zchn,Exposant 3 Point Car Zchn Zchn,Footnote Reference Superscript Car Zchn Zchn, Char Char Char Char Char Car Zchn Zchn,BVI fnr Car Zchn Zchn"/>
    <w:basedOn w:val="Normal"/>
    <w:uiPriority w:val="29"/>
    <w:qFormat/>
    <w:rsid w:val="006020C0"/>
    <w:pPr>
      <w:suppressAutoHyphens/>
      <w:spacing w:line="240" w:lineRule="exact"/>
      <w:jc w:val="both"/>
    </w:pPr>
    <w:rPr>
      <w:vertAlign w:val="superscript"/>
    </w:rPr>
  </w:style>
  <w:style w:type="numbering" w:styleId="111111">
    <w:name w:val="Outline List 2"/>
    <w:basedOn w:val="NoList"/>
    <w:rsid w:val="00F719F4"/>
    <w:pPr>
      <w:numPr>
        <w:numId w:val="6"/>
      </w:numPr>
    </w:pPr>
  </w:style>
  <w:style w:type="paragraph" w:customStyle="1" w:styleId="Mainsectiontitle">
    <w:name w:val="Main section title"/>
    <w:basedOn w:val="Normal"/>
    <w:qFormat/>
    <w:rsid w:val="00F719F4"/>
    <w:pPr>
      <w:numPr>
        <w:numId w:val="7"/>
      </w:numPr>
      <w:spacing w:after="120" w:line="276" w:lineRule="auto"/>
      <w:ind w:left="567" w:hanging="567"/>
      <w:outlineLvl w:val="0"/>
    </w:pPr>
    <w:rPr>
      <w:rFonts w:ascii="Arial" w:eastAsia="Times New Roman" w:hAnsi="Arial" w:cs="Arial"/>
      <w:sz w:val="32"/>
      <w:szCs w:val="32"/>
      <w:lang w:eastAsia="en-GB"/>
    </w:rPr>
  </w:style>
  <w:style w:type="paragraph" w:customStyle="1" w:styleId="Subsectioneg11">
    <w:name w:val="Sub section (e.g. 1.1)"/>
    <w:basedOn w:val="Normal"/>
    <w:qFormat/>
    <w:rsid w:val="00F719F4"/>
    <w:pPr>
      <w:numPr>
        <w:ilvl w:val="1"/>
        <w:numId w:val="7"/>
      </w:numPr>
      <w:tabs>
        <w:tab w:val="clear" w:pos="792"/>
        <w:tab w:val="num" w:pos="1512"/>
      </w:tabs>
      <w:spacing w:after="120" w:line="276" w:lineRule="auto"/>
      <w:ind w:left="1152"/>
      <w:jc w:val="both"/>
      <w:outlineLvl w:val="0"/>
    </w:pPr>
    <w:rPr>
      <w:rFonts w:ascii="Arial" w:eastAsia="Times New Roman" w:hAnsi="Arial" w:cs="Arial"/>
      <w:sz w:val="24"/>
      <w:szCs w:val="24"/>
      <w:lang w:eastAsia="en-GB"/>
    </w:rPr>
  </w:style>
  <w:style w:type="paragraph" w:styleId="Revision">
    <w:name w:val="Revision"/>
    <w:hidden/>
    <w:uiPriority w:val="99"/>
    <w:semiHidden/>
    <w:rsid w:val="006F1F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288025">
      <w:bodyDiv w:val="1"/>
      <w:marLeft w:val="0"/>
      <w:marRight w:val="0"/>
      <w:marTop w:val="0"/>
      <w:marBottom w:val="0"/>
      <w:divBdr>
        <w:top w:val="none" w:sz="0" w:space="0" w:color="auto"/>
        <w:left w:val="none" w:sz="0" w:space="0" w:color="auto"/>
        <w:bottom w:val="none" w:sz="0" w:space="0" w:color="auto"/>
        <w:right w:val="none" w:sz="0" w:space="0" w:color="auto"/>
      </w:divBdr>
    </w:div>
    <w:div w:id="755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5715481">
          <w:marLeft w:val="480"/>
          <w:marRight w:val="0"/>
          <w:marTop w:val="0"/>
          <w:marBottom w:val="0"/>
          <w:divBdr>
            <w:top w:val="none" w:sz="0" w:space="0" w:color="auto"/>
            <w:left w:val="none" w:sz="0" w:space="0" w:color="auto"/>
            <w:bottom w:val="none" w:sz="0" w:space="0" w:color="auto"/>
            <w:right w:val="none" w:sz="0" w:space="0" w:color="auto"/>
          </w:divBdr>
          <w:divsChild>
            <w:div w:id="18753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tijn.Boersma@uts.edu.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stine.nolan@unsw.edu.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omeaffairs.gov.au/criminal-justice/Pages/modern-slavery.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www.afr.com/leadership/governance-council-backs-down-on-industry-supers-social-licence-push-20180806-h13lc7" TargetMode="External"/><Relationship Id="rId18" Type="http://schemas.openxmlformats.org/officeDocument/2006/relationships/hyperlink" Target="https://www.bloomberg.com/news/articles/2019-01-17/jamie-dimon-gets-5-pay-increase-after-jpmorgan-s-record-year" TargetMode="External"/><Relationship Id="rId3" Type="http://schemas.openxmlformats.org/officeDocument/2006/relationships/hyperlink" Target="https://philanthropynewsdigest.org/news/pepsico-pledges-437.5-million-for-racial-equality-initiatives" TargetMode="External"/><Relationship Id="rId21" Type="http://schemas.openxmlformats.org/officeDocument/2006/relationships/hyperlink" Target="http://www.worldbank.org/en/news/pressrelease/%202018/09/19/decline-of-global-extreme-poverty-continuesbut-%20has-slowed-world-bank" TargetMode="External"/><Relationship Id="rId7" Type="http://schemas.openxmlformats.org/officeDocument/2006/relationships/hyperlink" Target="https://www.legislation.gov.au/Details/F2014C01294" TargetMode="External"/><Relationship Id="rId12" Type="http://schemas.openxmlformats.org/officeDocument/2006/relationships/hyperlink" Target="http://pubs.iied.org/pdfs/9084IIED.pdf" TargetMode="External"/><Relationship Id="rId17" Type="http://schemas.openxmlformats.org/officeDocument/2006/relationships/hyperlink" Target="https://www.ft.com/content/a7aaa694-2d7e-4de9-b792-f0088db9f82b" TargetMode="External"/><Relationship Id="rId25" Type="http://schemas.openxmlformats.org/officeDocument/2006/relationships/hyperlink" Target="https://hbr.org/2020/01/why-stock-buybacks-are-dangerous-for-the-economy" TargetMode="External"/><Relationship Id="rId2" Type="http://schemas.openxmlformats.org/officeDocument/2006/relationships/hyperlink" Target="https://www.apple.com/speaking-up-on-racism/" TargetMode="External"/><Relationship Id="rId16" Type="http://schemas.openxmlformats.org/officeDocument/2006/relationships/hyperlink" Target="https://opportunity.businessroundtable.org/wp-content/uploads/2020/08/BRT-Statement-on-the-Purpose-of-a-Corporation-August-2020.pdf" TargetMode="External"/><Relationship Id="rId20" Type="http://schemas.openxmlformats.org/officeDocument/2006/relationships/hyperlink" Target="https://www.ilo.org/wcmsp5/groups/public/---dgreports/---dcomm/---publ/documents/publication/wcms_537846.pdf" TargetMode="External"/><Relationship Id="rId1" Type="http://schemas.openxmlformats.org/officeDocument/2006/relationships/hyperlink" Target="https://www.businessinsider.com.au/how-corporations-turned-into-political-beasts-2015-4?r=US&amp;IR=T" TargetMode="External"/><Relationship Id="rId6" Type="http://schemas.openxmlformats.org/officeDocument/2006/relationships/hyperlink" Target="https://blogs.microsoft.com/on-the-issues/2017/09/05/urgent-daca-legislation-economic-imperative-humanitarian-necessity/" TargetMode="External"/><Relationship Id="rId11" Type="http://schemas.openxmlformats.org/officeDocument/2006/relationships/hyperlink" Target="http://pubs.iied.org/pdfs/9084IIED.pdf" TargetMode="External"/><Relationship Id="rId24" Type="http://schemas.openxmlformats.org/officeDocument/2006/relationships/hyperlink" Target="http://petitions.ituc-csi.org/let-s-build-resilient-economies-with-a-new-social-contract" TargetMode="External"/><Relationship Id="rId5" Type="http://schemas.openxmlformats.org/officeDocument/2006/relationships/hyperlink" Target="https://blogs.microsoft.com/on-the-issues/2017/09/05/urgent-daca-legislation-economic-imperative-humanitarian-necessity/" TargetMode="External"/><Relationship Id="rId15" Type="http://schemas.openxmlformats.org/officeDocument/2006/relationships/hyperlink" Target="https://www.blackrock.com/americas-offshore/2019-larry-fink-ceo-letter" TargetMode="External"/><Relationship Id="rId23" Type="http://schemas.openxmlformats.org/officeDocument/2006/relationships/hyperlink" Target="https://www.oxfam.org.au/wp-content/uploads/2018/01/bp-reward-work-not-wealth-220118-summ-en-EMBARGO.pdf" TargetMode="External"/><Relationship Id="rId10" Type="http://schemas.openxmlformats.org/officeDocument/2006/relationships/hyperlink" Target="http://www.theguardian.com/business/2018/oct/17/neoliberalism-has-causedmisery-%20and-division-bernie-fraser-says" TargetMode="External"/><Relationship Id="rId19" Type="http://schemas.openxmlformats.org/officeDocument/2006/relationships/hyperlink" Target="https://www.ft.com/content/b8a29cfc-8ac1-11ea-a109-483c62d17528" TargetMode="External"/><Relationship Id="rId4" Type="http://schemas.openxmlformats.org/officeDocument/2006/relationships/hyperlink" Target="https://www.bbc.com/worklife/article/20200612-black-lives-matter-do-companies-really-support-the-cause" TargetMode="External"/><Relationship Id="rId9" Type="http://schemas.openxmlformats.org/officeDocument/2006/relationships/hyperlink" Target="https://investorsforhumanrights.org/sites/default/files/attachments/2020-04/The%20Investor%20Case%20for%20mHRDD%20-%20FINAL_0.pdf" TargetMode="External"/><Relationship Id="rId14" Type="http://schemas.openxmlformats.org/officeDocument/2006/relationships/hyperlink" Target="https://fortune.com/fortune500/2019/blackrock/" TargetMode="External"/><Relationship Id="rId22" Type="http://schemas.openxmlformats.org/officeDocument/2006/relationships/hyperlink" Target="https://www-cdn.oxfam.org/s3fs-public/file_attachments/bp210-economy-one-percent-tax-havens-180116-en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804E0571324F48941C2ED973B41B98" ma:contentTypeVersion="13" ma:contentTypeDescription="Create a new document." ma:contentTypeScope="" ma:versionID="34dfc7cfebedee11da4143119f6749b9">
  <xsd:schema xmlns:xsd="http://www.w3.org/2001/XMLSchema" xmlns:xs="http://www.w3.org/2001/XMLSchema" xmlns:p="http://schemas.microsoft.com/office/2006/metadata/properties" xmlns:ns3="89aec279-af5f-459e-b8bc-30b625a62425" xmlns:ns4="2feb762b-24b5-433c-ba18-3a6f7cbfab69" targetNamespace="http://schemas.microsoft.com/office/2006/metadata/properties" ma:root="true" ma:fieldsID="c6e72a2e58ef9ae89bb8bb10d335fdc8" ns3:_="" ns4:_="">
    <xsd:import namespace="89aec279-af5f-459e-b8bc-30b625a62425"/>
    <xsd:import namespace="2feb762b-24b5-433c-ba18-3a6f7cbfab69"/>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3:SharedWithDetails" minOccurs="0"/>
                <xsd:element ref="ns3:SharingHintHash"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ec279-af5f-459e-b8bc-30b625a624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eb762b-24b5-433c-ba18-3a6f7cbfab69"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0EACC2-9031-46EF-A85A-A77B5543E4B8}">
  <ds:schemaRefs>
    <ds:schemaRef ds:uri="http://schemas.microsoft.com/sharepoint/v3/contenttype/forms"/>
  </ds:schemaRefs>
</ds:datastoreItem>
</file>

<file path=customXml/itemProps2.xml><?xml version="1.0" encoding="utf-8"?>
<ds:datastoreItem xmlns:ds="http://schemas.openxmlformats.org/officeDocument/2006/customXml" ds:itemID="{C50393ED-E7E2-4FDE-A2F4-33CA1C143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aec279-af5f-459e-b8bc-30b625a62425"/>
    <ds:schemaRef ds:uri="2feb762b-24b5-433c-ba18-3a6f7cbfa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158399-7DEE-4E87-9D68-31A2C90688F0}">
  <ds:schemaRefs>
    <ds:schemaRef ds:uri="http://schemas.openxmlformats.org/officeDocument/2006/bibliography"/>
  </ds:schemaRefs>
</ds:datastoreItem>
</file>

<file path=customXml/itemProps4.xml><?xml version="1.0" encoding="utf-8"?>
<ds:datastoreItem xmlns:ds="http://schemas.openxmlformats.org/officeDocument/2006/customXml" ds:itemID="{C406C58A-3A7D-4AEB-97C0-45D58EF7AC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3729</Words>
  <Characters>21261</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24941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Thompson</dc:creator>
  <cp:keywords/>
  <dc:description/>
  <cp:lastModifiedBy>Justine Nolan</cp:lastModifiedBy>
  <cp:revision>2</cp:revision>
  <dcterms:created xsi:type="dcterms:W3CDTF">2021-11-17T21:47:00Z</dcterms:created>
  <dcterms:modified xsi:type="dcterms:W3CDTF">2021-11-17T21:47:00Z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0x0101006B804E0571324F48941C2ED973B41B98</vt:lpwstr>
  </property>
  <property fmtid="{D5CDD505-2E9C-101B-9397-08002B2CF9AE}" pid="3" name="MSIP_Label_51a6c3db-1667-4f49-995a-8b9973972958_Enabled">
    <vt:lpwstr>true</vt:lpwstr>
  </property>
  <property fmtid="{D5CDD505-2E9C-101B-9397-08002B2CF9AE}" pid="4" name="MSIP_Label_51a6c3db-1667-4f49-995a-8b9973972958_SetDate">
    <vt:lpwstr>2021-11-17T04:32:31Z</vt:lpwstr>
  </property>
  <property fmtid="{D5CDD505-2E9C-101B-9397-08002B2CF9AE}" pid="5" name="MSIP_Label_51a6c3db-1667-4f49-995a-8b9973972958_Method">
    <vt:lpwstr>Privileged</vt:lpwstr>
  </property>
  <property fmtid="{D5CDD505-2E9C-101B-9397-08002B2CF9AE}" pid="6" name="MSIP_Label_51a6c3db-1667-4f49-995a-8b9973972958_Name">
    <vt:lpwstr>UTS-Internal</vt:lpwstr>
  </property>
  <property fmtid="{D5CDD505-2E9C-101B-9397-08002B2CF9AE}" pid="7" name="MSIP_Label_51a6c3db-1667-4f49-995a-8b9973972958_SiteId">
    <vt:lpwstr>e8911c26-cf9f-4a9c-878e-527807be8791</vt:lpwstr>
  </property>
  <property fmtid="{D5CDD505-2E9C-101B-9397-08002B2CF9AE}" pid="8" name="MSIP_Label_51a6c3db-1667-4f49-995a-8b9973972958_ActionId">
    <vt:lpwstr>7f055da4-067f-45cc-ac5e-db95dd34ce2b</vt:lpwstr>
  </property>
  <property fmtid="{D5CDD505-2E9C-101B-9397-08002B2CF9AE}" pid="9" name="MSIP_Label_51a6c3db-1667-4f49-995a-8b9973972958_ContentBits">
    <vt:lpwstr>0</vt:lpwstr>
  </property>
</Properties>
</file>