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F530" w14:textId="77777777" w:rsidR="000F40CE" w:rsidRPr="000F40CE" w:rsidRDefault="000F40CE" w:rsidP="000F40CE">
      <w:pPr>
        <w:suppressAutoHyphens/>
        <w:spacing w:after="120" w:line="240" w:lineRule="atLeast"/>
        <w:rPr>
          <w:rFonts w:eastAsia="Times New Roman"/>
          <w:sz w:val="28"/>
          <w:lang w:val="en-GB" w:eastAsia="en-US"/>
        </w:rPr>
      </w:pPr>
      <w:bookmarkStart w:id="0" w:name="_GoBack"/>
      <w:bookmarkEnd w:id="0"/>
      <w:r w:rsidRPr="000F40CE">
        <w:rPr>
          <w:rFonts w:eastAsia="Times New Roman"/>
          <w:sz w:val="28"/>
          <w:lang w:val="en-GB" w:eastAsia="en-US"/>
        </w:rPr>
        <w:t>Contents</w:t>
      </w:r>
    </w:p>
    <w:p w14:paraId="208FEC6F" w14:textId="77777777" w:rsidR="000F40CE" w:rsidRPr="000F40CE" w:rsidRDefault="000F40CE" w:rsidP="000F40CE">
      <w:pPr>
        <w:tabs>
          <w:tab w:val="right" w:pos="9638"/>
        </w:tabs>
        <w:suppressAutoHyphens/>
        <w:spacing w:after="120" w:line="240" w:lineRule="atLeast"/>
        <w:ind w:left="283"/>
        <w:rPr>
          <w:rFonts w:eastAsia="Times New Roman"/>
          <w:sz w:val="18"/>
          <w:lang w:val="en-GB" w:eastAsia="en-US"/>
        </w:rPr>
      </w:pPr>
      <w:r w:rsidRPr="000F40CE">
        <w:rPr>
          <w:rFonts w:eastAsia="Times New Roman"/>
          <w:i/>
          <w:sz w:val="18"/>
          <w:lang w:val="en-GB" w:eastAsia="en-US"/>
        </w:rPr>
        <w:tab/>
        <w:t>Page</w:t>
      </w:r>
    </w:p>
    <w:p w14:paraId="4C6E286E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  <w:t>I.</w:t>
      </w:r>
      <w:r w:rsidRPr="000F40CE">
        <w:rPr>
          <w:rFonts w:eastAsia="Times New Roman"/>
          <w:lang w:val="en-GB" w:eastAsia="en-US"/>
        </w:rPr>
        <w:tab/>
        <w:t>Introduction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3</w:t>
      </w:r>
    </w:p>
    <w:p w14:paraId="3911D017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  <w:t>II.</w:t>
      </w:r>
      <w:r w:rsidRPr="000F40CE">
        <w:rPr>
          <w:rFonts w:eastAsia="Times New Roman"/>
          <w:lang w:val="en-GB" w:eastAsia="en-US"/>
        </w:rPr>
        <w:tab/>
        <w:t>Methodology and consultation for the compilation of the national report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3</w:t>
      </w:r>
    </w:p>
    <w:p w14:paraId="7B68CACF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  <w:t>III.</w:t>
      </w:r>
      <w:r w:rsidRPr="000F40CE">
        <w:rPr>
          <w:rFonts w:eastAsia="Times New Roman"/>
          <w:lang w:val="en-GB" w:eastAsia="en-US"/>
        </w:rPr>
        <w:tab/>
        <w:t>International norms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3</w:t>
      </w:r>
    </w:p>
    <w:p w14:paraId="7E3959D6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  <w:t>IV.</w:t>
      </w:r>
      <w:r w:rsidRPr="000F40CE">
        <w:rPr>
          <w:rFonts w:eastAsia="Times New Roman"/>
          <w:lang w:val="en-GB" w:eastAsia="en-US"/>
        </w:rPr>
        <w:tab/>
        <w:t xml:space="preserve">Promotion and protection of human rights; Developments, achievements and challenges </w:t>
      </w:r>
      <w:r w:rsidRPr="000F40CE">
        <w:rPr>
          <w:rFonts w:eastAsia="Times New Roman"/>
          <w:lang w:val="en-GB" w:eastAsia="en-US"/>
        </w:rPr>
        <w:br/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since the previous cycle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3</w:t>
      </w:r>
    </w:p>
    <w:p w14:paraId="793863A5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A.</w:t>
      </w:r>
      <w:r w:rsidRPr="000F40CE">
        <w:rPr>
          <w:rFonts w:eastAsia="Times New Roman"/>
          <w:lang w:val="en-GB" w:eastAsia="en-US"/>
        </w:rPr>
        <w:tab/>
        <w:t>Legislative framework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3</w:t>
      </w:r>
    </w:p>
    <w:p w14:paraId="0353A95B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B.</w:t>
      </w:r>
      <w:r w:rsidRPr="000F40CE">
        <w:rPr>
          <w:rFonts w:eastAsia="Times New Roman"/>
          <w:lang w:val="en-GB" w:eastAsia="en-US"/>
        </w:rPr>
        <w:tab/>
        <w:t>Right to life, liberty and security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6</w:t>
      </w:r>
    </w:p>
    <w:p w14:paraId="3B94B7A3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C.</w:t>
      </w:r>
      <w:r w:rsidRPr="000F40CE">
        <w:rPr>
          <w:rFonts w:eastAsia="Times New Roman"/>
          <w:lang w:val="en-GB" w:eastAsia="en-US"/>
        </w:rPr>
        <w:tab/>
        <w:t xml:space="preserve"> Persons with disability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9</w:t>
      </w:r>
    </w:p>
    <w:p w14:paraId="5355CF2B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D.</w:t>
      </w:r>
      <w:r w:rsidRPr="000F40CE">
        <w:rPr>
          <w:rFonts w:eastAsia="Times New Roman"/>
          <w:lang w:val="en-GB" w:eastAsia="en-US"/>
        </w:rPr>
        <w:tab/>
        <w:t>Human rights education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10</w:t>
      </w:r>
    </w:p>
    <w:p w14:paraId="1DF98522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E.</w:t>
      </w:r>
      <w:r w:rsidRPr="000F40CE">
        <w:rPr>
          <w:rFonts w:eastAsia="Times New Roman"/>
          <w:lang w:val="en-GB" w:eastAsia="en-US"/>
        </w:rPr>
        <w:tab/>
        <w:t>Equality, non-discrimination and combating hate speech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11</w:t>
      </w:r>
    </w:p>
    <w:p w14:paraId="08751B08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F.</w:t>
      </w:r>
      <w:r w:rsidRPr="000F40CE">
        <w:rPr>
          <w:rFonts w:eastAsia="Times New Roman"/>
          <w:lang w:val="en-GB" w:eastAsia="en-US"/>
        </w:rPr>
        <w:tab/>
        <w:t>Migrants, refugees and asylum seekers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17</w:t>
      </w:r>
    </w:p>
    <w:p w14:paraId="0F9AC5CB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G.</w:t>
      </w:r>
      <w:r w:rsidRPr="000F40CE">
        <w:rPr>
          <w:rFonts w:eastAsia="Times New Roman"/>
          <w:lang w:val="en-GB" w:eastAsia="en-US"/>
        </w:rPr>
        <w:tab/>
        <w:t>Racism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18</w:t>
      </w:r>
    </w:p>
    <w:p w14:paraId="3FA2C5F4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H.</w:t>
      </w:r>
      <w:r w:rsidRPr="000F40CE">
        <w:rPr>
          <w:rFonts w:eastAsia="Times New Roman"/>
          <w:lang w:val="en-GB" w:eastAsia="en-US"/>
        </w:rPr>
        <w:tab/>
        <w:t>Freedom of opinion and expression and protection of journalists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18</w:t>
      </w:r>
    </w:p>
    <w:p w14:paraId="6290E6DF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I.</w:t>
      </w:r>
      <w:r w:rsidRPr="000F40CE">
        <w:rPr>
          <w:rFonts w:eastAsia="Times New Roman"/>
          <w:lang w:val="en-GB" w:eastAsia="en-US"/>
        </w:rPr>
        <w:tab/>
        <w:t>Administration of justice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19</w:t>
      </w:r>
    </w:p>
    <w:p w14:paraId="6BF5F2EB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J.</w:t>
      </w:r>
      <w:r w:rsidRPr="000F40CE">
        <w:rPr>
          <w:rFonts w:eastAsia="Times New Roman"/>
          <w:lang w:val="en-GB" w:eastAsia="en-US"/>
        </w:rPr>
        <w:tab/>
        <w:t>Health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20</w:t>
      </w:r>
    </w:p>
    <w:p w14:paraId="55750F84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K.</w:t>
      </w:r>
      <w:r w:rsidRPr="000F40CE">
        <w:rPr>
          <w:rFonts w:eastAsia="Times New Roman"/>
          <w:lang w:val="en-GB" w:eastAsia="en-US"/>
        </w:rPr>
        <w:tab/>
        <w:t>Older persons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20</w:t>
      </w:r>
    </w:p>
    <w:p w14:paraId="06E11565" w14:textId="77777777" w:rsidR="000F40CE" w:rsidRPr="000F40CE" w:rsidRDefault="000F40CE" w:rsidP="000F40CE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eastAsia="Times New Roman"/>
          <w:lang w:val="en-GB" w:eastAsia="en-US"/>
        </w:rPr>
      </w:pPr>
      <w:r w:rsidRPr="000F40CE">
        <w:rPr>
          <w:rFonts w:eastAsia="Times New Roman"/>
          <w:lang w:val="en-GB" w:eastAsia="en-US"/>
        </w:rPr>
        <w:tab/>
        <w:t>V.</w:t>
      </w:r>
      <w:r w:rsidRPr="000F40CE">
        <w:rPr>
          <w:rFonts w:eastAsia="Times New Roman"/>
          <w:lang w:val="en-GB" w:eastAsia="en-US"/>
        </w:rPr>
        <w:tab/>
        <w:t>Conclusion</w:t>
      </w:r>
      <w:r w:rsidRPr="000F40CE">
        <w:rPr>
          <w:rFonts w:eastAsia="Times New Roman"/>
          <w:lang w:val="en-GB" w:eastAsia="en-US"/>
        </w:rPr>
        <w:tab/>
      </w:r>
      <w:r w:rsidRPr="000F40CE">
        <w:rPr>
          <w:rFonts w:eastAsia="Times New Roman"/>
          <w:lang w:val="en-GB" w:eastAsia="en-US"/>
        </w:rPr>
        <w:tab/>
        <w:t>21</w:t>
      </w:r>
    </w:p>
    <w:p w14:paraId="146256A0" w14:textId="77777777" w:rsidR="00446FE5" w:rsidRPr="000F40CE" w:rsidRDefault="00446FE5" w:rsidP="00B55090">
      <w:pPr>
        <w:rPr>
          <w:lang w:val="en-GB"/>
        </w:rPr>
      </w:pPr>
    </w:p>
    <w:sectPr w:rsidR="00446FE5" w:rsidRPr="000F40CE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EE26" w14:textId="77777777" w:rsidR="000F40CE" w:rsidRDefault="000F40CE" w:rsidP="00F95C08"/>
  </w:endnote>
  <w:endnote w:type="continuationSeparator" w:id="0">
    <w:p w14:paraId="5D465138" w14:textId="77777777" w:rsidR="000F40CE" w:rsidRPr="00AC3823" w:rsidRDefault="000F40CE" w:rsidP="00AC3823">
      <w:pPr>
        <w:pStyle w:val="Footer"/>
      </w:pPr>
    </w:p>
  </w:endnote>
  <w:endnote w:type="continuationNotice" w:id="1">
    <w:p w14:paraId="3223CC28" w14:textId="77777777" w:rsidR="000F40CE" w:rsidRDefault="000F4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ED7A" w14:textId="77777777" w:rsidR="000F40CE" w:rsidRPr="00AC3823" w:rsidRDefault="000F40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AD920F" w14:textId="77777777" w:rsidR="000F40CE" w:rsidRPr="00AC3823" w:rsidRDefault="000F40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45A5A7" w14:textId="77777777" w:rsidR="000F40CE" w:rsidRPr="00AC3823" w:rsidRDefault="000F40CE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23487082">
    <w:abstractNumId w:val="13"/>
  </w:num>
  <w:num w:numId="2" w16cid:durableId="1680620320">
    <w:abstractNumId w:val="11"/>
  </w:num>
  <w:num w:numId="3" w16cid:durableId="82772559">
    <w:abstractNumId w:val="10"/>
  </w:num>
  <w:num w:numId="4" w16cid:durableId="2022851450">
    <w:abstractNumId w:val="8"/>
  </w:num>
  <w:num w:numId="5" w16cid:durableId="1593662140">
    <w:abstractNumId w:val="3"/>
  </w:num>
  <w:num w:numId="6" w16cid:durableId="647637535">
    <w:abstractNumId w:val="2"/>
  </w:num>
  <w:num w:numId="7" w16cid:durableId="1781795688">
    <w:abstractNumId w:val="1"/>
  </w:num>
  <w:num w:numId="8" w16cid:durableId="1557475835">
    <w:abstractNumId w:val="0"/>
  </w:num>
  <w:num w:numId="9" w16cid:durableId="1124613135">
    <w:abstractNumId w:val="9"/>
  </w:num>
  <w:num w:numId="10" w16cid:durableId="233399867">
    <w:abstractNumId w:val="7"/>
  </w:num>
  <w:num w:numId="11" w16cid:durableId="788210202">
    <w:abstractNumId w:val="6"/>
  </w:num>
  <w:num w:numId="12" w16cid:durableId="2020113512">
    <w:abstractNumId w:val="5"/>
  </w:num>
  <w:num w:numId="13" w16cid:durableId="692270296">
    <w:abstractNumId w:val="4"/>
  </w:num>
  <w:num w:numId="14" w16cid:durableId="870149219">
    <w:abstractNumId w:val="12"/>
  </w:num>
  <w:num w:numId="15" w16cid:durableId="712923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E"/>
    <w:rsid w:val="00017F94"/>
    <w:rsid w:val="00023842"/>
    <w:rsid w:val="000334F9"/>
    <w:rsid w:val="0007796D"/>
    <w:rsid w:val="000B7790"/>
    <w:rsid w:val="000C390E"/>
    <w:rsid w:val="000F40C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9C17E"/>
  <w15:chartTrackingRefBased/>
  <w15:docId w15:val="{ADFE2961-B547-48CE-B293-64FC6D7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OHCHR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2023-10-16T09:32:00Z</dcterms:created>
  <dcterms:modified xsi:type="dcterms:W3CDTF">2023-10-16T09:34:00Z</dcterms:modified>
</cp:coreProperties>
</file>